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DBD57C6">
      <w:pPr>
        <w:adjustRightInd w:val="0"/>
        <w:snapToGrid w:val="0"/>
        <w:jc w:val="center"/>
        <w:outlineLvl w:val="9"/>
        <w:rPr>
          <w:rFonts w:hint="default" w:ascii="Times New Roman" w:hAnsi="Times New Roman" w:eastAsia="宋体" w:cs="Times New Roman"/>
          <w:bCs/>
          <w:color w:val="auto"/>
          <w:sz w:val="72"/>
          <w:szCs w:val="72"/>
          <w:highlight w:val="none"/>
        </w:rPr>
      </w:pPr>
      <w:bookmarkStart w:id="0" w:name="_Toc6137"/>
      <w:bookmarkStart w:id="1" w:name="_Toc32138"/>
      <w:bookmarkStart w:id="2" w:name="_Toc28336"/>
      <w:bookmarkStart w:id="3" w:name="_Toc152582967"/>
      <w:bookmarkStart w:id="4" w:name="_Toc2258"/>
      <w:bookmarkStart w:id="5" w:name="_Toc4223"/>
      <w:bookmarkStart w:id="6" w:name="_Toc6584"/>
      <w:bookmarkStart w:id="7" w:name="_Toc9128"/>
      <w:bookmarkStart w:id="8" w:name="_Toc16597"/>
      <w:bookmarkStart w:id="9" w:name="_Toc13793"/>
      <w:bookmarkStart w:id="10" w:name="_Toc2971"/>
      <w:bookmarkStart w:id="11" w:name="_Toc15186"/>
      <w:bookmarkStart w:id="12" w:name="_Toc152582969"/>
      <w:bookmarkStart w:id="13" w:name="_Toc14481"/>
      <w:bookmarkStart w:id="14" w:name="_Toc25330"/>
      <w:bookmarkStart w:id="15" w:name="_Toc25016"/>
    </w:p>
    <w:p w14:paraId="4A947A49">
      <w:pPr>
        <w:adjustRightInd w:val="0"/>
        <w:snapToGrid w:val="0"/>
        <w:jc w:val="center"/>
        <w:outlineLvl w:val="9"/>
        <w:rPr>
          <w:rFonts w:hint="default" w:ascii="Times New Roman" w:hAnsi="Times New Roman" w:eastAsia="宋体" w:cs="Times New Roman"/>
          <w:bCs/>
          <w:color w:val="auto"/>
          <w:sz w:val="72"/>
          <w:szCs w:val="72"/>
          <w:highlight w:val="none"/>
        </w:rPr>
      </w:pPr>
      <w:r>
        <w:rPr>
          <w:rFonts w:hint="default" w:ascii="Times New Roman" w:hAnsi="Times New Roman" w:eastAsia="宋体" w:cs="Times New Roman"/>
          <w:bCs/>
          <w:color w:val="auto"/>
          <w:sz w:val="72"/>
          <w:szCs w:val="72"/>
          <w:highlight w:val="none"/>
        </w:rPr>
        <w:t>建设项目环境影响报告表</w:t>
      </w:r>
      <w:bookmarkEnd w:id="0"/>
      <w:bookmarkEnd w:id="1"/>
      <w:bookmarkEnd w:id="2"/>
      <w:bookmarkEnd w:id="3"/>
      <w:bookmarkEnd w:id="4"/>
      <w:bookmarkEnd w:id="5"/>
      <w:bookmarkEnd w:id="6"/>
    </w:p>
    <w:p w14:paraId="0F008809">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（生态影响类）</w:t>
      </w:r>
    </w:p>
    <w:p w14:paraId="29D09123">
      <w:pPr>
        <w:jc w:val="center"/>
        <w:rPr>
          <w:rFonts w:hint="default" w:ascii="Times New Roman" w:hAnsi="Times New Roman" w:eastAsia="仿宋" w:cs="Times New Roman"/>
          <w:b/>
          <w:bCs/>
          <w:color w:val="auto"/>
          <w:sz w:val="32"/>
          <w:szCs w:val="32"/>
          <w:highlight w:val="none"/>
          <w:lang w:eastAsia="zh-CN"/>
        </w:rPr>
      </w:pPr>
      <w:bookmarkStart w:id="16" w:name="_Hlk57883728"/>
      <w:r>
        <w:rPr>
          <w:rFonts w:hint="default" w:ascii="Times New Roman" w:hAnsi="Times New Roman" w:eastAsia="仿宋" w:cs="Times New Roman"/>
          <w:b/>
          <w:bCs/>
          <w:color w:val="auto"/>
          <w:sz w:val="32"/>
          <w:szCs w:val="32"/>
          <w:highlight w:val="none"/>
          <w:lang w:eastAsia="zh-CN"/>
        </w:rPr>
        <w:t>（</w:t>
      </w:r>
      <w:r>
        <w:rPr>
          <w:rFonts w:hint="default" w:ascii="Times New Roman" w:hAnsi="Times New Roman" w:eastAsia="仿宋" w:cs="Times New Roman"/>
          <w:b/>
          <w:bCs/>
          <w:color w:val="auto"/>
          <w:sz w:val="32"/>
          <w:szCs w:val="32"/>
          <w:highlight w:val="none"/>
          <w:lang w:val="en-US" w:eastAsia="zh-CN"/>
        </w:rPr>
        <w:t>送审稿</w:t>
      </w:r>
      <w:r>
        <w:rPr>
          <w:rFonts w:hint="default" w:ascii="Times New Roman" w:hAnsi="Times New Roman" w:eastAsia="仿宋" w:cs="Times New Roman"/>
          <w:b/>
          <w:bCs/>
          <w:color w:val="auto"/>
          <w:sz w:val="32"/>
          <w:szCs w:val="32"/>
          <w:highlight w:val="none"/>
          <w:lang w:eastAsia="zh-CN"/>
        </w:rPr>
        <w:t>）</w:t>
      </w:r>
    </w:p>
    <w:p w14:paraId="250D379D">
      <w:pPr>
        <w:rPr>
          <w:rFonts w:hint="default" w:ascii="Times New Roman" w:hAnsi="Times New Roman" w:cs="Times New Roman"/>
          <w:color w:val="auto"/>
          <w:highlight w:val="none"/>
        </w:rPr>
      </w:pPr>
    </w:p>
    <w:p w14:paraId="6655C76A">
      <w:pPr>
        <w:rPr>
          <w:rFonts w:hint="default" w:ascii="Times New Roman" w:hAnsi="Times New Roman" w:cs="Times New Roman"/>
          <w:color w:val="auto"/>
          <w:highlight w:val="none"/>
        </w:rPr>
      </w:pPr>
    </w:p>
    <w:p w14:paraId="2EBCC04F">
      <w:pPr>
        <w:pStyle w:val="66"/>
        <w:outlineLvl w:val="9"/>
        <w:rPr>
          <w:rFonts w:hint="default" w:ascii="Times New Roman" w:hAnsi="Times New Roman" w:cs="Times New Roman"/>
          <w:color w:val="auto"/>
          <w:highlight w:val="none"/>
        </w:rPr>
      </w:pPr>
    </w:p>
    <w:p w14:paraId="1ACF136E">
      <w:pPr>
        <w:rPr>
          <w:rFonts w:hint="default" w:ascii="Times New Roman" w:hAnsi="Times New Roman" w:eastAsia="仿宋" w:cs="Times New Roman"/>
          <w:color w:val="auto"/>
          <w:sz w:val="44"/>
          <w:szCs w:val="44"/>
          <w:highlight w:val="none"/>
        </w:rPr>
      </w:pPr>
    </w:p>
    <w:p w14:paraId="713708E5">
      <w:pPr>
        <w:rPr>
          <w:rFonts w:hint="default" w:ascii="Times New Roman" w:hAnsi="Times New Roman" w:eastAsia="仿宋" w:cs="Times New Roman"/>
          <w:color w:val="auto"/>
          <w:sz w:val="44"/>
          <w:szCs w:val="44"/>
          <w:highlight w:val="none"/>
        </w:rPr>
      </w:pPr>
    </w:p>
    <w:p w14:paraId="2EB25CC6">
      <w:pPr>
        <w:pStyle w:val="27"/>
        <w:rPr>
          <w:rFonts w:hint="default" w:ascii="Times New Roman" w:hAnsi="Times New Roman" w:cs="Times New Roman"/>
          <w:color w:val="auto"/>
          <w:highlight w:val="none"/>
        </w:rPr>
      </w:pPr>
    </w:p>
    <w:p w14:paraId="50347886">
      <w:pPr>
        <w:pStyle w:val="27"/>
        <w:rPr>
          <w:rFonts w:hint="default" w:ascii="Times New Roman" w:hAnsi="Times New Roman" w:cs="Times New Roman"/>
          <w:color w:val="auto"/>
          <w:highlight w:val="none"/>
        </w:rPr>
      </w:pPr>
    </w:p>
    <w:p w14:paraId="3DA03272">
      <w:pPr>
        <w:pStyle w:val="27"/>
        <w:rPr>
          <w:rFonts w:hint="default" w:ascii="Times New Roman" w:hAnsi="Times New Roman" w:cs="Times New Roman"/>
          <w:color w:val="auto"/>
          <w:highlight w:val="none"/>
        </w:rPr>
      </w:pPr>
    </w:p>
    <w:p w14:paraId="7CAD9B9A">
      <w:pPr>
        <w:pStyle w:val="27"/>
        <w:rPr>
          <w:rFonts w:hint="default" w:ascii="Times New Roman" w:hAnsi="Times New Roman" w:cs="Times New Roman"/>
          <w:color w:val="auto"/>
          <w:highlight w:val="none"/>
        </w:rPr>
      </w:pPr>
    </w:p>
    <w:p w14:paraId="21BFA4FD">
      <w:pPr>
        <w:rPr>
          <w:rFonts w:hint="default" w:ascii="Times New Roman" w:hAnsi="Times New Roman" w:eastAsia="仿宋" w:cs="Times New Roman"/>
          <w:color w:val="auto"/>
          <w:sz w:val="44"/>
          <w:szCs w:val="44"/>
          <w:highlight w:val="none"/>
        </w:rPr>
      </w:pPr>
    </w:p>
    <w:bookmarkEnd w:id="16"/>
    <w:p w14:paraId="733B3539">
      <w:pPr>
        <w:adjustRightInd w:val="0"/>
        <w:snapToGrid w:val="0"/>
        <w:spacing w:line="360" w:lineRule="auto"/>
        <w:ind w:left="2238" w:leftChars="304" w:hanging="1600" w:hangingChars="500"/>
        <w:rPr>
          <w:rFonts w:hint="default" w:ascii="Times New Roman" w:hAnsi="Times New Roman" w:eastAsia="仿宋_GB2312" w:cs="Times New Roman"/>
          <w:color w:val="auto"/>
          <w:sz w:val="32"/>
          <w:szCs w:val="32"/>
          <w:highlight w:val="none"/>
          <w:u w:val="single"/>
          <w:lang w:eastAsia="zh-CN"/>
        </w:rPr>
      </w:pPr>
      <w:r>
        <w:rPr>
          <w:rFonts w:hint="default" w:ascii="Times New Roman" w:hAnsi="Times New Roman" w:eastAsia="仿宋_GB2312" w:cs="Times New Roman"/>
          <w:color w:val="auto"/>
          <w:sz w:val="32"/>
          <w:szCs w:val="32"/>
          <w:highlight w:val="none"/>
        </w:rPr>
        <w:t>项目名称：</w:t>
      </w:r>
      <w:r>
        <w:rPr>
          <w:rFonts w:hint="default" w:ascii="Times New Roman" w:hAnsi="Times New Roman" w:eastAsia="仿宋_GB2312" w:cs="Times New Roman"/>
          <w:color w:val="auto"/>
          <w:sz w:val="32"/>
          <w:szCs w:val="32"/>
          <w:highlight w:val="none"/>
          <w:u w:val="single"/>
          <w:lang w:eastAsia="zh-CN"/>
        </w:rPr>
        <w:t>宁夏固原华电彭阳200兆瓦风电项目110千伏</w:t>
      </w:r>
    </w:p>
    <w:p w14:paraId="046D5F2A">
      <w:pPr>
        <w:adjustRightInd w:val="0"/>
        <w:snapToGrid w:val="0"/>
        <w:spacing w:line="360" w:lineRule="auto"/>
        <w:ind w:left="2234" w:leftChars="1064" w:firstLine="0" w:firstLineChars="0"/>
        <w:rPr>
          <w:rFonts w:hint="default" w:ascii="Times New Roman" w:hAnsi="Times New Roman" w:eastAsia="仿宋_GB2312" w:cs="Times New Roman"/>
          <w:color w:val="auto"/>
          <w:sz w:val="32"/>
          <w:szCs w:val="32"/>
          <w:highlight w:val="none"/>
          <w:u w:val="single"/>
          <w:lang w:eastAsia="zh-CN"/>
        </w:rPr>
      </w:pPr>
      <w:r>
        <w:rPr>
          <w:rFonts w:hint="default" w:ascii="Times New Roman" w:hAnsi="Times New Roman" w:eastAsia="仿宋_GB2312" w:cs="Times New Roman"/>
          <w:color w:val="auto"/>
          <w:sz w:val="32"/>
          <w:szCs w:val="32"/>
          <w:highlight w:val="none"/>
          <w:u w:val="single"/>
          <w:lang w:eastAsia="zh-CN"/>
        </w:rPr>
        <w:t>送出工程</w:t>
      </w:r>
    </w:p>
    <w:p w14:paraId="71D6DC64">
      <w:pPr>
        <w:adjustRightInd w:val="0"/>
        <w:snapToGrid w:val="0"/>
        <w:spacing w:line="360" w:lineRule="auto"/>
        <w:ind w:firstLine="640" w:firstLineChars="200"/>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rPr>
        <w:t>建设单位（盖章）：</w:t>
      </w:r>
      <w:r>
        <w:rPr>
          <w:rFonts w:hint="default" w:ascii="Times New Roman" w:hAnsi="Times New Roman" w:eastAsia="仿宋_GB2312" w:cs="Times New Roman"/>
          <w:color w:val="auto"/>
          <w:sz w:val="32"/>
          <w:szCs w:val="32"/>
          <w:highlight w:val="none"/>
          <w:u w:val="single"/>
        </w:rPr>
        <w:t>国网宁夏电力有限公司</w:t>
      </w:r>
      <w:r>
        <w:rPr>
          <w:rFonts w:hint="default" w:ascii="Times New Roman" w:hAnsi="Times New Roman" w:eastAsia="仿宋_GB2312" w:cs="Times New Roman"/>
          <w:color w:val="auto"/>
          <w:sz w:val="32"/>
          <w:szCs w:val="32"/>
          <w:highlight w:val="none"/>
          <w:u w:val="single"/>
          <w:lang w:eastAsia="zh-CN"/>
        </w:rPr>
        <w:t>固原供电公司</w:t>
      </w:r>
      <w:r>
        <w:rPr>
          <w:rFonts w:hint="default" w:ascii="Times New Roman" w:hAnsi="Times New Roman" w:eastAsia="仿宋_GB2312" w:cs="Times New Roman"/>
          <w:color w:val="auto"/>
          <w:sz w:val="32"/>
          <w:szCs w:val="32"/>
          <w:highlight w:val="none"/>
          <w:u w:val="single"/>
          <w:lang w:val="en-US" w:eastAsia="zh-CN"/>
        </w:rPr>
        <w:t xml:space="preserve"> </w:t>
      </w:r>
    </w:p>
    <w:p w14:paraId="0856E246">
      <w:pPr>
        <w:adjustRightInd w:val="0"/>
        <w:snapToGrid w:val="0"/>
        <w:spacing w:line="360" w:lineRule="auto"/>
        <w:ind w:firstLine="640" w:firstLineChars="200"/>
        <w:rPr>
          <w:rFonts w:hint="default" w:ascii="Times New Roman" w:hAnsi="Times New Roman" w:eastAsia="仿宋_GB2312" w:cs="Times New Roman"/>
          <w:color w:val="auto"/>
          <w:sz w:val="32"/>
          <w:szCs w:val="32"/>
          <w:highlight w:val="none"/>
          <w:u w:val="single"/>
        </w:rPr>
      </w:pPr>
    </w:p>
    <w:p w14:paraId="372C28BC">
      <w:pPr>
        <w:adjustRightInd w:val="0"/>
        <w:snapToGrid w:val="0"/>
        <w:spacing w:line="288" w:lineRule="auto"/>
        <w:ind w:firstLine="2240" w:firstLineChars="700"/>
        <w:rPr>
          <w:rFonts w:hint="default" w:ascii="Times New Roman" w:hAnsi="Times New Roman" w:eastAsia="仿宋_GB2312" w:cs="Times New Roman"/>
          <w:color w:val="auto"/>
          <w:sz w:val="32"/>
          <w:szCs w:val="32"/>
          <w:highlight w:val="none"/>
        </w:rPr>
      </w:pPr>
    </w:p>
    <w:p w14:paraId="1ED31536">
      <w:pPr>
        <w:adjustRightInd w:val="0"/>
        <w:snapToGrid w:val="0"/>
        <w:spacing w:line="288" w:lineRule="auto"/>
        <w:jc w:val="center"/>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sz w:val="32"/>
          <w:szCs w:val="32"/>
          <w:highlight w:val="none"/>
        </w:rPr>
        <w:t>编制日期：二〇二</w:t>
      </w:r>
      <w:r>
        <w:rPr>
          <w:rFonts w:hint="eastAsia" w:eastAsia="仿宋_GB2312" w:cs="Times New Roman"/>
          <w:color w:val="auto"/>
          <w:sz w:val="32"/>
          <w:szCs w:val="32"/>
          <w:highlight w:val="none"/>
          <w:lang w:val="en-US" w:eastAsia="zh-CN"/>
        </w:rPr>
        <w:t>六</w:t>
      </w:r>
      <w:r>
        <w:rPr>
          <w:rFonts w:hint="default" w:ascii="Times New Roman" w:hAnsi="Times New Roman" w:eastAsia="仿宋_GB2312" w:cs="Times New Roman"/>
          <w:color w:val="auto"/>
          <w:sz w:val="32"/>
          <w:szCs w:val="32"/>
          <w:highlight w:val="none"/>
        </w:rPr>
        <w:t>年</w:t>
      </w:r>
      <w:r>
        <w:rPr>
          <w:rFonts w:hint="eastAsia" w:eastAsia="仿宋_GB2312" w:cs="Times New Roman"/>
          <w:color w:val="auto"/>
          <w:sz w:val="32"/>
          <w:szCs w:val="32"/>
          <w:highlight w:val="none"/>
          <w:lang w:val="en-US" w:eastAsia="zh-CN"/>
        </w:rPr>
        <w:t>三</w:t>
      </w:r>
      <w:r>
        <w:rPr>
          <w:rFonts w:hint="default" w:ascii="Times New Roman" w:hAnsi="Times New Roman" w:eastAsia="仿宋_GB2312" w:cs="Times New Roman"/>
          <w:color w:val="auto"/>
          <w:sz w:val="32"/>
          <w:szCs w:val="32"/>
          <w:highlight w:val="none"/>
        </w:rPr>
        <w:t>月</w:t>
      </w:r>
    </w:p>
    <w:p w14:paraId="0E8186DD">
      <w:pPr>
        <w:adjustRightInd w:val="0"/>
        <w:snapToGrid w:val="0"/>
        <w:spacing w:line="288" w:lineRule="auto"/>
        <w:rPr>
          <w:rFonts w:hint="default" w:ascii="Times New Roman" w:hAnsi="Times New Roman" w:eastAsia="仿宋_GB2312" w:cs="Times New Roman"/>
          <w:color w:val="auto"/>
          <w:sz w:val="36"/>
          <w:szCs w:val="36"/>
          <w:highlight w:val="none"/>
        </w:rPr>
      </w:pPr>
    </w:p>
    <w:p w14:paraId="1D729E52">
      <w:pPr>
        <w:adjustRightInd w:val="0"/>
        <w:snapToGrid w:val="0"/>
        <w:spacing w:line="288" w:lineRule="auto"/>
        <w:rPr>
          <w:rFonts w:hint="default" w:ascii="Times New Roman" w:hAnsi="Times New Roman" w:eastAsia="仿宋_GB2312" w:cs="Times New Roman"/>
          <w:color w:val="auto"/>
          <w:sz w:val="36"/>
          <w:szCs w:val="36"/>
          <w:highlight w:val="none"/>
        </w:rPr>
      </w:pPr>
    </w:p>
    <w:p w14:paraId="593E691B">
      <w:pPr>
        <w:spacing w:after="240" w:afterLines="100" w:line="360" w:lineRule="auto"/>
        <w:jc w:val="center"/>
        <w:rPr>
          <w:rFonts w:hint="default" w:ascii="Times New Roman" w:hAnsi="Times New Roman" w:eastAsia="楷体_GB2312" w:cs="Times New Roman"/>
          <w:color w:val="auto"/>
          <w:sz w:val="32"/>
          <w:szCs w:val="32"/>
          <w:highlight w:val="none"/>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default" w:ascii="Times New Roman" w:hAnsi="Times New Roman" w:eastAsia="楷体_GB2312" w:cs="Times New Roman"/>
          <w:color w:val="auto"/>
          <w:sz w:val="32"/>
          <w:szCs w:val="32"/>
          <w:highlight w:val="none"/>
        </w:rPr>
        <w:t>中华人民共和国生态环境部制</w:t>
      </w:r>
    </w:p>
    <w:p w14:paraId="44787808">
      <w:pPr>
        <w:pStyle w:val="29"/>
        <w:spacing w:before="0" w:beforeAutospacing="0" w:after="0" w:afterAutospacing="0" w:line="240" w:lineRule="auto"/>
        <w:jc w:val="center"/>
        <w:outlineLvl w:val="0"/>
        <w:rPr>
          <w:rFonts w:hint="default" w:ascii="Times New Roman" w:hAnsi="Times New Roman" w:eastAsia="黑体" w:cs="Times New Roman"/>
          <w:b/>
          <w:bCs/>
          <w:snapToGrid w:val="0"/>
          <w:color w:val="auto"/>
          <w:sz w:val="30"/>
          <w:szCs w:val="30"/>
          <w:highlight w:val="none"/>
        </w:rPr>
        <w:sectPr>
          <w:footerReference r:id="rId4" w:type="default"/>
          <w:pgSz w:w="11905" w:h="16838"/>
          <w:pgMar w:top="1417" w:right="1417" w:bottom="1417" w:left="1417" w:header="850" w:footer="1077" w:gutter="0"/>
          <w:pgBorders>
            <w:top w:val="none" w:sz="0" w:space="0"/>
            <w:left w:val="none" w:sz="0" w:space="0"/>
            <w:bottom w:val="none" w:sz="0" w:space="0"/>
            <w:right w:val="none" w:sz="0" w:space="0"/>
          </w:pgBorders>
          <w:pgNumType w:fmt="decimal" w:start="1"/>
          <w:cols w:space="720" w:num="1"/>
          <w:rtlGutter w:val="0"/>
          <w:docGrid w:linePitch="312" w:charSpace="0"/>
        </w:sectPr>
      </w:pPr>
    </w:p>
    <w:p w14:paraId="551CE3D9">
      <w:pPr>
        <w:pStyle w:val="29"/>
        <w:spacing w:before="0" w:beforeAutospacing="0" w:after="0" w:afterAutospacing="0" w:line="240" w:lineRule="auto"/>
        <w:jc w:val="center"/>
        <w:outlineLvl w:val="0"/>
        <w:rPr>
          <w:rFonts w:hint="default" w:ascii="Times New Roman" w:hAnsi="Times New Roman" w:eastAsia="黑体" w:cs="Times New Roman"/>
          <w:b/>
          <w:bCs/>
          <w:snapToGrid w:val="0"/>
          <w:color w:val="auto"/>
          <w:sz w:val="30"/>
          <w:szCs w:val="30"/>
          <w:highlight w:val="none"/>
        </w:rPr>
      </w:pPr>
      <w:bookmarkStart w:id="17" w:name="_Toc13929"/>
      <w:bookmarkStart w:id="18" w:name="_Toc3328"/>
      <w:bookmarkStart w:id="19" w:name="_Toc19588"/>
      <w:r>
        <w:rPr>
          <w:rFonts w:hint="default" w:ascii="Times New Roman" w:hAnsi="Times New Roman" w:eastAsia="黑体" w:cs="Times New Roman"/>
          <w:b/>
          <w:bCs/>
          <w:snapToGrid w:val="0"/>
          <w:color w:val="auto"/>
          <w:sz w:val="30"/>
          <w:szCs w:val="30"/>
          <w:highlight w:val="none"/>
        </w:rPr>
        <w:t>一、建设项目基本情况</w:t>
      </w:r>
      <w:bookmarkEnd w:id="7"/>
      <w:bookmarkEnd w:id="8"/>
      <w:bookmarkEnd w:id="9"/>
      <w:bookmarkEnd w:id="10"/>
      <w:bookmarkEnd w:id="11"/>
      <w:bookmarkEnd w:id="12"/>
      <w:bookmarkEnd w:id="13"/>
      <w:bookmarkEnd w:id="14"/>
      <w:bookmarkEnd w:id="15"/>
      <w:bookmarkEnd w:id="17"/>
      <w:bookmarkEnd w:id="18"/>
      <w:bookmarkEnd w:id="19"/>
    </w:p>
    <w:tbl>
      <w:tblPr>
        <w:tblStyle w:val="31"/>
        <w:tblW w:w="920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05"/>
        <w:gridCol w:w="2201"/>
        <w:gridCol w:w="2355"/>
        <w:gridCol w:w="2846"/>
      </w:tblGrid>
      <w:tr w14:paraId="5B03F1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05" w:type="dxa"/>
            <w:noWrap w:val="0"/>
            <w:tcMar>
              <w:top w:w="16" w:type="dxa"/>
              <w:left w:w="16" w:type="dxa"/>
              <w:right w:w="16" w:type="dxa"/>
            </w:tcMar>
            <w:vAlign w:val="center"/>
          </w:tcPr>
          <w:p w14:paraId="7105A80F">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建设项目名称</w:t>
            </w:r>
          </w:p>
        </w:tc>
        <w:tc>
          <w:tcPr>
            <w:tcW w:w="7402" w:type="dxa"/>
            <w:gridSpan w:val="3"/>
            <w:noWrap w:val="0"/>
            <w:vAlign w:val="center"/>
          </w:tcPr>
          <w:p w14:paraId="7A30FE5C">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宁夏固原华电彭阳200兆瓦风电项目110千伏送出工程</w:t>
            </w:r>
          </w:p>
        </w:tc>
      </w:tr>
      <w:tr w14:paraId="3B6E96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584B1DF0">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项目代码</w:t>
            </w:r>
          </w:p>
        </w:tc>
        <w:tc>
          <w:tcPr>
            <w:tcW w:w="7402" w:type="dxa"/>
            <w:gridSpan w:val="3"/>
            <w:noWrap w:val="0"/>
            <w:vAlign w:val="center"/>
          </w:tcPr>
          <w:p w14:paraId="58637303">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250</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lang w:eastAsia="zh-CN"/>
              </w:rPr>
              <w:t>-640</w:t>
            </w:r>
            <w:r>
              <w:rPr>
                <w:rFonts w:hint="default" w:ascii="Times New Roman" w:hAnsi="Times New Roman" w:eastAsia="宋体" w:cs="Times New Roman"/>
                <w:color w:val="auto"/>
                <w:sz w:val="24"/>
                <w:highlight w:val="none"/>
                <w:lang w:val="en-US" w:eastAsia="zh-CN"/>
              </w:rPr>
              <w:t>40</w:t>
            </w:r>
            <w:r>
              <w:rPr>
                <w:rFonts w:hint="default" w:ascii="Times New Roman" w:hAnsi="Times New Roman" w:eastAsia="宋体" w:cs="Times New Roman"/>
                <w:color w:val="auto"/>
                <w:sz w:val="24"/>
                <w:highlight w:val="none"/>
                <w:lang w:eastAsia="zh-CN"/>
              </w:rPr>
              <w:t>0-04-01-</w:t>
            </w:r>
            <w:r>
              <w:rPr>
                <w:rFonts w:hint="default" w:ascii="Times New Roman" w:hAnsi="Times New Roman" w:eastAsia="宋体" w:cs="Times New Roman"/>
                <w:color w:val="auto"/>
                <w:sz w:val="24"/>
                <w:highlight w:val="none"/>
                <w:lang w:val="en-US" w:eastAsia="zh-CN"/>
              </w:rPr>
              <w:t>128075</w:t>
            </w:r>
          </w:p>
        </w:tc>
      </w:tr>
      <w:tr w14:paraId="398F1F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44B885B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建设单位联系人</w:t>
            </w:r>
          </w:p>
        </w:tc>
        <w:tc>
          <w:tcPr>
            <w:tcW w:w="2201" w:type="dxa"/>
            <w:noWrap w:val="0"/>
            <w:vAlign w:val="center"/>
          </w:tcPr>
          <w:p w14:paraId="6D01D1CC">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val="en-US" w:eastAsia="zh-CN"/>
              </w:rPr>
              <w:t>刘金崇</w:t>
            </w:r>
          </w:p>
        </w:tc>
        <w:tc>
          <w:tcPr>
            <w:tcW w:w="2355" w:type="dxa"/>
            <w:noWrap w:val="0"/>
            <w:vAlign w:val="center"/>
          </w:tcPr>
          <w:p w14:paraId="6F69CBB9">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联系方式</w:t>
            </w:r>
          </w:p>
        </w:tc>
        <w:tc>
          <w:tcPr>
            <w:tcW w:w="2846" w:type="dxa"/>
            <w:noWrap w:val="0"/>
            <w:vAlign w:val="center"/>
          </w:tcPr>
          <w:p w14:paraId="4712FC94">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1</w:t>
            </w:r>
            <w:r>
              <w:rPr>
                <w:rFonts w:hint="default" w:ascii="Times New Roman" w:hAnsi="Times New Roman" w:cs="Times New Roman"/>
                <w:color w:val="auto"/>
                <w:sz w:val="24"/>
                <w:highlight w:val="none"/>
                <w:lang w:val="en-US" w:eastAsia="zh-CN"/>
              </w:rPr>
              <w:t>52009642977</w:t>
            </w:r>
          </w:p>
        </w:tc>
      </w:tr>
      <w:tr w14:paraId="7EF82D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05" w:type="dxa"/>
            <w:noWrap w:val="0"/>
            <w:tcMar>
              <w:top w:w="16" w:type="dxa"/>
              <w:left w:w="16" w:type="dxa"/>
              <w:right w:w="16" w:type="dxa"/>
            </w:tcMar>
            <w:vAlign w:val="center"/>
          </w:tcPr>
          <w:p w14:paraId="38487AC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建设地点</w:t>
            </w:r>
          </w:p>
        </w:tc>
        <w:tc>
          <w:tcPr>
            <w:tcW w:w="7402" w:type="dxa"/>
            <w:gridSpan w:val="3"/>
            <w:noWrap w:val="0"/>
            <w:vAlign w:val="center"/>
          </w:tcPr>
          <w:p w14:paraId="57667D02">
            <w:pPr>
              <w:pStyle w:val="53"/>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bCs/>
                <w:color w:val="auto"/>
                <w:szCs w:val="21"/>
                <w:highlight w:val="none"/>
                <w:lang w:eastAsia="zh-CN"/>
              </w:rPr>
              <w:t>宁夏回族自治区</w:t>
            </w:r>
            <w:r>
              <w:rPr>
                <w:rFonts w:hint="default" w:ascii="Times New Roman" w:hAnsi="Times New Roman" w:cs="Times New Roman"/>
                <w:bCs/>
                <w:color w:val="auto"/>
                <w:szCs w:val="21"/>
                <w:highlight w:val="none"/>
                <w:lang w:val="en-US" w:eastAsia="zh-CN"/>
              </w:rPr>
              <w:t>固原市原州区、彭阳县</w:t>
            </w:r>
          </w:p>
        </w:tc>
      </w:tr>
      <w:tr w14:paraId="57D2FA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7B422D64">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地理坐标</w:t>
            </w:r>
          </w:p>
        </w:tc>
        <w:tc>
          <w:tcPr>
            <w:tcW w:w="7402" w:type="dxa"/>
            <w:gridSpan w:val="3"/>
            <w:noWrap w:val="0"/>
            <w:vAlign w:val="center"/>
          </w:tcPr>
          <w:p w14:paraId="2E385838">
            <w:pPr>
              <w:adjustRightInd w:val="0"/>
              <w:snapToGrid w:val="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⑴间隔扩建工程：云雾山330千伏变电站站址中心坐标：</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eastAsia="zh-CN"/>
              </w:rPr>
              <w:t>106度</w:t>
            </w:r>
            <w:r>
              <w:rPr>
                <w:rFonts w:hint="default" w:ascii="Times New Roman" w:hAnsi="Times New Roman" w:cs="Times New Roman"/>
                <w:color w:val="auto"/>
                <w:sz w:val="24"/>
                <w:highlight w:val="none"/>
                <w:u w:val="none"/>
                <w:lang w:val="en-US" w:eastAsia="zh-CN"/>
              </w:rPr>
              <w:t>28</w:t>
            </w:r>
            <w:r>
              <w:rPr>
                <w:rFonts w:hint="default" w:ascii="Times New Roman" w:hAnsi="Times New Roman"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15.000</w:t>
            </w:r>
            <w:r>
              <w:rPr>
                <w:rFonts w:hint="default" w:ascii="Times New Roman" w:hAnsi="Times New Roman" w:cs="Times New Roman"/>
                <w:color w:val="auto"/>
                <w:sz w:val="24"/>
                <w:highlight w:val="none"/>
                <w:u w:val="none"/>
                <w:lang w:eastAsia="zh-CN"/>
              </w:rPr>
              <w:t>秒</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eastAsia="zh-CN"/>
              </w:rPr>
              <w:t>3</w:t>
            </w:r>
            <w:r>
              <w:rPr>
                <w:rFonts w:hint="default" w:ascii="Times New Roman" w:hAnsi="Times New Roman" w:cs="Times New Roman"/>
                <w:color w:val="auto"/>
                <w:sz w:val="24"/>
                <w:highlight w:val="none"/>
                <w:u w:val="none"/>
                <w:lang w:val="en-US" w:eastAsia="zh-CN"/>
              </w:rPr>
              <w:t>6</w:t>
            </w:r>
            <w:r>
              <w:rPr>
                <w:rFonts w:hint="default" w:ascii="Times New Roman" w:hAnsi="Times New Roman" w:cs="Times New Roman"/>
                <w:color w:val="auto"/>
                <w:sz w:val="24"/>
                <w:highlight w:val="none"/>
                <w:u w:val="none"/>
                <w:lang w:eastAsia="zh-CN"/>
              </w:rPr>
              <w:t>度</w:t>
            </w:r>
            <w:r>
              <w:rPr>
                <w:rFonts w:hint="default" w:ascii="Times New Roman" w:hAnsi="Times New Roman" w:cs="Times New Roman"/>
                <w:color w:val="auto"/>
                <w:sz w:val="24"/>
                <w:highlight w:val="none"/>
                <w:u w:val="none"/>
                <w:lang w:val="en-US" w:eastAsia="zh-CN"/>
              </w:rPr>
              <w:t>0</w:t>
            </w:r>
            <w:r>
              <w:rPr>
                <w:rFonts w:hint="default" w:ascii="Times New Roman" w:hAnsi="Times New Roman"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8.690</w:t>
            </w:r>
            <w:r>
              <w:rPr>
                <w:rFonts w:hint="default" w:ascii="Times New Roman" w:hAnsi="Times New Roman" w:cs="Times New Roman"/>
                <w:color w:val="auto"/>
                <w:sz w:val="24"/>
                <w:highlight w:val="none"/>
                <w:u w:val="none"/>
                <w:lang w:eastAsia="zh-CN"/>
              </w:rPr>
              <w:t>秒</w:t>
            </w:r>
            <w:r>
              <w:rPr>
                <w:rFonts w:hint="default" w:ascii="Times New Roman" w:hAnsi="Times New Roman" w:eastAsia="宋体" w:cs="Times New Roman"/>
                <w:color w:val="auto"/>
                <w:sz w:val="24"/>
                <w:highlight w:val="none"/>
                <w:u w:val="none"/>
                <w:lang w:val="en-US" w:eastAsia="zh-CN"/>
              </w:rPr>
              <w:t>）</w:t>
            </w:r>
          </w:p>
          <w:p w14:paraId="409A1B2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⑵</w:t>
            </w:r>
            <w:r>
              <w:rPr>
                <w:rFonts w:hint="eastAsia" w:cs="Times New Roman"/>
                <w:color w:val="auto"/>
                <w:sz w:val="24"/>
                <w:highlight w:val="none"/>
                <w:lang w:val="en-US" w:eastAsia="zh-CN"/>
              </w:rPr>
              <w:t>新建</w:t>
            </w:r>
            <w:r>
              <w:rPr>
                <w:rFonts w:hint="default" w:ascii="Times New Roman" w:hAnsi="Times New Roman" w:cs="Times New Roman"/>
                <w:color w:val="auto"/>
                <w:sz w:val="24"/>
                <w:highlight w:val="none"/>
                <w:lang w:val="en-US" w:eastAsia="zh-CN"/>
              </w:rPr>
              <w:t>输电线路工程：</w:t>
            </w:r>
            <w:r>
              <w:rPr>
                <w:rFonts w:hint="default" w:ascii="Times New Roman" w:hAnsi="Times New Roman" w:cs="Times New Roman"/>
                <w:color w:val="auto"/>
                <w:sz w:val="24"/>
                <w:highlight w:val="none"/>
              </w:rPr>
              <w:t>起</w:t>
            </w:r>
            <w:r>
              <w:rPr>
                <w:rFonts w:hint="default" w:ascii="Times New Roman" w:hAnsi="Times New Roman" w:eastAsia="宋体" w:cs="Times New Roman"/>
                <w:color w:val="auto"/>
                <w:sz w:val="24"/>
                <w:highlight w:val="none"/>
                <w:lang w:val="en-US" w:eastAsia="zh-CN"/>
              </w:rPr>
              <w:t>点为</w:t>
            </w:r>
            <w:r>
              <w:rPr>
                <w:rFonts w:hint="default" w:ascii="Times New Roman" w:hAnsi="Times New Roman" w:cs="Times New Roman"/>
                <w:color w:val="auto"/>
                <w:sz w:val="24"/>
                <w:highlight w:val="none"/>
                <w:u w:val="none"/>
                <w:lang w:val="en-US" w:eastAsia="zh-CN"/>
              </w:rPr>
              <w:t>拟建华电彭阳200兆瓦风电项目110</w:t>
            </w:r>
            <w:r>
              <w:rPr>
                <w:rFonts w:hint="default" w:ascii="Times New Roman" w:hAnsi="Times New Roman" w:cs="Times New Roman"/>
                <w:color w:val="auto"/>
                <w:sz w:val="24"/>
                <w:highlight w:val="none"/>
                <w:lang w:val="en-US" w:eastAsia="zh-CN"/>
              </w:rPr>
              <w:t>千伏</w:t>
            </w:r>
            <w:r>
              <w:rPr>
                <w:rFonts w:hint="default" w:ascii="Times New Roman" w:hAnsi="Times New Roman" w:cs="Times New Roman"/>
                <w:color w:val="auto"/>
                <w:sz w:val="24"/>
                <w:highlight w:val="none"/>
                <w:u w:val="none"/>
                <w:lang w:val="en-US" w:eastAsia="zh-CN"/>
              </w:rPr>
              <w:t>升压站</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eastAsia="zh-CN"/>
              </w:rPr>
              <w:t>106度</w:t>
            </w:r>
            <w:r>
              <w:rPr>
                <w:rFonts w:hint="default" w:ascii="Times New Roman" w:hAnsi="Times New Roman" w:cs="Times New Roman"/>
                <w:color w:val="auto"/>
                <w:sz w:val="24"/>
                <w:highlight w:val="none"/>
                <w:u w:val="none"/>
                <w:lang w:val="en-US" w:eastAsia="zh-CN"/>
              </w:rPr>
              <w:t>32</w:t>
            </w:r>
            <w:r>
              <w:rPr>
                <w:rFonts w:hint="default" w:ascii="Times New Roman" w:hAnsi="Times New Roman"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53.301</w:t>
            </w:r>
            <w:r>
              <w:rPr>
                <w:rFonts w:hint="default" w:ascii="Times New Roman" w:hAnsi="Times New Roman" w:cs="Times New Roman"/>
                <w:color w:val="auto"/>
                <w:sz w:val="24"/>
                <w:highlight w:val="none"/>
                <w:u w:val="none"/>
                <w:lang w:eastAsia="zh-CN"/>
              </w:rPr>
              <w:t>秒</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eastAsia="zh-CN"/>
              </w:rPr>
              <w:t>3</w:t>
            </w:r>
            <w:r>
              <w:rPr>
                <w:rFonts w:hint="default" w:ascii="Times New Roman" w:hAnsi="Times New Roman" w:cs="Times New Roman"/>
                <w:color w:val="auto"/>
                <w:sz w:val="24"/>
                <w:highlight w:val="none"/>
                <w:u w:val="none"/>
                <w:lang w:val="en-US" w:eastAsia="zh-CN"/>
              </w:rPr>
              <w:t>6</w:t>
            </w:r>
            <w:r>
              <w:rPr>
                <w:rFonts w:hint="default" w:ascii="Times New Roman" w:hAnsi="Times New Roman" w:cs="Times New Roman"/>
                <w:color w:val="auto"/>
                <w:sz w:val="24"/>
                <w:highlight w:val="none"/>
                <w:u w:val="none"/>
                <w:lang w:eastAsia="zh-CN"/>
              </w:rPr>
              <w:t>度1</w:t>
            </w:r>
            <w:r>
              <w:rPr>
                <w:rFonts w:hint="default" w:ascii="Times New Roman" w:hAnsi="Times New Roman" w:cs="Times New Roman"/>
                <w:color w:val="auto"/>
                <w:sz w:val="24"/>
                <w:highlight w:val="none"/>
                <w:u w:val="none"/>
                <w:lang w:val="en-US" w:eastAsia="zh-CN"/>
              </w:rPr>
              <w:t>2</w:t>
            </w:r>
            <w:r>
              <w:rPr>
                <w:rFonts w:hint="default" w:ascii="Times New Roman" w:hAnsi="Times New Roman"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8.925</w:t>
            </w:r>
            <w:r>
              <w:rPr>
                <w:rFonts w:hint="default" w:ascii="Times New Roman" w:hAnsi="Times New Roman" w:cs="Times New Roman"/>
                <w:color w:val="auto"/>
                <w:sz w:val="24"/>
                <w:highlight w:val="none"/>
                <w:u w:val="none"/>
                <w:lang w:eastAsia="zh-CN"/>
              </w:rPr>
              <w:t>秒</w:t>
            </w:r>
            <w:r>
              <w:rPr>
                <w:rFonts w:hint="default"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lang w:val="en-US" w:eastAsia="zh-CN"/>
              </w:rPr>
              <w:t>，终</w:t>
            </w:r>
            <w:r>
              <w:rPr>
                <w:rFonts w:hint="default" w:ascii="Times New Roman" w:hAnsi="Times New Roman" w:cs="Times New Roman"/>
                <w:color w:val="auto"/>
                <w:sz w:val="24"/>
                <w:highlight w:val="none"/>
              </w:rPr>
              <w:t>点</w:t>
            </w:r>
            <w:r>
              <w:rPr>
                <w:rFonts w:hint="default" w:ascii="Times New Roman" w:hAnsi="Times New Roman" w:eastAsia="宋体" w:cs="Times New Roman"/>
                <w:color w:val="auto"/>
                <w:sz w:val="24"/>
                <w:highlight w:val="none"/>
                <w:lang w:val="en-US" w:eastAsia="zh-CN"/>
              </w:rPr>
              <w:t>为在建云雾山330千伏变电站110</w:t>
            </w:r>
            <w:r>
              <w:rPr>
                <w:rFonts w:hint="default" w:ascii="Times New Roman" w:hAnsi="Times New Roman" w:cs="Times New Roman"/>
                <w:color w:val="auto"/>
                <w:sz w:val="24"/>
                <w:highlight w:val="none"/>
                <w:lang w:val="en-US" w:eastAsia="zh-CN"/>
              </w:rPr>
              <w:t>千伏</w:t>
            </w:r>
            <w:r>
              <w:rPr>
                <w:rFonts w:hint="default" w:ascii="Times New Roman" w:hAnsi="Times New Roman" w:eastAsia="宋体" w:cs="Times New Roman"/>
                <w:color w:val="auto"/>
                <w:sz w:val="24"/>
                <w:highlight w:val="none"/>
                <w:lang w:val="en-US" w:eastAsia="zh-CN"/>
              </w:rPr>
              <w:t>侧架构西起第19个间隔（106度28分19.446秒，36度0分9.599秒）</w:t>
            </w:r>
          </w:p>
          <w:p w14:paraId="19C32DE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szCs w:val="24"/>
                <w:highlight w:val="none"/>
                <w:lang w:val="en-US" w:eastAsia="zh-CN"/>
              </w:rPr>
              <w:t>⑶抬高改造工程</w:t>
            </w:r>
            <w:r>
              <w:rPr>
                <w:rFonts w:hint="eastAsia" w:cs="Times New Roman"/>
                <w:color w:val="auto"/>
                <w:sz w:val="24"/>
                <w:szCs w:val="24"/>
                <w:highlight w:val="none"/>
                <w:lang w:val="en-US" w:eastAsia="zh-CN"/>
              </w:rPr>
              <w:t>：110千伏清</w:t>
            </w:r>
            <w:r>
              <w:rPr>
                <w:rFonts w:hint="default" w:ascii="Times New Roman" w:hAnsi="Times New Roman" w:cs="Times New Roman"/>
                <w:color w:val="auto"/>
                <w:sz w:val="24"/>
                <w:szCs w:val="24"/>
                <w:highlight w:val="none"/>
                <w:lang w:val="en-US" w:eastAsia="zh-CN"/>
              </w:rPr>
              <w:t>李Ⅰ线117#、118#直线塔抬高改造线路，其起点117#杆塔坐标为106度31分25.467秒，36度09分44.409秒，终点118#杆塔坐标为106度31分33.770秒，36度09分40.584秒；110千伏至李线96#、97#直线塔抬高改造线路，其起点96#杆塔坐标为106度31分28.435秒，36度09分47.983秒，终点97#杆塔坐标为106度31分35.528秒，36度09分44.851秒。</w:t>
            </w:r>
          </w:p>
        </w:tc>
      </w:tr>
      <w:tr w14:paraId="608870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3F1C233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建设项目行业类别</w:t>
            </w:r>
          </w:p>
        </w:tc>
        <w:tc>
          <w:tcPr>
            <w:tcW w:w="2201" w:type="dxa"/>
            <w:noWrap w:val="0"/>
            <w:vAlign w:val="center"/>
          </w:tcPr>
          <w:p w14:paraId="67901E58">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五十五、核与辐射：161输变电工程</w:t>
            </w:r>
          </w:p>
        </w:tc>
        <w:tc>
          <w:tcPr>
            <w:tcW w:w="2355" w:type="dxa"/>
            <w:noWrap w:val="0"/>
            <w:vAlign w:val="center"/>
          </w:tcPr>
          <w:p w14:paraId="6E242015">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用地（用海）面积</w:t>
            </w:r>
          </w:p>
          <w:p w14:paraId="6A0A12C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）/长度（km）</w:t>
            </w:r>
          </w:p>
        </w:tc>
        <w:tc>
          <w:tcPr>
            <w:tcW w:w="2846" w:type="dxa"/>
            <w:noWrap w:val="0"/>
            <w:vAlign w:val="center"/>
          </w:tcPr>
          <w:p w14:paraId="7BDE9B5C">
            <w:pPr>
              <w:adjustRightInd w:val="0"/>
              <w:snapToGrid w:val="0"/>
              <w:jc w:val="both"/>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val="en-US" w:eastAsia="zh-CN"/>
              </w:rPr>
              <w:t>7.551</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（包括永久</w:t>
            </w:r>
            <w:r>
              <w:rPr>
                <w:rFonts w:hint="default" w:ascii="Times New Roman" w:hAnsi="Times New Roman" w:cs="Times New Roman"/>
                <w:color w:val="auto"/>
                <w:sz w:val="24"/>
                <w:highlight w:val="none"/>
                <w:lang w:val="en-US" w:eastAsia="zh-CN"/>
              </w:rPr>
              <w:t>用地0.3003</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及临时</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地</w:t>
            </w:r>
            <w:r>
              <w:rPr>
                <w:rFonts w:hint="default" w:ascii="Times New Roman" w:hAnsi="Times New Roman" w:cs="Times New Roman"/>
                <w:color w:val="auto"/>
                <w:sz w:val="24"/>
                <w:highlight w:val="none"/>
                <w:lang w:val="en-US" w:eastAsia="zh-CN"/>
              </w:rPr>
              <w:t>7.2507</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总</w:t>
            </w:r>
            <w:r>
              <w:rPr>
                <w:rFonts w:hint="default" w:ascii="Times New Roman" w:hAnsi="Times New Roman" w:cs="Times New Roman"/>
                <w:color w:val="auto"/>
                <w:sz w:val="24"/>
                <w:highlight w:val="none"/>
              </w:rPr>
              <w:t>长度</w:t>
            </w:r>
            <w:r>
              <w:rPr>
                <w:rFonts w:hint="default" w:ascii="Times New Roman" w:hAnsi="Times New Roman" w:cs="Times New Roman"/>
                <w:color w:val="auto"/>
                <w:sz w:val="24"/>
                <w:highlight w:val="none"/>
                <w:lang w:val="en-US" w:eastAsia="zh-CN"/>
              </w:rPr>
              <w:t>24.2</w:t>
            </w:r>
            <w:r>
              <w:rPr>
                <w:rFonts w:hint="default" w:ascii="Times New Roman" w:hAnsi="Times New Roman" w:cs="Times New Roman"/>
                <w:color w:val="auto"/>
                <w:sz w:val="24"/>
                <w:highlight w:val="none"/>
                <w:lang w:eastAsia="zh-CN"/>
              </w:rPr>
              <w:t>km</w:t>
            </w:r>
          </w:p>
        </w:tc>
      </w:tr>
      <w:tr w14:paraId="27730E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06D9F459">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建设性质</w:t>
            </w:r>
          </w:p>
        </w:tc>
        <w:tc>
          <w:tcPr>
            <w:tcW w:w="2201" w:type="dxa"/>
            <w:noWrap w:val="0"/>
            <w:vAlign w:val="center"/>
          </w:tcPr>
          <w:p w14:paraId="4851FF26">
            <w:pPr>
              <w:adjustRightInd w:val="0"/>
              <w:snapToGrid w:val="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新建（迁建）</w:t>
            </w:r>
          </w:p>
          <w:p w14:paraId="4E63EE66">
            <w:pPr>
              <w:adjustRightInd w:val="0"/>
              <w:snapToGrid w:val="0"/>
              <w:jc w:val="left"/>
              <w:rPr>
                <w:rFonts w:hint="default" w:ascii="Times New Roman" w:hAnsi="Times New Roman" w:cs="Times New Roman"/>
                <w:color w:val="auto"/>
                <w:sz w:val="24"/>
                <w:highlight w:val="none"/>
              </w:rPr>
            </w:pPr>
            <w:r>
              <w:rPr>
                <w:rFonts w:hint="eastAsia" w:cs="Times New Roman"/>
                <w:color w:val="auto"/>
                <w:sz w:val="24"/>
                <w:highlight w:val="none"/>
                <w:lang w:eastAsia="zh-CN"/>
              </w:rPr>
              <w:t>☑</w:t>
            </w:r>
            <w:r>
              <w:rPr>
                <w:rFonts w:hint="default" w:ascii="Times New Roman" w:hAnsi="Times New Roman" w:cs="Times New Roman"/>
                <w:color w:val="auto"/>
                <w:sz w:val="24"/>
                <w:highlight w:val="none"/>
              </w:rPr>
              <w:t>改建</w:t>
            </w:r>
          </w:p>
          <w:p w14:paraId="6470A629">
            <w:pPr>
              <w:adjustRightInd w:val="0"/>
              <w:snapToGrid w:val="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扩建</w:t>
            </w:r>
          </w:p>
          <w:p w14:paraId="7A8A68B2">
            <w:pPr>
              <w:adjustRightInd w:val="0"/>
              <w:snapToGrid w:val="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技术改造</w:t>
            </w:r>
          </w:p>
        </w:tc>
        <w:tc>
          <w:tcPr>
            <w:tcW w:w="2355" w:type="dxa"/>
            <w:noWrap w:val="0"/>
            <w:vAlign w:val="center"/>
          </w:tcPr>
          <w:p w14:paraId="043D8D13">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w:t>
            </w:r>
          </w:p>
          <w:p w14:paraId="569BBF08">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申报情形</w:t>
            </w:r>
          </w:p>
        </w:tc>
        <w:tc>
          <w:tcPr>
            <w:tcW w:w="2846" w:type="dxa"/>
            <w:noWrap w:val="0"/>
            <w:vAlign w:val="center"/>
          </w:tcPr>
          <w:p w14:paraId="5BD28BBF">
            <w:pPr>
              <w:adjustRightInd w:val="0"/>
              <w:snapToGrid w:val="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首次申报项目</w:t>
            </w:r>
          </w:p>
          <w:p w14:paraId="1110EDCD">
            <w:pPr>
              <w:adjustRightInd w:val="0"/>
              <w:snapToGrid w:val="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不予批准后再次申报项目</w:t>
            </w:r>
          </w:p>
          <w:p w14:paraId="4AFC3515">
            <w:pPr>
              <w:adjustRightInd w:val="0"/>
              <w:snapToGrid w:val="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超五年重新审核项目</w:t>
            </w:r>
          </w:p>
          <w:p w14:paraId="3F20C828">
            <w:pPr>
              <w:adjustRightInd w:val="0"/>
              <w:snapToGrid w:val="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重大变动重新报批项目</w:t>
            </w:r>
          </w:p>
        </w:tc>
      </w:tr>
      <w:tr w14:paraId="518C6A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05" w:type="dxa"/>
            <w:noWrap w:val="0"/>
            <w:tcMar>
              <w:top w:w="16" w:type="dxa"/>
              <w:left w:w="16" w:type="dxa"/>
              <w:right w:w="16" w:type="dxa"/>
            </w:tcMar>
            <w:vAlign w:val="center"/>
          </w:tcPr>
          <w:p w14:paraId="12E1583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7D2BC25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备案）部门（选填）</w:t>
            </w:r>
          </w:p>
        </w:tc>
        <w:tc>
          <w:tcPr>
            <w:tcW w:w="2201" w:type="dxa"/>
            <w:noWrap w:val="0"/>
            <w:vAlign w:val="center"/>
          </w:tcPr>
          <w:p w14:paraId="7435782D">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固原市审批服务管理局</w:t>
            </w:r>
          </w:p>
        </w:tc>
        <w:tc>
          <w:tcPr>
            <w:tcW w:w="2355" w:type="dxa"/>
            <w:noWrap w:val="0"/>
            <w:vAlign w:val="center"/>
          </w:tcPr>
          <w:p w14:paraId="747E3A6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50F342C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备案）文号（选填）</w:t>
            </w:r>
          </w:p>
        </w:tc>
        <w:tc>
          <w:tcPr>
            <w:tcW w:w="2846" w:type="dxa"/>
            <w:noWrap w:val="0"/>
            <w:vAlign w:val="center"/>
          </w:tcPr>
          <w:p w14:paraId="2FD988A6">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eastAsia="zh-CN"/>
              </w:rPr>
              <w:t>固</w:t>
            </w:r>
            <w:r>
              <w:rPr>
                <w:rFonts w:hint="default" w:ascii="Times New Roman" w:hAnsi="Times New Roman" w:eastAsia="宋体" w:cs="Times New Roman"/>
                <w:color w:val="auto"/>
                <w:sz w:val="24"/>
                <w:highlight w:val="none"/>
                <w:lang w:val="en-US" w:eastAsia="zh-CN"/>
              </w:rPr>
              <w:t>审批（投资）〔2025〕</w:t>
            </w:r>
          </w:p>
          <w:p w14:paraId="24C200CE">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56号</w:t>
            </w:r>
          </w:p>
        </w:tc>
      </w:tr>
      <w:tr w14:paraId="3E3BFE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05" w:type="dxa"/>
            <w:noWrap w:val="0"/>
            <w:tcMar>
              <w:top w:w="16" w:type="dxa"/>
              <w:left w:w="16" w:type="dxa"/>
              <w:right w:w="16" w:type="dxa"/>
            </w:tcMar>
            <w:vAlign w:val="center"/>
          </w:tcPr>
          <w:p w14:paraId="6D7C7DB5">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总投资（万元）</w:t>
            </w:r>
          </w:p>
        </w:tc>
        <w:tc>
          <w:tcPr>
            <w:tcW w:w="2201" w:type="dxa"/>
            <w:noWrap w:val="0"/>
            <w:vAlign w:val="center"/>
          </w:tcPr>
          <w:p w14:paraId="01EA0962">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3453</w:t>
            </w:r>
          </w:p>
        </w:tc>
        <w:tc>
          <w:tcPr>
            <w:tcW w:w="2355" w:type="dxa"/>
            <w:noWrap w:val="0"/>
            <w:tcMar>
              <w:top w:w="16" w:type="dxa"/>
              <w:left w:w="16" w:type="dxa"/>
              <w:right w:w="16" w:type="dxa"/>
            </w:tcMar>
            <w:vAlign w:val="center"/>
          </w:tcPr>
          <w:p w14:paraId="3FE81425">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环保投资（万元）</w:t>
            </w:r>
          </w:p>
        </w:tc>
        <w:tc>
          <w:tcPr>
            <w:tcW w:w="2846" w:type="dxa"/>
            <w:noWrap w:val="0"/>
            <w:vAlign w:val="center"/>
          </w:tcPr>
          <w:p w14:paraId="14D623B2">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101</w:t>
            </w:r>
          </w:p>
        </w:tc>
      </w:tr>
      <w:tr w14:paraId="636842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7B6FD7D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环保投资占比（%）</w:t>
            </w:r>
          </w:p>
        </w:tc>
        <w:tc>
          <w:tcPr>
            <w:tcW w:w="2201" w:type="dxa"/>
            <w:noWrap w:val="0"/>
            <w:vAlign w:val="center"/>
          </w:tcPr>
          <w:p w14:paraId="599F0027">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2.92</w:t>
            </w:r>
          </w:p>
        </w:tc>
        <w:tc>
          <w:tcPr>
            <w:tcW w:w="2355" w:type="dxa"/>
            <w:noWrap w:val="0"/>
            <w:tcMar>
              <w:top w:w="16" w:type="dxa"/>
              <w:left w:w="16" w:type="dxa"/>
              <w:right w:w="16" w:type="dxa"/>
            </w:tcMar>
            <w:vAlign w:val="center"/>
          </w:tcPr>
          <w:p w14:paraId="126336BF">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2846" w:type="dxa"/>
            <w:noWrap w:val="0"/>
            <w:vAlign w:val="center"/>
          </w:tcPr>
          <w:p w14:paraId="7C16F1A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13</w:t>
            </w:r>
            <w:r>
              <w:rPr>
                <w:rFonts w:hint="default" w:ascii="Times New Roman" w:hAnsi="Times New Roman" w:cs="Times New Roman"/>
                <w:color w:val="auto"/>
                <w:sz w:val="24"/>
                <w:highlight w:val="none"/>
              </w:rPr>
              <w:t>个月</w:t>
            </w:r>
          </w:p>
        </w:tc>
      </w:tr>
      <w:tr w14:paraId="357A3D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519FD5C7">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是否开工建设</w:t>
            </w:r>
          </w:p>
        </w:tc>
        <w:tc>
          <w:tcPr>
            <w:tcW w:w="7402" w:type="dxa"/>
            <w:gridSpan w:val="3"/>
            <w:noWrap w:val="0"/>
            <w:vAlign w:val="center"/>
          </w:tcPr>
          <w:p w14:paraId="6CDEB660">
            <w:pPr>
              <w:adjustRightInd w:val="0"/>
              <w:snapToGrid w:val="0"/>
              <w:ind w:firstLine="10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否</w:t>
            </w:r>
          </w:p>
          <w:p w14:paraId="54751B8C">
            <w:pPr>
              <w:adjustRightInd w:val="0"/>
              <w:snapToGrid w:val="0"/>
              <w:ind w:firstLine="92"/>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是</w:t>
            </w:r>
          </w:p>
        </w:tc>
      </w:tr>
      <w:tr w14:paraId="66B3E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54F31EC1">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专项评价设置情况</w:t>
            </w:r>
          </w:p>
        </w:tc>
        <w:tc>
          <w:tcPr>
            <w:tcW w:w="7402" w:type="dxa"/>
            <w:gridSpan w:val="3"/>
            <w:noWrap w:val="0"/>
            <w:tcMar>
              <w:top w:w="16" w:type="dxa"/>
              <w:left w:w="16" w:type="dxa"/>
              <w:right w:w="16" w:type="dxa"/>
            </w:tcMar>
            <w:vAlign w:val="center"/>
          </w:tcPr>
          <w:p w14:paraId="60B7545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shd w:val="clear" w:color="auto" w:fill="auto"/>
                <w:lang w:val="en-US" w:eastAsia="zh-CN"/>
              </w:rPr>
            </w:pPr>
            <w:r>
              <w:rPr>
                <w:rFonts w:hint="default" w:ascii="Times New Roman" w:hAnsi="Times New Roman" w:eastAsia="宋体" w:cs="Times New Roman"/>
                <w:color w:val="auto"/>
                <w:kern w:val="0"/>
                <w:sz w:val="24"/>
                <w:szCs w:val="24"/>
                <w:highlight w:val="none"/>
                <w:shd w:val="clear" w:color="auto" w:fill="auto"/>
                <w:lang w:val="en-US" w:eastAsia="zh-CN"/>
              </w:rPr>
              <w:t>1.</w:t>
            </w:r>
            <w:r>
              <w:rPr>
                <w:rFonts w:hint="default" w:ascii="Times New Roman" w:hAnsi="Times New Roman" w:eastAsia="宋体" w:cs="Times New Roman"/>
                <w:color w:val="auto"/>
                <w:kern w:val="0"/>
                <w:sz w:val="24"/>
                <w:szCs w:val="24"/>
                <w:highlight w:val="none"/>
                <w:shd w:val="clear" w:color="auto" w:fill="auto"/>
                <w:lang w:eastAsia="zh-CN"/>
              </w:rPr>
              <w:t>电磁环境影响专题评价，设置理由：</w:t>
            </w:r>
            <w:r>
              <w:rPr>
                <w:rFonts w:hint="default" w:ascii="Times New Roman" w:hAnsi="Times New Roman" w:eastAsia="宋体" w:cs="Times New Roman"/>
                <w:color w:val="auto"/>
                <w:kern w:val="0"/>
                <w:sz w:val="24"/>
                <w:szCs w:val="24"/>
                <w:highlight w:val="none"/>
                <w:shd w:val="clear" w:color="auto" w:fill="auto"/>
                <w:lang w:val="en-US" w:eastAsia="zh-CN"/>
              </w:rPr>
              <w:t>根据《环境影响评价技术导则 输变电》（HJ 24-2020）附录B中“B.2.1专题评价”要求，应设电磁环境影响专题评价。</w:t>
            </w:r>
          </w:p>
          <w:p w14:paraId="268A75B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shd w:val="clear" w:color="auto" w:fill="auto"/>
                <w:lang w:val="en-US" w:eastAsia="zh-CN"/>
              </w:rPr>
            </w:pPr>
            <w:r>
              <w:rPr>
                <w:rFonts w:hint="default" w:ascii="Times New Roman" w:hAnsi="Times New Roman" w:eastAsia="宋体" w:cs="Times New Roman"/>
                <w:color w:val="auto"/>
                <w:kern w:val="0"/>
                <w:sz w:val="24"/>
                <w:szCs w:val="24"/>
                <w:lang w:val="en-US" w:eastAsia="zh-CN" w:bidi="ar"/>
              </w:rPr>
              <w:t>2.生态影响专项评价，设置理由：根据《环境影响评价技术导则 输变</w:t>
            </w:r>
            <w:r>
              <w:rPr>
                <w:rFonts w:hint="default" w:ascii="Times New Roman" w:hAnsi="Times New Roman" w:eastAsia="宋体" w:cs="Times New Roman"/>
                <w:color w:val="auto"/>
                <w:kern w:val="0"/>
                <w:sz w:val="24"/>
                <w:szCs w:val="24"/>
                <w:highlight w:val="none"/>
                <w:shd w:val="clear" w:color="auto" w:fill="auto"/>
                <w:lang w:val="en-US" w:eastAsia="zh-CN"/>
              </w:rPr>
              <w:t>电</w:t>
            </w:r>
            <w:r>
              <w:rPr>
                <w:rFonts w:hint="default" w:ascii="Times New Roman" w:hAnsi="Times New Roman" w:eastAsia="宋体" w:cs="Times New Roman"/>
                <w:color w:val="auto"/>
                <w:kern w:val="0"/>
                <w:sz w:val="24"/>
                <w:szCs w:val="24"/>
                <w:lang w:val="en-US" w:eastAsia="zh-CN" w:bidi="ar"/>
              </w:rPr>
              <w:t>》（HJ24-2020），线路进入生态敏感区时，应设生态专题评价。</w:t>
            </w:r>
          </w:p>
        </w:tc>
      </w:tr>
      <w:tr w14:paraId="1259EC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1D4031AE">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规划情况</w:t>
            </w:r>
          </w:p>
        </w:tc>
        <w:tc>
          <w:tcPr>
            <w:tcW w:w="7402" w:type="dxa"/>
            <w:gridSpan w:val="3"/>
            <w:noWrap w:val="0"/>
            <w:tcMar>
              <w:top w:w="16" w:type="dxa"/>
              <w:left w:w="16" w:type="dxa"/>
              <w:right w:w="16" w:type="dxa"/>
            </w:tcMar>
            <w:vAlign w:val="center"/>
          </w:tcPr>
          <w:p w14:paraId="7C6AD7FE">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无</w:t>
            </w:r>
          </w:p>
        </w:tc>
      </w:tr>
      <w:tr w14:paraId="365FB9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5DA4A645">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规划环境影响评价情况</w:t>
            </w:r>
          </w:p>
        </w:tc>
        <w:tc>
          <w:tcPr>
            <w:tcW w:w="7402" w:type="dxa"/>
            <w:gridSpan w:val="3"/>
            <w:noWrap w:val="0"/>
            <w:tcMar>
              <w:top w:w="16" w:type="dxa"/>
              <w:left w:w="16" w:type="dxa"/>
              <w:right w:w="16" w:type="dxa"/>
            </w:tcMar>
            <w:vAlign w:val="center"/>
          </w:tcPr>
          <w:p w14:paraId="76DFD69A">
            <w:pPr>
              <w:pStyle w:val="13"/>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无</w:t>
            </w:r>
          </w:p>
        </w:tc>
      </w:tr>
      <w:tr w14:paraId="0C4B48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05" w:type="dxa"/>
            <w:noWrap w:val="0"/>
            <w:tcMar>
              <w:top w:w="16" w:type="dxa"/>
              <w:left w:w="16" w:type="dxa"/>
              <w:right w:w="16" w:type="dxa"/>
            </w:tcMar>
            <w:vAlign w:val="center"/>
          </w:tcPr>
          <w:p w14:paraId="08480F26">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规划及</w:t>
            </w:r>
            <w:r>
              <w:rPr>
                <w:rFonts w:hint="default" w:ascii="Times New Roman" w:hAnsi="Times New Roman" w:cs="Times New Roman"/>
                <w:color w:val="auto"/>
                <w:sz w:val="24"/>
                <w:highlight w:val="none"/>
              </w:rPr>
              <w:t>规划环境影响评价</w:t>
            </w:r>
            <w:r>
              <w:rPr>
                <w:rFonts w:hint="default" w:ascii="Times New Roman" w:hAnsi="Times New Roman" w:cs="Times New Roman"/>
                <w:color w:val="auto"/>
                <w:kern w:val="0"/>
                <w:sz w:val="24"/>
                <w:highlight w:val="none"/>
              </w:rPr>
              <w:t>符合性分析</w:t>
            </w:r>
          </w:p>
        </w:tc>
        <w:tc>
          <w:tcPr>
            <w:tcW w:w="7402" w:type="dxa"/>
            <w:gridSpan w:val="3"/>
            <w:noWrap w:val="0"/>
            <w:tcMar>
              <w:top w:w="16" w:type="dxa"/>
              <w:left w:w="16" w:type="dxa"/>
              <w:right w:w="16" w:type="dxa"/>
            </w:tcMar>
            <w:vAlign w:val="center"/>
          </w:tcPr>
          <w:p w14:paraId="701CB055">
            <w:pPr>
              <w:pStyle w:val="13"/>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0" w:firstLineChars="0"/>
              <w:textAlignment w:val="auto"/>
              <w:rPr>
                <w:rFonts w:hint="default" w:ascii="Times New Roman" w:hAnsi="Times New Roman" w:eastAsia="宋体" w:cs="Times New Roman"/>
                <w:color w:val="auto"/>
                <w:kern w:val="2"/>
                <w:sz w:val="24"/>
                <w:szCs w:val="24"/>
                <w:highlight w:val="none"/>
                <w:lang w:val="en-US" w:eastAsia="zh-CN" w:bidi="ar-SA"/>
              </w:rPr>
            </w:pPr>
          </w:p>
        </w:tc>
      </w:tr>
      <w:tr w14:paraId="200C06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805" w:type="dxa"/>
            <w:noWrap w:val="0"/>
            <w:tcMar>
              <w:top w:w="16" w:type="dxa"/>
              <w:left w:w="16" w:type="dxa"/>
              <w:right w:w="16" w:type="dxa"/>
            </w:tcMar>
            <w:vAlign w:val="center"/>
          </w:tcPr>
          <w:p w14:paraId="4E1E38DD">
            <w:pPr>
              <w:autoSpaceDE w:val="0"/>
              <w:autoSpaceDN w:val="0"/>
              <w:adjustRightInd w:val="0"/>
              <w:snapToGrid w:val="0"/>
              <w:jc w:val="center"/>
              <w:rPr>
                <w:rFonts w:hint="default" w:ascii="Times New Roman" w:hAnsi="Times New Roman" w:cs="Times New Roman"/>
                <w:color w:val="auto"/>
                <w:kern w:val="0"/>
                <w:szCs w:val="21"/>
                <w:highlight w:val="none"/>
              </w:rPr>
            </w:pPr>
            <w:bookmarkStart w:id="20" w:name="_Hlk56690880"/>
            <w:r>
              <w:rPr>
                <w:rFonts w:hint="default" w:ascii="Times New Roman" w:hAnsi="Times New Roman" w:cs="Times New Roman"/>
                <w:color w:val="auto"/>
                <w:kern w:val="0"/>
                <w:sz w:val="24"/>
                <w:highlight w:val="none"/>
              </w:rPr>
              <w:t>其他符合性分析</w:t>
            </w:r>
            <w:bookmarkEnd w:id="20"/>
          </w:p>
        </w:tc>
        <w:tc>
          <w:tcPr>
            <w:tcW w:w="7402" w:type="dxa"/>
            <w:gridSpan w:val="3"/>
            <w:noWrap w:val="0"/>
            <w:tcMar>
              <w:top w:w="16" w:type="dxa"/>
              <w:left w:w="16" w:type="dxa"/>
              <w:right w:w="16" w:type="dxa"/>
            </w:tcMar>
            <w:vAlign w:val="center"/>
          </w:tcPr>
          <w:p w14:paraId="54D5DA9C">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
                <w:color w:val="auto"/>
                <w:sz w:val="24"/>
                <w:highlight w:val="none"/>
                <w:lang w:eastAsia="zh-CN"/>
              </w:rPr>
              <w:t>1.</w:t>
            </w:r>
            <w:r>
              <w:rPr>
                <w:rFonts w:hint="default" w:ascii="Times New Roman" w:hAnsi="Times New Roman" w:cs="Times New Roman"/>
                <w:b/>
                <w:color w:val="auto"/>
                <w:sz w:val="24"/>
                <w:highlight w:val="none"/>
              </w:rPr>
              <w:t>产业政策符合性分析</w:t>
            </w:r>
          </w:p>
          <w:p w14:paraId="2FE79755">
            <w:pPr>
              <w:autoSpaceDE w:val="0"/>
              <w:autoSpaceDN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本项目为</w:t>
            </w:r>
            <w:r>
              <w:rPr>
                <w:rFonts w:hint="default" w:ascii="Times New Roman" w:hAnsi="Times New Roman" w:cs="Times New Roman"/>
                <w:color w:val="auto"/>
                <w:sz w:val="24"/>
                <w:highlight w:val="none"/>
                <w:lang w:eastAsia="zh-CN"/>
              </w:rPr>
              <w:t>宁夏固原华电彭阳200兆瓦风电项目110千伏送出工程</w:t>
            </w:r>
            <w:r>
              <w:rPr>
                <w:rFonts w:hint="default" w:ascii="Times New Roman" w:hAnsi="Times New Roman" w:cs="Times New Roman"/>
                <w:bCs/>
                <w:color w:val="auto"/>
                <w:sz w:val="24"/>
                <w:highlight w:val="none"/>
              </w:rPr>
              <w:t>，根据《产业结构调整指导目录（20</w:t>
            </w:r>
            <w:r>
              <w:rPr>
                <w:rFonts w:hint="default" w:ascii="Times New Roman" w:hAnsi="Times New Roman" w:cs="Times New Roman"/>
                <w:bCs/>
                <w:color w:val="auto"/>
                <w:sz w:val="24"/>
                <w:highlight w:val="none"/>
                <w:lang w:val="en-US" w:eastAsia="zh-CN"/>
              </w:rPr>
              <w:t>24</w:t>
            </w:r>
            <w:r>
              <w:rPr>
                <w:rFonts w:hint="default" w:ascii="Times New Roman" w:hAnsi="Times New Roman" w:cs="Times New Roman"/>
                <w:bCs/>
                <w:color w:val="auto"/>
                <w:sz w:val="24"/>
                <w:highlight w:val="none"/>
              </w:rPr>
              <w:t>年本）》，项目属于鼓励类中“四、电力</w:t>
            </w:r>
            <w:r>
              <w:rPr>
                <w:rFonts w:hint="default" w:ascii="Times New Roman" w:hAnsi="Times New Roman" w:cs="Times New Roman"/>
                <w:bCs/>
                <w:color w:val="auto"/>
                <w:sz w:val="24"/>
                <w:highlight w:val="none"/>
                <w:lang w:val="en-US" w:eastAsia="zh-CN"/>
              </w:rPr>
              <w:t xml:space="preserve"> 2.</w:t>
            </w:r>
            <w:r>
              <w:rPr>
                <w:rFonts w:hint="default" w:ascii="Times New Roman" w:hAnsi="Times New Roman" w:cs="Times New Roman"/>
                <w:bCs/>
                <w:color w:val="auto"/>
                <w:sz w:val="24"/>
                <w:highlight w:val="none"/>
              </w:rPr>
              <w:t>电力基础设施建设</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电网改造与建设，</w:t>
            </w:r>
            <w:r>
              <w:rPr>
                <w:rFonts w:hint="default" w:ascii="Times New Roman" w:hAnsi="Times New Roman" w:cs="Times New Roman"/>
                <w:bCs/>
                <w:color w:val="auto"/>
                <w:sz w:val="24"/>
                <w:highlight w:val="none"/>
                <w:lang w:eastAsia="zh-CN"/>
              </w:rPr>
              <w:t>增量配电网建设</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因此，本项目</w:t>
            </w:r>
            <w:r>
              <w:rPr>
                <w:rFonts w:hint="default" w:ascii="Times New Roman" w:hAnsi="Times New Roman" w:cs="Times New Roman"/>
                <w:bCs/>
                <w:color w:val="auto"/>
                <w:sz w:val="24"/>
                <w:highlight w:val="none"/>
              </w:rPr>
              <w:t>符合国家产业政策。</w:t>
            </w:r>
          </w:p>
          <w:p w14:paraId="01437A38">
            <w:pPr>
              <w:autoSpaceDE w:val="0"/>
              <w:autoSpaceDN w:val="0"/>
              <w:adjustRightInd w:val="0"/>
              <w:snapToGrid w:val="0"/>
              <w:spacing w:line="360" w:lineRule="auto"/>
              <w:ind w:firstLine="482" w:firstLineChars="200"/>
              <w:jc w:val="both"/>
              <w:rPr>
                <w:rFonts w:hint="default" w:ascii="Times New Roman" w:hAnsi="Times New Roman" w:eastAsia="宋体" w:cs="Times New Roman"/>
                <w:b/>
                <w:bCs w:val="0"/>
                <w:color w:val="auto"/>
                <w:spacing w:val="0"/>
                <w:kern w:val="0"/>
                <w:position w:val="0"/>
                <w:sz w:val="24"/>
                <w:szCs w:val="18"/>
                <w:highlight w:val="none"/>
                <w:lang w:val="en-US" w:eastAsia="zh-CN" w:bidi="ar-SA"/>
              </w:rPr>
            </w:pPr>
            <w:r>
              <w:rPr>
                <w:rFonts w:hint="default" w:ascii="Times New Roman" w:hAnsi="Times New Roman" w:cs="Times New Roman"/>
                <w:b/>
                <w:bCs w:val="0"/>
                <w:color w:val="auto"/>
                <w:sz w:val="24"/>
                <w:highlight w:val="none"/>
                <w:lang w:val="en-US" w:eastAsia="zh-CN"/>
              </w:rPr>
              <w:t>2.</w:t>
            </w:r>
            <w:r>
              <w:rPr>
                <w:rFonts w:hint="default" w:ascii="Times New Roman" w:hAnsi="Times New Roman" w:eastAsia="宋体" w:cs="Times New Roman"/>
                <w:b/>
                <w:bCs w:val="0"/>
                <w:color w:val="auto"/>
                <w:spacing w:val="0"/>
                <w:kern w:val="0"/>
                <w:position w:val="0"/>
                <w:sz w:val="24"/>
                <w:szCs w:val="18"/>
                <w:highlight w:val="none"/>
                <w:lang w:val="en-US" w:eastAsia="zh-CN" w:bidi="ar-SA"/>
              </w:rPr>
              <w:t>与《西部地区鼓励类产业目录（2025年本）》的符合性分析</w:t>
            </w:r>
          </w:p>
          <w:p w14:paraId="712349E8">
            <w:pPr>
              <w:autoSpaceDE w:val="0"/>
              <w:autoSpaceDN w:val="0"/>
              <w:spacing w:line="360" w:lineRule="auto"/>
              <w:ind w:firstLine="480" w:firstLineChars="200"/>
              <w:rPr>
                <w:rFonts w:hint="default" w:ascii="Times New Roman" w:hAnsi="Times New Roman" w:eastAsia="宋体" w:cs="Times New Roman"/>
                <w:b/>
                <w:bCs w:val="0"/>
                <w:color w:val="auto"/>
                <w:highlight w:val="none"/>
                <w:lang w:val="en-US" w:eastAsia="zh-CN"/>
              </w:rPr>
            </w:pPr>
            <w:r>
              <w:rPr>
                <w:rFonts w:hint="default" w:ascii="Times New Roman" w:hAnsi="Times New Roman" w:eastAsia="宋体" w:cs="Times New Roman"/>
                <w:bCs/>
                <w:color w:val="auto"/>
                <w:spacing w:val="0"/>
                <w:kern w:val="0"/>
                <w:position w:val="0"/>
                <w:sz w:val="24"/>
                <w:szCs w:val="18"/>
                <w:highlight w:val="none"/>
                <w:lang w:val="en-US" w:eastAsia="zh-CN" w:bidi="ar-SA"/>
              </w:rPr>
              <w:t>根据《西部地区鼓励类产业目录（2025年本）》中“宁夏回族自治区 34石油、天然气、电力等能源储备设施和系统建设及运营为鼓励类”。本项目为</w:t>
            </w:r>
            <w:r>
              <w:rPr>
                <w:rFonts w:hint="default" w:ascii="Times New Roman" w:hAnsi="Times New Roman" w:cs="Times New Roman"/>
                <w:color w:val="auto"/>
                <w:sz w:val="24"/>
                <w:highlight w:val="none"/>
                <w:lang w:eastAsia="zh-CN"/>
              </w:rPr>
              <w:t>宁夏固原华电彭阳200兆瓦风电项目110千伏送出工程</w:t>
            </w:r>
            <w:r>
              <w:rPr>
                <w:rFonts w:hint="default" w:ascii="Times New Roman" w:hAnsi="Times New Roman" w:eastAsia="宋体" w:cs="Times New Roman"/>
                <w:bCs/>
                <w:color w:val="auto"/>
                <w:spacing w:val="0"/>
                <w:kern w:val="0"/>
                <w:position w:val="0"/>
                <w:sz w:val="24"/>
                <w:szCs w:val="18"/>
                <w:highlight w:val="none"/>
                <w:lang w:val="en-US" w:eastAsia="zh-CN" w:bidi="ar-SA"/>
              </w:rPr>
              <w:t>，项目的建设可满足</w:t>
            </w:r>
            <w:r>
              <w:rPr>
                <w:rFonts w:hint="default" w:ascii="Times New Roman" w:hAnsi="Times New Roman" w:eastAsia="宋体" w:cs="Times New Roman"/>
                <w:b w:val="0"/>
                <w:bCs w:val="0"/>
                <w:color w:val="auto"/>
                <w:sz w:val="24"/>
                <w:szCs w:val="24"/>
                <w:highlight w:val="none"/>
                <w:shd w:val="clear" w:color="auto" w:fill="auto"/>
                <w:lang w:val="en-US" w:eastAsia="zh-CN"/>
              </w:rPr>
              <w:t>华电彭阳200兆瓦风电项目接入需求，以1回110千伏线路接入云雾山330千伏变电站，项目属于电力基础设施建设</w:t>
            </w:r>
            <w:r>
              <w:rPr>
                <w:rFonts w:hint="default" w:ascii="Times New Roman" w:hAnsi="Times New Roman" w:eastAsia="宋体" w:cs="Times New Roman"/>
                <w:bCs/>
                <w:color w:val="auto"/>
                <w:spacing w:val="0"/>
                <w:kern w:val="0"/>
                <w:position w:val="0"/>
                <w:sz w:val="24"/>
                <w:szCs w:val="18"/>
                <w:highlight w:val="none"/>
                <w:lang w:val="en-US" w:eastAsia="zh-CN" w:bidi="ar-SA"/>
              </w:rPr>
              <w:t>。因此，本项目的建设符合《西部地区鼓励类产业目录（2025年本）》中宁夏回族自治区鼓励产业。</w:t>
            </w:r>
          </w:p>
          <w:p w14:paraId="5B352C4C">
            <w:pPr>
              <w:autoSpaceDE w:val="0"/>
              <w:autoSpaceDN w:val="0"/>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与《宁夏回族自治区生态环境分区管控动态更新成果》符合性分析</w:t>
            </w:r>
          </w:p>
          <w:p w14:paraId="249FD21C">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Cs/>
                <w:color w:val="auto"/>
                <w:sz w:val="24"/>
                <w:highlight w:val="none"/>
              </w:rPr>
              <w:t>根据</w:t>
            </w:r>
            <w:r>
              <w:rPr>
                <w:rFonts w:hint="default" w:ascii="Times New Roman" w:hAnsi="Times New Roman" w:cs="Times New Roman"/>
                <w:bCs/>
                <w:color w:val="auto"/>
                <w:sz w:val="24"/>
                <w:highlight w:val="none"/>
                <w:lang w:val="en-US" w:eastAsia="zh-CN"/>
              </w:rPr>
              <w:t>宁夏回族</w:t>
            </w:r>
            <w:r>
              <w:rPr>
                <w:rFonts w:hint="default" w:ascii="Times New Roman" w:hAnsi="Times New Roman" w:cs="Times New Roman"/>
                <w:b w:val="0"/>
                <w:bCs/>
                <w:color w:val="auto"/>
                <w:sz w:val="24"/>
                <w:highlight w:val="none"/>
                <w:lang w:val="en-US" w:eastAsia="zh-CN"/>
              </w:rPr>
              <w:t>自治区生态环境厅关于发布《宁夏回族自治区生态环境分区管控动态更新成果》的通知</w:t>
            </w:r>
            <w:r>
              <w:rPr>
                <w:rFonts w:hint="default" w:ascii="Times New Roman" w:hAnsi="Times New Roman" w:cs="Times New Roman"/>
                <w:b w:val="0"/>
                <w:bCs/>
                <w:color w:val="auto"/>
                <w:sz w:val="24"/>
                <w:highlight w:val="none"/>
                <w:lang w:eastAsia="zh-CN"/>
              </w:rPr>
              <w:t>（宁环规发〔2024〕3号），本项目</w:t>
            </w:r>
            <w:r>
              <w:rPr>
                <w:rFonts w:hint="default" w:ascii="Times New Roman" w:hAnsi="Times New Roman" w:cs="Times New Roman"/>
                <w:b w:val="0"/>
                <w:bCs/>
                <w:color w:val="auto"/>
                <w:sz w:val="24"/>
                <w:highlight w:val="none"/>
                <w:lang w:val="en-US" w:eastAsia="zh-CN"/>
              </w:rPr>
              <w:t>建设地点</w:t>
            </w:r>
            <w:r>
              <w:rPr>
                <w:rFonts w:hint="default" w:ascii="Times New Roman" w:hAnsi="Times New Roman" w:cs="Times New Roman"/>
                <w:b w:val="0"/>
                <w:bCs/>
                <w:color w:val="auto"/>
                <w:sz w:val="24"/>
                <w:highlight w:val="none"/>
                <w:lang w:eastAsia="zh-CN"/>
              </w:rPr>
              <w:t>位于宁夏回族自治区固原市原州区、彭阳县，所在区域属于</w:t>
            </w:r>
            <w:r>
              <w:rPr>
                <w:rFonts w:hint="default" w:ascii="Times New Roman" w:hAnsi="Times New Roman" w:cs="Times New Roman"/>
                <w:b w:val="0"/>
                <w:bCs/>
                <w:color w:val="auto"/>
                <w:sz w:val="24"/>
                <w:highlight w:val="none"/>
                <w:lang w:val="en-US" w:eastAsia="zh-CN"/>
              </w:rPr>
              <w:t>南部黄土高原区</w:t>
            </w:r>
            <w:r>
              <w:rPr>
                <w:rFonts w:hint="default" w:ascii="Times New Roman" w:hAnsi="Times New Roman" w:cs="Times New Roman"/>
                <w:b w:val="0"/>
                <w:bCs/>
                <w:color w:val="auto"/>
                <w:sz w:val="24"/>
                <w:highlight w:val="none"/>
                <w:lang w:eastAsia="zh-CN"/>
              </w:rPr>
              <w:t>，</w:t>
            </w:r>
            <w:r>
              <w:rPr>
                <w:rFonts w:hint="default" w:ascii="Times New Roman" w:hAnsi="Times New Roman" w:cs="Times New Roman"/>
                <w:b w:val="0"/>
                <w:bCs/>
                <w:color w:val="auto"/>
                <w:sz w:val="24"/>
                <w:highlight w:val="none"/>
                <w:lang w:val="en-US" w:eastAsia="zh-CN"/>
              </w:rPr>
              <w:t>线路涉及宁夏回族自治区生态环境分区管控单元中的优先保护单元和一般管控单元</w:t>
            </w:r>
            <w:r>
              <w:rPr>
                <w:rFonts w:hint="default" w:ascii="Times New Roman" w:hAnsi="Times New Roman" w:cs="Times New Roman"/>
                <w:b w:val="0"/>
                <w:bCs/>
                <w:color w:val="auto"/>
                <w:sz w:val="24"/>
                <w:highlight w:val="none"/>
                <w:lang w:eastAsia="zh-CN"/>
              </w:rPr>
              <w:t>。</w:t>
            </w:r>
            <w:r>
              <w:rPr>
                <w:rFonts w:hint="default" w:ascii="Times New Roman" w:hAnsi="Times New Roman" w:cs="Times New Roman"/>
                <w:b w:val="0"/>
                <w:bCs/>
                <w:color w:val="auto"/>
                <w:sz w:val="24"/>
                <w:highlight w:val="none"/>
                <w:lang w:val="en-US" w:eastAsia="zh-CN"/>
              </w:rPr>
              <w:t>项目与宁夏回族自治区生态环境总体准入要求符合性分析详见表1-1，与宁夏回族自治区环境管控单元分布图的位置关系见附图1-1。</w:t>
            </w:r>
          </w:p>
          <w:p w14:paraId="48D6DD2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lang w:val="en-US"/>
              </w:rPr>
            </w:pPr>
            <w:r>
              <w:rPr>
                <w:rFonts w:hint="default" w:ascii="Times New Roman" w:hAnsi="Times New Roman" w:eastAsia="宋体" w:cs="Times New Roman"/>
                <w:b/>
                <w:bCs/>
                <w:color w:val="auto"/>
                <w:sz w:val="24"/>
                <w:szCs w:val="24"/>
                <w:highlight w:val="none"/>
                <w:lang w:val="en-US"/>
              </w:rPr>
              <w:t>表1-</w:t>
            </w:r>
            <w:r>
              <w:rPr>
                <w:rFonts w:hint="default" w:ascii="Times New Roman" w:hAnsi="Times New Roman" w:eastAsia="宋体" w:cs="Times New Roman"/>
                <w:b/>
                <w:bCs/>
                <w:color w:val="auto"/>
                <w:sz w:val="24"/>
                <w:szCs w:val="24"/>
                <w:highlight w:val="none"/>
                <w:lang w:val="en-US" w:eastAsia="zh-CN"/>
              </w:rPr>
              <w:t xml:space="preserve">1 </w:t>
            </w:r>
            <w:r>
              <w:rPr>
                <w:rFonts w:hint="default" w:ascii="Times New Roman" w:hAnsi="Times New Roman" w:eastAsia="宋体" w:cs="Times New Roman"/>
                <w:b/>
                <w:bCs/>
                <w:color w:val="auto"/>
                <w:sz w:val="24"/>
                <w:szCs w:val="24"/>
                <w:highlight w:val="none"/>
                <w:lang w:val="en-US"/>
              </w:rPr>
              <w:t xml:space="preserve"> 项目与</w:t>
            </w:r>
            <w:r>
              <w:rPr>
                <w:rFonts w:hint="default" w:ascii="Times New Roman" w:hAnsi="Times New Roman" w:eastAsia="宋体" w:cs="Times New Roman"/>
                <w:b/>
                <w:bCs/>
                <w:color w:val="auto"/>
                <w:sz w:val="24"/>
                <w:szCs w:val="24"/>
                <w:highlight w:val="none"/>
                <w:lang w:val="en-US" w:eastAsia="zh-CN"/>
              </w:rPr>
              <w:t>宁夏回族自治区生态环境总体准入要求</w:t>
            </w:r>
            <w:r>
              <w:rPr>
                <w:rFonts w:hint="default" w:ascii="Times New Roman" w:hAnsi="Times New Roman" w:eastAsia="宋体" w:cs="Times New Roman"/>
                <w:b/>
                <w:bCs/>
                <w:color w:val="auto"/>
                <w:sz w:val="24"/>
                <w:szCs w:val="24"/>
                <w:highlight w:val="none"/>
                <w:lang w:val="en-US"/>
              </w:rPr>
              <w:t>符合性分析</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
              <w:gridCol w:w="352"/>
              <w:gridCol w:w="648"/>
              <w:gridCol w:w="4885"/>
              <w:gridCol w:w="770"/>
              <w:gridCol w:w="378"/>
            </w:tblGrid>
            <w:tr w14:paraId="7BB341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0" w:type="dxa"/>
                  <w:tcBorders>
                    <w:tl2br w:val="nil"/>
                    <w:tr2bl w:val="nil"/>
                  </w:tcBorders>
                  <w:noWrap w:val="0"/>
                  <w:vAlign w:val="center"/>
                </w:tcPr>
                <w:p w14:paraId="46EEB831">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片区</w:t>
                  </w:r>
                </w:p>
              </w:tc>
              <w:tc>
                <w:tcPr>
                  <w:tcW w:w="1929" w:type="dxa"/>
                  <w:gridSpan w:val="2"/>
                  <w:tcBorders>
                    <w:tl2br w:val="nil"/>
                    <w:tr2bl w:val="nil"/>
                  </w:tcBorders>
                  <w:noWrap w:val="0"/>
                  <w:vAlign w:val="center"/>
                </w:tcPr>
                <w:p w14:paraId="62CFBEC0">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管控维度</w:t>
                  </w:r>
                </w:p>
              </w:tc>
              <w:tc>
                <w:tcPr>
                  <w:tcW w:w="9427" w:type="dxa"/>
                  <w:tcBorders>
                    <w:tl2br w:val="nil"/>
                    <w:tr2bl w:val="nil"/>
                  </w:tcBorders>
                  <w:noWrap w:val="0"/>
                  <w:vAlign w:val="center"/>
                </w:tcPr>
                <w:p w14:paraId="4DE8C67A">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生态环境准入要求</w:t>
                  </w:r>
                </w:p>
              </w:tc>
              <w:tc>
                <w:tcPr>
                  <w:tcW w:w="1485" w:type="dxa"/>
                  <w:tcBorders>
                    <w:tl2br w:val="nil"/>
                    <w:tr2bl w:val="nil"/>
                  </w:tcBorders>
                  <w:noWrap w:val="0"/>
                  <w:vAlign w:val="center"/>
                </w:tcPr>
                <w:p w14:paraId="3C27D916">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本项目情况</w:t>
                  </w:r>
                </w:p>
              </w:tc>
              <w:tc>
                <w:tcPr>
                  <w:tcW w:w="729" w:type="dxa"/>
                  <w:tcBorders>
                    <w:tl2br w:val="nil"/>
                    <w:tr2bl w:val="nil"/>
                  </w:tcBorders>
                  <w:noWrap w:val="0"/>
                  <w:vAlign w:val="center"/>
                </w:tcPr>
                <w:p w14:paraId="78B90C9B">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是否</w:t>
                  </w:r>
                </w:p>
                <w:p w14:paraId="592B02CB">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符合</w:t>
                  </w:r>
                </w:p>
              </w:tc>
            </w:tr>
            <w:tr w14:paraId="6806BE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0" w:type="dxa"/>
                  <w:vMerge w:val="restart"/>
                  <w:tcBorders>
                    <w:tl2br w:val="nil"/>
                    <w:tr2bl w:val="nil"/>
                  </w:tcBorders>
                  <w:noWrap w:val="0"/>
                  <w:vAlign w:val="center"/>
                </w:tcPr>
                <w:p w14:paraId="17A27838">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南部</w:t>
                  </w:r>
                </w:p>
                <w:p w14:paraId="7B949CD7">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黄土</w:t>
                  </w:r>
                </w:p>
                <w:p w14:paraId="6451255B">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高原</w:t>
                  </w:r>
                </w:p>
                <w:p w14:paraId="0F914A77">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区</w:t>
                  </w:r>
                </w:p>
              </w:tc>
              <w:tc>
                <w:tcPr>
                  <w:tcW w:w="679" w:type="dxa"/>
                  <w:vMerge w:val="restart"/>
                  <w:tcBorders>
                    <w:tl2br w:val="nil"/>
                    <w:tr2bl w:val="nil"/>
                  </w:tcBorders>
                  <w:noWrap w:val="0"/>
                  <w:vAlign w:val="center"/>
                </w:tcPr>
                <w:p w14:paraId="7A0B8BDB">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空间布局约束</w:t>
                  </w:r>
                </w:p>
              </w:tc>
              <w:tc>
                <w:tcPr>
                  <w:tcW w:w="1250" w:type="dxa"/>
                  <w:tcBorders>
                    <w:tl2br w:val="nil"/>
                    <w:tr2bl w:val="nil"/>
                  </w:tcBorders>
                  <w:noWrap w:val="0"/>
                  <w:vAlign w:val="center"/>
                </w:tcPr>
                <w:p w14:paraId="4627C1A4">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禁止开发建设活动的要求</w:t>
                  </w:r>
                </w:p>
              </w:tc>
              <w:tc>
                <w:tcPr>
                  <w:tcW w:w="9427" w:type="dxa"/>
                  <w:tcBorders>
                    <w:tl2br w:val="nil"/>
                    <w:tr2bl w:val="nil"/>
                  </w:tcBorders>
                  <w:noWrap w:val="0"/>
                  <w:vAlign w:val="center"/>
                </w:tcPr>
                <w:p w14:paraId="0C414BB9">
                  <w:pPr>
                    <w:pStyle w:val="13"/>
                    <w:numPr>
                      <w:ilvl w:val="0"/>
                      <w:numId w:val="0"/>
                    </w:numPr>
                    <w:adjustRightInd w:val="0"/>
                    <w:snapToGrid w:val="0"/>
                    <w:spacing w:after="0"/>
                    <w:ind w:leftChars="0"/>
                    <w:jc w:val="both"/>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强化源头水保护，提高六盘山水源涵养能力。</w:t>
                  </w:r>
                </w:p>
                <w:p w14:paraId="695E2F11">
                  <w:pPr>
                    <w:pStyle w:val="13"/>
                    <w:numPr>
                      <w:ilvl w:val="0"/>
                      <w:numId w:val="0"/>
                    </w:numPr>
                    <w:adjustRightInd w:val="0"/>
                    <w:snapToGrid w:val="0"/>
                    <w:spacing w:after="0"/>
                    <w:ind w:leftChars="0"/>
                    <w:jc w:val="both"/>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eastAsia="zh-CN"/>
                    </w:rPr>
                    <w:t>2.</w:t>
                  </w:r>
                  <w:r>
                    <w:rPr>
                      <w:rFonts w:hint="default" w:ascii="Times New Roman" w:hAnsi="Times New Roman" w:cs="Times New Roman"/>
                      <w:color w:val="auto"/>
                      <w:szCs w:val="21"/>
                    </w:rPr>
                    <w:t>严禁乱挖、乱堆、滥采、炸山取石等生产建设活动；加强移民迁出区的生态修复和沟道水土保持林建设。</w:t>
                  </w:r>
                  <w:r>
                    <w:rPr>
                      <w:rFonts w:hint="default" w:ascii="Times New Roman" w:hAnsi="Times New Roman" w:cs="Times New Roman"/>
                      <w:color w:val="auto"/>
                      <w:szCs w:val="21"/>
                    </w:rPr>
                    <w:br w:type="textWrapping"/>
                  </w:r>
                  <w:r>
                    <w:rPr>
                      <w:rFonts w:hint="default" w:ascii="Times New Roman" w:hAnsi="Times New Roman" w:cs="Times New Roman"/>
                      <w:color w:val="auto"/>
                      <w:szCs w:val="21"/>
                      <w:lang w:eastAsia="zh-CN"/>
                    </w:rPr>
                    <w:t>3.</w:t>
                  </w:r>
                  <w:r>
                    <w:rPr>
                      <w:rFonts w:hint="default" w:ascii="Times New Roman" w:hAnsi="Times New Roman" w:cs="Times New Roman"/>
                      <w:color w:val="auto"/>
                      <w:szCs w:val="21"/>
                    </w:rPr>
                    <w:t>禁止在15°以上的坡地开荒种植，禁止在水源涵养地、森林、天然林区、草原植被覆盖度在40%以上和治理程度达70%以上的小流域进行开发建设。禁止毁林毁草开荒，禁止砍伐水源涵养林和水土保持林，禁止擅自占用清水河等河流沿线湿地进行开发建设活动等。</w:t>
                  </w:r>
                  <w:r>
                    <w:rPr>
                      <w:rFonts w:hint="default" w:ascii="Times New Roman" w:hAnsi="Times New Roman" w:cs="Times New Roman"/>
                      <w:color w:val="auto"/>
                      <w:szCs w:val="21"/>
                    </w:rPr>
                    <w:br w:type="textWrapping"/>
                  </w:r>
                  <w:r>
                    <w:rPr>
                      <w:rFonts w:hint="default" w:ascii="Times New Roman" w:hAnsi="Times New Roman" w:cs="Times New Roman"/>
                      <w:color w:val="auto"/>
                      <w:szCs w:val="21"/>
                      <w:lang w:eastAsia="zh-CN"/>
                    </w:rPr>
                    <w:t>4.</w:t>
                  </w:r>
                  <w:r>
                    <w:rPr>
                      <w:rFonts w:hint="default" w:ascii="Times New Roman" w:hAnsi="Times New Roman" w:cs="Times New Roman"/>
                      <w:color w:val="auto"/>
                      <w:szCs w:val="21"/>
                    </w:rPr>
                    <w:t>突出区域生态保护优先定位，严禁高耗能、高排放、低水平项目盲目上马</w:t>
                  </w:r>
                  <w:r>
                    <w:rPr>
                      <w:rFonts w:hint="default" w:ascii="Times New Roman" w:hAnsi="Times New Roman" w:cs="Times New Roman"/>
                      <w:color w:val="auto"/>
                      <w:szCs w:val="21"/>
                      <w:lang w:eastAsia="zh-CN"/>
                    </w:rPr>
                    <w:t>。</w:t>
                  </w:r>
                </w:p>
              </w:tc>
              <w:tc>
                <w:tcPr>
                  <w:tcW w:w="1485" w:type="dxa"/>
                  <w:tcBorders>
                    <w:tl2br w:val="nil"/>
                    <w:tr2bl w:val="nil"/>
                  </w:tcBorders>
                  <w:noWrap w:val="0"/>
                  <w:vAlign w:val="center"/>
                </w:tcPr>
                <w:p w14:paraId="7EA458AC">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不涉及。</w:t>
                  </w:r>
                </w:p>
              </w:tc>
              <w:tc>
                <w:tcPr>
                  <w:tcW w:w="729" w:type="dxa"/>
                  <w:tcBorders>
                    <w:tl2br w:val="nil"/>
                    <w:tr2bl w:val="nil"/>
                  </w:tcBorders>
                  <w:noWrap w:val="0"/>
                  <w:vAlign w:val="center"/>
                </w:tcPr>
                <w:p w14:paraId="53E75B14">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r>
            <w:tr w14:paraId="5AF9E9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0" w:type="dxa"/>
                  <w:vMerge w:val="continue"/>
                  <w:tcBorders>
                    <w:tl2br w:val="nil"/>
                    <w:tr2bl w:val="nil"/>
                  </w:tcBorders>
                  <w:noWrap w:val="0"/>
                  <w:vAlign w:val="center"/>
                </w:tcPr>
                <w:p w14:paraId="6C8C07FF">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p>
              </w:tc>
              <w:tc>
                <w:tcPr>
                  <w:tcW w:w="679" w:type="dxa"/>
                  <w:vMerge w:val="continue"/>
                  <w:tcBorders>
                    <w:tl2br w:val="nil"/>
                    <w:tr2bl w:val="nil"/>
                  </w:tcBorders>
                  <w:noWrap w:val="0"/>
                  <w:vAlign w:val="center"/>
                </w:tcPr>
                <w:p w14:paraId="2EBB978C">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p>
              </w:tc>
              <w:tc>
                <w:tcPr>
                  <w:tcW w:w="1250" w:type="dxa"/>
                  <w:tcBorders>
                    <w:tl2br w:val="nil"/>
                    <w:tr2bl w:val="nil"/>
                  </w:tcBorders>
                  <w:noWrap w:val="0"/>
                  <w:vAlign w:val="center"/>
                </w:tcPr>
                <w:p w14:paraId="07E7D056">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允许开发建设活动</w:t>
                  </w:r>
                </w:p>
              </w:tc>
              <w:tc>
                <w:tcPr>
                  <w:tcW w:w="9427" w:type="dxa"/>
                  <w:tcBorders>
                    <w:tl2br w:val="nil"/>
                    <w:tr2bl w:val="nil"/>
                  </w:tcBorders>
                  <w:noWrap w:val="0"/>
                  <w:vAlign w:val="center"/>
                </w:tcPr>
                <w:p w14:paraId="60C81309">
                  <w:pPr>
                    <w:pStyle w:val="13"/>
                    <w:numPr>
                      <w:ilvl w:val="0"/>
                      <w:numId w:val="0"/>
                    </w:numPr>
                    <w:adjustRightInd w:val="0"/>
                    <w:snapToGrid w:val="0"/>
                    <w:spacing w:after="0"/>
                    <w:ind w:leftChars="0"/>
                    <w:jc w:val="both"/>
                    <w:outlineLvl w:val="9"/>
                    <w:rPr>
                      <w:rFonts w:hint="default" w:ascii="Times New Roman" w:hAnsi="Times New Roman" w:cs="Times New Roman"/>
                      <w:color w:val="auto"/>
                      <w:szCs w:val="21"/>
                    </w:rPr>
                  </w:pPr>
                  <w:r>
                    <w:rPr>
                      <w:rFonts w:hint="eastAsia" w:cs="Times New Roman"/>
                      <w:color w:val="auto"/>
                      <w:szCs w:val="21"/>
                      <w:lang w:val="en-US" w:eastAsia="zh-CN"/>
                    </w:rPr>
                    <w:t>1.</w:t>
                  </w:r>
                  <w:r>
                    <w:rPr>
                      <w:rFonts w:hint="default" w:ascii="Times New Roman" w:hAnsi="Times New Roman" w:cs="Times New Roman"/>
                      <w:color w:val="auto"/>
                      <w:szCs w:val="21"/>
                    </w:rPr>
                    <w:t>加快推动六盘山保林、涵水、固土</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开展人工促进生态修复行动，实施密度过大人工纯林适度间伐、密度过低人工纯林近自然林改造，持续封山育林，系统推进区域造林绿化、沟道坡面预防治理、退化湿地修复。到2025年，六盘山自然保护区森林覆盖率提高到58.7%。</w:t>
                  </w:r>
                </w:p>
                <w:p w14:paraId="31EC2BD3">
                  <w:pPr>
                    <w:pStyle w:val="13"/>
                    <w:numPr>
                      <w:ilvl w:val="0"/>
                      <w:numId w:val="0"/>
                    </w:numPr>
                    <w:adjustRightInd w:val="0"/>
                    <w:snapToGrid w:val="0"/>
                    <w:spacing w:after="0"/>
                    <w:ind w:leftChars="0"/>
                    <w:jc w:val="both"/>
                    <w:outlineLvl w:val="9"/>
                    <w:rPr>
                      <w:rFonts w:hint="default" w:ascii="Times New Roman" w:hAnsi="Times New Roman" w:cs="Times New Roman"/>
                      <w:color w:val="auto"/>
                      <w:szCs w:val="21"/>
                    </w:rPr>
                  </w:pPr>
                  <w:r>
                    <w:rPr>
                      <w:rFonts w:hint="default" w:ascii="Times New Roman" w:hAnsi="Times New Roman" w:cs="Times New Roman"/>
                      <w:color w:val="auto"/>
                      <w:szCs w:val="21"/>
                      <w:lang w:eastAsia="zh-CN"/>
                    </w:rPr>
                    <w:t>2.</w:t>
                  </w:r>
                  <w:r>
                    <w:rPr>
                      <w:rFonts w:hint="default" w:ascii="Times New Roman" w:hAnsi="Times New Roman" w:cs="Times New Roman"/>
                      <w:color w:val="auto"/>
                      <w:szCs w:val="21"/>
                    </w:rPr>
                    <w:t>封山育林、封坡育草，严格保护现有森林、草原、水土资源，增强水源涵养、水土保持功能。</w:t>
                  </w:r>
                </w:p>
                <w:p w14:paraId="57E7AD54">
                  <w:pPr>
                    <w:pStyle w:val="13"/>
                    <w:numPr>
                      <w:ilvl w:val="0"/>
                      <w:numId w:val="0"/>
                    </w:numPr>
                    <w:adjustRightInd w:val="0"/>
                    <w:snapToGrid w:val="0"/>
                    <w:spacing w:after="0"/>
                    <w:ind w:leftChars="0"/>
                    <w:jc w:val="both"/>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lang w:eastAsia="zh-CN"/>
                    </w:rPr>
                    <w:t>3.</w:t>
                  </w:r>
                  <w:r>
                    <w:rPr>
                      <w:rFonts w:hint="default" w:ascii="Times New Roman" w:hAnsi="Times New Roman" w:cs="Times New Roman"/>
                      <w:color w:val="auto"/>
                      <w:szCs w:val="21"/>
                    </w:rPr>
                    <w:t>以清水河干支流为主线、以河道沟道治理、坡耕地改造、荒山荒地造林封育、生态移民迁出区修复为重点，以小流域为基本单元，进行“山水田林路”统一规划，“梁峁沟坡塬”一体整治的综合治理模式，整流域、整区域协调推进治理水土流失。</w:t>
                  </w:r>
                </w:p>
              </w:tc>
              <w:tc>
                <w:tcPr>
                  <w:tcW w:w="1485" w:type="dxa"/>
                  <w:tcBorders>
                    <w:tl2br w:val="nil"/>
                    <w:tr2bl w:val="nil"/>
                  </w:tcBorders>
                  <w:noWrap w:val="0"/>
                  <w:vAlign w:val="center"/>
                </w:tcPr>
                <w:p w14:paraId="53C75537">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不涉及。</w:t>
                  </w:r>
                </w:p>
              </w:tc>
              <w:tc>
                <w:tcPr>
                  <w:tcW w:w="729" w:type="dxa"/>
                  <w:tcBorders>
                    <w:tl2br w:val="nil"/>
                    <w:tr2bl w:val="nil"/>
                  </w:tcBorders>
                  <w:noWrap w:val="0"/>
                  <w:vAlign w:val="center"/>
                </w:tcPr>
                <w:p w14:paraId="3986B08D">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r>
            <w:tr w14:paraId="76DCC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0" w:type="dxa"/>
                  <w:vMerge w:val="continue"/>
                  <w:tcBorders>
                    <w:tl2br w:val="nil"/>
                    <w:tr2bl w:val="nil"/>
                  </w:tcBorders>
                  <w:noWrap w:val="0"/>
                  <w:vAlign w:val="center"/>
                </w:tcPr>
                <w:p w14:paraId="3FD4440B">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p>
              </w:tc>
              <w:tc>
                <w:tcPr>
                  <w:tcW w:w="1929" w:type="dxa"/>
                  <w:gridSpan w:val="2"/>
                  <w:tcBorders>
                    <w:tl2br w:val="nil"/>
                    <w:tr2bl w:val="nil"/>
                  </w:tcBorders>
                  <w:noWrap w:val="0"/>
                  <w:vAlign w:val="center"/>
                </w:tcPr>
                <w:p w14:paraId="347A2D51">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污染物排放管控</w:t>
                  </w:r>
                </w:p>
              </w:tc>
              <w:tc>
                <w:tcPr>
                  <w:tcW w:w="9427" w:type="dxa"/>
                  <w:tcBorders>
                    <w:tl2br w:val="nil"/>
                    <w:tr2bl w:val="nil"/>
                  </w:tcBorders>
                  <w:noWrap w:val="0"/>
                  <w:vAlign w:val="center"/>
                </w:tcPr>
                <w:p w14:paraId="6627AB17">
                  <w:pPr>
                    <w:pStyle w:val="13"/>
                    <w:numPr>
                      <w:ilvl w:val="0"/>
                      <w:numId w:val="0"/>
                    </w:numPr>
                    <w:adjustRightInd w:val="0"/>
                    <w:snapToGrid w:val="0"/>
                    <w:spacing w:after="0"/>
                    <w:ind w:leftChars="0"/>
                    <w:jc w:val="both"/>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禁止向清水河等河流直接排放工业、生活和畜禽养殖污水。</w:t>
                  </w:r>
                </w:p>
                <w:p w14:paraId="12DA5FB9">
                  <w:pPr>
                    <w:pStyle w:val="13"/>
                    <w:numPr>
                      <w:ilvl w:val="0"/>
                      <w:numId w:val="0"/>
                    </w:numPr>
                    <w:adjustRightInd w:val="0"/>
                    <w:snapToGrid w:val="0"/>
                    <w:spacing w:after="0"/>
                    <w:ind w:leftChars="0"/>
                    <w:jc w:val="both"/>
                    <w:outlineLvl w:val="9"/>
                    <w:rPr>
                      <w:rFonts w:hint="default" w:ascii="Times New Roman" w:hAnsi="Times New Roman" w:cs="Times New Roman"/>
                      <w:color w:val="auto"/>
                      <w:szCs w:val="21"/>
                    </w:rPr>
                  </w:pPr>
                  <w:r>
                    <w:rPr>
                      <w:rFonts w:hint="default" w:ascii="Times New Roman" w:hAnsi="Times New Roman" w:cs="Times New Roman"/>
                      <w:color w:val="auto"/>
                      <w:szCs w:val="21"/>
                      <w:lang w:eastAsia="zh-CN"/>
                    </w:rPr>
                    <w:t>2.</w:t>
                  </w:r>
                  <w:r>
                    <w:rPr>
                      <w:rFonts w:hint="default" w:ascii="Times New Roman" w:hAnsi="Times New Roman" w:cs="Times New Roman"/>
                      <w:color w:val="auto"/>
                      <w:szCs w:val="21"/>
                    </w:rPr>
                    <w:t>加快实施现有城镇污水处理厂提标改造，配套完善集污管网，提高污水收集效率和处理能力。实施污泥无害化处理处置设施建设，实现污泥稳定化、无害化、资源化处理处置。</w:t>
                  </w:r>
                </w:p>
                <w:p w14:paraId="5DE812D1">
                  <w:pPr>
                    <w:pStyle w:val="13"/>
                    <w:numPr>
                      <w:ilvl w:val="0"/>
                      <w:numId w:val="0"/>
                    </w:numPr>
                    <w:adjustRightInd w:val="0"/>
                    <w:snapToGrid w:val="0"/>
                    <w:spacing w:after="0"/>
                    <w:ind w:leftChars="0"/>
                    <w:jc w:val="both"/>
                    <w:outlineLvl w:val="9"/>
                    <w:rPr>
                      <w:rFonts w:hint="default" w:ascii="Times New Roman" w:hAnsi="Times New Roman" w:cs="Times New Roman"/>
                      <w:color w:val="auto"/>
                      <w:szCs w:val="21"/>
                    </w:rPr>
                  </w:pPr>
                  <w:r>
                    <w:rPr>
                      <w:rFonts w:hint="default" w:ascii="Times New Roman" w:hAnsi="Times New Roman" w:cs="Times New Roman"/>
                      <w:color w:val="auto"/>
                      <w:szCs w:val="21"/>
                      <w:lang w:eastAsia="zh-CN"/>
                    </w:rPr>
                    <w:t>3.</w:t>
                  </w:r>
                  <w:r>
                    <w:rPr>
                      <w:rFonts w:hint="default" w:ascii="Times New Roman" w:hAnsi="Times New Roman" w:cs="Times New Roman"/>
                      <w:color w:val="auto"/>
                      <w:szCs w:val="21"/>
                    </w:rPr>
                    <w:t>加快实施工业园区污水集中处理设施及集污管网、在线监控设施等配套设施建设。</w:t>
                  </w:r>
                </w:p>
                <w:p w14:paraId="0F0F8EDE">
                  <w:pPr>
                    <w:pStyle w:val="13"/>
                    <w:numPr>
                      <w:ilvl w:val="0"/>
                      <w:numId w:val="0"/>
                    </w:numPr>
                    <w:adjustRightInd w:val="0"/>
                    <w:snapToGrid w:val="0"/>
                    <w:spacing w:after="0"/>
                    <w:ind w:leftChars="0"/>
                    <w:jc w:val="both"/>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lang w:eastAsia="zh-CN"/>
                    </w:rPr>
                    <w:t>4.</w:t>
                  </w:r>
                  <w:r>
                    <w:rPr>
                      <w:rFonts w:hint="default" w:ascii="Times New Roman" w:hAnsi="Times New Roman" w:cs="Times New Roman"/>
                      <w:color w:val="auto"/>
                      <w:szCs w:val="21"/>
                    </w:rPr>
                    <w:t>恢复清水河基本生态水量，控制清水河纳污总量，逐步“还水于河”加强城镇污染防治，提升废污水收集能力和处理水平，强化畜禽养殖污染防治，防治灌区面源污染。</w:t>
                  </w:r>
                </w:p>
              </w:tc>
              <w:tc>
                <w:tcPr>
                  <w:tcW w:w="1485" w:type="dxa"/>
                  <w:vMerge w:val="restart"/>
                  <w:tcBorders>
                    <w:tl2br w:val="nil"/>
                    <w:tr2bl w:val="nil"/>
                  </w:tcBorders>
                  <w:noWrap w:val="0"/>
                  <w:vAlign w:val="center"/>
                </w:tcPr>
                <w:p w14:paraId="73555690">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本项目运行期</w:t>
                  </w:r>
                  <w:r>
                    <w:rPr>
                      <w:rFonts w:hint="default" w:ascii="Times New Roman" w:hAnsi="Times New Roman" w:cs="Times New Roman"/>
                      <w:color w:val="auto"/>
                      <w:sz w:val="21"/>
                      <w:szCs w:val="21"/>
                      <w:highlight w:val="none"/>
                      <w:lang w:val="en-US" w:eastAsia="zh-CN"/>
                    </w:rPr>
                    <w:t>污染物主要为电磁环境和噪声环境影响，在采取各项防治措施后，污染物均能达标排放</w:t>
                  </w:r>
                  <w:r>
                    <w:rPr>
                      <w:rFonts w:hint="default" w:ascii="Times New Roman" w:hAnsi="Times New Roman" w:eastAsia="宋体" w:cs="Times New Roman"/>
                      <w:color w:val="auto"/>
                      <w:spacing w:val="0"/>
                      <w:sz w:val="21"/>
                      <w:szCs w:val="21"/>
                      <w:highlight w:val="none"/>
                      <w:vertAlign w:val="baseline"/>
                      <w:lang w:val="en-US" w:eastAsia="zh-CN"/>
                    </w:rPr>
                    <w:t>，项目不涉及环境风险，不涉及地下水等资源的使用，不涉及此条所述情形。</w:t>
                  </w:r>
                </w:p>
              </w:tc>
              <w:tc>
                <w:tcPr>
                  <w:tcW w:w="729" w:type="dxa"/>
                  <w:tcBorders>
                    <w:tl2br w:val="nil"/>
                    <w:tr2bl w:val="nil"/>
                  </w:tcBorders>
                  <w:noWrap w:val="0"/>
                  <w:vAlign w:val="center"/>
                </w:tcPr>
                <w:p w14:paraId="0E5CE691">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r>
            <w:tr w14:paraId="48722D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0" w:type="dxa"/>
                  <w:vMerge w:val="continue"/>
                  <w:tcBorders>
                    <w:tl2br w:val="nil"/>
                    <w:tr2bl w:val="nil"/>
                  </w:tcBorders>
                  <w:noWrap w:val="0"/>
                  <w:vAlign w:val="center"/>
                </w:tcPr>
                <w:p w14:paraId="2B9AF7D7">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z w:val="21"/>
                      <w:szCs w:val="21"/>
                      <w:highlight w:val="none"/>
                    </w:rPr>
                  </w:pPr>
                </w:p>
              </w:tc>
              <w:tc>
                <w:tcPr>
                  <w:tcW w:w="1929" w:type="dxa"/>
                  <w:gridSpan w:val="2"/>
                  <w:tcBorders>
                    <w:tl2br w:val="nil"/>
                    <w:tr2bl w:val="nil"/>
                  </w:tcBorders>
                  <w:noWrap w:val="0"/>
                  <w:vAlign w:val="center"/>
                </w:tcPr>
                <w:p w14:paraId="0546DEB2">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环境风险防控</w:t>
                  </w:r>
                </w:p>
              </w:tc>
              <w:tc>
                <w:tcPr>
                  <w:tcW w:w="9427" w:type="dxa"/>
                  <w:tcBorders>
                    <w:tl2br w:val="nil"/>
                    <w:tr2bl w:val="nil"/>
                  </w:tcBorders>
                  <w:noWrap w:val="0"/>
                  <w:vAlign w:val="center"/>
                </w:tcPr>
                <w:p w14:paraId="199C1882">
                  <w:pPr>
                    <w:pStyle w:val="13"/>
                    <w:adjustRightInd w:val="0"/>
                    <w:snapToGrid w:val="0"/>
                    <w:spacing w:after="0"/>
                    <w:ind w:left="0" w:leftChars="0" w:firstLine="0" w:firstLineChars="0"/>
                    <w:jc w:val="both"/>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lang w:eastAsia="zh-CN"/>
                    </w:rPr>
                    <w:t>1.</w:t>
                  </w:r>
                  <w:r>
                    <w:rPr>
                      <w:rFonts w:hint="default" w:ascii="Times New Roman" w:hAnsi="Times New Roman" w:cs="Times New Roman"/>
                      <w:color w:val="auto"/>
                      <w:szCs w:val="21"/>
                    </w:rPr>
                    <w:t>规范在清水河等流域河道管理范围内采砂活动，禁止倾倒垃圾废渣、掩埋污染水体的物体等。</w:t>
                  </w:r>
                  <w:r>
                    <w:rPr>
                      <w:rFonts w:hint="default" w:ascii="Times New Roman" w:hAnsi="Times New Roman" w:cs="Times New Roman"/>
                      <w:color w:val="auto"/>
                      <w:szCs w:val="21"/>
                      <w:lang w:eastAsia="zh-CN"/>
                    </w:rPr>
                    <w:t>2.</w:t>
                  </w:r>
                  <w:r>
                    <w:rPr>
                      <w:rFonts w:hint="default" w:ascii="Times New Roman" w:hAnsi="Times New Roman" w:cs="Times New Roman"/>
                      <w:color w:val="auto"/>
                      <w:szCs w:val="21"/>
                    </w:rPr>
                    <w:t>构建区域生态安全和城乡居民饮水安全保障体系，加强重要水源地保护，保障城乡饮水安全。</w:t>
                  </w:r>
                </w:p>
              </w:tc>
              <w:tc>
                <w:tcPr>
                  <w:tcW w:w="1485" w:type="dxa"/>
                  <w:vMerge w:val="continue"/>
                  <w:tcBorders>
                    <w:tl2br w:val="nil"/>
                    <w:tr2bl w:val="nil"/>
                  </w:tcBorders>
                  <w:noWrap w:val="0"/>
                  <w:vAlign w:val="center"/>
                </w:tcPr>
                <w:p w14:paraId="4BDFD668">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p>
              </w:tc>
              <w:tc>
                <w:tcPr>
                  <w:tcW w:w="729" w:type="dxa"/>
                  <w:tcBorders>
                    <w:tl2br w:val="nil"/>
                    <w:tr2bl w:val="nil"/>
                  </w:tcBorders>
                  <w:noWrap w:val="0"/>
                  <w:vAlign w:val="center"/>
                </w:tcPr>
                <w:p w14:paraId="771E95CC">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r>
            <w:tr w14:paraId="6799D2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0" w:type="dxa"/>
                  <w:vMerge w:val="continue"/>
                  <w:tcBorders>
                    <w:tl2br w:val="nil"/>
                    <w:tr2bl w:val="nil"/>
                  </w:tcBorders>
                  <w:noWrap w:val="0"/>
                  <w:vAlign w:val="center"/>
                </w:tcPr>
                <w:p w14:paraId="3AD59DB4">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p>
              </w:tc>
              <w:tc>
                <w:tcPr>
                  <w:tcW w:w="1929" w:type="dxa"/>
                  <w:gridSpan w:val="2"/>
                  <w:tcBorders>
                    <w:tl2br w:val="nil"/>
                    <w:tr2bl w:val="nil"/>
                  </w:tcBorders>
                  <w:noWrap w:val="0"/>
                  <w:vAlign w:val="center"/>
                </w:tcPr>
                <w:p w14:paraId="66E68B4E">
                  <w:pPr>
                    <w:pStyle w:val="13"/>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资源利用效率要求</w:t>
                  </w:r>
                </w:p>
              </w:tc>
              <w:tc>
                <w:tcPr>
                  <w:tcW w:w="9427" w:type="dxa"/>
                  <w:tcBorders>
                    <w:tl2br w:val="nil"/>
                    <w:tr2bl w:val="nil"/>
                  </w:tcBorders>
                  <w:noWrap w:val="0"/>
                  <w:vAlign w:val="center"/>
                </w:tcPr>
                <w:p w14:paraId="726A2268">
                  <w:pPr>
                    <w:pStyle w:val="13"/>
                    <w:adjustRightInd w:val="0"/>
                    <w:snapToGrid w:val="0"/>
                    <w:spacing w:after="0"/>
                    <w:ind w:left="0" w:leftChars="0" w:firstLine="0" w:firstLineChars="0"/>
                    <w:jc w:val="both"/>
                    <w:outlineLvl w:val="9"/>
                    <w:rPr>
                      <w:rFonts w:hint="default" w:ascii="Times New Roman" w:hAnsi="Times New Roman" w:cs="Times New Roman"/>
                      <w:color w:val="auto"/>
                    </w:rPr>
                  </w:pPr>
                  <w:r>
                    <w:rPr>
                      <w:rFonts w:hint="default" w:ascii="Times New Roman" w:hAnsi="Times New Roman" w:cs="Times New Roman"/>
                      <w:color w:val="auto"/>
                      <w:lang w:eastAsia="zh-CN"/>
                    </w:rPr>
                    <w:t>1.</w:t>
                  </w:r>
                  <w:r>
                    <w:rPr>
                      <w:rFonts w:hint="default" w:ascii="Times New Roman" w:hAnsi="Times New Roman" w:cs="Times New Roman"/>
                      <w:color w:val="auto"/>
                    </w:rPr>
                    <w:t>地下水水位以总体保持稳定、局部回升为主，严控地下水开采利用，提高山区地下水源涵养；依法关闭六盘山保护区范围内地下取水井和公共供水工程覆盖范围内自备水井，维系地下水水位，改善地下水生态。</w:t>
                  </w:r>
                </w:p>
                <w:p w14:paraId="7713B4E6">
                  <w:pPr>
                    <w:pStyle w:val="13"/>
                    <w:adjustRightInd w:val="0"/>
                    <w:snapToGrid w:val="0"/>
                    <w:spacing w:after="0"/>
                    <w:ind w:left="0" w:leftChars="0" w:firstLine="0" w:firstLineChars="0"/>
                    <w:jc w:val="both"/>
                    <w:outlineLvl w:val="9"/>
                    <w:rPr>
                      <w:rFonts w:hint="default" w:ascii="Times New Roman" w:hAnsi="Times New Roman" w:cs="Times New Roman"/>
                      <w:color w:val="auto"/>
                    </w:rPr>
                  </w:pPr>
                  <w:r>
                    <w:rPr>
                      <w:rFonts w:hint="default" w:ascii="Times New Roman" w:hAnsi="Times New Roman" w:cs="Times New Roman"/>
                      <w:color w:val="auto"/>
                      <w:lang w:eastAsia="zh-CN"/>
                    </w:rPr>
                    <w:t>2.</w:t>
                  </w:r>
                  <w:r>
                    <w:rPr>
                      <w:rFonts w:hint="default" w:ascii="Times New Roman" w:hAnsi="Times New Roman" w:cs="Times New Roman"/>
                      <w:color w:val="auto"/>
                    </w:rPr>
                    <w:t>开展马铃薯淀粉汁水还田研究，形成技术推广，科学合理解决马铃薯淀粉加工废水处理问题。</w:t>
                  </w:r>
                </w:p>
                <w:p w14:paraId="5B445AD5">
                  <w:pPr>
                    <w:pStyle w:val="13"/>
                    <w:adjustRightInd w:val="0"/>
                    <w:snapToGrid w:val="0"/>
                    <w:spacing w:after="0"/>
                    <w:ind w:left="0" w:leftChars="0" w:firstLine="0" w:firstLineChars="0"/>
                    <w:jc w:val="both"/>
                    <w:outlineLvl w:val="9"/>
                    <w:rPr>
                      <w:rFonts w:hint="default" w:ascii="Times New Roman" w:hAnsi="Times New Roman" w:cs="Times New Roman"/>
                      <w:color w:val="auto"/>
                    </w:rPr>
                  </w:pPr>
                  <w:r>
                    <w:rPr>
                      <w:rFonts w:hint="default" w:ascii="Times New Roman" w:hAnsi="Times New Roman" w:cs="Times New Roman"/>
                      <w:color w:val="auto"/>
                      <w:lang w:eastAsia="zh-CN"/>
                    </w:rPr>
                    <w:t>3.</w:t>
                  </w:r>
                  <w:r>
                    <w:rPr>
                      <w:rFonts w:hint="default" w:ascii="Times New Roman" w:hAnsi="Times New Roman" w:cs="Times New Roman"/>
                      <w:color w:val="auto"/>
                    </w:rPr>
                    <w:t>在年降雨量400毫米以上农村地区，大力建设屋面、庭院等雨水收集、储存、利用设施；在彭阳、隆德、西吉等县区示范推广覆膜保墒和集雨补灌，发展旱作雨养农业。</w:t>
                  </w:r>
                </w:p>
                <w:p w14:paraId="59AB65E5">
                  <w:pPr>
                    <w:pStyle w:val="13"/>
                    <w:adjustRightInd w:val="0"/>
                    <w:snapToGrid w:val="0"/>
                    <w:spacing w:after="0"/>
                    <w:ind w:left="0" w:leftChars="0" w:firstLine="0" w:firstLineChars="0"/>
                    <w:jc w:val="both"/>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lang w:eastAsia="zh-CN"/>
                    </w:rPr>
                    <w:t>4.</w:t>
                  </w:r>
                  <w:r>
                    <w:rPr>
                      <w:rFonts w:hint="default" w:ascii="Times New Roman" w:hAnsi="Times New Roman" w:cs="Times New Roman"/>
                      <w:color w:val="auto"/>
                    </w:rPr>
                    <w:t>严格控制区域用水总量，推进高耗水企业废水深度回用，推广农业节水灌溉，提高工农业用水效率。</w:t>
                  </w:r>
                </w:p>
              </w:tc>
              <w:tc>
                <w:tcPr>
                  <w:tcW w:w="1485" w:type="dxa"/>
                  <w:vMerge w:val="continue"/>
                  <w:tcBorders>
                    <w:tl2br w:val="nil"/>
                    <w:tr2bl w:val="nil"/>
                  </w:tcBorders>
                  <w:noWrap w:val="0"/>
                  <w:vAlign w:val="center"/>
                </w:tcPr>
                <w:p w14:paraId="60F25866">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p>
              </w:tc>
              <w:tc>
                <w:tcPr>
                  <w:tcW w:w="729" w:type="dxa"/>
                  <w:tcBorders>
                    <w:tl2br w:val="nil"/>
                    <w:tr2bl w:val="nil"/>
                  </w:tcBorders>
                  <w:noWrap w:val="0"/>
                  <w:vAlign w:val="center"/>
                </w:tcPr>
                <w:p w14:paraId="31461BE7">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jc w:val="center"/>
                    <w:textAlignment w:val="auto"/>
                    <w:outlineLvl w:val="9"/>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r>
          </w:tbl>
          <w:p w14:paraId="58C56E28">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cs="Times New Roman"/>
                <w:b/>
                <w:color w:val="auto"/>
                <w:sz w:val="24"/>
                <w:highlight w:val="none"/>
                <w:lang w:val="en-US" w:eastAsia="zh-CN"/>
              </w:rPr>
            </w:pPr>
            <w:r>
              <w:rPr>
                <w:rFonts w:hint="default" w:ascii="Times New Roman" w:hAnsi="Times New Roman" w:cs="Times New Roman"/>
                <w:b w:val="0"/>
                <w:bCs/>
                <w:color w:val="auto"/>
                <w:sz w:val="24"/>
                <w:highlight w:val="none"/>
                <w:lang w:val="en-US" w:eastAsia="zh-CN"/>
              </w:rPr>
              <w:t>根据表1-1可知，</w:t>
            </w:r>
            <w:r>
              <w:rPr>
                <w:rFonts w:hint="default" w:ascii="Times New Roman" w:hAnsi="Times New Roman" w:eastAsia="宋体" w:cs="Times New Roman"/>
                <w:b w:val="0"/>
                <w:bCs/>
                <w:color w:val="auto"/>
                <w:spacing w:val="0"/>
                <w:sz w:val="24"/>
                <w:szCs w:val="24"/>
                <w:highlight w:val="none"/>
                <w:lang w:val="en-US" w:eastAsia="zh-CN"/>
              </w:rPr>
              <w:t>本项目输电线路及间隔扩建工程运行期污染物主要为电磁环境和噪声环境影响，在采取各项防治措施后，污染物均能达标排放，项目不涉及环境风险，不涉及地下水等资源的使用，不涉及</w:t>
            </w:r>
            <w:r>
              <w:rPr>
                <w:rFonts w:hint="eastAsia" w:cs="Times New Roman"/>
                <w:b w:val="0"/>
                <w:bCs/>
                <w:color w:val="auto"/>
                <w:spacing w:val="0"/>
                <w:sz w:val="24"/>
                <w:szCs w:val="24"/>
                <w:highlight w:val="none"/>
                <w:lang w:val="en-US" w:eastAsia="zh-CN"/>
              </w:rPr>
              <w:t>上述表格</w:t>
            </w:r>
            <w:r>
              <w:rPr>
                <w:rFonts w:hint="default" w:ascii="Times New Roman" w:hAnsi="Times New Roman" w:eastAsia="宋体" w:cs="Times New Roman"/>
                <w:b w:val="0"/>
                <w:bCs/>
                <w:color w:val="auto"/>
                <w:spacing w:val="0"/>
                <w:sz w:val="24"/>
                <w:szCs w:val="24"/>
                <w:highlight w:val="none"/>
                <w:lang w:val="en-US" w:eastAsia="zh-CN"/>
              </w:rPr>
              <w:t>所述情形。</w:t>
            </w:r>
            <w:r>
              <w:rPr>
                <w:rFonts w:hint="eastAsia" w:cs="Times New Roman"/>
                <w:b w:val="0"/>
                <w:bCs/>
                <w:color w:val="auto"/>
                <w:spacing w:val="0"/>
                <w:sz w:val="24"/>
                <w:szCs w:val="24"/>
                <w:highlight w:val="none"/>
                <w:lang w:val="en-US" w:eastAsia="zh-CN"/>
              </w:rPr>
              <w:t>因此，项目的建设</w:t>
            </w:r>
            <w:r>
              <w:rPr>
                <w:rFonts w:hint="default" w:ascii="Times New Roman" w:hAnsi="Times New Roman" w:eastAsia="宋体" w:cs="Times New Roman"/>
                <w:bCs/>
                <w:color w:val="auto"/>
                <w:sz w:val="24"/>
                <w:szCs w:val="24"/>
                <w:highlight w:val="none"/>
                <w:lang w:val="en-US" w:eastAsia="zh-CN"/>
              </w:rPr>
              <w:t>符合宁夏回族</w:t>
            </w:r>
            <w:r>
              <w:rPr>
                <w:rFonts w:hint="default" w:ascii="Times New Roman" w:hAnsi="Times New Roman" w:cs="Times New Roman"/>
                <w:b w:val="0"/>
                <w:bCs/>
                <w:color w:val="auto"/>
                <w:sz w:val="24"/>
                <w:szCs w:val="24"/>
                <w:highlight w:val="none"/>
                <w:lang w:val="en-US" w:eastAsia="zh-CN"/>
              </w:rPr>
              <w:t>自治区生态环境厅关于发布〈宁夏回族自治区生态环境分区管控动态更新成果〉的通知》</w:t>
            </w:r>
            <w:r>
              <w:rPr>
                <w:rFonts w:hint="default" w:ascii="Times New Roman" w:hAnsi="Times New Roman" w:cs="Times New Roman"/>
                <w:color w:val="auto"/>
                <w:sz w:val="24"/>
                <w:szCs w:val="24"/>
                <w:highlight w:val="none"/>
                <w:lang w:val="en-US" w:eastAsia="zh-CN"/>
              </w:rPr>
              <w:t>（宁环规发〔2024〕3号）</w:t>
            </w:r>
            <w:r>
              <w:rPr>
                <w:rFonts w:hint="default" w:ascii="Times New Roman" w:hAnsi="Times New Roman" w:eastAsia="宋体" w:cs="Times New Roman"/>
                <w:bCs/>
                <w:color w:val="auto"/>
                <w:sz w:val="24"/>
                <w:szCs w:val="24"/>
                <w:highlight w:val="none"/>
                <w:lang w:val="en-US" w:eastAsia="zh-CN"/>
              </w:rPr>
              <w:t>中南部黄土高原区</w:t>
            </w:r>
            <w:r>
              <w:rPr>
                <w:rFonts w:hint="default" w:ascii="Times New Roman" w:hAnsi="Times New Roman" w:cs="Times New Roman"/>
                <w:color w:val="auto"/>
                <w:kern w:val="0"/>
                <w:sz w:val="24"/>
                <w:highlight w:val="none"/>
                <w:lang w:val="en-US" w:eastAsia="zh-CN"/>
              </w:rPr>
              <w:t>生态环境总体准入</w:t>
            </w:r>
            <w:r>
              <w:rPr>
                <w:rFonts w:hint="default" w:ascii="Times New Roman" w:hAnsi="Times New Roman" w:eastAsia="宋体" w:cs="Times New Roman"/>
                <w:bCs/>
                <w:color w:val="auto"/>
                <w:sz w:val="24"/>
                <w:szCs w:val="24"/>
                <w:highlight w:val="none"/>
                <w:lang w:val="en-US" w:eastAsia="zh-CN"/>
              </w:rPr>
              <w:t>要求。</w:t>
            </w:r>
          </w:p>
          <w:p w14:paraId="01FCAC8E">
            <w:pPr>
              <w:spacing w:line="360" w:lineRule="auto"/>
              <w:ind w:firstLine="482" w:firstLineChars="200"/>
              <w:jc w:val="left"/>
              <w:rPr>
                <w:rFonts w:hint="default" w:ascii="Times New Roman" w:hAnsi="Times New Roman" w:cs="Times New Roman"/>
                <w:b/>
                <w:bCs w:val="0"/>
                <w:color w:val="auto"/>
                <w:sz w:val="24"/>
                <w:highlight w:val="none"/>
              </w:rPr>
            </w:pPr>
            <w:r>
              <w:rPr>
                <w:rFonts w:hint="eastAsia" w:cs="Times New Roman"/>
                <w:b/>
                <w:bCs w:val="0"/>
                <w:color w:val="auto"/>
                <w:sz w:val="24"/>
                <w:highlight w:val="none"/>
                <w:lang w:val="en-US" w:eastAsia="zh-CN"/>
              </w:rPr>
              <w:t>4</w:t>
            </w:r>
            <w:r>
              <w:rPr>
                <w:rFonts w:hint="default" w:ascii="Times New Roman" w:hAnsi="Times New Roman" w:cs="Times New Roman"/>
                <w:b/>
                <w:bCs w:val="0"/>
                <w:color w:val="auto"/>
                <w:sz w:val="24"/>
                <w:highlight w:val="none"/>
                <w:lang w:val="en-US" w:eastAsia="zh-CN"/>
              </w:rPr>
              <w:t>.</w:t>
            </w:r>
            <w:r>
              <w:rPr>
                <w:rFonts w:hint="default" w:ascii="Times New Roman" w:hAnsi="Times New Roman" w:cs="Times New Roman"/>
                <w:b/>
                <w:bCs w:val="0"/>
                <w:color w:val="auto"/>
                <w:sz w:val="24"/>
                <w:highlight w:val="none"/>
              </w:rPr>
              <w:t>与</w:t>
            </w:r>
            <w:r>
              <w:rPr>
                <w:rFonts w:hint="default" w:ascii="Times New Roman" w:hAnsi="Times New Roman" w:cs="Times New Roman"/>
                <w:b/>
                <w:bCs w:val="0"/>
                <w:color w:val="auto"/>
                <w:sz w:val="24"/>
                <w:highlight w:val="none"/>
                <w:lang w:val="en-US" w:eastAsia="zh-CN"/>
              </w:rPr>
              <w:t>《固原市国土空间总体规划（2021—2035年）》</w:t>
            </w:r>
            <w:r>
              <w:rPr>
                <w:rFonts w:hint="default" w:ascii="Times New Roman" w:hAnsi="Times New Roman" w:cs="Times New Roman"/>
                <w:b/>
                <w:bCs w:val="0"/>
                <w:color w:val="auto"/>
                <w:sz w:val="24"/>
                <w:highlight w:val="none"/>
              </w:rPr>
              <w:t>的符合性分析</w:t>
            </w:r>
          </w:p>
          <w:p w14:paraId="7D38FF0D">
            <w:pPr>
              <w:spacing w:line="360" w:lineRule="auto"/>
              <w:ind w:firstLine="480" w:firstLineChars="200"/>
              <w:jc w:val="both"/>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根据</w:t>
            </w:r>
            <w:r>
              <w:rPr>
                <w:rFonts w:hint="default" w:ascii="Times New Roman" w:hAnsi="Times New Roman" w:cs="Times New Roman"/>
                <w:bCs/>
                <w:color w:val="auto"/>
                <w:sz w:val="24"/>
                <w:highlight w:val="none"/>
                <w:lang w:eastAsia="zh-CN"/>
              </w:rPr>
              <w:t>宁夏回族自治区人民政府于2023年10月18日</w:t>
            </w:r>
            <w:r>
              <w:rPr>
                <w:rFonts w:hint="default" w:ascii="Times New Roman" w:hAnsi="Times New Roman" w:cs="Times New Roman"/>
                <w:bCs/>
                <w:color w:val="auto"/>
                <w:sz w:val="24"/>
                <w:highlight w:val="none"/>
                <w:lang w:val="en-US" w:eastAsia="zh-CN"/>
              </w:rPr>
              <w:t>发布的关于</w:t>
            </w:r>
            <w:r>
              <w:rPr>
                <w:rFonts w:hint="default" w:ascii="Times New Roman" w:hAnsi="Times New Roman" w:cs="Times New Roman"/>
                <w:bCs/>
                <w:color w:val="auto"/>
                <w:sz w:val="24"/>
                <w:highlight w:val="none"/>
                <w:lang w:eastAsia="zh-CN"/>
              </w:rPr>
              <w:t>《固原市国土空间总体规划（2021—2035年）》</w:t>
            </w:r>
            <w:r>
              <w:rPr>
                <w:rFonts w:hint="default" w:ascii="Times New Roman" w:hAnsi="Times New Roman" w:cs="Times New Roman"/>
                <w:bCs/>
                <w:color w:val="auto"/>
                <w:sz w:val="24"/>
                <w:highlight w:val="none"/>
                <w:lang w:val="en-US" w:eastAsia="zh-CN"/>
              </w:rPr>
              <w:t>的批复（宁政函〔2023〕68号），宁夏固原华电彭阳200兆瓦风电项目</w:t>
            </w:r>
            <w:r>
              <w:rPr>
                <w:rFonts w:hint="default" w:ascii="Times New Roman" w:hAnsi="Times New Roman" w:cs="Times New Roman"/>
                <w:bCs/>
                <w:color w:val="auto"/>
                <w:sz w:val="24"/>
                <w:highlight w:val="none"/>
                <w:lang w:eastAsia="zh-CN"/>
              </w:rPr>
              <w:t>已纳入《固原市国土空间总体规划（2021—2035年）》</w:t>
            </w:r>
            <w:r>
              <w:rPr>
                <w:rFonts w:hint="default" w:ascii="Times New Roman" w:hAnsi="Times New Roman" w:cs="Times New Roman"/>
                <w:bCs/>
                <w:color w:val="auto"/>
                <w:sz w:val="24"/>
                <w:highlight w:val="none"/>
                <w:lang w:val="en-US" w:eastAsia="zh-CN"/>
              </w:rPr>
              <w:t>第二十一章，支撑体系，第二节，市政公用工程，第229条，电力工程。宁夏固原华电彭阳200兆瓦风电项目属于固原市国土空间总体规划中的新能源产业，本项目作为宁夏固原华电彭阳200兆瓦风电项目的配套工程，可保证风电项目接入需求，加快推进可再生能源电力接入。因此，本项目的建设符合《固原市国土空间总体规划（2021—2035年）》中的相关规划内容。</w:t>
            </w:r>
          </w:p>
          <w:p w14:paraId="50CAF331">
            <w:pPr>
              <w:spacing w:line="360" w:lineRule="auto"/>
              <w:ind w:firstLine="482" w:firstLineChars="200"/>
              <w:jc w:val="left"/>
              <w:rPr>
                <w:rFonts w:hint="default" w:ascii="Times New Roman" w:hAnsi="Times New Roman" w:cs="Times New Roman"/>
                <w:b/>
                <w:color w:val="auto"/>
                <w:sz w:val="24"/>
                <w:highlight w:val="none"/>
                <w:lang w:val="en-US" w:eastAsia="zh-CN"/>
              </w:rPr>
            </w:pPr>
            <w:r>
              <w:rPr>
                <w:rFonts w:hint="eastAsia" w:cs="Times New Roman"/>
                <w:b/>
                <w:color w:val="auto"/>
                <w:sz w:val="24"/>
                <w:highlight w:val="none"/>
                <w:lang w:val="en-US" w:eastAsia="zh-CN"/>
              </w:rPr>
              <w:t>5</w:t>
            </w:r>
            <w:r>
              <w:rPr>
                <w:rFonts w:hint="default" w:ascii="Times New Roman" w:hAnsi="Times New Roman" w:cs="Times New Roman"/>
                <w:b/>
                <w:color w:val="auto"/>
                <w:sz w:val="24"/>
                <w:highlight w:val="none"/>
                <w:lang w:val="en-US" w:eastAsia="zh-CN"/>
              </w:rPr>
              <w:t>.与《彭阳县国土空间总体规划（2021—2035年）》相符性分析</w:t>
            </w:r>
          </w:p>
          <w:p w14:paraId="54D6A1A1">
            <w:pPr>
              <w:spacing w:line="360" w:lineRule="auto"/>
              <w:ind w:firstLine="480" w:firstLineChars="200"/>
              <w:jc w:val="left"/>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4"/>
                <w:highlight w:val="none"/>
                <w:lang w:val="en-US" w:eastAsia="zh-CN"/>
              </w:rPr>
              <w:t>根据宁夏回族自治区人民政府于2024年1月10日发布的关于《彭阳县国土空间总体规划（2021—2035年）》的批复（宁政函〔2024〕9号），</w:t>
            </w:r>
            <w:r>
              <w:rPr>
                <w:rFonts w:hint="default" w:ascii="Times New Roman" w:hAnsi="Times New Roman" w:cs="Times New Roman"/>
                <w:b w:val="0"/>
                <w:bCs/>
                <w:color w:val="auto"/>
                <w:sz w:val="24"/>
                <w:szCs w:val="24"/>
                <w:highlight w:val="none"/>
                <w:lang w:val="en-US" w:eastAsia="zh-CN"/>
              </w:rPr>
              <w:t>宁夏固原华电彭阳200兆瓦风电项目已纳入《彭阳县国土空间总体规划（2021—2035年）》中的“电力 其他电力类项目”，本项目作为宁夏固原华电彭阳200兆瓦风电项目的配套工程，可保证风电项目接入需求，加快推进可再生能源电力接入。因此，本项目的建设符合县级国土空间总体规划。</w:t>
            </w:r>
          </w:p>
          <w:p w14:paraId="3A51A6BB">
            <w:pPr>
              <w:autoSpaceDE w:val="0"/>
              <w:autoSpaceDN w:val="0"/>
              <w:spacing w:line="360" w:lineRule="auto"/>
              <w:ind w:firstLine="482" w:firstLineChars="200"/>
              <w:rPr>
                <w:rFonts w:hint="default" w:ascii="Times New Roman" w:hAnsi="Times New Roman" w:cs="Times New Roman"/>
                <w:b/>
                <w:color w:val="auto"/>
                <w:sz w:val="24"/>
                <w:highlight w:val="none"/>
              </w:rPr>
            </w:pPr>
            <w:r>
              <w:rPr>
                <w:rFonts w:hint="eastAsia" w:cs="Times New Roman"/>
                <w:b/>
                <w:color w:val="auto"/>
                <w:sz w:val="24"/>
                <w:highlight w:val="none"/>
                <w:lang w:val="en-US" w:eastAsia="zh-CN"/>
              </w:rPr>
              <w:t>6</w:t>
            </w:r>
            <w:r>
              <w:rPr>
                <w:rFonts w:hint="default" w:ascii="Times New Roman" w:hAnsi="Times New Roman" w:cs="Times New Roman"/>
                <w:b/>
                <w:color w:val="auto"/>
                <w:sz w:val="24"/>
                <w:highlight w:val="none"/>
                <w:lang w:val="en-US" w:eastAsia="zh-CN"/>
              </w:rPr>
              <w:t>.</w:t>
            </w:r>
            <w:r>
              <w:rPr>
                <w:rFonts w:hint="default" w:ascii="Times New Roman" w:hAnsi="Times New Roman" w:cs="Times New Roman"/>
                <w:b/>
                <w:color w:val="auto"/>
                <w:sz w:val="24"/>
                <w:highlight w:val="none"/>
              </w:rPr>
              <w:t>与</w:t>
            </w:r>
            <w:r>
              <w:rPr>
                <w:rFonts w:hint="default" w:ascii="Times New Roman" w:hAnsi="Times New Roman" w:cs="Times New Roman"/>
                <w:b/>
                <w:color w:val="auto"/>
                <w:sz w:val="24"/>
                <w:szCs w:val="24"/>
                <w:highlight w:val="none"/>
                <w:lang w:val="en-US" w:eastAsia="zh-CN"/>
              </w:rPr>
              <w:t>《自然资源部、生态环境部、国家林业和草原局关于加强生态保护红线管理的通知（试行）》</w:t>
            </w:r>
            <w:r>
              <w:rPr>
                <w:rFonts w:hint="default" w:ascii="Times New Roman" w:hAnsi="Times New Roman" w:eastAsia="宋体" w:cs="Times New Roman"/>
                <w:b/>
                <w:bCs/>
                <w:snapToGrid w:val="0"/>
                <w:color w:val="auto"/>
                <w:kern w:val="0"/>
                <w:sz w:val="24"/>
                <w:szCs w:val="24"/>
                <w:lang w:val="en-US" w:eastAsia="zh-CN" w:bidi="ar"/>
              </w:rPr>
              <w:t>《宁夏回族自治区生态保护红线管理条例</w:t>
            </w:r>
            <w:r>
              <w:rPr>
                <w:rFonts w:hint="eastAsia" w:cs="Times New Roman"/>
                <w:b/>
                <w:bCs/>
                <w:snapToGrid w:val="0"/>
                <w:color w:val="auto"/>
                <w:kern w:val="0"/>
                <w:sz w:val="24"/>
                <w:szCs w:val="24"/>
                <w:lang w:val="en-US" w:eastAsia="zh-CN" w:bidi="ar"/>
              </w:rPr>
              <w:t>（2023年8月2日修正）</w:t>
            </w:r>
            <w:r>
              <w:rPr>
                <w:rFonts w:hint="default" w:ascii="Times New Roman" w:hAnsi="Times New Roman" w:eastAsia="宋体" w:cs="Times New Roman"/>
                <w:b/>
                <w:bCs/>
                <w:snapToGrid w:val="0"/>
                <w:color w:val="auto"/>
                <w:kern w:val="0"/>
                <w:sz w:val="24"/>
                <w:szCs w:val="24"/>
                <w:lang w:val="en-US" w:eastAsia="zh-CN" w:bidi="ar"/>
              </w:rPr>
              <w:t>》</w:t>
            </w:r>
            <w:r>
              <w:rPr>
                <w:rFonts w:hint="default" w:ascii="Times New Roman" w:hAnsi="Times New Roman" w:cs="Times New Roman"/>
                <w:b/>
                <w:color w:val="auto"/>
                <w:sz w:val="24"/>
                <w:highlight w:val="none"/>
              </w:rPr>
              <w:t>符合性分析</w:t>
            </w:r>
          </w:p>
          <w:p w14:paraId="12ECD775">
            <w:pPr>
              <w:spacing w:line="360" w:lineRule="auto"/>
              <w:ind w:firstLine="480" w:firstLineChars="200"/>
              <w:jc w:val="left"/>
              <w:rPr>
                <w:rFonts w:hint="default" w:ascii="Times New Roman" w:hAnsi="Times New Roman" w:cs="Times New Roman"/>
                <w:b w:val="0"/>
                <w:bCs/>
                <w:color w:val="auto"/>
                <w:sz w:val="24"/>
                <w:highlight w:val="none"/>
                <w:lang w:val="en-US" w:eastAsia="zh-CN"/>
              </w:rPr>
            </w:pPr>
            <w:r>
              <w:rPr>
                <w:rFonts w:hint="eastAsia" w:cs="Times New Roman"/>
                <w:b w:val="0"/>
                <w:bCs/>
                <w:color w:val="auto"/>
                <w:sz w:val="24"/>
                <w:highlight w:val="none"/>
                <w:lang w:val="en-US" w:eastAsia="zh-CN"/>
              </w:rPr>
              <w:t>根据</w:t>
            </w:r>
            <w:r>
              <w:rPr>
                <w:rFonts w:hint="default" w:ascii="Times New Roman" w:hAnsi="Times New Roman" w:cs="Times New Roman"/>
                <w:b w:val="0"/>
                <w:bCs/>
                <w:color w:val="auto"/>
                <w:sz w:val="24"/>
                <w:highlight w:val="none"/>
                <w:lang w:val="en-US" w:eastAsia="zh-CN"/>
              </w:rPr>
              <w:t>《自然资源部 生态环境部 国家林业和草原局〈关于加强生态保护红线管理的通知（试行）〉》（自然资发〔2022〕142号）文件中提到：</w:t>
            </w:r>
            <w:r>
              <w:rPr>
                <w:rFonts w:hint="eastAsia" w:cs="Times New Roman"/>
                <w:b w:val="0"/>
                <w:bCs/>
                <w:color w:val="auto"/>
                <w:sz w:val="24"/>
                <w:highlight w:val="none"/>
                <w:lang w:val="en-US" w:eastAsia="zh-CN"/>
              </w:rPr>
              <w:t>“</w:t>
            </w:r>
            <w:r>
              <w:rPr>
                <w:rFonts w:hint="default" w:ascii="Times New Roman" w:hAnsi="Times New Roman" w:cs="Times New Roman"/>
                <w:b w:val="0"/>
                <w:bCs/>
                <w:color w:val="auto"/>
                <w:sz w:val="24"/>
                <w:highlight w:val="none"/>
                <w:lang w:val="en-US" w:eastAsia="zh-CN"/>
              </w:rPr>
              <w:t>（一）规范管控对生态功能不造成破坏的有限人为活动。生态保护红线是国土空间规划中的重要管控边界，生态保护红线内自然保护地核心保护区外，禁止开发性、生产性建设活动，在符合法律法规的前提下，仅允许以下对生态功能不造成破坏的有限人为活动：</w:t>
            </w:r>
            <w:r>
              <w:rPr>
                <w:rFonts w:hint="eastAsia" w:cs="Times New Roman"/>
                <w:b w:val="0"/>
                <w:bCs/>
                <w:color w:val="auto"/>
                <w:sz w:val="24"/>
                <w:highlight w:val="none"/>
                <w:lang w:val="en-US" w:eastAsia="zh-CN"/>
              </w:rPr>
              <w:t>......6.必须且无法避让、符合县级以上国土空间规划的线性基础设施、通讯和防洪、供水设施建设和船舶航行、航道疏浚清淤等活动；已有的合法水利、交通运输等设施运行维护改造。”</w:t>
            </w:r>
          </w:p>
          <w:p w14:paraId="032C2F4B">
            <w:pPr>
              <w:keepNext w:val="0"/>
              <w:keepLines w:val="0"/>
              <w:pageBreakBefore w:val="0"/>
              <w:widowControl w:val="0"/>
              <w:suppressLineNumbers w:val="0"/>
              <w:kinsoku/>
              <w:wordWrap/>
              <w:overflowPunct/>
              <w:topLinePunct w:val="0"/>
              <w:autoSpaceDE w:val="0"/>
              <w:autoSpaceDN w:val="0"/>
              <w:bidi w:val="0"/>
              <w:adjustRightInd w:val="0"/>
              <w:snapToGrid w:val="0"/>
              <w:spacing w:line="360" w:lineRule="auto"/>
              <w:ind w:left="0" w:right="0" w:firstLine="452" w:firstLineChars="200"/>
              <w:jc w:val="both"/>
              <w:textAlignment w:val="baseline"/>
              <w:rPr>
                <w:rFonts w:hint="default" w:ascii="Times New Roman" w:hAnsi="Times New Roman" w:eastAsia="宋体" w:cs="Times New Roman"/>
                <w:snapToGrid w:val="0"/>
                <w:color w:val="auto"/>
                <w:spacing w:val="-7"/>
                <w:kern w:val="0"/>
                <w:sz w:val="24"/>
                <w:szCs w:val="24"/>
                <w:lang w:val="en-US" w:eastAsia="zh-CN" w:bidi="ar-SA"/>
              </w:rPr>
            </w:pPr>
            <w:r>
              <w:rPr>
                <w:rFonts w:hint="default" w:ascii="Times New Roman" w:hAnsi="Times New Roman" w:eastAsia="宋体" w:cs="Times New Roman"/>
                <w:snapToGrid w:val="0"/>
                <w:color w:val="auto"/>
                <w:spacing w:val="-7"/>
                <w:kern w:val="0"/>
                <w:sz w:val="24"/>
                <w:szCs w:val="24"/>
                <w:lang w:val="en-US" w:eastAsia="zh-CN" w:bidi="ar-SA"/>
              </w:rPr>
              <w:t>根据《宁夏回族自治区生态保护红线管理条例（2023年8月2日修正）》，第十五条 生态保护红线内，自然保护地核心保护区原则上禁止人为活动，其他区域严格禁止开发性、生产性建设活动，在符合法律法规和国家规定的前提下，可以从事对生态功能不造成破坏的有限人为活动，具体按照国家有关规定和政策执行。</w:t>
            </w:r>
          </w:p>
          <w:p w14:paraId="2A549CA1">
            <w:pPr>
              <w:keepNext w:val="0"/>
              <w:keepLines w:val="0"/>
              <w:pageBreakBefore w:val="0"/>
              <w:widowControl w:val="0"/>
              <w:suppressLineNumbers w:val="0"/>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13"/>
                <w:sz w:val="24"/>
                <w:szCs w:val="24"/>
              </w:rPr>
            </w:pPr>
            <w:r>
              <w:rPr>
                <w:rFonts w:hint="default" w:ascii="Times New Roman" w:hAnsi="Times New Roman" w:cs="Times New Roman"/>
                <w:bCs/>
                <w:color w:val="auto"/>
                <w:sz w:val="24"/>
                <w:highlight w:val="none"/>
              </w:rPr>
              <w:t>本项目</w:t>
            </w:r>
            <w:r>
              <w:rPr>
                <w:rFonts w:hint="default" w:ascii="Times New Roman" w:hAnsi="Times New Roman" w:cs="Times New Roman"/>
                <w:b w:val="0"/>
                <w:bCs/>
                <w:color w:val="auto"/>
                <w:sz w:val="24"/>
                <w:highlight w:val="none"/>
                <w:lang w:val="en-US" w:eastAsia="zh-CN"/>
              </w:rPr>
              <w:t>建设地点</w:t>
            </w:r>
            <w:r>
              <w:rPr>
                <w:rFonts w:hint="default" w:ascii="Times New Roman" w:hAnsi="Times New Roman" w:cs="Times New Roman"/>
                <w:b w:val="0"/>
                <w:bCs/>
                <w:color w:val="auto"/>
                <w:sz w:val="24"/>
                <w:highlight w:val="none"/>
                <w:lang w:eastAsia="zh-CN"/>
              </w:rPr>
              <w:t>位于宁夏回族自治区固原市原州区、彭阳县</w:t>
            </w: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bCs/>
                <w:color w:val="auto"/>
                <w:sz w:val="24"/>
                <w:highlight w:val="none"/>
              </w:rPr>
              <w:t>不</w:t>
            </w:r>
            <w:r>
              <w:rPr>
                <w:rFonts w:hint="default" w:ascii="Times New Roman" w:hAnsi="Times New Roman" w:cs="Times New Roman"/>
                <w:bCs/>
                <w:color w:val="auto"/>
                <w:sz w:val="24"/>
                <w:highlight w:val="none"/>
                <w:lang w:val="en-US" w:eastAsia="zh-CN"/>
              </w:rPr>
              <w:t>涉及</w:t>
            </w:r>
            <w:r>
              <w:rPr>
                <w:rFonts w:hint="default" w:ascii="Times New Roman" w:hAnsi="Times New Roman" w:cs="Times New Roman"/>
                <w:bCs/>
                <w:color w:val="auto"/>
                <w:sz w:val="24"/>
                <w:highlight w:val="none"/>
                <w:lang w:eastAsia="zh-CN"/>
              </w:rPr>
              <w:t>国家公园、自然保护区、风景名胜区、饮用水水源保护区</w:t>
            </w:r>
            <w:r>
              <w:rPr>
                <w:rFonts w:hint="default" w:ascii="Times New Roman" w:hAnsi="Times New Roman" w:cs="Times New Roman"/>
                <w:color w:val="auto"/>
                <w:sz w:val="24"/>
                <w:highlight w:val="none"/>
              </w:rPr>
              <w:t>等环境敏感区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云雾山330千伏变电站</w:t>
            </w:r>
            <w:r>
              <w:rPr>
                <w:rFonts w:hint="eastAsia" w:cs="Times New Roman"/>
                <w:color w:val="auto"/>
                <w:sz w:val="24"/>
                <w:highlight w:val="none"/>
                <w:lang w:val="en-US" w:eastAsia="zh-CN"/>
              </w:rPr>
              <w:t>间隔扩建工程生态影响评价范围内涉及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color w:val="auto"/>
                <w:sz w:val="24"/>
                <w:highlight w:val="none"/>
                <w:lang w:val="en-US" w:eastAsia="zh-CN"/>
              </w:rPr>
              <w:t>，但本次间隔扩建工程仅为站内施工，不在站外设置永久或临时占地，因此对站外</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bCs/>
                <w:color w:val="auto"/>
                <w:sz w:val="24"/>
                <w:szCs w:val="24"/>
                <w:highlight w:val="none"/>
                <w:lang w:val="en-US" w:eastAsia="zh-CN"/>
              </w:rPr>
              <w:t>影响轻微；</w:t>
            </w:r>
            <w:r>
              <w:rPr>
                <w:rFonts w:hint="default" w:ascii="Times New Roman" w:hAnsi="Times New Roman" w:cs="Times New Roman"/>
                <w:bCs/>
                <w:color w:val="auto"/>
                <w:sz w:val="24"/>
                <w:szCs w:val="24"/>
                <w:highlight w:val="none"/>
                <w:lang w:val="en-US" w:eastAsia="zh-CN"/>
              </w:rPr>
              <w:t>输电线路穿越东南黄土高原丘陵水土保持生态保护红线</w:t>
            </w:r>
            <w:r>
              <w:rPr>
                <w:rFonts w:hint="eastAsia" w:cs="Times New Roman"/>
                <w:bCs/>
                <w:color w:val="auto"/>
                <w:sz w:val="24"/>
                <w:szCs w:val="24"/>
                <w:highlight w:val="none"/>
                <w:lang w:val="en-US" w:eastAsia="zh-CN"/>
              </w:rPr>
              <w:t>10.514</w:t>
            </w:r>
            <w:r>
              <w:rPr>
                <w:rFonts w:hint="default" w:ascii="Times New Roman" w:hAnsi="Times New Roman" w:cs="Times New Roman"/>
                <w:bCs/>
                <w:color w:val="auto"/>
                <w:sz w:val="24"/>
                <w:szCs w:val="24"/>
                <w:highlight w:val="none"/>
                <w:lang w:val="en-US" w:eastAsia="zh-CN"/>
              </w:rPr>
              <w:t>km，红线内立塔3</w:t>
            </w:r>
            <w:r>
              <w:rPr>
                <w:rFonts w:hint="eastAsia"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lang w:val="en-US" w:eastAsia="zh-CN"/>
              </w:rPr>
              <w:t>基，</w:t>
            </w:r>
            <w:r>
              <w:rPr>
                <w:rFonts w:hint="default" w:ascii="Times New Roman" w:hAnsi="Times New Roman" w:cs="Times New Roman"/>
                <w:color w:val="auto"/>
                <w:sz w:val="24"/>
                <w:szCs w:val="24"/>
                <w:highlight w:val="none"/>
                <w:vertAlign w:val="baseline"/>
                <w:lang w:val="en-US" w:eastAsia="zh-CN"/>
              </w:rPr>
              <w:t>在红线内总占地面积3.1696hm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vertAlign w:val="baseline"/>
                <w:lang w:val="en-US" w:eastAsia="zh-CN"/>
              </w:rPr>
              <w:t>，</w:t>
            </w:r>
            <w:r>
              <w:rPr>
                <w:rFonts w:hint="eastAsia" w:cs="Times New Roman"/>
                <w:color w:val="auto"/>
                <w:sz w:val="24"/>
                <w:szCs w:val="24"/>
                <w:highlight w:val="none"/>
                <w:vertAlign w:val="baseline"/>
                <w:lang w:val="en-US" w:eastAsia="zh-CN"/>
              </w:rPr>
              <w:t>输电线路</w:t>
            </w:r>
            <w:r>
              <w:rPr>
                <w:rFonts w:hint="default" w:ascii="Times New Roman" w:hAnsi="Times New Roman" w:cs="Times New Roman"/>
                <w:b w:val="0"/>
                <w:bCs/>
                <w:color w:val="auto"/>
                <w:sz w:val="24"/>
                <w:highlight w:val="none"/>
                <w:lang w:val="en-US" w:eastAsia="zh-CN"/>
              </w:rPr>
              <w:t>涉及宁夏回族自治区固原市原州区河川乡和彭阳县王洼镇、交岔乡，不涉及新增建设用地，局部确实无法避让生态红线，</w:t>
            </w:r>
            <w:r>
              <w:rPr>
                <w:rFonts w:hint="eastAsia" w:cs="Times New Roman"/>
                <w:b w:val="0"/>
                <w:bCs/>
                <w:color w:val="auto"/>
                <w:sz w:val="24"/>
                <w:highlight w:val="none"/>
                <w:lang w:val="en-US" w:eastAsia="zh-CN"/>
              </w:rPr>
              <w:t>本项目</w:t>
            </w:r>
            <w:r>
              <w:rPr>
                <w:rFonts w:hint="eastAsia" w:cs="Times New Roman"/>
                <w:color w:val="auto"/>
                <w:sz w:val="24"/>
                <w:szCs w:val="24"/>
                <w:highlight w:val="none"/>
                <w:vertAlign w:val="baseline"/>
                <w:lang w:val="en-US" w:eastAsia="zh-CN"/>
              </w:rPr>
              <w:t>输电线路</w:t>
            </w:r>
            <w:r>
              <w:rPr>
                <w:rFonts w:hint="eastAsia" w:cs="Times New Roman"/>
                <w:b w:val="0"/>
                <w:bCs/>
                <w:color w:val="auto"/>
                <w:sz w:val="24"/>
                <w:highlight w:val="none"/>
                <w:lang w:val="en-US" w:eastAsia="zh-CN"/>
              </w:rPr>
              <w:t>的建设符合《固原市国土空间总体规划（2021—2035年）》和《彭阳县国土空间总体规划（2021—2035年）》的线性基础设施，</w:t>
            </w:r>
            <w:r>
              <w:rPr>
                <w:rFonts w:hint="default" w:ascii="Times New Roman" w:hAnsi="Times New Roman" w:cs="Times New Roman"/>
                <w:color w:val="auto"/>
                <w:sz w:val="24"/>
                <w:szCs w:val="24"/>
                <w:highlight w:val="none"/>
                <w:lang w:val="en-US" w:eastAsia="zh-CN"/>
              </w:rPr>
              <w:t>属于</w:t>
            </w:r>
            <w:r>
              <w:rPr>
                <w:rFonts w:hint="default" w:ascii="Times New Roman" w:hAnsi="Times New Roman" w:cs="Times New Roman"/>
                <w:b w:val="0"/>
                <w:bCs/>
                <w:color w:val="auto"/>
                <w:sz w:val="24"/>
                <w:highlight w:val="none"/>
                <w:lang w:val="en-US" w:eastAsia="zh-CN"/>
              </w:rPr>
              <w:t>《自然资源部 生态环境部 国家林业和草原局〈关于加强生态保护红线管理的通知（试行）〉》（自然资发〔2022〕142号）</w:t>
            </w:r>
            <w:r>
              <w:rPr>
                <w:rFonts w:hint="eastAsia" w:cs="Times New Roman"/>
                <w:b w:val="0"/>
                <w:bCs/>
                <w:color w:val="auto"/>
                <w:sz w:val="24"/>
                <w:highlight w:val="none"/>
                <w:lang w:val="en-US" w:eastAsia="zh-CN"/>
              </w:rPr>
              <w:t>中</w:t>
            </w:r>
            <w:r>
              <w:rPr>
                <w:rFonts w:hint="default" w:ascii="Times New Roman" w:hAnsi="Times New Roman" w:cs="Times New Roman"/>
                <w:b w:val="0"/>
                <w:bCs/>
                <w:color w:val="auto"/>
                <w:sz w:val="24"/>
                <w:highlight w:val="none"/>
                <w:lang w:val="en-US" w:eastAsia="zh-CN"/>
              </w:rPr>
              <w:t>仅允许对生态功能不造成破坏的9大类有限人为活动中的第6种情形：“必须且无法避让、符合县级以上国土空间规划的线性基础设施建设”</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建设单位</w:t>
            </w:r>
            <w:r>
              <w:rPr>
                <w:rFonts w:hint="default" w:ascii="Times New Roman" w:hAnsi="Times New Roman" w:cs="Times New Roman"/>
                <w:color w:val="auto"/>
                <w:sz w:val="24"/>
                <w:szCs w:val="24"/>
                <w:highlight w:val="none"/>
                <w:lang w:val="en-US" w:eastAsia="zh-CN"/>
              </w:rPr>
              <w:t>已于202</w:t>
            </w: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年</w:t>
            </w:r>
            <w:r>
              <w:rPr>
                <w:rFonts w:hint="eastAsia" w:cs="Times New Roman"/>
                <w:color w:val="auto"/>
                <w:sz w:val="24"/>
                <w:szCs w:val="24"/>
                <w:highlight w:val="none"/>
                <w:lang w:val="en-US" w:eastAsia="zh-CN"/>
              </w:rPr>
              <w:t>X</w:t>
            </w:r>
            <w:r>
              <w:rPr>
                <w:rFonts w:hint="default" w:ascii="Times New Roman" w:hAnsi="Times New Roman" w:cs="Times New Roman"/>
                <w:color w:val="auto"/>
                <w:sz w:val="24"/>
                <w:szCs w:val="24"/>
                <w:highlight w:val="none"/>
                <w:lang w:val="en-US" w:eastAsia="zh-CN"/>
              </w:rPr>
              <w:t>月</w:t>
            </w:r>
            <w:r>
              <w:rPr>
                <w:rFonts w:hint="eastAsia" w:cs="Times New Roman"/>
                <w:color w:val="auto"/>
                <w:sz w:val="24"/>
                <w:szCs w:val="24"/>
                <w:highlight w:val="none"/>
                <w:lang w:val="en-US" w:eastAsia="zh-CN"/>
              </w:rPr>
              <w:t>X</w:t>
            </w:r>
            <w:r>
              <w:rPr>
                <w:rFonts w:hint="default" w:ascii="Times New Roman" w:hAnsi="Times New Roman" w:cs="Times New Roman"/>
                <w:color w:val="auto"/>
                <w:sz w:val="24"/>
                <w:szCs w:val="24"/>
                <w:highlight w:val="none"/>
                <w:lang w:val="en-US" w:eastAsia="zh-CN"/>
              </w:rPr>
              <w:t>日取得固原市人民政府关于认定宁夏固原华电彭阳200兆瓦风电项目110千伏送出工程临时用地符合生态保护红线内允许有限人为活动的意见（</w:t>
            </w:r>
            <w:r>
              <w:rPr>
                <w:rFonts w:hint="default" w:ascii="Times New Roman" w:hAnsi="Times New Roman" w:cs="Times New Roman"/>
                <w:b/>
                <w:bCs w:val="0"/>
                <w:color w:val="auto"/>
                <w:sz w:val="24"/>
                <w:szCs w:val="24"/>
                <w:lang w:val="en-US" w:eastAsia="zh-CN"/>
              </w:rPr>
              <w:t>详见附件</w:t>
            </w:r>
            <w:r>
              <w:rPr>
                <w:rFonts w:hint="eastAsia" w:cs="Times New Roman"/>
                <w:b/>
                <w:bCs w:val="0"/>
                <w:color w:val="auto"/>
                <w:sz w:val="24"/>
                <w:szCs w:val="24"/>
                <w:lang w:val="en-US" w:eastAsia="zh-CN"/>
              </w:rPr>
              <w:t>4</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w:t>
            </w:r>
            <w:r>
              <w:rPr>
                <w:rFonts w:hint="default" w:ascii="Times New Roman" w:hAnsi="Times New Roman" w:eastAsia="宋体" w:cs="Times New Roman"/>
                <w:snapToGrid w:val="0"/>
                <w:color w:val="auto"/>
                <w:spacing w:val="-7"/>
                <w:kern w:val="0"/>
                <w:sz w:val="24"/>
                <w:szCs w:val="24"/>
                <w:lang w:val="en-US" w:eastAsia="zh-CN" w:bidi="ar-SA"/>
              </w:rPr>
              <w:t>属于文件中要求的符合生态保护红线准入清单的开发活动</w:t>
            </w:r>
            <w:r>
              <w:rPr>
                <w:rFonts w:hint="default" w:ascii="Times New Roman" w:hAnsi="Times New Roman" w:cs="Times New Roman"/>
                <w:bCs/>
                <w:color w:val="auto"/>
                <w:sz w:val="24"/>
                <w:highlight w:val="none"/>
                <w:lang w:eastAsia="zh-CN"/>
              </w:rPr>
              <w:t>。</w:t>
            </w:r>
            <w:r>
              <w:rPr>
                <w:rFonts w:hint="default" w:ascii="Times New Roman" w:hAnsi="Times New Roman" w:cs="Times New Roman"/>
                <w:color w:val="auto"/>
                <w:sz w:val="24"/>
                <w:szCs w:val="24"/>
                <w:highlight w:val="none"/>
                <w:vertAlign w:val="baseline"/>
                <w:lang w:val="en-US" w:eastAsia="zh-CN"/>
              </w:rPr>
              <w:t>随着项目施工活动的结束，生态恢复措施、生物措施及水土保持对策措施的开展，可将项目对生态保护红线的影响进行防治和改善。</w:t>
            </w:r>
            <w:r>
              <w:rPr>
                <w:rFonts w:hint="default" w:ascii="Times New Roman" w:hAnsi="Times New Roman" w:eastAsia="宋体" w:cs="Times New Roman"/>
                <w:snapToGrid w:val="0"/>
                <w:color w:val="auto"/>
                <w:spacing w:val="-7"/>
                <w:kern w:val="0"/>
                <w:sz w:val="24"/>
                <w:szCs w:val="24"/>
                <w:lang w:val="en-US" w:eastAsia="zh-CN" w:bidi="ar-SA"/>
              </w:rPr>
              <w:t>因此，本项目</w:t>
            </w:r>
            <w:r>
              <w:rPr>
                <w:rFonts w:hint="eastAsia" w:cs="Times New Roman"/>
                <w:snapToGrid w:val="0"/>
                <w:color w:val="auto"/>
                <w:spacing w:val="-7"/>
                <w:kern w:val="0"/>
                <w:sz w:val="24"/>
                <w:szCs w:val="24"/>
                <w:lang w:val="en-US" w:eastAsia="zh-CN" w:bidi="ar-SA"/>
              </w:rPr>
              <w:t>的建设</w:t>
            </w:r>
            <w:r>
              <w:rPr>
                <w:rFonts w:hint="default" w:ascii="Times New Roman" w:hAnsi="Times New Roman" w:cs="Times New Roman"/>
                <w:b w:val="0"/>
                <w:bCs/>
                <w:color w:val="auto"/>
                <w:sz w:val="24"/>
                <w:highlight w:val="none"/>
              </w:rPr>
              <w:t>与</w:t>
            </w:r>
            <w:r>
              <w:rPr>
                <w:rFonts w:hint="default" w:ascii="Times New Roman" w:hAnsi="Times New Roman" w:cs="Times New Roman"/>
                <w:b w:val="0"/>
                <w:bCs/>
                <w:color w:val="auto"/>
                <w:sz w:val="24"/>
                <w:szCs w:val="24"/>
                <w:highlight w:val="none"/>
                <w:lang w:val="en-US" w:eastAsia="zh-CN"/>
              </w:rPr>
              <w:t>《自然资源部、生态环境部、国家林业和草原局关于加强生态保护红线管理的通知（试行）》</w:t>
            </w:r>
            <w:r>
              <w:rPr>
                <w:rFonts w:hint="default" w:ascii="Times New Roman" w:hAnsi="Times New Roman" w:eastAsia="宋体" w:cs="Times New Roman"/>
                <w:b w:val="0"/>
                <w:bCs/>
                <w:snapToGrid w:val="0"/>
                <w:color w:val="auto"/>
                <w:kern w:val="0"/>
                <w:sz w:val="24"/>
                <w:szCs w:val="24"/>
                <w:lang w:val="en-US" w:eastAsia="zh-CN" w:bidi="ar"/>
              </w:rPr>
              <w:t>《宁夏回族自治区生态保护红线管理条例</w:t>
            </w:r>
            <w:r>
              <w:rPr>
                <w:rFonts w:hint="eastAsia" w:cs="Times New Roman"/>
                <w:b w:val="0"/>
                <w:bCs/>
                <w:snapToGrid w:val="0"/>
                <w:color w:val="auto"/>
                <w:kern w:val="0"/>
                <w:sz w:val="24"/>
                <w:szCs w:val="24"/>
                <w:lang w:val="en-US" w:eastAsia="zh-CN" w:bidi="ar"/>
              </w:rPr>
              <w:t>（2023年8月2日修正）</w:t>
            </w:r>
            <w:r>
              <w:rPr>
                <w:rFonts w:hint="default" w:ascii="Times New Roman" w:hAnsi="Times New Roman" w:eastAsia="宋体" w:cs="Times New Roman"/>
                <w:b w:val="0"/>
                <w:bCs/>
                <w:snapToGrid w:val="0"/>
                <w:color w:val="auto"/>
                <w:kern w:val="0"/>
                <w:sz w:val="24"/>
                <w:szCs w:val="24"/>
                <w:lang w:val="en-US" w:eastAsia="zh-CN" w:bidi="ar"/>
              </w:rPr>
              <w:t>》</w:t>
            </w:r>
            <w:r>
              <w:rPr>
                <w:rFonts w:hint="eastAsia" w:cs="Times New Roman"/>
                <w:b w:val="0"/>
                <w:bCs/>
                <w:snapToGrid w:val="0"/>
                <w:color w:val="auto"/>
                <w:kern w:val="0"/>
                <w:sz w:val="24"/>
                <w:szCs w:val="24"/>
                <w:lang w:val="en-US" w:eastAsia="zh-CN" w:bidi="ar"/>
              </w:rPr>
              <w:t>相</w:t>
            </w:r>
            <w:r>
              <w:rPr>
                <w:rFonts w:hint="default" w:ascii="Times New Roman" w:hAnsi="Times New Roman" w:eastAsia="宋体" w:cs="Times New Roman"/>
                <w:snapToGrid w:val="0"/>
                <w:color w:val="auto"/>
                <w:spacing w:val="-7"/>
                <w:kern w:val="0"/>
                <w:sz w:val="24"/>
                <w:szCs w:val="24"/>
                <w:lang w:val="en-US" w:eastAsia="zh-CN" w:bidi="ar-SA"/>
              </w:rPr>
              <w:t>符。</w:t>
            </w:r>
          </w:p>
          <w:p w14:paraId="365885C4">
            <w:pPr>
              <w:autoSpaceDE w:val="0"/>
              <w:autoSpaceDN w:val="0"/>
              <w:spacing w:line="360" w:lineRule="auto"/>
              <w:ind w:firstLine="482" w:firstLineChars="200"/>
              <w:rPr>
                <w:rFonts w:hint="default" w:ascii="Times New Roman" w:hAnsi="Times New Roman" w:cs="Times New Roman"/>
                <w:b/>
                <w:color w:val="auto"/>
                <w:sz w:val="24"/>
                <w:highlight w:val="none"/>
              </w:rPr>
            </w:pPr>
            <w:r>
              <w:rPr>
                <w:rFonts w:hint="eastAsia" w:cs="Times New Roman"/>
                <w:b/>
                <w:bCs w:val="0"/>
                <w:color w:val="auto"/>
                <w:sz w:val="24"/>
                <w:highlight w:val="none"/>
                <w:lang w:val="en-US" w:eastAsia="zh-CN"/>
              </w:rPr>
              <w:t>7.</w:t>
            </w:r>
            <w:r>
              <w:rPr>
                <w:rFonts w:hint="default" w:ascii="Times New Roman" w:hAnsi="Times New Roman" w:cs="Times New Roman"/>
                <w:b/>
                <w:color w:val="auto"/>
                <w:sz w:val="24"/>
                <w:highlight w:val="none"/>
              </w:rPr>
              <w:t>与</w:t>
            </w:r>
            <w:r>
              <w:rPr>
                <w:rFonts w:hint="eastAsia" w:cs="Times New Roman"/>
                <w:b/>
                <w:color w:val="auto"/>
                <w:sz w:val="24"/>
                <w:highlight w:val="none"/>
                <w:lang w:eastAsia="zh-CN"/>
              </w:rPr>
              <w:t>《</w:t>
            </w:r>
            <w:r>
              <w:rPr>
                <w:rFonts w:hint="default" w:ascii="Times New Roman" w:hAnsi="Times New Roman" w:cs="Times New Roman"/>
                <w:b/>
                <w:color w:val="auto"/>
                <w:sz w:val="24"/>
                <w:highlight w:val="none"/>
                <w:lang w:val="en-US" w:eastAsia="zh-CN"/>
              </w:rPr>
              <w:t>固原</w:t>
            </w:r>
            <w:r>
              <w:rPr>
                <w:rFonts w:hint="default" w:ascii="Times New Roman" w:hAnsi="Times New Roman" w:cs="Times New Roman"/>
                <w:b/>
                <w:color w:val="auto"/>
                <w:sz w:val="24"/>
                <w:highlight w:val="none"/>
              </w:rPr>
              <w:t>市</w:t>
            </w:r>
            <w:r>
              <w:rPr>
                <w:rFonts w:hint="default" w:ascii="Times New Roman" w:hAnsi="Times New Roman" w:cs="Times New Roman"/>
                <w:b/>
                <w:color w:val="auto"/>
                <w:sz w:val="24"/>
                <w:highlight w:val="none"/>
                <w:lang w:val="en-US" w:eastAsia="zh-CN"/>
              </w:rPr>
              <w:t>生态环境分区管控实施方案</w:t>
            </w:r>
            <w:r>
              <w:rPr>
                <w:rFonts w:hint="eastAsia" w:cs="Times New Roman"/>
                <w:b/>
                <w:color w:val="auto"/>
                <w:sz w:val="24"/>
                <w:highlight w:val="none"/>
                <w:lang w:eastAsia="zh-CN"/>
              </w:rPr>
              <w:t>》</w:t>
            </w:r>
            <w:r>
              <w:rPr>
                <w:rFonts w:hint="default" w:ascii="Times New Roman" w:hAnsi="Times New Roman" w:cs="Times New Roman"/>
                <w:b/>
                <w:color w:val="auto"/>
                <w:sz w:val="24"/>
                <w:highlight w:val="none"/>
              </w:rPr>
              <w:t>符合性分析</w:t>
            </w:r>
          </w:p>
          <w:p w14:paraId="5A763BF8">
            <w:pPr>
              <w:autoSpaceDE w:val="0"/>
              <w:autoSpaceDN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w:t>
            </w:r>
            <w:r>
              <w:rPr>
                <w:rFonts w:hint="default" w:ascii="Times New Roman" w:hAnsi="Times New Roman" w:cs="Times New Roman"/>
                <w:bCs/>
                <w:color w:val="auto"/>
                <w:sz w:val="24"/>
                <w:highlight w:val="none"/>
                <w:lang w:val="en-US" w:eastAsia="zh-CN"/>
              </w:rPr>
              <w:t>固原</w:t>
            </w:r>
            <w:r>
              <w:rPr>
                <w:rFonts w:hint="default" w:ascii="Times New Roman" w:hAnsi="Times New Roman" w:cs="Times New Roman"/>
                <w:bCs/>
                <w:color w:val="auto"/>
                <w:sz w:val="24"/>
                <w:highlight w:val="none"/>
              </w:rPr>
              <w:t>市人民政府关于</w:t>
            </w:r>
            <w:r>
              <w:rPr>
                <w:rFonts w:hint="default" w:ascii="Times New Roman" w:hAnsi="Times New Roman" w:cs="Times New Roman"/>
                <w:bCs/>
                <w:color w:val="auto"/>
                <w:sz w:val="24"/>
                <w:highlight w:val="none"/>
                <w:lang w:val="en-US" w:eastAsia="zh-CN"/>
              </w:rPr>
              <w:t>印发《固原市</w:t>
            </w:r>
            <w:r>
              <w:rPr>
                <w:rFonts w:hint="default" w:ascii="Times New Roman" w:hAnsi="Times New Roman" w:cs="Times New Roman"/>
                <w:bCs/>
                <w:color w:val="auto"/>
                <w:sz w:val="24"/>
                <w:highlight w:val="none"/>
              </w:rPr>
              <w:t>生态环境分区管控</w:t>
            </w:r>
            <w:r>
              <w:rPr>
                <w:rFonts w:hint="default" w:ascii="Times New Roman" w:hAnsi="Times New Roman" w:cs="Times New Roman"/>
                <w:bCs/>
                <w:color w:val="auto"/>
                <w:sz w:val="24"/>
                <w:highlight w:val="none"/>
                <w:lang w:val="en-US" w:eastAsia="zh-CN"/>
              </w:rPr>
              <w:t>实施方案</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的通知</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固</w:t>
            </w:r>
            <w:r>
              <w:rPr>
                <w:rFonts w:hint="default" w:ascii="Times New Roman" w:hAnsi="Times New Roman" w:cs="Times New Roman"/>
                <w:bCs/>
                <w:color w:val="auto"/>
                <w:sz w:val="24"/>
                <w:highlight w:val="none"/>
              </w:rPr>
              <w:t>政发〔2024〕</w:t>
            </w:r>
            <w:r>
              <w:rPr>
                <w:rFonts w:hint="default" w:ascii="Times New Roman" w:hAnsi="Times New Roman" w:cs="Times New Roman"/>
                <w:bCs/>
                <w:color w:val="auto"/>
                <w:sz w:val="24"/>
                <w:highlight w:val="none"/>
                <w:lang w:val="en-US" w:eastAsia="zh-CN"/>
              </w:rPr>
              <w:t>28</w:t>
            </w:r>
            <w:r>
              <w:rPr>
                <w:rFonts w:hint="default" w:ascii="Times New Roman" w:hAnsi="Times New Roman" w:cs="Times New Roman"/>
                <w:bCs/>
                <w:color w:val="auto"/>
                <w:sz w:val="24"/>
                <w:highlight w:val="none"/>
              </w:rPr>
              <w:t>号）文件要求</w:t>
            </w:r>
            <w:r>
              <w:rPr>
                <w:rFonts w:hint="eastAsia" w:cs="Times New Roman"/>
                <w:bCs/>
                <w:color w:val="auto"/>
                <w:sz w:val="24"/>
                <w:highlight w:val="none"/>
                <w:lang w:eastAsia="zh-CN"/>
              </w:rPr>
              <w:t>，将</w:t>
            </w:r>
            <w:r>
              <w:rPr>
                <w:rFonts w:hint="default" w:ascii="Times New Roman" w:hAnsi="Times New Roman" w:cs="Times New Roman"/>
                <w:bCs/>
                <w:color w:val="auto"/>
                <w:sz w:val="24"/>
                <w:highlight w:val="none"/>
                <w:lang w:val="en-US" w:eastAsia="zh-CN"/>
              </w:rPr>
              <w:t>全</w:t>
            </w:r>
            <w:r>
              <w:rPr>
                <w:rFonts w:hint="default" w:ascii="Times New Roman" w:hAnsi="Times New Roman" w:cs="Times New Roman"/>
                <w:bCs/>
                <w:color w:val="auto"/>
                <w:sz w:val="24"/>
                <w:highlight w:val="none"/>
              </w:rPr>
              <w:t>市划分为优先保护单元、重点管控单元和一般管控单元。</w:t>
            </w:r>
          </w:p>
          <w:p w14:paraId="6D1F72A1">
            <w:pPr>
              <w:autoSpaceDE w:val="0"/>
              <w:autoSpaceDN w:val="0"/>
              <w:spacing w:line="360" w:lineRule="auto"/>
              <w:ind w:firstLine="480" w:firstLineChars="200"/>
              <w:rPr>
                <w:rFonts w:hint="default" w:ascii="Times New Roman" w:hAnsi="Times New Roman" w:cs="Times New Roman"/>
                <w:bCs/>
                <w:color w:val="auto"/>
                <w:sz w:val="24"/>
                <w:highlight w:val="none"/>
                <w:lang w:eastAsia="zh-CN"/>
              </w:rPr>
            </w:pPr>
            <w:r>
              <w:rPr>
                <w:rFonts w:hint="eastAsia" w:cs="Times New Roman"/>
                <w:b w:val="0"/>
                <w:bCs/>
                <w:color w:val="auto"/>
                <w:sz w:val="24"/>
                <w:highlight w:val="none"/>
                <w:lang w:val="en-US" w:eastAsia="zh-CN"/>
              </w:rPr>
              <w:t>本</w:t>
            </w:r>
            <w:r>
              <w:rPr>
                <w:rFonts w:hint="default" w:ascii="Times New Roman" w:hAnsi="Times New Roman" w:cs="Times New Roman"/>
                <w:bCs/>
                <w:color w:val="auto"/>
                <w:sz w:val="24"/>
                <w:highlight w:val="none"/>
              </w:rPr>
              <w:t>项目与</w:t>
            </w:r>
            <w:r>
              <w:rPr>
                <w:rFonts w:hint="default" w:ascii="Times New Roman" w:hAnsi="Times New Roman" w:cs="Times New Roman"/>
                <w:bCs/>
                <w:color w:val="auto"/>
                <w:sz w:val="24"/>
                <w:highlight w:val="none"/>
                <w:lang w:val="en-US" w:eastAsia="zh-CN"/>
              </w:rPr>
              <w:t>固原</w:t>
            </w:r>
            <w:r>
              <w:rPr>
                <w:rFonts w:hint="default" w:ascii="Times New Roman" w:hAnsi="Times New Roman" w:cs="Times New Roman"/>
                <w:bCs/>
                <w:color w:val="auto"/>
                <w:sz w:val="24"/>
                <w:highlight w:val="none"/>
              </w:rPr>
              <w:t>市</w:t>
            </w:r>
            <w:r>
              <w:rPr>
                <w:rFonts w:hint="default" w:ascii="Times New Roman" w:hAnsi="Times New Roman" w:cs="Times New Roman"/>
                <w:bCs/>
                <w:color w:val="auto"/>
                <w:sz w:val="24"/>
                <w:highlight w:val="none"/>
                <w:lang w:val="en-US" w:eastAsia="zh-CN"/>
              </w:rPr>
              <w:t>生态环境分区管控实施方案</w:t>
            </w:r>
            <w:r>
              <w:rPr>
                <w:rFonts w:hint="default" w:ascii="Times New Roman" w:hAnsi="Times New Roman" w:cs="Times New Roman"/>
                <w:bCs/>
                <w:color w:val="auto"/>
                <w:sz w:val="24"/>
                <w:highlight w:val="none"/>
              </w:rPr>
              <w:t>符合性分析见表1-</w:t>
            </w:r>
            <w:r>
              <w:rPr>
                <w:rFonts w:hint="default" w:ascii="Times New Roman" w:hAnsi="Times New Roman" w:cs="Times New Roman"/>
                <w:bCs/>
                <w:color w:val="auto"/>
                <w:sz w:val="24"/>
                <w:highlight w:val="none"/>
                <w:lang w:val="en-US" w:eastAsia="zh-CN"/>
              </w:rPr>
              <w:t>2，与固原</w:t>
            </w:r>
            <w:r>
              <w:rPr>
                <w:rFonts w:hint="default" w:ascii="Times New Roman" w:hAnsi="Times New Roman" w:cs="Times New Roman"/>
                <w:bCs/>
                <w:color w:val="auto"/>
                <w:sz w:val="24"/>
                <w:highlight w:val="none"/>
              </w:rPr>
              <w:t>市</w:t>
            </w:r>
            <w:r>
              <w:rPr>
                <w:rFonts w:hint="default" w:ascii="Times New Roman" w:hAnsi="Times New Roman" w:cs="Times New Roman"/>
                <w:bCs/>
                <w:color w:val="auto"/>
                <w:sz w:val="24"/>
                <w:highlight w:val="none"/>
                <w:lang w:val="en-US" w:eastAsia="zh-CN"/>
              </w:rPr>
              <w:t>生态环境准入清单总体要求符合性分析见表1-3，与固原市环境管控单元生态环境准入清单符合性分析见表1-4。</w:t>
            </w:r>
            <w:r>
              <w:rPr>
                <w:rFonts w:hint="eastAsia" w:cs="Times New Roman"/>
                <w:b w:val="0"/>
                <w:bCs/>
                <w:color w:val="auto"/>
                <w:sz w:val="24"/>
                <w:highlight w:val="none"/>
                <w:lang w:val="en-US" w:eastAsia="zh-CN"/>
              </w:rPr>
              <w:t>本</w:t>
            </w:r>
            <w:r>
              <w:rPr>
                <w:rFonts w:hint="default" w:ascii="Times New Roman" w:hAnsi="Times New Roman" w:cs="Times New Roman"/>
                <w:b w:val="0"/>
                <w:bCs/>
                <w:color w:val="auto"/>
                <w:sz w:val="24"/>
                <w:highlight w:val="none"/>
                <w:lang w:val="en-US" w:eastAsia="zh-CN"/>
              </w:rPr>
              <w:t>项目与固原市生态空间分布关系见附图1-2。</w:t>
            </w:r>
          </w:p>
          <w:p w14:paraId="33A67C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lang w:val="en-US"/>
              </w:rPr>
            </w:pPr>
            <w:r>
              <w:rPr>
                <w:rFonts w:hint="default" w:ascii="Times New Roman" w:hAnsi="Times New Roman" w:eastAsia="宋体" w:cs="Times New Roman"/>
                <w:b/>
                <w:bCs/>
                <w:color w:val="auto"/>
                <w:sz w:val="24"/>
                <w:szCs w:val="24"/>
                <w:highlight w:val="none"/>
                <w:lang w:val="en-US" w:eastAsia="zh-CN"/>
              </w:rPr>
              <w:t>表</w:t>
            </w:r>
            <w:r>
              <w:rPr>
                <w:rFonts w:hint="default" w:ascii="Times New Roman" w:hAnsi="Times New Roman" w:eastAsia="宋体" w:cs="Times New Roman"/>
                <w:b/>
                <w:bCs/>
                <w:color w:val="auto"/>
                <w:sz w:val="24"/>
                <w:szCs w:val="24"/>
                <w:highlight w:val="none"/>
                <w:lang w:val="en-US"/>
              </w:rPr>
              <w:t>1-</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rPr>
              <w:t xml:space="preserve">  项目与</w:t>
            </w:r>
            <w:r>
              <w:rPr>
                <w:rFonts w:hint="default" w:ascii="Times New Roman" w:hAnsi="Times New Roman" w:eastAsia="宋体" w:cs="Times New Roman"/>
                <w:b/>
                <w:bCs/>
                <w:color w:val="auto"/>
                <w:sz w:val="24"/>
                <w:szCs w:val="24"/>
                <w:highlight w:val="none"/>
                <w:lang w:val="en-US" w:eastAsia="zh-CN"/>
              </w:rPr>
              <w:t>固原</w:t>
            </w:r>
            <w:r>
              <w:rPr>
                <w:rFonts w:hint="default" w:ascii="Times New Roman" w:hAnsi="Times New Roman" w:eastAsia="宋体" w:cs="Times New Roman"/>
                <w:b/>
                <w:bCs/>
                <w:color w:val="auto"/>
                <w:sz w:val="24"/>
                <w:szCs w:val="24"/>
                <w:highlight w:val="none"/>
                <w:lang w:val="en-US"/>
              </w:rPr>
              <w:t>市</w:t>
            </w:r>
            <w:r>
              <w:rPr>
                <w:rFonts w:hint="default" w:ascii="Times New Roman" w:hAnsi="Times New Roman" w:eastAsia="宋体" w:cs="Times New Roman"/>
                <w:b/>
                <w:bCs/>
                <w:color w:val="auto"/>
                <w:sz w:val="24"/>
                <w:szCs w:val="24"/>
                <w:highlight w:val="none"/>
                <w:lang w:val="en-US" w:eastAsia="zh-CN"/>
              </w:rPr>
              <w:t>生态环境分区管控动态更新成果</w:t>
            </w:r>
            <w:r>
              <w:rPr>
                <w:rFonts w:hint="default" w:ascii="Times New Roman" w:hAnsi="Times New Roman" w:eastAsia="宋体" w:cs="Times New Roman"/>
                <w:b/>
                <w:bCs/>
                <w:color w:val="auto"/>
                <w:sz w:val="24"/>
                <w:szCs w:val="24"/>
                <w:highlight w:val="none"/>
                <w:lang w:val="en-US"/>
              </w:rPr>
              <w:t>符合性分析</w:t>
            </w:r>
          </w:p>
          <w:tbl>
            <w:tblPr>
              <w:tblStyle w:val="31"/>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82"/>
              <w:gridCol w:w="2640"/>
              <w:gridCol w:w="747"/>
            </w:tblGrid>
            <w:tr w14:paraId="58A56B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2701" w:type="pct"/>
                  <w:noWrap w:val="0"/>
                  <w:vAlign w:val="center"/>
                </w:tcPr>
                <w:p w14:paraId="7757296C">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固原市“三线一单”要求</w:t>
                  </w:r>
                </w:p>
              </w:tc>
              <w:tc>
                <w:tcPr>
                  <w:tcW w:w="1791" w:type="pct"/>
                  <w:noWrap w:val="0"/>
                  <w:vAlign w:val="center"/>
                </w:tcPr>
                <w:p w14:paraId="3BE4521B">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本项目情况</w:t>
                  </w:r>
                </w:p>
              </w:tc>
              <w:tc>
                <w:tcPr>
                  <w:tcW w:w="506" w:type="pct"/>
                  <w:noWrap w:val="0"/>
                  <w:vAlign w:val="center"/>
                </w:tcPr>
                <w:p w14:paraId="3AB57C56">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是否符合</w:t>
                  </w:r>
                </w:p>
              </w:tc>
            </w:tr>
            <w:tr w14:paraId="6DCBAB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7069F7C7">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生态保护红线及生态空间</w:t>
                  </w:r>
                </w:p>
              </w:tc>
            </w:tr>
            <w:tr w14:paraId="27347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1" w:type="pct"/>
                  <w:noWrap w:val="0"/>
                  <w:vAlign w:val="center"/>
                </w:tcPr>
                <w:p w14:paraId="6FE64545">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衔接落实《固原市国土空间总体规划（2021—2035年）》生态保护红线划定成果，以生态系统功能极重要区、重要区和生态环境极敏感区为基础，衔接林草部门自然保护地整合优化成果，将自治区级及以上自然保护区、森林公园、湿地公园、草原公园、地质公园、沙漠公园等各类自然保护地，以及国家级生态公益林、国家和自治区重要湿地、国家沙化土地封禁保护区、国家级水产种质资源保护区、黄河干流岸线等其他保护区域全部纳入，协调相关各类规划，并充分考虑土地利用现状及经济社会发展需求，划定固原市生态空间总面积4285.65平方公里。其中生态保护红线面积为2887.56平方公里；除生态保护红线以外的一般生态空间面积1397.22平方公里。</w:t>
                  </w:r>
                </w:p>
              </w:tc>
              <w:tc>
                <w:tcPr>
                  <w:tcW w:w="1791" w:type="pct"/>
                  <w:noWrap w:val="0"/>
                  <w:vAlign w:val="center"/>
                </w:tcPr>
                <w:p w14:paraId="6EA7753E">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位于宁夏回族自治区固原市原州区、彭阳县，云雾山330千伏变电站间隔扩建工程生态影响评价范围内涉及东南黄土高原丘陵水土保持生态保护红线，但本次间隔扩建工程仅为站内施工，不在站外设置永久或临时占地，因此对站外东南黄土高原丘陵水土保持生态保护红线影响</w:t>
                  </w:r>
                  <w:r>
                    <w:rPr>
                      <w:rFonts w:hint="eastAsia" w:cs="Times New Roman"/>
                      <w:color w:val="auto"/>
                      <w:sz w:val="21"/>
                      <w:szCs w:val="21"/>
                      <w:highlight w:val="none"/>
                      <w:lang w:val="en-US" w:eastAsia="zh-CN"/>
                    </w:rPr>
                    <w:t>轻微</w:t>
                  </w:r>
                  <w:r>
                    <w:rPr>
                      <w:rFonts w:hint="default" w:ascii="Times New Roman" w:hAnsi="Times New Roman" w:cs="Times New Roman"/>
                      <w:color w:val="auto"/>
                      <w:sz w:val="21"/>
                      <w:szCs w:val="21"/>
                      <w:highlight w:val="none"/>
                      <w:lang w:val="en-US" w:eastAsia="zh-CN"/>
                    </w:rPr>
                    <w:t>；输电线路穿越东南黄土高原丘陵水土保持生态保护红线</w:t>
                  </w:r>
                  <w:r>
                    <w:rPr>
                      <w:rFonts w:hint="eastAsia" w:cs="Times New Roman"/>
                      <w:color w:val="auto"/>
                      <w:sz w:val="21"/>
                      <w:szCs w:val="21"/>
                      <w:highlight w:val="none"/>
                      <w:lang w:val="en-US" w:eastAsia="zh-CN"/>
                    </w:rPr>
                    <w:t>10.514</w:t>
                  </w:r>
                  <w:r>
                    <w:rPr>
                      <w:rFonts w:hint="default" w:ascii="Times New Roman" w:hAnsi="Times New Roman" w:cs="Times New Roman"/>
                      <w:color w:val="auto"/>
                      <w:sz w:val="21"/>
                      <w:szCs w:val="21"/>
                      <w:highlight w:val="none"/>
                      <w:lang w:val="en-US" w:eastAsia="zh-CN"/>
                    </w:rPr>
                    <w:t>km，红线内立塔3</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基，在红线内总占地面积3.1696hm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，已于202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X</w:t>
                  </w:r>
                  <w:r>
                    <w:rPr>
                      <w:rFonts w:hint="default" w:ascii="Times New Roman" w:hAnsi="Times New Roman" w:cs="Times New Roman"/>
                      <w:color w:val="auto"/>
                      <w:sz w:val="21"/>
                      <w:szCs w:val="21"/>
                      <w:highlight w:val="none"/>
                      <w:lang w:val="en-US" w:eastAsia="zh-CN"/>
                    </w:rPr>
                    <w:t>月</w:t>
                  </w:r>
                  <w:r>
                    <w:rPr>
                      <w:rFonts w:hint="eastAsia" w:cs="Times New Roman"/>
                      <w:color w:val="auto"/>
                      <w:sz w:val="21"/>
                      <w:szCs w:val="21"/>
                      <w:highlight w:val="none"/>
                      <w:lang w:val="en-US" w:eastAsia="zh-CN"/>
                    </w:rPr>
                    <w:t>X</w:t>
                  </w:r>
                  <w:r>
                    <w:rPr>
                      <w:rFonts w:hint="default" w:ascii="Times New Roman" w:hAnsi="Times New Roman" w:cs="Times New Roman"/>
                      <w:color w:val="auto"/>
                      <w:sz w:val="21"/>
                      <w:szCs w:val="21"/>
                      <w:highlight w:val="none"/>
                      <w:lang w:val="en-US" w:eastAsia="zh-CN"/>
                    </w:rPr>
                    <w:t>日取得固原市人民政府关于认定宁夏固原华电彭阳200兆瓦风电项目110千伏送出工程临时用地符合生态保护红线内允许有限人为活动的意见。</w:t>
                  </w:r>
                </w:p>
                <w:p w14:paraId="6CF301E1">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项目与固原市生态保护红线关系见</w:t>
                  </w:r>
                  <w:r>
                    <w:rPr>
                      <w:rFonts w:hint="default" w:ascii="Times New Roman" w:hAnsi="Times New Roman" w:cs="Times New Roman"/>
                      <w:b w:val="0"/>
                      <w:bCs w:val="0"/>
                      <w:color w:val="auto"/>
                      <w:sz w:val="21"/>
                      <w:szCs w:val="21"/>
                      <w:highlight w:val="none"/>
                      <w:lang w:val="en-US" w:eastAsia="zh-CN"/>
                    </w:rPr>
                    <w:t>附图1-3。</w:t>
                  </w:r>
                </w:p>
              </w:tc>
              <w:tc>
                <w:tcPr>
                  <w:tcW w:w="506" w:type="pct"/>
                  <w:noWrap w:val="0"/>
                  <w:vAlign w:val="center"/>
                </w:tcPr>
                <w:p w14:paraId="7810E6D3">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537275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4D43DDC5">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生态分区管控要求</w:t>
                  </w:r>
                </w:p>
              </w:tc>
            </w:tr>
            <w:tr w14:paraId="0C0B41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1" w:type="pct"/>
                  <w:noWrap w:val="0"/>
                  <w:vAlign w:val="center"/>
                </w:tcPr>
                <w:p w14:paraId="41FE9589">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生态保护红线原则上按禁止开发区域的要求进行管理。严禁不符合主体功能定位的各类开发活动，严禁任意改变用途，确保生态保护红线内“生态功能不降低，面积不减少，性质不改变”。</w:t>
                  </w:r>
                </w:p>
                <w:p w14:paraId="1A02B703">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照《关于在国土空间规划中统筹划定落实三条控制线的指导意见》的要求，生态保护红线内，自然保护地核心保护区原则上禁止人为活动，其他区域严格禁止开发性、生产性建设活动，在符合现行法律法规前提下，除国家重大战略项目外，仅允许对生态功能不造成破坏的有限人为活动。</w:t>
                  </w:r>
                </w:p>
                <w:p w14:paraId="40B1A97C">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生态空间原则上按照限制开发区域的要求进行管理。严格控制新增建设用地占用一般生态空间。符合区域准入条件的建设项目，涉及占用生态空间中的林地、草原等，按有关法律法规规定办理；涉及占用生态空间中其他未作明确规定的用地，应当加强论证和管理。</w:t>
                  </w:r>
                </w:p>
              </w:tc>
              <w:tc>
                <w:tcPr>
                  <w:tcW w:w="1791" w:type="pct"/>
                  <w:noWrap w:val="0"/>
                  <w:vAlign w:val="center"/>
                </w:tcPr>
                <w:p w14:paraId="03F9CA98">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w:t>
                  </w:r>
                  <w:r>
                    <w:rPr>
                      <w:rFonts w:hint="default" w:ascii="Times New Roman" w:hAnsi="Times New Roman" w:cs="Times New Roman"/>
                      <w:color w:val="auto"/>
                      <w:sz w:val="21"/>
                      <w:szCs w:val="21"/>
                      <w:highlight w:val="none"/>
                      <w:lang w:val="en-US" w:eastAsia="zh-CN"/>
                    </w:rPr>
                    <w:t>云雾山330千伏变电站间隔扩建工程生态影响评价范围内涉及东南黄土高原丘陵水土保持生态保护红线，但本次间隔扩建工程仅为站内施工，不在站外设置永久或临时占地，因此对站外东南黄土高原丘陵水土保持生态保护红线影响</w:t>
                  </w:r>
                  <w:r>
                    <w:rPr>
                      <w:rFonts w:hint="eastAsia" w:cs="Times New Roman"/>
                      <w:color w:val="auto"/>
                      <w:sz w:val="21"/>
                      <w:szCs w:val="21"/>
                      <w:highlight w:val="none"/>
                      <w:lang w:val="en-US" w:eastAsia="zh-CN"/>
                    </w:rPr>
                    <w:t>轻微</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输电线路涉及固原市生态保护红线和一般生态空间，输电线路属于线性基础设施，属于仅允许对生态功能不造成破坏的9大类有限人为活动中的第6种情形：“必须且无法避让、符合县级以上国土空间规划的线性基础设施建设、防洪和供水设施建设与运行维护”，</w:t>
                  </w:r>
                  <w:r>
                    <w:rPr>
                      <w:rFonts w:hint="default" w:ascii="Times New Roman" w:hAnsi="Times New Roman" w:cs="Times New Roman"/>
                      <w:color w:val="auto"/>
                      <w:sz w:val="21"/>
                      <w:szCs w:val="21"/>
                      <w:highlight w:val="none"/>
                      <w:lang w:val="en-US" w:eastAsia="zh-CN"/>
                    </w:rPr>
                    <w:t>已于202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X</w:t>
                  </w:r>
                  <w:r>
                    <w:rPr>
                      <w:rFonts w:hint="default" w:ascii="Times New Roman" w:hAnsi="Times New Roman" w:cs="Times New Roman"/>
                      <w:color w:val="auto"/>
                      <w:sz w:val="21"/>
                      <w:szCs w:val="21"/>
                      <w:highlight w:val="none"/>
                      <w:lang w:val="en-US" w:eastAsia="zh-CN"/>
                    </w:rPr>
                    <w:t>月</w:t>
                  </w:r>
                  <w:r>
                    <w:rPr>
                      <w:rFonts w:hint="eastAsia" w:cs="Times New Roman"/>
                      <w:color w:val="auto"/>
                      <w:sz w:val="21"/>
                      <w:szCs w:val="21"/>
                      <w:highlight w:val="none"/>
                      <w:lang w:val="en-US" w:eastAsia="zh-CN"/>
                    </w:rPr>
                    <w:t>X</w:t>
                  </w:r>
                  <w:r>
                    <w:rPr>
                      <w:rFonts w:hint="default" w:ascii="Times New Roman" w:hAnsi="Times New Roman" w:cs="Times New Roman"/>
                      <w:color w:val="auto"/>
                      <w:sz w:val="21"/>
                      <w:szCs w:val="21"/>
                      <w:highlight w:val="none"/>
                      <w:lang w:val="en-US" w:eastAsia="zh-CN"/>
                    </w:rPr>
                    <w:t>日取得固原市人民政府关于认定宁夏固原华电彭阳200兆瓦风电项目110千伏送出工程临时用地符合生态保护红线内允许有限人为活动的意见</w:t>
                  </w:r>
                  <w:r>
                    <w:rPr>
                      <w:rFonts w:hint="default" w:ascii="Times New Roman" w:hAnsi="Times New Roman" w:cs="Times New Roman"/>
                      <w:b w:val="0"/>
                      <w:bCs w:val="0"/>
                      <w:color w:val="auto"/>
                      <w:sz w:val="21"/>
                      <w:szCs w:val="21"/>
                      <w:highlight w:val="none"/>
                      <w:lang w:val="en-US" w:eastAsia="zh-CN"/>
                    </w:rPr>
                    <w:t>。</w:t>
                  </w:r>
                </w:p>
              </w:tc>
              <w:tc>
                <w:tcPr>
                  <w:tcW w:w="506" w:type="pct"/>
                  <w:noWrap w:val="0"/>
                  <w:vAlign w:val="center"/>
                </w:tcPr>
                <w:p w14:paraId="4E7D2C25">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59E549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766D5905">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环境质量底线及分区管控</w:t>
                  </w:r>
                </w:p>
              </w:tc>
            </w:tr>
            <w:tr w14:paraId="471FA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01" w:type="pct"/>
                  <w:noWrap w:val="0"/>
                  <w:vAlign w:val="center"/>
                </w:tcPr>
                <w:p w14:paraId="06C524AC">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基于区域大气环境流场模拟结果，考虑人口分布、大气污染传输规律和土地利用现状等，识别模拟网格单元主导属性，将全市划分为大气环境优先保护区、大气环境重点管控区和大气环境一般管控区，实施分类管理。</w:t>
                  </w:r>
                </w:p>
                <w:p w14:paraId="5A96DDAC">
                  <w:pPr>
                    <w:pStyle w:val="53"/>
                    <w:keepNext w:val="0"/>
                    <w:keepLines w:val="0"/>
                    <w:pageBreakBefore w:val="0"/>
                    <w:widowControl w:val="0"/>
                    <w:kinsoku/>
                    <w:wordWrap/>
                    <w:overflowPunct/>
                    <w:topLinePunct w:val="0"/>
                    <w:autoSpaceDE/>
                    <w:autoSpaceDN/>
                    <w:bidi w:val="0"/>
                    <w:adjustRightInd w:val="0"/>
                    <w:snapToGrid w:val="0"/>
                    <w:ind w:firstLine="422"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1.大气环境一般管控区：</w:t>
                  </w:r>
                  <w:r>
                    <w:rPr>
                      <w:rFonts w:hint="default" w:ascii="Times New Roman" w:hAnsi="Times New Roman" w:cs="Times New Roman"/>
                      <w:b w:val="0"/>
                      <w:bCs w:val="0"/>
                      <w:color w:val="auto"/>
                      <w:sz w:val="21"/>
                      <w:szCs w:val="21"/>
                      <w:highlight w:val="none"/>
                      <w:lang w:val="en-US" w:eastAsia="zh-CN"/>
                    </w:rPr>
                    <w:t>将大气环境优先保护区、重点管控区外的其他区域划分为大气环境一般管控区，总面积6860.32平方公里。</w:t>
                  </w:r>
                </w:p>
                <w:p w14:paraId="7B78149D">
                  <w:pPr>
                    <w:pStyle w:val="53"/>
                    <w:keepNext w:val="0"/>
                    <w:keepLines w:val="0"/>
                    <w:pageBreakBefore w:val="0"/>
                    <w:widowControl w:val="0"/>
                    <w:kinsoku/>
                    <w:wordWrap/>
                    <w:overflowPunct/>
                    <w:topLinePunct w:val="0"/>
                    <w:autoSpaceDE/>
                    <w:autoSpaceDN/>
                    <w:bidi w:val="0"/>
                    <w:adjustRightInd w:val="0"/>
                    <w:snapToGrid w:val="0"/>
                    <w:ind w:firstLine="422"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b/>
                      <w:bCs/>
                      <w:color w:val="auto"/>
                      <w:sz w:val="21"/>
                      <w:szCs w:val="21"/>
                      <w:highlight w:val="none"/>
                      <w:lang w:val="en-US" w:eastAsia="zh-CN"/>
                    </w:rPr>
                    <w:t>大气环境一般管控区管控要求：</w:t>
                  </w:r>
                  <w:r>
                    <w:rPr>
                      <w:rFonts w:hint="default" w:ascii="Times New Roman" w:hAnsi="Times New Roman" w:eastAsia="宋体" w:cs="Times New Roman"/>
                      <w:color w:val="auto"/>
                      <w:sz w:val="21"/>
                      <w:szCs w:val="21"/>
                      <w:highlight w:val="none"/>
                      <w:lang w:val="en-US" w:eastAsia="zh-CN"/>
                    </w:rPr>
                    <w:t>落实《中华人民共和国大气污染防治法》等相关法律法规的一般要求，在满足区域基本的污染物排放标准和污染防治要求基础上，进一步采用更清洁的生产方式和更有效的污染治理措施，推动区域环境空气质量持续改善。毗邻大气环境优先保护区的新建项目，还应特别注意污染物排放对优先保护区的影响，应优化选址方案或采取有效的污染防治措施，避免对一类区空气质量造成不利影响。</w:t>
                  </w:r>
                </w:p>
              </w:tc>
              <w:tc>
                <w:tcPr>
                  <w:tcW w:w="1791" w:type="pct"/>
                  <w:noWrap w:val="0"/>
                  <w:vAlign w:val="center"/>
                </w:tcPr>
                <w:p w14:paraId="3698BA0A">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本项目位于大气环境一般管控区，运行期输电线路和间隔扩建工程不产生废气，对区域环境空气质量无影响。因此，本项目的建设符合大气环境一般管控区的管控要求。</w:t>
                  </w:r>
                </w:p>
                <w:p w14:paraId="5A56070E">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项目与固原市大气环境分区管控位置关系见</w:t>
                  </w:r>
                  <w:r>
                    <w:rPr>
                      <w:rFonts w:hint="default" w:ascii="Times New Roman" w:hAnsi="Times New Roman" w:cs="Times New Roman"/>
                      <w:b w:val="0"/>
                      <w:bCs w:val="0"/>
                      <w:color w:val="auto"/>
                      <w:sz w:val="21"/>
                      <w:szCs w:val="21"/>
                      <w:highlight w:val="none"/>
                      <w:lang w:val="en-US" w:eastAsia="zh-CN"/>
                    </w:rPr>
                    <w:t>附图1-4。</w:t>
                  </w:r>
                </w:p>
              </w:tc>
              <w:tc>
                <w:tcPr>
                  <w:tcW w:w="506" w:type="pct"/>
                  <w:noWrap w:val="0"/>
                  <w:vAlign w:val="center"/>
                </w:tcPr>
                <w:p w14:paraId="463D05B4">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61FA6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1" w:type="pct"/>
                  <w:noWrap w:val="0"/>
                  <w:vAlign w:val="center"/>
                </w:tcPr>
                <w:p w14:paraId="34F59FE7">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固原市水环境管控分区共分为三大类：水环境优先保护区、水环境重点管控区（含水环境工业污染源重点管控区、水环境农业污染源重点管控区、水环境城镇生活污染源重点管控区）和水环境一般管控区。</w:t>
                  </w:r>
                </w:p>
                <w:p w14:paraId="363D3CDA">
                  <w:pPr>
                    <w:pStyle w:val="53"/>
                    <w:keepNext w:val="0"/>
                    <w:keepLines w:val="0"/>
                    <w:pageBreakBefore w:val="0"/>
                    <w:widowControl w:val="0"/>
                    <w:numPr>
                      <w:ilvl w:val="0"/>
                      <w:numId w:val="0"/>
                    </w:numPr>
                    <w:kinsoku/>
                    <w:wordWrap/>
                    <w:overflowPunct/>
                    <w:topLinePunct w:val="0"/>
                    <w:autoSpaceDE/>
                    <w:autoSpaceDN/>
                    <w:bidi w:val="0"/>
                    <w:adjustRightInd w:val="0"/>
                    <w:snapToGrid w:val="0"/>
                    <w:ind w:firstLine="422"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1.水环境一般管控区：</w:t>
                  </w:r>
                  <w:r>
                    <w:rPr>
                      <w:rFonts w:hint="default" w:ascii="Times New Roman" w:hAnsi="Times New Roman" w:cs="Times New Roman"/>
                      <w:color w:val="auto"/>
                      <w:sz w:val="21"/>
                      <w:szCs w:val="21"/>
                      <w:highlight w:val="none"/>
                      <w:lang w:val="en-US" w:eastAsia="zh-CN"/>
                    </w:rPr>
                    <w:t>将除水环境优先保护区、水环境重点管控区之外的其他区域作为水环境一般管控区。共划定水环境一般管控区19个，面积为9077.78平方公里。</w:t>
                  </w:r>
                </w:p>
                <w:p w14:paraId="4A854D04">
                  <w:pPr>
                    <w:numPr>
                      <w:ilvl w:val="0"/>
                      <w:numId w:val="0"/>
                    </w:numPr>
                    <w:ind w:firstLine="422" w:firstLineChars="200"/>
                    <w:rPr>
                      <w:rFonts w:hint="default" w:ascii="Times New Roman" w:hAnsi="Times New Roman" w:cs="Times New Roman"/>
                      <w:color w:val="auto"/>
                      <w:lang w:val="en-US" w:eastAsia="zh-CN"/>
                    </w:rPr>
                  </w:pPr>
                  <w:r>
                    <w:rPr>
                      <w:rFonts w:hint="default" w:ascii="Times New Roman" w:hAnsi="Times New Roman" w:eastAsia="宋体" w:cs="Times New Roman"/>
                      <w:b/>
                      <w:bCs/>
                      <w:color w:val="auto"/>
                      <w:sz w:val="21"/>
                      <w:szCs w:val="21"/>
                      <w:highlight w:val="none"/>
                      <w:lang w:val="en-US" w:eastAsia="zh-CN"/>
                    </w:rPr>
                    <w:t>水环境一般管控区管控要求：</w:t>
                  </w:r>
                  <w:r>
                    <w:rPr>
                      <w:rFonts w:hint="default" w:ascii="Times New Roman" w:hAnsi="Times New Roman" w:eastAsia="宋体" w:cs="Times New Roman"/>
                      <w:b w:val="0"/>
                      <w:bCs w:val="0"/>
                      <w:color w:val="auto"/>
                      <w:sz w:val="21"/>
                      <w:szCs w:val="21"/>
                      <w:highlight w:val="none"/>
                      <w:lang w:val="en-US" w:eastAsia="zh-CN"/>
                    </w:rPr>
                    <w:t>对于水环境优先保护区、重点管控区以外，现状水质达标的控制断面所对应的一般管控区，应落实《中华人民共和国水污染防治法》等相关法律法规的总体要求，加强水资源节约和保护，积极推动水生态修复治理，持续深入推进水污染防治，改善水环境质量。</w:t>
                  </w:r>
                </w:p>
              </w:tc>
              <w:tc>
                <w:tcPr>
                  <w:tcW w:w="1791" w:type="pct"/>
                  <w:noWrap w:val="0"/>
                  <w:vAlign w:val="center"/>
                </w:tcPr>
                <w:p w14:paraId="670A7726">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本项目位于水环境一般管控区，运行期输电线路无废水产生，间隔扩建工程不新增工作人员，不新增生活用水和生活污水，对区域水环境质量无影响。因此，本项目的建设符合水环境一般管控区的管控要求。</w:t>
                  </w:r>
                </w:p>
                <w:p w14:paraId="1C3F01C7">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项目与固原市水环境分区管控位置关系见</w:t>
                  </w:r>
                  <w:r>
                    <w:rPr>
                      <w:rFonts w:hint="default" w:ascii="Times New Roman" w:hAnsi="Times New Roman" w:cs="Times New Roman"/>
                      <w:b w:val="0"/>
                      <w:bCs w:val="0"/>
                      <w:color w:val="auto"/>
                      <w:sz w:val="21"/>
                      <w:szCs w:val="21"/>
                      <w:highlight w:val="none"/>
                      <w:lang w:val="en-US" w:eastAsia="zh-CN"/>
                    </w:rPr>
                    <w:t>附图1-5。</w:t>
                  </w:r>
                </w:p>
              </w:tc>
              <w:tc>
                <w:tcPr>
                  <w:tcW w:w="506" w:type="pct"/>
                  <w:noWrap w:val="0"/>
                  <w:vAlign w:val="center"/>
                </w:tcPr>
                <w:p w14:paraId="6A63147D">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0A085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1" w:type="pct"/>
                  <w:noWrap w:val="0"/>
                  <w:vAlign w:val="center"/>
                </w:tcPr>
                <w:p w14:paraId="2EB0AFB9">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土壤环境质量现状、土地利用现状，综合考虑农用地土壤污染状况详查和重点行业企业用地详查结果，衔接现有污染地块名录、土壤环境重点监管企业清单等，将全市划分为农用地优先保护区和土壤环境一般管控区。</w:t>
                  </w:r>
                </w:p>
                <w:p w14:paraId="32C8C30B">
                  <w:pPr>
                    <w:pStyle w:val="53"/>
                    <w:keepNext w:val="0"/>
                    <w:keepLines w:val="0"/>
                    <w:pageBreakBefore w:val="0"/>
                    <w:widowControl w:val="0"/>
                    <w:kinsoku/>
                    <w:wordWrap/>
                    <w:overflowPunct/>
                    <w:topLinePunct w:val="0"/>
                    <w:autoSpaceDE/>
                    <w:autoSpaceDN/>
                    <w:bidi w:val="0"/>
                    <w:adjustRightInd w:val="0"/>
                    <w:snapToGrid w:val="0"/>
                    <w:ind w:firstLine="422"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1.农用地优先保护区：</w:t>
                  </w:r>
                  <w:r>
                    <w:rPr>
                      <w:rFonts w:hint="default" w:ascii="Times New Roman" w:hAnsi="Times New Roman" w:cs="Times New Roman"/>
                      <w:color w:val="auto"/>
                      <w:sz w:val="21"/>
                      <w:szCs w:val="21"/>
                      <w:highlight w:val="none"/>
                      <w:lang w:val="en-US" w:eastAsia="zh-CN"/>
                    </w:rPr>
                    <w:t>根据农用地土壤污染状况详查结果，暂将永久基本农田作为农用地优先保护区。</w:t>
                  </w:r>
                </w:p>
                <w:p w14:paraId="0C216FBB">
                  <w:pPr>
                    <w:pStyle w:val="53"/>
                    <w:keepNext w:val="0"/>
                    <w:keepLines w:val="0"/>
                    <w:pageBreakBefore w:val="0"/>
                    <w:widowControl w:val="0"/>
                    <w:kinsoku/>
                    <w:wordWrap/>
                    <w:overflowPunct/>
                    <w:topLinePunct w:val="0"/>
                    <w:autoSpaceDE/>
                    <w:autoSpaceDN/>
                    <w:bidi w:val="0"/>
                    <w:adjustRightInd w:val="0"/>
                    <w:snapToGrid w:val="0"/>
                    <w:ind w:firstLine="422"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2.土壤</w:t>
                  </w:r>
                  <w:r>
                    <w:rPr>
                      <w:rFonts w:hint="default" w:ascii="Times New Roman" w:hAnsi="Times New Roman" w:eastAsia="宋体" w:cs="Times New Roman"/>
                      <w:b/>
                      <w:bCs/>
                      <w:color w:val="auto"/>
                      <w:sz w:val="21"/>
                      <w:szCs w:val="21"/>
                      <w:highlight w:val="none"/>
                      <w:lang w:val="en-US" w:eastAsia="zh-CN"/>
                    </w:rPr>
                    <w:t>环境</w:t>
                  </w:r>
                  <w:r>
                    <w:rPr>
                      <w:rFonts w:hint="default" w:ascii="Times New Roman" w:hAnsi="Times New Roman" w:cs="Times New Roman"/>
                      <w:b/>
                      <w:bCs/>
                      <w:color w:val="auto"/>
                      <w:sz w:val="21"/>
                      <w:szCs w:val="21"/>
                      <w:highlight w:val="none"/>
                      <w:lang w:val="en-US" w:eastAsia="zh-CN"/>
                    </w:rPr>
                    <w:t>一般管控区：</w:t>
                  </w:r>
                  <w:r>
                    <w:rPr>
                      <w:rFonts w:hint="default" w:ascii="Times New Roman" w:hAnsi="Times New Roman" w:cs="Times New Roman"/>
                      <w:color w:val="auto"/>
                      <w:sz w:val="21"/>
                      <w:szCs w:val="21"/>
                      <w:highlight w:val="none"/>
                      <w:lang w:val="en-US" w:eastAsia="zh-CN"/>
                    </w:rPr>
                    <w:t>除农用地优先保护区之外的其他区域。</w:t>
                  </w:r>
                </w:p>
              </w:tc>
              <w:tc>
                <w:tcPr>
                  <w:tcW w:w="1791" w:type="pct"/>
                  <w:noWrap w:val="0"/>
                  <w:vAlign w:val="center"/>
                </w:tcPr>
                <w:p w14:paraId="701C5F85">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本项目输电线路路径涉及农用地优先保护区和土壤环境一般管控区。</w:t>
                  </w:r>
                  <w:r>
                    <w:rPr>
                      <w:rFonts w:hint="default" w:ascii="Times New Roman" w:hAnsi="Times New Roman" w:cs="Times New Roman"/>
                      <w:bCs/>
                      <w:color w:val="auto"/>
                      <w:sz w:val="21"/>
                      <w:szCs w:val="21"/>
                      <w:highlight w:val="none"/>
                      <w:lang w:val="en-US" w:eastAsia="zh-CN"/>
                    </w:rPr>
                    <w:t>项目占用基本农田总面积2.0622hm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lang w:val="en-US" w:eastAsia="zh-CN"/>
                    </w:rPr>
                    <w:t>。其中永久用地0.0853hm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lang w:val="en-US" w:eastAsia="zh-CN"/>
                    </w:rPr>
                    <w:t>，全部为塔基占地；临时用地1.9769hm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lang w:val="en-US" w:eastAsia="zh-CN"/>
                    </w:rPr>
                    <w:t>，</w:t>
                  </w:r>
                  <w:r>
                    <w:rPr>
                      <w:rFonts w:hint="default" w:ascii="Times New Roman" w:hAnsi="Times New Roman" w:cs="Times New Roman"/>
                      <w:bCs/>
                      <w:color w:val="auto"/>
                      <w:sz w:val="21"/>
                      <w:szCs w:val="21"/>
                      <w:lang w:val="en-US" w:eastAsia="zh-CN"/>
                    </w:rPr>
                    <w:t>施工结束后及时对临时占地恢复原有土地使用功能</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lang w:val="en-US" w:eastAsia="zh-CN"/>
                    </w:rPr>
                    <w:t>建设单位已于202</w:t>
                  </w:r>
                  <w:r>
                    <w:rPr>
                      <w:rFonts w:hint="eastAsia" w:cs="Times New Roman"/>
                      <w:bCs/>
                      <w:color w:val="auto"/>
                      <w:sz w:val="21"/>
                      <w:szCs w:val="21"/>
                      <w:lang w:val="en-US" w:eastAsia="zh-CN"/>
                    </w:rPr>
                    <w:t>6</w:t>
                  </w:r>
                  <w:r>
                    <w:rPr>
                      <w:rFonts w:hint="default" w:ascii="Times New Roman" w:hAnsi="Times New Roman" w:cs="Times New Roman"/>
                      <w:bCs/>
                      <w:color w:val="auto"/>
                      <w:sz w:val="21"/>
                      <w:szCs w:val="21"/>
                      <w:lang w:val="en-US" w:eastAsia="zh-CN"/>
                    </w:rPr>
                    <w:t>年</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月</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日取得彭阳县自然资源局关于本项目临时用地占用耕地和基本农田不可避让论证方案评审意见的函</w:t>
                  </w:r>
                  <w:r>
                    <w:rPr>
                      <w:rFonts w:hint="default" w:ascii="Times New Roman" w:hAnsi="Times New Roman" w:cs="Times New Roman"/>
                      <w:b/>
                      <w:bCs w:val="0"/>
                      <w:color w:val="auto"/>
                      <w:sz w:val="21"/>
                      <w:szCs w:val="21"/>
                      <w:lang w:val="en-US" w:eastAsia="zh-CN"/>
                    </w:rPr>
                    <w:t>（详见附件</w:t>
                  </w:r>
                  <w:r>
                    <w:rPr>
                      <w:rFonts w:hint="eastAsia" w:cs="Times New Roman"/>
                      <w:b/>
                      <w:bCs w:val="0"/>
                      <w:color w:val="auto"/>
                      <w:sz w:val="21"/>
                      <w:szCs w:val="21"/>
                      <w:lang w:val="en-US" w:eastAsia="zh-CN"/>
                    </w:rPr>
                    <w:t>4</w:t>
                  </w:r>
                  <w:r>
                    <w:rPr>
                      <w:rFonts w:hint="default" w:ascii="Times New Roman" w:hAnsi="Times New Roman" w:cs="Times New Roman"/>
                      <w:b/>
                      <w:bCs w:val="0"/>
                      <w:color w:val="auto"/>
                      <w:sz w:val="21"/>
                      <w:szCs w:val="21"/>
                      <w:lang w:val="en-US" w:eastAsia="zh-CN"/>
                    </w:rPr>
                    <w:t>）</w:t>
                  </w:r>
                  <w:r>
                    <w:rPr>
                      <w:rFonts w:hint="default" w:ascii="Times New Roman" w:hAnsi="Times New Roman" w:cs="Times New Roman"/>
                      <w:bCs/>
                      <w:color w:val="auto"/>
                      <w:sz w:val="21"/>
                      <w:szCs w:val="21"/>
                      <w:lang w:val="en-US" w:eastAsia="zh-CN"/>
                    </w:rPr>
                    <w:t>，原则通过该项目临时用地占用耕地和基本农田不可避让论证方案。待项目建设完成后，建设单位严格按照该项目临时用地土地复垦方案提出的复垦计划和内容实施，确保土地复垦质量并在规定时间内完成复垦任务，</w:t>
                  </w:r>
                  <w:r>
                    <w:rPr>
                      <w:rFonts w:hint="default" w:ascii="Times New Roman" w:hAnsi="Times New Roman" w:eastAsia="宋体" w:cs="Times New Roman"/>
                      <w:color w:val="auto"/>
                      <w:sz w:val="21"/>
                      <w:szCs w:val="21"/>
                      <w:lang w:val="en-US" w:eastAsia="zh-CN"/>
                    </w:rPr>
                    <w:t>确保</w:t>
                  </w:r>
                  <w:r>
                    <w:rPr>
                      <w:rFonts w:hint="default" w:ascii="Times New Roman" w:hAnsi="Times New Roman" w:cs="Times New Roman"/>
                      <w:bCs/>
                      <w:color w:val="auto"/>
                      <w:sz w:val="21"/>
                      <w:szCs w:val="21"/>
                      <w:lang w:val="en-US" w:eastAsia="zh-CN"/>
                    </w:rPr>
                    <w:t>临时占用基本农田</w:t>
                  </w:r>
                  <w:r>
                    <w:rPr>
                      <w:rFonts w:hint="default" w:ascii="Times New Roman" w:hAnsi="Times New Roman" w:eastAsia="宋体" w:cs="Times New Roman"/>
                      <w:color w:val="auto"/>
                      <w:sz w:val="21"/>
                      <w:szCs w:val="21"/>
                      <w:lang w:val="en-US" w:eastAsia="zh-CN"/>
                    </w:rPr>
                    <w:t>的面积不减少，土壤环境质量不下降。</w:t>
                  </w:r>
                </w:p>
                <w:p w14:paraId="43B97D7E">
                  <w:pPr>
                    <w:keepNext w:val="0"/>
                    <w:keepLines w:val="0"/>
                    <w:widowControl/>
                    <w:suppressLineNumbers w:val="0"/>
                    <w:jc w:val="both"/>
                    <w:rPr>
                      <w:rFonts w:hint="default" w:ascii="Times New Roman" w:hAnsi="Times New Roman" w:eastAsia="宋体" w:cs="Times New Roman"/>
                      <w:bCs/>
                      <w:color w:val="auto"/>
                      <w:szCs w:val="21"/>
                      <w:lang w:eastAsia="zh-CN"/>
                    </w:rPr>
                  </w:pPr>
                  <w:r>
                    <w:rPr>
                      <w:rFonts w:hint="default" w:ascii="Times New Roman" w:hAnsi="Times New Roman" w:eastAsia="宋体" w:cs="Times New Roman"/>
                      <w:bCs/>
                      <w:color w:val="auto"/>
                      <w:sz w:val="21"/>
                      <w:szCs w:val="21"/>
                      <w:lang w:val="en-US" w:eastAsia="zh-CN"/>
                    </w:rPr>
                    <w:t>运行期</w:t>
                  </w:r>
                  <w:r>
                    <w:rPr>
                      <w:rFonts w:hint="default" w:ascii="Times New Roman" w:hAnsi="Times New Roman" w:eastAsia="宋体" w:cs="Times New Roman"/>
                      <w:color w:val="auto"/>
                      <w:sz w:val="21"/>
                      <w:szCs w:val="21"/>
                      <w:lang w:val="en-US" w:eastAsia="zh-CN"/>
                    </w:rPr>
                    <w:t>输电线路</w:t>
                  </w:r>
                  <w:r>
                    <w:rPr>
                      <w:rFonts w:hint="default" w:ascii="Times New Roman" w:hAnsi="Times New Roman" w:cs="Times New Roman"/>
                      <w:color w:val="auto"/>
                      <w:sz w:val="21"/>
                      <w:szCs w:val="21"/>
                      <w:highlight w:val="none"/>
                      <w:lang w:val="en-US" w:eastAsia="zh-CN"/>
                    </w:rPr>
                    <w:t>和间隔扩建工程</w:t>
                  </w:r>
                  <w:r>
                    <w:rPr>
                      <w:rFonts w:hint="default" w:ascii="Times New Roman" w:hAnsi="Times New Roman" w:cs="Times New Roman"/>
                      <w:bCs/>
                      <w:color w:val="auto"/>
                      <w:sz w:val="21"/>
                      <w:szCs w:val="21"/>
                    </w:rPr>
                    <w:t>不</w:t>
                  </w:r>
                  <w:r>
                    <w:rPr>
                      <w:rFonts w:hint="default" w:ascii="Times New Roman" w:hAnsi="Times New Roman" w:cs="Times New Roman"/>
                      <w:bCs/>
                      <w:color w:val="auto"/>
                      <w:szCs w:val="21"/>
                    </w:rPr>
                    <w:t>会对土壤造成污染</w:t>
                  </w:r>
                  <w:r>
                    <w:rPr>
                      <w:rFonts w:hint="default" w:ascii="Times New Roman" w:hAnsi="Times New Roman" w:eastAsia="宋体" w:cs="Times New Roman"/>
                      <w:bCs/>
                      <w:color w:val="auto"/>
                      <w:sz w:val="21"/>
                      <w:szCs w:val="21"/>
                      <w:lang w:val="en-US" w:eastAsia="zh-CN"/>
                    </w:rPr>
                    <w:t>。</w:t>
                  </w:r>
                  <w:r>
                    <w:rPr>
                      <w:rFonts w:hint="default" w:ascii="Times New Roman" w:hAnsi="Times New Roman" w:eastAsia="宋体" w:cs="Times New Roman"/>
                      <w:bCs/>
                      <w:color w:val="auto"/>
                      <w:szCs w:val="21"/>
                      <w:lang w:val="en-US" w:eastAsia="zh-CN"/>
                    </w:rPr>
                    <w:t>因此，本项目的建设符合农用地优先保护区和一般管控区的要求。</w:t>
                  </w:r>
                </w:p>
                <w:p w14:paraId="60BEF18F">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项目与固原市土壤污染风险分区管控位置关系见</w:t>
                  </w:r>
                  <w:r>
                    <w:rPr>
                      <w:rFonts w:hint="default" w:ascii="Times New Roman" w:hAnsi="Times New Roman" w:cs="Times New Roman"/>
                      <w:b w:val="0"/>
                      <w:bCs w:val="0"/>
                      <w:color w:val="auto"/>
                      <w:sz w:val="21"/>
                      <w:szCs w:val="21"/>
                      <w:highlight w:val="none"/>
                      <w:lang w:val="en-US" w:eastAsia="zh-CN"/>
                    </w:rPr>
                    <w:t>附图1-6。</w:t>
                  </w:r>
                </w:p>
              </w:tc>
              <w:tc>
                <w:tcPr>
                  <w:tcW w:w="506" w:type="pct"/>
                  <w:noWrap w:val="0"/>
                  <w:vAlign w:val="center"/>
                </w:tcPr>
                <w:p w14:paraId="3761410A">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2E4E5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104468E8">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资源利用上线及分区管控</w:t>
                  </w:r>
                </w:p>
              </w:tc>
            </w:tr>
            <w:tr w14:paraId="045929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1" w:type="pct"/>
                  <w:noWrap w:val="0"/>
                  <w:vAlign w:val="center"/>
                </w:tcPr>
                <w:p w14:paraId="550EB797">
                  <w:pPr>
                    <w:pStyle w:val="53"/>
                    <w:keepNext w:val="0"/>
                    <w:keepLines w:val="0"/>
                    <w:pageBreakBefore w:val="0"/>
                    <w:widowControl w:val="0"/>
                    <w:kinsoku/>
                    <w:wordWrap/>
                    <w:overflowPunct/>
                    <w:topLinePunct w:val="0"/>
                    <w:autoSpaceDE/>
                    <w:autoSpaceDN/>
                    <w:bidi w:val="0"/>
                    <w:adjustRightInd w:val="0"/>
                    <w:snapToGrid w:val="0"/>
                    <w:ind w:firstLine="422"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1.水资源利用上线及分区管控</w:t>
                  </w:r>
                  <w:r>
                    <w:rPr>
                      <w:rFonts w:hint="default" w:ascii="Times New Roman" w:hAnsi="Times New Roman" w:cs="Times New Roman"/>
                      <w:color w:val="auto"/>
                      <w:sz w:val="21"/>
                      <w:szCs w:val="21"/>
                      <w:highlight w:val="none"/>
                      <w:lang w:val="en-US" w:eastAsia="zh-CN"/>
                    </w:rPr>
                    <w:t>：</w:t>
                  </w:r>
                </w:p>
                <w:p w14:paraId="1A2B4023">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坚持以水定城、以水定地、以水定人、以水定产，科学配置水资源，严格能耗物耗准入门槛，支撑发展刚需。细化覆盖各行业各领域的节水定额标准，对水资源超载地区实行用水和项目“双限批”。推广农业成套综合节水技术，大力发展节水型农业及工业、涵水型林业。实施工业节水增效行动，改造建设节水型工业园区，推动传统高耗水行业转型升级。鼓励西吉、隆德、泾源、彭阳四县根据实际选择重点区域先行开展海绵化改造和建设。</w:t>
                  </w:r>
                </w:p>
                <w:p w14:paraId="73958772">
                  <w:pPr>
                    <w:pStyle w:val="53"/>
                    <w:keepNext w:val="0"/>
                    <w:keepLines w:val="0"/>
                    <w:pageBreakBefore w:val="0"/>
                    <w:widowControl w:val="0"/>
                    <w:numPr>
                      <w:ilvl w:val="0"/>
                      <w:numId w:val="0"/>
                    </w:numPr>
                    <w:kinsoku/>
                    <w:wordWrap/>
                    <w:overflowPunct/>
                    <w:topLinePunct w:val="0"/>
                    <w:autoSpaceDE/>
                    <w:autoSpaceDN/>
                    <w:bidi w:val="0"/>
                    <w:adjustRightInd w:val="0"/>
                    <w:snapToGrid w:val="0"/>
                    <w:ind w:firstLine="422" w:firstLineChars="200"/>
                    <w:jc w:val="both"/>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kern w:val="24"/>
                      <w:sz w:val="21"/>
                      <w:szCs w:val="21"/>
                      <w:highlight w:val="none"/>
                      <w:lang w:val="en-US" w:eastAsia="zh-CN" w:bidi="ar-SA"/>
                    </w:rPr>
                    <w:t>2.</w:t>
                  </w:r>
                  <w:r>
                    <w:rPr>
                      <w:rFonts w:hint="default" w:ascii="Times New Roman" w:hAnsi="Times New Roman" w:cs="Times New Roman"/>
                      <w:b/>
                      <w:bCs/>
                      <w:color w:val="auto"/>
                      <w:sz w:val="21"/>
                      <w:szCs w:val="21"/>
                      <w:highlight w:val="none"/>
                      <w:lang w:val="en-US" w:eastAsia="zh-CN"/>
                    </w:rPr>
                    <w:t>土地资源利用上线及分区管控：</w:t>
                  </w:r>
                </w:p>
                <w:p w14:paraId="0F927BFB">
                  <w:pPr>
                    <w:pStyle w:val="53"/>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固原市原州区、西吉县、隆德县、泾源县等4个区县确定为土地资源重点管控区。</w:t>
                  </w:r>
                </w:p>
                <w:p w14:paraId="7F2311AF">
                  <w:pPr>
                    <w:ind w:firstLine="42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强化工业项目节约用地评价，严控新增建设用地规模，盘活利用批而未供和闲置土地，全面实施节地水平、产出效益双提升行动，不断提升土地利用效率。实行最严格的耕地保护制度，健全和落实耕地保护执法监管共同责任机制，严守永久基本农田，严管城镇开发边界，严格落实耕地占补平衡。</w:t>
                  </w:r>
                </w:p>
              </w:tc>
              <w:tc>
                <w:tcPr>
                  <w:tcW w:w="1791" w:type="pct"/>
                  <w:noWrap w:val="0"/>
                  <w:vAlign w:val="center"/>
                </w:tcPr>
                <w:p w14:paraId="10E75754">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本项目运行期输电线路不涉及用水，间隔扩建工程不新增工作人员，不新增生活用水，对区域水资源总量无影响。</w:t>
                  </w:r>
                </w:p>
                <w:p w14:paraId="00455443">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本项目输电线路</w:t>
                  </w:r>
                  <w:r>
                    <w:rPr>
                      <w:rFonts w:hint="default" w:ascii="Times New Roman" w:hAnsi="Times New Roman" w:eastAsia="宋体" w:cs="Times New Roman"/>
                      <w:bCs/>
                      <w:color w:val="auto"/>
                      <w:sz w:val="21"/>
                      <w:szCs w:val="21"/>
                      <w:highlight w:val="none"/>
                      <w:lang w:val="en-US" w:eastAsia="zh-CN"/>
                    </w:rPr>
                    <w:t>塔基基础为点状分布，塔基占地不属于建设用地，塔基只赔不征，对土地资源影响较小；间隔扩建工程在云雾山变电站内进行，站外不新增永久占地或临时占地</w:t>
                  </w:r>
                  <w:r>
                    <w:rPr>
                      <w:rFonts w:hint="default" w:ascii="Times New Roman" w:hAnsi="Times New Roman" w:cs="Times New Roman"/>
                      <w:color w:val="auto"/>
                      <w:sz w:val="21"/>
                      <w:szCs w:val="21"/>
                      <w:highlight w:val="none"/>
                      <w:lang w:val="en-US" w:eastAsia="zh-CN"/>
                    </w:rPr>
                    <w:t>。</w:t>
                  </w:r>
                </w:p>
                <w:p w14:paraId="3B9F50CE">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本项目输电线路涉及农用地优先保护区和土壤环境一般管控区，</w:t>
                  </w:r>
                  <w:r>
                    <w:rPr>
                      <w:rFonts w:hint="default" w:ascii="Times New Roman" w:hAnsi="Times New Roman" w:cs="Times New Roman"/>
                      <w:bCs/>
                      <w:color w:val="auto"/>
                      <w:sz w:val="21"/>
                      <w:szCs w:val="21"/>
                      <w:lang w:val="en-US" w:eastAsia="zh-CN"/>
                    </w:rPr>
                    <w:t>建设单位已于202</w:t>
                  </w:r>
                  <w:r>
                    <w:rPr>
                      <w:rFonts w:hint="eastAsia" w:cs="Times New Roman"/>
                      <w:bCs/>
                      <w:color w:val="auto"/>
                      <w:sz w:val="21"/>
                      <w:szCs w:val="21"/>
                      <w:lang w:val="en-US" w:eastAsia="zh-CN"/>
                    </w:rPr>
                    <w:t>6</w:t>
                  </w:r>
                  <w:r>
                    <w:rPr>
                      <w:rFonts w:hint="default" w:ascii="Times New Roman" w:hAnsi="Times New Roman" w:cs="Times New Roman"/>
                      <w:bCs/>
                      <w:color w:val="auto"/>
                      <w:sz w:val="21"/>
                      <w:szCs w:val="21"/>
                      <w:lang w:val="en-US" w:eastAsia="zh-CN"/>
                    </w:rPr>
                    <w:t>年</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月</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日取得彭阳县自然资源局关于本项目临时用地占用耕地和基本农田不可避让论证方案评审意见的函，原则通过该项目临时用地占用耕地和基本农田不可避让论证方案。待项目建设完成后，建设单位严格按照该项目临时用地土地复垦方案提出的复垦计划和内容实施，确保土地复垦质量并在规定时间内完成复垦任务，</w:t>
                  </w:r>
                  <w:r>
                    <w:rPr>
                      <w:rFonts w:hint="default" w:ascii="Times New Roman" w:hAnsi="Times New Roman" w:eastAsia="宋体" w:cs="Times New Roman"/>
                      <w:color w:val="auto"/>
                      <w:sz w:val="21"/>
                      <w:szCs w:val="21"/>
                      <w:lang w:val="en-US" w:eastAsia="zh-CN"/>
                    </w:rPr>
                    <w:t>确保</w:t>
                  </w:r>
                  <w:r>
                    <w:rPr>
                      <w:rFonts w:hint="default" w:ascii="Times New Roman" w:hAnsi="Times New Roman" w:cs="Times New Roman"/>
                      <w:bCs/>
                      <w:color w:val="auto"/>
                      <w:sz w:val="21"/>
                      <w:szCs w:val="21"/>
                      <w:lang w:val="en-US" w:eastAsia="zh-CN"/>
                    </w:rPr>
                    <w:t>临时占用基本农田</w:t>
                  </w:r>
                  <w:r>
                    <w:rPr>
                      <w:rFonts w:hint="default" w:ascii="Times New Roman" w:hAnsi="Times New Roman" w:eastAsia="宋体" w:cs="Times New Roman"/>
                      <w:color w:val="auto"/>
                      <w:sz w:val="21"/>
                      <w:szCs w:val="21"/>
                      <w:lang w:val="en-US" w:eastAsia="zh-CN"/>
                    </w:rPr>
                    <w:t>的面积不减少，土壤环境质量不下降。</w:t>
                  </w:r>
                </w:p>
                <w:p w14:paraId="7C6CD94B">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综上，本项目的建设符合土地资源利用上线及分区管控要求。</w:t>
                  </w:r>
                </w:p>
              </w:tc>
              <w:tc>
                <w:tcPr>
                  <w:tcW w:w="506" w:type="pct"/>
                  <w:noWrap w:val="0"/>
                  <w:vAlign w:val="center"/>
                </w:tcPr>
                <w:p w14:paraId="69F6888D">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26A795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7F6E2CC6">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环境管控单元与生态环境准入清单</w:t>
                  </w:r>
                </w:p>
              </w:tc>
            </w:tr>
            <w:tr w14:paraId="3B1E6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1" w:type="pct"/>
                  <w:noWrap w:val="0"/>
                  <w:vAlign w:val="center"/>
                </w:tcPr>
                <w:p w14:paraId="7E527299">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全市共划分优先保护、重点管控、一般管控等三类98个环境管控单元。</w:t>
                  </w:r>
                </w:p>
                <w:p w14:paraId="5FFE57DD">
                  <w:pPr>
                    <w:pStyle w:val="53"/>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固原市共划定环境管控单元98个，其中优先保护单元63个，优先保护单元个数占全市总单元个数的64.29%，优先保护单元面积为4764.16平方公里。重点管控单元个数为13个，占全市总单元个数的13.27%，其面积为2051.73平方公里。一般管控单元个数为22个，占全市总单元个数的22.45%。</w:t>
                  </w:r>
                </w:p>
                <w:p w14:paraId="7C60400B">
                  <w:pPr>
                    <w:pStyle w:val="53"/>
                    <w:keepNext w:val="0"/>
                    <w:keepLines w:val="0"/>
                    <w:pageBreakBefore w:val="0"/>
                    <w:widowControl w:val="0"/>
                    <w:kinsoku/>
                    <w:wordWrap/>
                    <w:overflowPunct/>
                    <w:topLinePunct w:val="0"/>
                    <w:autoSpaceDE/>
                    <w:autoSpaceDN/>
                    <w:bidi w:val="0"/>
                    <w:adjustRightInd w:val="0"/>
                    <w:snapToGrid w:val="0"/>
                    <w:ind w:firstLine="422"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1.优先保护单元：</w:t>
                  </w:r>
                  <w:r>
                    <w:rPr>
                      <w:rFonts w:hint="default" w:ascii="Times New Roman" w:hAnsi="Times New Roman" w:cs="Times New Roman"/>
                      <w:color w:val="auto"/>
                      <w:sz w:val="21"/>
                      <w:szCs w:val="21"/>
                      <w:highlight w:val="none"/>
                      <w:lang w:val="en-US" w:eastAsia="zh-CN"/>
                    </w:rPr>
                    <w:t>优先保护单元以严格保护生态环境、严格限制产业发展为导向，禁止或限制大规模的工业开发和城镇建设。</w:t>
                  </w:r>
                </w:p>
                <w:p w14:paraId="37E6231F">
                  <w:pPr>
                    <w:pStyle w:val="53"/>
                    <w:keepNext w:val="0"/>
                    <w:keepLines w:val="0"/>
                    <w:pageBreakBefore w:val="0"/>
                    <w:widowControl w:val="0"/>
                    <w:kinsoku/>
                    <w:wordWrap/>
                    <w:overflowPunct/>
                    <w:topLinePunct w:val="0"/>
                    <w:autoSpaceDE/>
                    <w:autoSpaceDN/>
                    <w:bidi w:val="0"/>
                    <w:adjustRightInd w:val="0"/>
                    <w:snapToGrid w:val="0"/>
                    <w:ind w:firstLine="422"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2.一般管控单元：</w:t>
                  </w:r>
                  <w:r>
                    <w:rPr>
                      <w:rFonts w:hint="default" w:ascii="Times New Roman" w:hAnsi="Times New Roman" w:cs="Times New Roman"/>
                      <w:color w:val="auto"/>
                      <w:sz w:val="21"/>
                      <w:szCs w:val="21"/>
                      <w:highlight w:val="none"/>
                      <w:lang w:val="en-US" w:eastAsia="zh-CN"/>
                    </w:rPr>
                    <w:t>一般管控单元以适度发展社会经济、避免大规模高强度开发为导向，执行区域生态环境保护的基本要求。</w:t>
                  </w:r>
                </w:p>
              </w:tc>
              <w:tc>
                <w:tcPr>
                  <w:tcW w:w="1791" w:type="pct"/>
                  <w:noWrap w:val="0"/>
                  <w:vAlign w:val="center"/>
                </w:tcPr>
                <w:p w14:paraId="5783AC61">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云雾山330千伏变电站间隔扩建工程生态影响评价范围内涉及东南黄土高原丘陵水土保持生态保护红线，但本次间隔扩建工程仅为站内施工，不在站外设置永久或临时占地，因此对站外东南黄土高原丘陵水土保持生态保护红线影响</w:t>
                  </w:r>
                  <w:r>
                    <w:rPr>
                      <w:rFonts w:hint="eastAsia" w:cs="Times New Roman"/>
                      <w:color w:val="auto"/>
                      <w:sz w:val="21"/>
                      <w:szCs w:val="21"/>
                      <w:highlight w:val="none"/>
                      <w:lang w:val="en-US" w:eastAsia="zh-CN"/>
                    </w:rPr>
                    <w:t>轻微</w:t>
                  </w:r>
                  <w:r>
                    <w:rPr>
                      <w:rFonts w:hint="default" w:ascii="Times New Roman" w:hAnsi="Times New Roman" w:cs="Times New Roman"/>
                      <w:color w:val="auto"/>
                      <w:sz w:val="21"/>
                      <w:szCs w:val="21"/>
                      <w:highlight w:val="none"/>
                      <w:lang w:val="en-US" w:eastAsia="zh-CN"/>
                    </w:rPr>
                    <w:t>；输电线路涉及</w:t>
                  </w:r>
                  <w:r>
                    <w:rPr>
                      <w:rFonts w:hint="default" w:ascii="Times New Roman" w:hAnsi="Times New Roman" w:cs="Times New Roman"/>
                      <w:b w:val="0"/>
                      <w:bCs w:val="0"/>
                      <w:color w:val="auto"/>
                      <w:sz w:val="21"/>
                      <w:szCs w:val="21"/>
                      <w:highlight w:val="none"/>
                      <w:lang w:val="en-US" w:eastAsia="zh-CN"/>
                    </w:rPr>
                    <w:t>优先保护单元和</w:t>
                  </w:r>
                  <w:r>
                    <w:rPr>
                      <w:rFonts w:hint="default" w:ascii="Times New Roman" w:hAnsi="Times New Roman" w:cs="Times New Roman"/>
                      <w:color w:val="auto"/>
                      <w:sz w:val="21"/>
                      <w:szCs w:val="21"/>
                      <w:highlight w:val="none"/>
                      <w:lang w:val="en-US" w:eastAsia="zh-CN"/>
                    </w:rPr>
                    <w:t>一般管控单元，</w:t>
                  </w:r>
                  <w:r>
                    <w:rPr>
                      <w:rFonts w:hint="default" w:ascii="Times New Roman" w:hAnsi="Times New Roman" w:cs="Times New Roman"/>
                      <w:b w:val="0"/>
                      <w:bCs w:val="0"/>
                      <w:color w:val="auto"/>
                      <w:sz w:val="21"/>
                      <w:szCs w:val="21"/>
                      <w:highlight w:val="none"/>
                      <w:lang w:val="en-US" w:eastAsia="zh-CN"/>
                    </w:rPr>
                    <w:t>输电线路属于线性基础设施，属于仅允许对生态功能不造成破坏的9大类有限人为活动中的第6种情形：“必须且无法避让、符合县级以上国土空间规划的线性基础设施建设、防洪和供水设施建设与运行维护”，</w:t>
                  </w:r>
                  <w:r>
                    <w:rPr>
                      <w:rFonts w:hint="default" w:ascii="Times New Roman" w:hAnsi="Times New Roman" w:cs="Times New Roman"/>
                      <w:color w:val="auto"/>
                      <w:sz w:val="21"/>
                      <w:szCs w:val="21"/>
                      <w:highlight w:val="none"/>
                      <w:lang w:val="en-US" w:eastAsia="zh-CN"/>
                    </w:rPr>
                    <w:t>已于202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X</w:t>
                  </w:r>
                  <w:r>
                    <w:rPr>
                      <w:rFonts w:hint="default" w:ascii="Times New Roman" w:hAnsi="Times New Roman" w:cs="Times New Roman"/>
                      <w:color w:val="auto"/>
                      <w:sz w:val="21"/>
                      <w:szCs w:val="21"/>
                      <w:highlight w:val="none"/>
                      <w:lang w:val="en-US" w:eastAsia="zh-CN"/>
                    </w:rPr>
                    <w:t>月</w:t>
                  </w:r>
                  <w:r>
                    <w:rPr>
                      <w:rFonts w:hint="eastAsia" w:cs="Times New Roman"/>
                      <w:color w:val="auto"/>
                      <w:sz w:val="21"/>
                      <w:szCs w:val="21"/>
                      <w:highlight w:val="none"/>
                      <w:lang w:val="en-US" w:eastAsia="zh-CN"/>
                    </w:rPr>
                    <w:t>X</w:t>
                  </w:r>
                  <w:r>
                    <w:rPr>
                      <w:rFonts w:hint="default" w:ascii="Times New Roman" w:hAnsi="Times New Roman" w:cs="Times New Roman"/>
                      <w:color w:val="auto"/>
                      <w:sz w:val="21"/>
                      <w:szCs w:val="21"/>
                      <w:highlight w:val="none"/>
                      <w:lang w:val="en-US" w:eastAsia="zh-CN"/>
                    </w:rPr>
                    <w:t>日取得固原市人民政府关于认定宁夏固原华电彭阳200兆瓦风电项目110千伏送出工程临时用地符合生态保护红线内允许有限人为活动的意见</w:t>
                  </w:r>
                  <w:r>
                    <w:rPr>
                      <w:rFonts w:hint="default" w:ascii="Times New Roman" w:hAnsi="Times New Roman" w:cs="Times New Roman"/>
                      <w:b w:val="0"/>
                      <w:bCs w:val="0"/>
                      <w:color w:val="auto"/>
                      <w:sz w:val="21"/>
                      <w:szCs w:val="21"/>
                      <w:highlight w:val="none"/>
                      <w:lang w:val="en-US" w:eastAsia="zh-CN"/>
                    </w:rPr>
                    <w:t>。</w:t>
                  </w:r>
                </w:p>
                <w:p w14:paraId="09361654">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输</w:t>
                  </w:r>
                  <w:r>
                    <w:rPr>
                      <w:rFonts w:hint="eastAsia" w:cs="Times New Roman"/>
                      <w:color w:val="auto"/>
                      <w:sz w:val="21"/>
                      <w:szCs w:val="21"/>
                      <w:highlight w:val="none"/>
                      <w:lang w:val="en-US" w:eastAsia="zh-CN"/>
                    </w:rPr>
                    <w:t>变电工程</w:t>
                  </w:r>
                  <w:r>
                    <w:rPr>
                      <w:rFonts w:hint="default" w:ascii="Times New Roman" w:hAnsi="Times New Roman" w:cs="Times New Roman"/>
                      <w:color w:val="auto"/>
                      <w:sz w:val="21"/>
                      <w:szCs w:val="21"/>
                      <w:highlight w:val="none"/>
                      <w:lang w:val="en-US" w:eastAsia="zh-CN"/>
                    </w:rPr>
                    <w:t>不属于大规模的工业开发和城镇建设项目，项目运行期污染物主要为电磁环境和噪声环境影响，在采取各项防治措施后，污染物均能达标排放，因此，项目建设对区域环境质量影响较小。综上所述，本项目的建设符合环境管控单元的要求。</w:t>
                  </w:r>
                </w:p>
                <w:p w14:paraId="37AC2DDF">
                  <w:pPr>
                    <w:pStyle w:val="53"/>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项目与固原市环境管控单元位置关系</w:t>
                  </w:r>
                  <w:r>
                    <w:rPr>
                      <w:rFonts w:hint="default" w:ascii="Times New Roman" w:hAnsi="Times New Roman" w:cs="Times New Roman"/>
                      <w:b w:val="0"/>
                      <w:bCs w:val="0"/>
                      <w:color w:val="auto"/>
                      <w:sz w:val="21"/>
                      <w:szCs w:val="21"/>
                      <w:highlight w:val="none"/>
                      <w:lang w:val="en-US" w:eastAsia="zh-CN"/>
                    </w:rPr>
                    <w:t>见附图1-7。</w:t>
                  </w:r>
                </w:p>
              </w:tc>
              <w:tc>
                <w:tcPr>
                  <w:tcW w:w="506" w:type="pct"/>
                  <w:noWrap w:val="0"/>
                  <w:vAlign w:val="center"/>
                </w:tcPr>
                <w:p w14:paraId="5687E29A">
                  <w:pPr>
                    <w:pStyle w:val="5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bl>
          <w:p w14:paraId="1547612B">
            <w:pPr>
              <w:keepNext w:val="0"/>
              <w:keepLines w:val="0"/>
              <w:pageBreakBefore w:val="0"/>
              <w:widowControl/>
              <w:suppressLineNumbers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rPr>
              <w:t>表1-</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rPr>
              <w:t xml:space="preserve">  </w:t>
            </w:r>
            <w:r>
              <w:rPr>
                <w:rFonts w:hint="default" w:ascii="Times New Roman" w:hAnsi="Times New Roman" w:eastAsia="宋体" w:cs="Times New Roman"/>
                <w:b/>
                <w:bCs/>
                <w:color w:val="auto"/>
                <w:sz w:val="24"/>
                <w:szCs w:val="24"/>
                <w:highlight w:val="none"/>
                <w:lang w:val="en-US" w:eastAsia="zh-CN"/>
              </w:rPr>
              <w:t>项目与固原</w:t>
            </w:r>
            <w:r>
              <w:rPr>
                <w:rFonts w:hint="default" w:ascii="Times New Roman" w:hAnsi="Times New Roman" w:eastAsia="宋体" w:cs="Times New Roman"/>
                <w:b/>
                <w:bCs/>
                <w:color w:val="auto"/>
                <w:sz w:val="24"/>
                <w:szCs w:val="24"/>
                <w:highlight w:val="none"/>
                <w:lang w:val="en-US"/>
              </w:rPr>
              <w:t>市生态环境总体准入要求</w:t>
            </w:r>
            <w:r>
              <w:rPr>
                <w:rFonts w:hint="default" w:ascii="Times New Roman" w:hAnsi="Times New Roman" w:eastAsia="宋体" w:cs="Times New Roman"/>
                <w:b/>
                <w:bCs/>
                <w:color w:val="auto"/>
                <w:sz w:val="24"/>
                <w:szCs w:val="24"/>
                <w:highlight w:val="none"/>
                <w:lang w:val="en-US" w:eastAsia="zh-CN"/>
              </w:rPr>
              <w:t>的符合性分析表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4"/>
              <w:gridCol w:w="689"/>
              <w:gridCol w:w="3721"/>
              <w:gridCol w:w="1730"/>
              <w:gridCol w:w="646"/>
            </w:tblGrid>
            <w:tr w14:paraId="3A1490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63" w:type="pct"/>
                  <w:gridSpan w:val="2"/>
                  <w:tcBorders>
                    <w:tl2br w:val="nil"/>
                    <w:tr2bl w:val="nil"/>
                  </w:tcBorders>
                  <w:noWrap w:val="0"/>
                  <w:vAlign w:val="center"/>
                </w:tcPr>
                <w:p w14:paraId="05B604DB">
                  <w:pPr>
                    <w:pStyle w:val="107"/>
                    <w:rPr>
                      <w:rFonts w:hint="default" w:ascii="Times New Roman" w:hAnsi="Times New Roman" w:cs="Times New Roman"/>
                      <w:b/>
                      <w:bCs/>
                      <w:color w:val="auto"/>
                    </w:rPr>
                  </w:pPr>
                  <w:r>
                    <w:rPr>
                      <w:rFonts w:hint="default" w:ascii="Times New Roman" w:hAnsi="Times New Roman" w:cs="Times New Roman"/>
                      <w:b/>
                      <w:bCs/>
                      <w:color w:val="auto"/>
                    </w:rPr>
                    <w:t>管控维度</w:t>
                  </w:r>
                </w:p>
              </w:tc>
              <w:tc>
                <w:tcPr>
                  <w:tcW w:w="2524" w:type="pct"/>
                  <w:tcBorders>
                    <w:tl2br w:val="nil"/>
                    <w:tr2bl w:val="nil"/>
                  </w:tcBorders>
                  <w:noWrap w:val="0"/>
                  <w:vAlign w:val="center"/>
                </w:tcPr>
                <w:p w14:paraId="308E8A83">
                  <w:pPr>
                    <w:pStyle w:val="107"/>
                    <w:rPr>
                      <w:rFonts w:hint="default" w:ascii="Times New Roman" w:hAnsi="Times New Roman" w:cs="Times New Roman"/>
                      <w:b/>
                      <w:bCs/>
                      <w:color w:val="auto"/>
                    </w:rPr>
                  </w:pPr>
                  <w:r>
                    <w:rPr>
                      <w:rFonts w:hint="default" w:ascii="Times New Roman" w:hAnsi="Times New Roman" w:cs="Times New Roman"/>
                      <w:b/>
                      <w:bCs/>
                      <w:color w:val="auto"/>
                    </w:rPr>
                    <w:t>管控要求</w:t>
                  </w:r>
                </w:p>
              </w:tc>
              <w:tc>
                <w:tcPr>
                  <w:tcW w:w="1173" w:type="pct"/>
                  <w:tcBorders>
                    <w:tl2br w:val="nil"/>
                    <w:tr2bl w:val="nil"/>
                  </w:tcBorders>
                  <w:noWrap w:val="0"/>
                  <w:vAlign w:val="center"/>
                </w:tcPr>
                <w:p w14:paraId="2391B4BC">
                  <w:pPr>
                    <w:pStyle w:val="107"/>
                    <w:rPr>
                      <w:rFonts w:hint="default" w:ascii="Times New Roman" w:hAnsi="Times New Roman" w:cs="Times New Roman"/>
                      <w:b/>
                      <w:bCs/>
                      <w:color w:val="auto"/>
                    </w:rPr>
                  </w:pPr>
                  <w:r>
                    <w:rPr>
                      <w:rFonts w:hint="default" w:ascii="Times New Roman" w:hAnsi="Times New Roman" w:cs="Times New Roman"/>
                      <w:b/>
                      <w:bCs/>
                      <w:color w:val="auto"/>
                    </w:rPr>
                    <w:t>本项目情况</w:t>
                  </w:r>
                </w:p>
              </w:tc>
              <w:tc>
                <w:tcPr>
                  <w:tcW w:w="438" w:type="pct"/>
                  <w:tcBorders>
                    <w:tl2br w:val="nil"/>
                    <w:tr2bl w:val="nil"/>
                  </w:tcBorders>
                  <w:noWrap w:val="0"/>
                  <w:vAlign w:val="center"/>
                </w:tcPr>
                <w:p w14:paraId="7CB2A33A">
                  <w:pPr>
                    <w:pStyle w:val="107"/>
                    <w:rPr>
                      <w:rFonts w:hint="default" w:ascii="Times New Roman" w:hAnsi="Times New Roman" w:cs="Times New Roman"/>
                      <w:b/>
                      <w:bCs/>
                      <w:color w:val="auto"/>
                    </w:rPr>
                  </w:pPr>
                  <w:r>
                    <w:rPr>
                      <w:rFonts w:hint="default" w:ascii="Times New Roman" w:hAnsi="Times New Roman" w:cs="Times New Roman"/>
                      <w:b/>
                      <w:bCs/>
                      <w:color w:val="auto"/>
                    </w:rPr>
                    <w:t>是否符合</w:t>
                  </w:r>
                </w:p>
              </w:tc>
            </w:tr>
            <w:tr w14:paraId="1058B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restart"/>
                  <w:tcBorders>
                    <w:tl2br w:val="nil"/>
                    <w:tr2bl w:val="nil"/>
                  </w:tcBorders>
                  <w:noWrap w:val="0"/>
                  <w:vAlign w:val="center"/>
                </w:tcPr>
                <w:p w14:paraId="3214296F">
                  <w:pPr>
                    <w:pStyle w:val="107"/>
                    <w:rPr>
                      <w:rFonts w:hint="default" w:ascii="Times New Roman" w:hAnsi="Times New Roman" w:cs="Times New Roman"/>
                      <w:color w:val="auto"/>
                    </w:rPr>
                  </w:pPr>
                  <w:r>
                    <w:rPr>
                      <w:rFonts w:hint="default" w:ascii="Times New Roman" w:hAnsi="Times New Roman" w:cs="Times New Roman"/>
                      <w:color w:val="auto"/>
                    </w:rPr>
                    <w:t>A1空间布局约束</w:t>
                  </w:r>
                </w:p>
              </w:tc>
              <w:tc>
                <w:tcPr>
                  <w:tcW w:w="467" w:type="pct"/>
                  <w:vMerge w:val="restart"/>
                  <w:tcBorders>
                    <w:tl2br w:val="nil"/>
                    <w:tr2bl w:val="nil"/>
                  </w:tcBorders>
                  <w:noWrap w:val="0"/>
                  <w:vAlign w:val="center"/>
                </w:tcPr>
                <w:p w14:paraId="1DDE0CC3">
                  <w:pPr>
                    <w:pStyle w:val="107"/>
                    <w:rPr>
                      <w:rFonts w:hint="default" w:ascii="Times New Roman" w:hAnsi="Times New Roman" w:cs="Times New Roman"/>
                      <w:color w:val="auto"/>
                    </w:rPr>
                  </w:pPr>
                  <w:r>
                    <w:rPr>
                      <w:rFonts w:hint="default" w:ascii="Times New Roman" w:hAnsi="Times New Roman" w:cs="Times New Roman"/>
                      <w:color w:val="auto"/>
                    </w:rPr>
                    <w:t>A1.1禁止开发建设活动的要求</w:t>
                  </w:r>
                </w:p>
              </w:tc>
              <w:tc>
                <w:tcPr>
                  <w:tcW w:w="2524" w:type="pct"/>
                  <w:tcBorders>
                    <w:tl2br w:val="nil"/>
                    <w:tr2bl w:val="nil"/>
                  </w:tcBorders>
                  <w:noWrap w:val="0"/>
                  <w:vAlign w:val="center"/>
                </w:tcPr>
                <w:p w14:paraId="40AD8097">
                  <w:pPr>
                    <w:pStyle w:val="107"/>
                    <w:jc w:val="both"/>
                    <w:rPr>
                      <w:rFonts w:hint="default" w:ascii="Times New Roman" w:hAnsi="Times New Roman" w:cs="Times New Roman"/>
                      <w:color w:val="auto"/>
                    </w:rPr>
                  </w:pPr>
                  <w:r>
                    <w:rPr>
                      <w:rFonts w:hint="default" w:ascii="Times New Roman" w:hAnsi="Times New Roman" w:cs="Times New Roman"/>
                      <w:color w:val="auto"/>
                    </w:rPr>
                    <w:t>严禁产能过剩行业新增产能，各开发区主导产业产值占比达到60%以上，严防发达地区淘汰退出的高污染企业落户固原。</w:t>
                  </w:r>
                </w:p>
              </w:tc>
              <w:tc>
                <w:tcPr>
                  <w:tcW w:w="1173" w:type="pct"/>
                  <w:tcBorders>
                    <w:tl2br w:val="nil"/>
                    <w:tr2bl w:val="nil"/>
                  </w:tcBorders>
                  <w:noWrap w:val="0"/>
                  <w:vAlign w:val="center"/>
                </w:tcPr>
                <w:p w14:paraId="67B2BF40">
                  <w:pPr>
                    <w:pStyle w:val="107"/>
                    <w:jc w:val="both"/>
                    <w:rPr>
                      <w:rFonts w:hint="default" w:ascii="Times New Roman" w:hAnsi="Times New Roman" w:cs="Times New Roman"/>
                      <w:color w:val="auto"/>
                    </w:rPr>
                  </w:pPr>
                  <w:r>
                    <w:rPr>
                      <w:rFonts w:hint="default" w:ascii="Times New Roman" w:hAnsi="Times New Roman" w:eastAsia="宋体" w:cs="Times New Roman"/>
                      <w:color w:val="auto"/>
                      <w:sz w:val="21"/>
                      <w:szCs w:val="21"/>
                      <w:lang w:val="en-US" w:eastAsia="zh-CN"/>
                    </w:rPr>
                    <w:t>本项目</w:t>
                  </w:r>
                  <w:r>
                    <w:rPr>
                      <w:rFonts w:hint="default" w:ascii="Times New Roman" w:hAnsi="Times New Roman" w:eastAsia="宋体" w:cs="Times New Roman"/>
                      <w:color w:val="auto"/>
                      <w:sz w:val="21"/>
                      <w:szCs w:val="21"/>
                    </w:rPr>
                    <w:t>不属于</w:t>
                  </w:r>
                  <w:r>
                    <w:rPr>
                      <w:rFonts w:hint="default" w:ascii="Times New Roman" w:hAnsi="Times New Roman" w:cs="Times New Roman"/>
                      <w:color w:val="auto"/>
                    </w:rPr>
                    <w:t>产能过剩行业</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pacing w:val="-6"/>
                      <w:sz w:val="21"/>
                      <w:szCs w:val="21"/>
                      <w:lang w:val="en-US" w:eastAsia="zh-CN"/>
                    </w:rPr>
                    <w:t>也</w:t>
                  </w:r>
                  <w:r>
                    <w:rPr>
                      <w:rFonts w:hint="default" w:ascii="Times New Roman" w:hAnsi="Times New Roman" w:eastAsia="宋体" w:cs="Times New Roman"/>
                      <w:color w:val="auto"/>
                      <w:spacing w:val="-6"/>
                      <w:sz w:val="21"/>
                      <w:szCs w:val="21"/>
                    </w:rPr>
                    <w:t>不属于</w:t>
                  </w:r>
                  <w:r>
                    <w:rPr>
                      <w:rFonts w:hint="default" w:ascii="Times New Roman" w:hAnsi="Times New Roman" w:cs="Times New Roman"/>
                      <w:color w:val="auto"/>
                    </w:rPr>
                    <w:t>高污染企业</w:t>
                  </w:r>
                  <w:r>
                    <w:rPr>
                      <w:rFonts w:hint="default" w:ascii="Times New Roman" w:hAnsi="Times New Roman" w:cs="Times New Roman"/>
                      <w:color w:val="auto"/>
                      <w:spacing w:val="-6"/>
                      <w:sz w:val="21"/>
                      <w:szCs w:val="21"/>
                      <w:lang w:eastAsia="zh-CN"/>
                    </w:rPr>
                    <w:t>。</w:t>
                  </w:r>
                </w:p>
              </w:tc>
              <w:tc>
                <w:tcPr>
                  <w:tcW w:w="438" w:type="pct"/>
                  <w:tcBorders>
                    <w:tl2br w:val="nil"/>
                    <w:tr2bl w:val="nil"/>
                  </w:tcBorders>
                  <w:noWrap w:val="0"/>
                  <w:vAlign w:val="center"/>
                </w:tcPr>
                <w:p w14:paraId="299F6985">
                  <w:pPr>
                    <w:pStyle w:val="107"/>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w:t>
                  </w:r>
                </w:p>
              </w:tc>
            </w:tr>
            <w:tr w14:paraId="544F4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6" w:type="pct"/>
                  <w:vMerge w:val="continue"/>
                  <w:tcBorders>
                    <w:tl2br w:val="nil"/>
                    <w:tr2bl w:val="nil"/>
                  </w:tcBorders>
                  <w:noWrap w:val="0"/>
                  <w:vAlign w:val="center"/>
                </w:tcPr>
                <w:p w14:paraId="51360C25">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7E9BBBBB">
                  <w:pPr>
                    <w:pStyle w:val="107"/>
                    <w:rPr>
                      <w:rFonts w:hint="default" w:ascii="Times New Roman" w:hAnsi="Times New Roman" w:cs="Times New Roman"/>
                      <w:color w:val="auto"/>
                    </w:rPr>
                  </w:pPr>
                </w:p>
              </w:tc>
              <w:tc>
                <w:tcPr>
                  <w:tcW w:w="2524" w:type="pct"/>
                  <w:tcBorders>
                    <w:tl2br w:val="nil"/>
                    <w:tr2bl w:val="nil"/>
                  </w:tcBorders>
                  <w:noWrap w:val="0"/>
                  <w:vAlign w:val="center"/>
                </w:tcPr>
                <w:p w14:paraId="1E19C01F">
                  <w:pPr>
                    <w:pStyle w:val="107"/>
                    <w:jc w:val="both"/>
                    <w:rPr>
                      <w:rFonts w:hint="default" w:ascii="Times New Roman" w:hAnsi="Times New Roman" w:cs="Times New Roman"/>
                      <w:color w:val="auto"/>
                    </w:rPr>
                  </w:pPr>
                  <w:r>
                    <w:rPr>
                      <w:rFonts w:hint="default" w:ascii="Times New Roman" w:hAnsi="Times New Roman" w:cs="Times New Roman"/>
                      <w:color w:val="auto"/>
                    </w:rPr>
                    <w:t>严禁在“七河”及其重点支流临岸1公里范围内新建“两高一资”项目及相关产业园区</w:t>
                  </w:r>
                  <w:r>
                    <w:rPr>
                      <w:rFonts w:hint="default" w:ascii="Times New Roman" w:hAnsi="Times New Roman" w:cs="Times New Roman"/>
                      <w:color w:val="auto"/>
                      <w:lang w:eastAsia="zh-CN"/>
                    </w:rPr>
                    <w:t>。</w:t>
                  </w:r>
                </w:p>
              </w:tc>
              <w:tc>
                <w:tcPr>
                  <w:tcW w:w="1173" w:type="pct"/>
                  <w:tcBorders>
                    <w:tl2br w:val="nil"/>
                    <w:tr2bl w:val="nil"/>
                  </w:tcBorders>
                  <w:noWrap w:val="0"/>
                  <w:vAlign w:val="center"/>
                </w:tcPr>
                <w:p w14:paraId="3DAB56F6">
                  <w:pPr>
                    <w:pStyle w:val="107"/>
                    <w:jc w:val="both"/>
                    <w:rPr>
                      <w:rFonts w:hint="default" w:ascii="Times New Roman" w:hAnsi="Times New Roman" w:eastAsia="宋体" w:cs="Times New Roman"/>
                      <w:color w:val="auto"/>
                      <w:lang w:eastAsia="zh-CN"/>
                    </w:rPr>
                  </w:pPr>
                  <w:r>
                    <w:rPr>
                      <w:rFonts w:hint="default" w:ascii="Times New Roman" w:hAnsi="Times New Roman" w:eastAsia="宋体" w:cs="Times New Roman"/>
                      <w:color w:val="auto"/>
                      <w:sz w:val="21"/>
                      <w:szCs w:val="21"/>
                      <w:lang w:val="en-US" w:eastAsia="zh-CN"/>
                    </w:rPr>
                    <w:t>本</w:t>
                  </w:r>
                  <w:r>
                    <w:rPr>
                      <w:rFonts w:hint="default" w:ascii="Times New Roman" w:hAnsi="Times New Roman" w:cs="Times New Roman"/>
                      <w:color w:val="auto"/>
                      <w:lang w:val="en-US" w:eastAsia="zh-CN"/>
                    </w:rPr>
                    <w:t>项目不属于“两高一资”项目，选址选线不涉及</w:t>
                  </w:r>
                  <w:r>
                    <w:rPr>
                      <w:rFonts w:hint="default" w:ascii="Times New Roman" w:hAnsi="Times New Roman" w:cs="Times New Roman"/>
                      <w:color w:val="auto"/>
                    </w:rPr>
                    <w:t>产业园区</w:t>
                  </w:r>
                  <w:r>
                    <w:rPr>
                      <w:rFonts w:hint="default" w:ascii="Times New Roman" w:hAnsi="Times New Roman" w:cs="Times New Roman"/>
                      <w:color w:val="auto"/>
                      <w:lang w:val="en-US" w:eastAsia="zh-CN"/>
                    </w:rPr>
                    <w:t>。</w:t>
                  </w:r>
                </w:p>
              </w:tc>
              <w:tc>
                <w:tcPr>
                  <w:tcW w:w="438" w:type="pct"/>
                  <w:tcBorders>
                    <w:tl2br w:val="nil"/>
                    <w:tr2bl w:val="nil"/>
                  </w:tcBorders>
                  <w:noWrap w:val="0"/>
                  <w:vAlign w:val="center"/>
                </w:tcPr>
                <w:p w14:paraId="5D2E1574">
                  <w:pPr>
                    <w:pStyle w:val="107"/>
                    <w:rPr>
                      <w:rFonts w:hint="default" w:ascii="Times New Roman" w:hAnsi="Times New Roman" w:cs="Times New Roman"/>
                      <w:color w:val="auto"/>
                    </w:rPr>
                  </w:pPr>
                  <w:r>
                    <w:rPr>
                      <w:rFonts w:hint="default" w:ascii="Times New Roman" w:hAnsi="Times New Roman" w:cs="Times New Roman"/>
                      <w:color w:val="auto"/>
                    </w:rPr>
                    <w:t>符合</w:t>
                  </w:r>
                </w:p>
              </w:tc>
            </w:tr>
            <w:tr w14:paraId="37CEAF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51B121CC">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59D5723C">
                  <w:pPr>
                    <w:pStyle w:val="107"/>
                    <w:rPr>
                      <w:rFonts w:hint="default" w:ascii="Times New Roman" w:hAnsi="Times New Roman" w:cs="Times New Roman"/>
                      <w:color w:val="auto"/>
                    </w:rPr>
                  </w:pPr>
                </w:p>
              </w:tc>
              <w:tc>
                <w:tcPr>
                  <w:tcW w:w="2524" w:type="pct"/>
                  <w:tcBorders>
                    <w:tl2br w:val="nil"/>
                    <w:tr2bl w:val="nil"/>
                  </w:tcBorders>
                  <w:noWrap w:val="0"/>
                  <w:vAlign w:val="center"/>
                </w:tcPr>
                <w:p w14:paraId="3962376C">
                  <w:pPr>
                    <w:pStyle w:val="107"/>
                    <w:jc w:val="both"/>
                    <w:rPr>
                      <w:rFonts w:hint="default" w:ascii="Times New Roman" w:hAnsi="Times New Roman" w:cs="Times New Roman"/>
                      <w:color w:val="auto"/>
                    </w:rPr>
                  </w:pPr>
                  <w:r>
                    <w:rPr>
                      <w:rFonts w:hint="default" w:ascii="Times New Roman" w:hAnsi="Times New Roman" w:cs="Times New Roman"/>
                      <w:color w:val="auto"/>
                    </w:rPr>
                    <w:t>城市建成区一律禁止新建35蒸吨/小时以下燃煤锅炉。</w:t>
                  </w:r>
                </w:p>
              </w:tc>
              <w:tc>
                <w:tcPr>
                  <w:tcW w:w="1173" w:type="pct"/>
                  <w:tcBorders>
                    <w:tl2br w:val="nil"/>
                    <w:tr2bl w:val="nil"/>
                  </w:tcBorders>
                  <w:noWrap w:val="0"/>
                  <w:vAlign w:val="center"/>
                </w:tcPr>
                <w:p w14:paraId="369D1C65">
                  <w:pPr>
                    <w:pStyle w:val="107"/>
                    <w:jc w:val="both"/>
                    <w:rPr>
                      <w:rFonts w:hint="default" w:ascii="Times New Roman" w:hAnsi="Times New Roman" w:eastAsia="宋体" w:cs="Times New Roman"/>
                      <w:color w:val="auto"/>
                      <w:lang w:eastAsia="zh-CN"/>
                    </w:rPr>
                  </w:pPr>
                  <w:r>
                    <w:rPr>
                      <w:rFonts w:hint="default" w:ascii="Times New Roman" w:hAnsi="Times New Roman" w:eastAsia="宋体" w:cs="Times New Roman"/>
                      <w:color w:val="auto"/>
                      <w:sz w:val="21"/>
                      <w:szCs w:val="21"/>
                      <w:lang w:val="en-US" w:eastAsia="zh-CN"/>
                    </w:rPr>
                    <w:t>本</w:t>
                  </w:r>
                  <w:r>
                    <w:rPr>
                      <w:rFonts w:hint="default" w:ascii="Times New Roman" w:hAnsi="Times New Roman" w:cs="Times New Roman"/>
                      <w:color w:val="auto"/>
                      <w:lang w:val="en-US" w:eastAsia="zh-CN"/>
                    </w:rPr>
                    <w:t>项目位于</w:t>
                  </w:r>
                  <w:r>
                    <w:rPr>
                      <w:rFonts w:hint="default" w:ascii="Times New Roman" w:hAnsi="Times New Roman" w:cs="Times New Roman"/>
                      <w:bCs/>
                      <w:color w:val="auto"/>
                      <w:szCs w:val="21"/>
                      <w:highlight w:val="none"/>
                      <w:lang w:eastAsia="zh-CN"/>
                    </w:rPr>
                    <w:t>宁夏回族自治区</w:t>
                  </w:r>
                  <w:r>
                    <w:rPr>
                      <w:rFonts w:hint="default" w:ascii="Times New Roman" w:hAnsi="Times New Roman" w:cs="Times New Roman"/>
                      <w:bCs/>
                      <w:color w:val="auto"/>
                      <w:szCs w:val="21"/>
                      <w:highlight w:val="none"/>
                      <w:lang w:val="en-US" w:eastAsia="zh-CN"/>
                    </w:rPr>
                    <w:t>固原市原州区、彭阳县，</w:t>
                  </w:r>
                  <w:r>
                    <w:rPr>
                      <w:rFonts w:hint="default" w:ascii="Times New Roman" w:hAnsi="Times New Roman" w:cs="Times New Roman"/>
                      <w:color w:val="auto"/>
                      <w:lang w:val="en-US" w:eastAsia="zh-CN"/>
                    </w:rPr>
                    <w:t>输电线路</w:t>
                  </w:r>
                  <w:r>
                    <w:rPr>
                      <w:rFonts w:hint="default" w:ascii="Times New Roman" w:hAnsi="Times New Roman" w:cs="Times New Roman"/>
                      <w:color w:val="auto"/>
                      <w:sz w:val="21"/>
                      <w:szCs w:val="21"/>
                      <w:highlight w:val="none"/>
                      <w:lang w:val="en-US" w:eastAsia="zh-CN"/>
                    </w:rPr>
                    <w:t>和间隔扩建工程选址选线</w:t>
                  </w:r>
                  <w:r>
                    <w:rPr>
                      <w:rFonts w:hint="default" w:ascii="Times New Roman" w:hAnsi="Times New Roman" w:cs="Times New Roman"/>
                      <w:color w:val="auto"/>
                      <w:lang w:val="en-US" w:eastAsia="zh-CN"/>
                    </w:rPr>
                    <w:t>不涉及城市建成区</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3F9FABAB">
                  <w:pPr>
                    <w:pStyle w:val="107"/>
                    <w:rPr>
                      <w:rFonts w:hint="default" w:ascii="Times New Roman" w:hAnsi="Times New Roman" w:cs="Times New Roman"/>
                      <w:color w:val="auto"/>
                    </w:rPr>
                  </w:pPr>
                  <w:r>
                    <w:rPr>
                      <w:rFonts w:hint="default" w:ascii="Times New Roman" w:hAnsi="Times New Roman" w:cs="Times New Roman"/>
                      <w:color w:val="auto"/>
                    </w:rPr>
                    <w:t>符合</w:t>
                  </w:r>
                </w:p>
              </w:tc>
            </w:tr>
            <w:tr w14:paraId="2A78B9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22E1F9A4">
                  <w:pPr>
                    <w:pStyle w:val="107"/>
                    <w:rPr>
                      <w:rFonts w:hint="default" w:ascii="Times New Roman" w:hAnsi="Times New Roman" w:cs="Times New Roman"/>
                      <w:color w:val="auto"/>
                    </w:rPr>
                  </w:pPr>
                </w:p>
              </w:tc>
              <w:tc>
                <w:tcPr>
                  <w:tcW w:w="467" w:type="pct"/>
                  <w:tcBorders>
                    <w:tl2br w:val="nil"/>
                    <w:tr2bl w:val="nil"/>
                  </w:tcBorders>
                  <w:noWrap w:val="0"/>
                  <w:vAlign w:val="center"/>
                </w:tcPr>
                <w:p w14:paraId="45705734">
                  <w:pPr>
                    <w:pStyle w:val="107"/>
                    <w:rPr>
                      <w:rFonts w:hint="default" w:ascii="Times New Roman" w:hAnsi="Times New Roman" w:cs="Times New Roman"/>
                      <w:color w:val="auto"/>
                    </w:rPr>
                  </w:pPr>
                  <w:r>
                    <w:rPr>
                      <w:rFonts w:hint="default" w:ascii="Times New Roman" w:hAnsi="Times New Roman" w:cs="Times New Roman"/>
                      <w:color w:val="auto"/>
                    </w:rPr>
                    <w:t>A1.2限制开发建设活动的要求</w:t>
                  </w:r>
                </w:p>
              </w:tc>
              <w:tc>
                <w:tcPr>
                  <w:tcW w:w="2524" w:type="pct"/>
                  <w:tcBorders>
                    <w:tl2br w:val="nil"/>
                    <w:tr2bl w:val="nil"/>
                  </w:tcBorders>
                  <w:noWrap w:val="0"/>
                  <w:vAlign w:val="center"/>
                </w:tcPr>
                <w:p w14:paraId="1318B1E9">
                  <w:pPr>
                    <w:pStyle w:val="107"/>
                    <w:jc w:val="both"/>
                    <w:rPr>
                      <w:rFonts w:hint="default" w:ascii="Times New Roman" w:hAnsi="Times New Roman" w:cs="Times New Roman"/>
                      <w:color w:val="auto"/>
                    </w:rPr>
                  </w:pPr>
                  <w:r>
                    <w:rPr>
                      <w:rFonts w:hint="default" w:ascii="Times New Roman" w:hAnsi="Times New Roman" w:cs="Times New Roman"/>
                      <w:color w:val="auto"/>
                    </w:rPr>
                    <w:t>严格控制在优先保护类耕地集中区域新建有色金属冶炼、石油化工、化工、焦化、电镀、制革等行业企业。</w:t>
                  </w:r>
                </w:p>
              </w:tc>
              <w:tc>
                <w:tcPr>
                  <w:tcW w:w="1173" w:type="pct"/>
                  <w:tcBorders>
                    <w:tl2br w:val="nil"/>
                    <w:tr2bl w:val="nil"/>
                  </w:tcBorders>
                  <w:noWrap w:val="0"/>
                  <w:vAlign w:val="center"/>
                </w:tcPr>
                <w:p w14:paraId="0FFF2D6B">
                  <w:pPr>
                    <w:pStyle w:val="107"/>
                    <w:jc w:val="both"/>
                    <w:rPr>
                      <w:rFonts w:hint="default" w:ascii="Times New Roman" w:hAnsi="Times New Roman" w:cs="Times New Roman"/>
                      <w:color w:val="auto"/>
                      <w:lang w:val="en-US" w:eastAsia="zh-CN"/>
                    </w:rPr>
                  </w:pPr>
                  <w:r>
                    <w:rPr>
                      <w:rFonts w:hint="default" w:ascii="Times New Roman" w:hAnsi="Times New Roman" w:eastAsia="宋体" w:cs="Times New Roman"/>
                      <w:color w:val="auto"/>
                      <w:sz w:val="21"/>
                      <w:szCs w:val="21"/>
                      <w:lang w:val="en-US" w:eastAsia="zh-CN"/>
                    </w:rPr>
                    <w:t>本</w:t>
                  </w:r>
                  <w:r>
                    <w:rPr>
                      <w:rFonts w:hint="default" w:ascii="Times New Roman" w:hAnsi="Times New Roman" w:cs="Times New Roman"/>
                      <w:color w:val="auto"/>
                      <w:lang w:val="en-US" w:eastAsia="zh-CN"/>
                    </w:rPr>
                    <w:t>项目</w:t>
                  </w:r>
                  <w:r>
                    <w:rPr>
                      <w:rFonts w:hint="default" w:ascii="Times New Roman" w:hAnsi="Times New Roman" w:cs="Times New Roman"/>
                      <w:color w:val="auto"/>
                      <w:sz w:val="21"/>
                      <w:szCs w:val="21"/>
                      <w:highlight w:val="none"/>
                      <w:lang w:val="en-US" w:eastAsia="zh-CN"/>
                    </w:rPr>
                    <w:t>输电线路路径涉及农用地优先保护区和土壤环境一般管控区内，</w:t>
                  </w:r>
                  <w:r>
                    <w:rPr>
                      <w:rFonts w:hint="default" w:ascii="Times New Roman" w:hAnsi="Times New Roman" w:cs="Times New Roman"/>
                      <w:bCs/>
                      <w:color w:val="auto"/>
                      <w:sz w:val="21"/>
                      <w:szCs w:val="21"/>
                      <w:lang w:val="en-US" w:eastAsia="zh-CN"/>
                    </w:rPr>
                    <w:t>建设单位已于202</w:t>
                  </w:r>
                  <w:r>
                    <w:rPr>
                      <w:rFonts w:hint="eastAsia" w:cs="Times New Roman"/>
                      <w:bCs/>
                      <w:color w:val="auto"/>
                      <w:sz w:val="21"/>
                      <w:szCs w:val="21"/>
                      <w:lang w:val="en-US" w:eastAsia="zh-CN"/>
                    </w:rPr>
                    <w:t>6</w:t>
                  </w:r>
                  <w:r>
                    <w:rPr>
                      <w:rFonts w:hint="default" w:ascii="Times New Roman" w:hAnsi="Times New Roman" w:cs="Times New Roman"/>
                      <w:bCs/>
                      <w:color w:val="auto"/>
                      <w:sz w:val="21"/>
                      <w:szCs w:val="21"/>
                      <w:lang w:val="en-US" w:eastAsia="zh-CN"/>
                    </w:rPr>
                    <w:t>年</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月</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日取得彭阳县自然资源局关于本项目临时用地占用耕地和基本农田不可避让论证方案评审意见的函，原则通过该项目临时用地占用耕地和基本农田不可避让论证方案。</w:t>
                  </w:r>
                </w:p>
                <w:p w14:paraId="331F363D">
                  <w:pPr>
                    <w:pStyle w:val="107"/>
                    <w:jc w:val="both"/>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项目为输变电工程，属于电力供应行业，</w:t>
                  </w:r>
                  <w:r>
                    <w:rPr>
                      <w:rFonts w:hint="default" w:ascii="Times New Roman" w:hAnsi="Times New Roman" w:cs="Times New Roman"/>
                      <w:color w:val="auto"/>
                    </w:rPr>
                    <w:t>不属于有色金属冶炼、石油化工、化工、焦化、电镀、制革等行业</w:t>
                  </w:r>
                  <w:r>
                    <w:rPr>
                      <w:rFonts w:hint="default" w:ascii="Times New Roman" w:hAnsi="Times New Roman" w:cs="Times New Roman"/>
                      <w:color w:val="auto"/>
                      <w:lang w:val="en-US" w:eastAsia="zh-CN"/>
                    </w:rPr>
                    <w:t>企业。</w:t>
                  </w:r>
                </w:p>
              </w:tc>
              <w:tc>
                <w:tcPr>
                  <w:tcW w:w="438" w:type="pct"/>
                  <w:tcBorders>
                    <w:tl2br w:val="nil"/>
                    <w:tr2bl w:val="nil"/>
                  </w:tcBorders>
                  <w:noWrap w:val="0"/>
                  <w:vAlign w:val="center"/>
                </w:tcPr>
                <w:p w14:paraId="462BC919">
                  <w:pPr>
                    <w:pStyle w:val="107"/>
                    <w:rPr>
                      <w:rFonts w:hint="default" w:ascii="Times New Roman" w:hAnsi="Times New Roman" w:cs="Times New Roman"/>
                      <w:color w:val="auto"/>
                    </w:rPr>
                  </w:pPr>
                  <w:r>
                    <w:rPr>
                      <w:rFonts w:hint="default" w:ascii="Times New Roman" w:hAnsi="Times New Roman" w:cs="Times New Roman"/>
                      <w:color w:val="auto"/>
                    </w:rPr>
                    <w:t>符合</w:t>
                  </w:r>
                </w:p>
              </w:tc>
            </w:tr>
            <w:tr w14:paraId="33712E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39F31F54">
                  <w:pPr>
                    <w:pStyle w:val="107"/>
                    <w:rPr>
                      <w:rFonts w:hint="default" w:ascii="Times New Roman" w:hAnsi="Times New Roman" w:cs="Times New Roman"/>
                      <w:color w:val="auto"/>
                    </w:rPr>
                  </w:pPr>
                </w:p>
              </w:tc>
              <w:tc>
                <w:tcPr>
                  <w:tcW w:w="467" w:type="pct"/>
                  <w:vMerge w:val="restart"/>
                  <w:tcBorders>
                    <w:tl2br w:val="nil"/>
                    <w:tr2bl w:val="nil"/>
                  </w:tcBorders>
                  <w:noWrap w:val="0"/>
                  <w:vAlign w:val="center"/>
                </w:tcPr>
                <w:p w14:paraId="0F4FAC4C">
                  <w:pPr>
                    <w:pStyle w:val="107"/>
                    <w:rPr>
                      <w:rFonts w:hint="default" w:ascii="Times New Roman" w:hAnsi="Times New Roman" w:cs="Times New Roman"/>
                      <w:color w:val="auto"/>
                    </w:rPr>
                  </w:pPr>
                  <w:r>
                    <w:rPr>
                      <w:rFonts w:hint="default" w:ascii="Times New Roman" w:hAnsi="Times New Roman" w:cs="Times New Roman"/>
                      <w:color w:val="auto"/>
                    </w:rPr>
                    <w:t>A1.3不符合空间布局要求活动的退出要求</w:t>
                  </w:r>
                </w:p>
              </w:tc>
              <w:tc>
                <w:tcPr>
                  <w:tcW w:w="2524" w:type="pct"/>
                  <w:tcBorders>
                    <w:tl2br w:val="nil"/>
                    <w:tr2bl w:val="nil"/>
                  </w:tcBorders>
                  <w:noWrap w:val="0"/>
                  <w:vAlign w:val="center"/>
                </w:tcPr>
                <w:p w14:paraId="5E92003B">
                  <w:pPr>
                    <w:pStyle w:val="107"/>
                    <w:jc w:val="both"/>
                    <w:rPr>
                      <w:rFonts w:hint="default" w:ascii="Times New Roman" w:hAnsi="Times New Roman" w:cs="Times New Roman"/>
                      <w:color w:val="auto"/>
                    </w:rPr>
                  </w:pPr>
                  <w:r>
                    <w:rPr>
                      <w:rFonts w:hint="default" w:ascii="Times New Roman" w:hAnsi="Times New Roman" w:cs="Times New Roman"/>
                      <w:color w:val="auto"/>
                    </w:rPr>
                    <w:t>在一定过渡期并给予合理补偿的基础上，依法依规关闭或搬迁禁养区内确需关闭或搬迁的畜禽规模养殖场（园区）。</w:t>
                  </w:r>
                </w:p>
              </w:tc>
              <w:tc>
                <w:tcPr>
                  <w:tcW w:w="1173" w:type="pct"/>
                  <w:tcBorders>
                    <w:tl2br w:val="nil"/>
                    <w:tr2bl w:val="nil"/>
                  </w:tcBorders>
                  <w:noWrap w:val="0"/>
                  <w:vAlign w:val="center"/>
                </w:tcPr>
                <w:p w14:paraId="7F1E69E0">
                  <w:pPr>
                    <w:pStyle w:val="107"/>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5A4EE262">
                  <w:pPr>
                    <w:pStyle w:val="107"/>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w:t>
                  </w:r>
                </w:p>
              </w:tc>
            </w:tr>
            <w:tr w14:paraId="512C7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396" w:type="pct"/>
                  <w:vMerge w:val="continue"/>
                  <w:tcBorders>
                    <w:tl2br w:val="nil"/>
                    <w:tr2bl w:val="nil"/>
                  </w:tcBorders>
                  <w:noWrap w:val="0"/>
                  <w:vAlign w:val="center"/>
                </w:tcPr>
                <w:p w14:paraId="21CF92AE">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13CA83E9">
                  <w:pPr>
                    <w:pStyle w:val="107"/>
                    <w:rPr>
                      <w:rFonts w:hint="default" w:ascii="Times New Roman" w:hAnsi="Times New Roman" w:cs="Times New Roman"/>
                      <w:color w:val="auto"/>
                    </w:rPr>
                  </w:pPr>
                </w:p>
              </w:tc>
              <w:tc>
                <w:tcPr>
                  <w:tcW w:w="2524" w:type="pct"/>
                  <w:tcBorders>
                    <w:tl2br w:val="nil"/>
                    <w:tr2bl w:val="nil"/>
                  </w:tcBorders>
                  <w:noWrap w:val="0"/>
                  <w:vAlign w:val="center"/>
                </w:tcPr>
                <w:p w14:paraId="1070BE5A">
                  <w:pPr>
                    <w:pStyle w:val="107"/>
                    <w:jc w:val="both"/>
                    <w:rPr>
                      <w:rFonts w:hint="default" w:ascii="Times New Roman" w:hAnsi="Times New Roman" w:cs="Times New Roman"/>
                      <w:color w:val="auto"/>
                    </w:rPr>
                  </w:pPr>
                  <w:r>
                    <w:rPr>
                      <w:rFonts w:hint="default" w:ascii="Times New Roman" w:hAnsi="Times New Roman" w:cs="Times New Roman"/>
                      <w:color w:val="auto"/>
                    </w:rPr>
                    <w:t>对违反资源环境法律法规、规划，污染环境、破坏生态、乱采滥挖的露天矿山，依法予以关闭。对污染治理不规范的露天矿山，按照“一矿一策”制定整治方案，依法责令停产整治。</w:t>
                  </w:r>
                </w:p>
              </w:tc>
              <w:tc>
                <w:tcPr>
                  <w:tcW w:w="1173" w:type="pct"/>
                  <w:tcBorders>
                    <w:tl2br w:val="nil"/>
                    <w:tr2bl w:val="nil"/>
                  </w:tcBorders>
                  <w:noWrap w:val="0"/>
                  <w:vAlign w:val="center"/>
                </w:tcPr>
                <w:p w14:paraId="7F110FBD">
                  <w:pPr>
                    <w:pStyle w:val="107"/>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7FB68766">
                  <w:pPr>
                    <w:pStyle w:val="107"/>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14:paraId="4A0A1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502648EB">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50714F71">
                  <w:pPr>
                    <w:pStyle w:val="107"/>
                    <w:rPr>
                      <w:rFonts w:hint="default" w:ascii="Times New Roman" w:hAnsi="Times New Roman" w:cs="Times New Roman"/>
                      <w:color w:val="auto"/>
                    </w:rPr>
                  </w:pPr>
                </w:p>
              </w:tc>
              <w:tc>
                <w:tcPr>
                  <w:tcW w:w="2524" w:type="pct"/>
                  <w:tcBorders>
                    <w:tl2br w:val="nil"/>
                    <w:tr2bl w:val="nil"/>
                  </w:tcBorders>
                  <w:noWrap w:val="0"/>
                  <w:vAlign w:val="center"/>
                </w:tcPr>
                <w:p w14:paraId="2AA0AE6A">
                  <w:pPr>
                    <w:pStyle w:val="107"/>
                    <w:jc w:val="both"/>
                    <w:rPr>
                      <w:rFonts w:hint="default" w:ascii="Times New Roman" w:hAnsi="Times New Roman" w:cs="Times New Roman"/>
                      <w:color w:val="auto"/>
                    </w:rPr>
                  </w:pPr>
                  <w:r>
                    <w:rPr>
                      <w:rFonts w:hint="default" w:ascii="Times New Roman" w:hAnsi="Times New Roman" w:cs="Times New Roman"/>
                      <w:color w:val="auto"/>
                    </w:rPr>
                    <w:t>对六盘山水源核心区，坚决退出旅游项目，严禁游客进入。</w:t>
                  </w:r>
                </w:p>
              </w:tc>
              <w:tc>
                <w:tcPr>
                  <w:tcW w:w="1173" w:type="pct"/>
                  <w:tcBorders>
                    <w:tl2br w:val="nil"/>
                    <w:tr2bl w:val="nil"/>
                  </w:tcBorders>
                  <w:noWrap w:val="0"/>
                  <w:vAlign w:val="center"/>
                </w:tcPr>
                <w:p w14:paraId="67F82ADC">
                  <w:pPr>
                    <w:pStyle w:val="107"/>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40DFA715">
                  <w:pPr>
                    <w:pStyle w:val="107"/>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w:t>
                  </w:r>
                </w:p>
              </w:tc>
            </w:tr>
            <w:tr w14:paraId="0D92D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5C4A1188">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44C0416A">
                  <w:pPr>
                    <w:pStyle w:val="107"/>
                    <w:rPr>
                      <w:rFonts w:hint="default" w:ascii="Times New Roman" w:hAnsi="Times New Roman" w:cs="Times New Roman"/>
                      <w:color w:val="auto"/>
                    </w:rPr>
                  </w:pPr>
                </w:p>
              </w:tc>
              <w:tc>
                <w:tcPr>
                  <w:tcW w:w="2524" w:type="pct"/>
                  <w:tcBorders>
                    <w:tl2br w:val="nil"/>
                    <w:tr2bl w:val="nil"/>
                  </w:tcBorders>
                  <w:noWrap w:val="0"/>
                  <w:vAlign w:val="center"/>
                </w:tcPr>
                <w:p w14:paraId="65C753D2">
                  <w:pPr>
                    <w:pStyle w:val="107"/>
                    <w:jc w:val="both"/>
                    <w:rPr>
                      <w:rFonts w:hint="default" w:ascii="Times New Roman" w:hAnsi="Times New Roman" w:cs="Times New Roman"/>
                      <w:color w:val="auto"/>
                    </w:rPr>
                  </w:pPr>
                  <w:r>
                    <w:rPr>
                      <w:rFonts w:hint="default" w:ascii="Times New Roman" w:hAnsi="Times New Roman" w:cs="Times New Roman"/>
                      <w:color w:val="auto"/>
                    </w:rPr>
                    <w:t>淘汰不符合国家规定的燃煤锅炉，实现市、县（区）城区清洁取暖全覆盖。</w:t>
                  </w:r>
                </w:p>
              </w:tc>
              <w:tc>
                <w:tcPr>
                  <w:tcW w:w="1173" w:type="pct"/>
                  <w:tcBorders>
                    <w:tl2br w:val="nil"/>
                    <w:tr2bl w:val="nil"/>
                  </w:tcBorders>
                  <w:noWrap w:val="0"/>
                  <w:vAlign w:val="center"/>
                </w:tcPr>
                <w:p w14:paraId="4FF8EC61">
                  <w:pPr>
                    <w:pStyle w:val="107"/>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6364F70A">
                  <w:pPr>
                    <w:pStyle w:val="107"/>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w:t>
                  </w:r>
                </w:p>
              </w:tc>
            </w:tr>
            <w:tr w14:paraId="710DF1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restart"/>
                  <w:tcBorders>
                    <w:tl2br w:val="nil"/>
                    <w:tr2bl w:val="nil"/>
                  </w:tcBorders>
                  <w:noWrap w:val="0"/>
                  <w:vAlign w:val="center"/>
                </w:tcPr>
                <w:p w14:paraId="0F3657C2">
                  <w:pPr>
                    <w:pStyle w:val="107"/>
                    <w:rPr>
                      <w:rFonts w:hint="default" w:ascii="Times New Roman" w:hAnsi="Times New Roman" w:cs="Times New Roman"/>
                      <w:color w:val="auto"/>
                    </w:rPr>
                  </w:pPr>
                  <w:r>
                    <w:rPr>
                      <w:rFonts w:hint="default" w:ascii="Times New Roman" w:hAnsi="Times New Roman" w:cs="Times New Roman"/>
                      <w:color w:val="auto"/>
                    </w:rPr>
                    <w:t>A2污染物排放管控</w:t>
                  </w:r>
                </w:p>
              </w:tc>
              <w:tc>
                <w:tcPr>
                  <w:tcW w:w="467" w:type="pct"/>
                  <w:vMerge w:val="restart"/>
                  <w:tcBorders>
                    <w:tl2br w:val="nil"/>
                    <w:tr2bl w:val="nil"/>
                  </w:tcBorders>
                  <w:noWrap w:val="0"/>
                  <w:vAlign w:val="center"/>
                </w:tcPr>
                <w:p w14:paraId="1647F913">
                  <w:pPr>
                    <w:pStyle w:val="107"/>
                    <w:rPr>
                      <w:rFonts w:hint="default" w:ascii="Times New Roman" w:hAnsi="Times New Roman" w:cs="Times New Roman"/>
                      <w:color w:val="auto"/>
                    </w:rPr>
                  </w:pPr>
                  <w:r>
                    <w:rPr>
                      <w:rFonts w:hint="default" w:ascii="Times New Roman" w:hAnsi="Times New Roman" w:cs="Times New Roman"/>
                      <w:color w:val="auto"/>
                    </w:rPr>
                    <w:t>A2.1允许排放量要求</w:t>
                  </w:r>
                </w:p>
              </w:tc>
              <w:tc>
                <w:tcPr>
                  <w:tcW w:w="2524" w:type="pct"/>
                  <w:tcBorders>
                    <w:tl2br w:val="nil"/>
                    <w:tr2bl w:val="nil"/>
                  </w:tcBorders>
                  <w:noWrap w:val="0"/>
                  <w:vAlign w:val="center"/>
                </w:tcPr>
                <w:p w14:paraId="0492B32F">
                  <w:pPr>
                    <w:pStyle w:val="107"/>
                    <w:jc w:val="both"/>
                    <w:rPr>
                      <w:rFonts w:hint="default" w:ascii="Times New Roman" w:hAnsi="Times New Roman" w:cs="Times New Roman"/>
                      <w:color w:val="auto"/>
                    </w:rPr>
                  </w:pPr>
                  <w:r>
                    <w:rPr>
                      <w:rFonts w:hint="default" w:ascii="Times New Roman" w:hAnsi="Times New Roman" w:cs="Times New Roman"/>
                      <w:color w:val="auto"/>
                    </w:rPr>
                    <w:t>化学需氧量、氨氮、氮氧化物、挥发性有机物排放总量及减排量完成自治区下达任务。</w:t>
                  </w:r>
                </w:p>
              </w:tc>
              <w:tc>
                <w:tcPr>
                  <w:tcW w:w="1173" w:type="pct"/>
                  <w:tcBorders>
                    <w:tl2br w:val="nil"/>
                    <w:tr2bl w:val="nil"/>
                  </w:tcBorders>
                  <w:noWrap w:val="0"/>
                  <w:vAlign w:val="center"/>
                </w:tcPr>
                <w:p w14:paraId="0D27F4CE">
                  <w:pPr>
                    <w:pStyle w:val="107"/>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4B5EE2F2">
                  <w:pPr>
                    <w:pStyle w:val="107"/>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462D2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049EE4F3">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22336E0A">
                  <w:pPr>
                    <w:pStyle w:val="107"/>
                    <w:rPr>
                      <w:rFonts w:hint="default" w:ascii="Times New Roman" w:hAnsi="Times New Roman" w:cs="Times New Roman"/>
                      <w:color w:val="auto"/>
                    </w:rPr>
                  </w:pPr>
                </w:p>
              </w:tc>
              <w:tc>
                <w:tcPr>
                  <w:tcW w:w="2524" w:type="pct"/>
                  <w:tcBorders>
                    <w:tl2br w:val="nil"/>
                    <w:tr2bl w:val="nil"/>
                  </w:tcBorders>
                  <w:noWrap w:val="0"/>
                  <w:vAlign w:val="center"/>
                </w:tcPr>
                <w:p w14:paraId="74B8D41D">
                  <w:pPr>
                    <w:pStyle w:val="107"/>
                    <w:jc w:val="both"/>
                    <w:rPr>
                      <w:rFonts w:hint="default" w:ascii="Times New Roman" w:hAnsi="Times New Roman" w:cs="Times New Roman"/>
                      <w:color w:val="auto"/>
                    </w:rPr>
                  </w:pPr>
                  <w:r>
                    <w:rPr>
                      <w:rFonts w:hint="default" w:ascii="Times New Roman" w:hAnsi="Times New Roman" w:cs="Times New Roman"/>
                      <w:color w:val="auto"/>
                    </w:rPr>
                    <w:t>严格重金属排放项目准入，坚持“减量置换”或“等量置换”原则。</w:t>
                  </w:r>
                </w:p>
              </w:tc>
              <w:tc>
                <w:tcPr>
                  <w:tcW w:w="1173" w:type="pct"/>
                  <w:tcBorders>
                    <w:tl2br w:val="nil"/>
                    <w:tr2bl w:val="nil"/>
                  </w:tcBorders>
                  <w:noWrap w:val="0"/>
                  <w:vAlign w:val="center"/>
                </w:tcPr>
                <w:p w14:paraId="0965C7F0">
                  <w:pPr>
                    <w:pStyle w:val="107"/>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198F1778">
                  <w:pPr>
                    <w:pStyle w:val="107"/>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cs="Times New Roman"/>
                      <w:color w:val="auto"/>
                      <w:lang w:val="en-US" w:eastAsia="zh-CN"/>
                    </w:rPr>
                    <w:t>/</w:t>
                  </w:r>
                </w:p>
              </w:tc>
            </w:tr>
            <w:tr w14:paraId="69FD2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2CD15798">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2286B318">
                  <w:pPr>
                    <w:pStyle w:val="107"/>
                    <w:rPr>
                      <w:rFonts w:hint="default" w:ascii="Times New Roman" w:hAnsi="Times New Roman" w:cs="Times New Roman"/>
                      <w:color w:val="auto"/>
                    </w:rPr>
                  </w:pPr>
                </w:p>
              </w:tc>
              <w:tc>
                <w:tcPr>
                  <w:tcW w:w="2524" w:type="pct"/>
                  <w:tcBorders>
                    <w:tl2br w:val="nil"/>
                    <w:tr2bl w:val="nil"/>
                  </w:tcBorders>
                  <w:noWrap w:val="0"/>
                  <w:vAlign w:val="center"/>
                </w:tcPr>
                <w:p w14:paraId="1E830D4E">
                  <w:pPr>
                    <w:pStyle w:val="107"/>
                    <w:jc w:val="both"/>
                    <w:rPr>
                      <w:rFonts w:hint="default" w:ascii="Times New Roman" w:hAnsi="Times New Roman" w:cs="Times New Roman"/>
                      <w:color w:val="auto"/>
                    </w:rPr>
                  </w:pPr>
                  <w:r>
                    <w:rPr>
                      <w:rFonts w:hint="default" w:ascii="Times New Roman" w:hAnsi="Times New Roman" w:cs="Times New Roman"/>
                      <w:color w:val="auto"/>
                    </w:rPr>
                    <w:t>在“五河”干流已覆盖集污管网的区域配套建设污水处理设施，确保所有建制镇和中心村污水处理全覆盖。</w:t>
                  </w:r>
                </w:p>
              </w:tc>
              <w:tc>
                <w:tcPr>
                  <w:tcW w:w="1173" w:type="pct"/>
                  <w:tcBorders>
                    <w:tl2br w:val="nil"/>
                    <w:tr2bl w:val="nil"/>
                  </w:tcBorders>
                  <w:noWrap w:val="0"/>
                  <w:vAlign w:val="center"/>
                </w:tcPr>
                <w:p w14:paraId="159ABE03">
                  <w:pPr>
                    <w:pStyle w:val="107"/>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440E9C56">
                  <w:pPr>
                    <w:pStyle w:val="107"/>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cs="Times New Roman"/>
                      <w:color w:val="auto"/>
                      <w:lang w:val="en-US" w:eastAsia="zh-CN"/>
                    </w:rPr>
                    <w:t>/</w:t>
                  </w:r>
                </w:p>
              </w:tc>
            </w:tr>
            <w:tr w14:paraId="753DD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30E668CD">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6C258504">
                  <w:pPr>
                    <w:pStyle w:val="107"/>
                    <w:rPr>
                      <w:rFonts w:hint="default" w:ascii="Times New Roman" w:hAnsi="Times New Roman" w:cs="Times New Roman"/>
                      <w:color w:val="auto"/>
                    </w:rPr>
                  </w:pPr>
                </w:p>
              </w:tc>
              <w:tc>
                <w:tcPr>
                  <w:tcW w:w="2524" w:type="pct"/>
                  <w:tcBorders>
                    <w:tl2br w:val="nil"/>
                    <w:tr2bl w:val="nil"/>
                  </w:tcBorders>
                  <w:noWrap w:val="0"/>
                  <w:vAlign w:val="center"/>
                </w:tcPr>
                <w:p w14:paraId="16B45AB9">
                  <w:pPr>
                    <w:pStyle w:val="107"/>
                    <w:jc w:val="both"/>
                    <w:rPr>
                      <w:rFonts w:hint="default" w:ascii="Times New Roman" w:hAnsi="Times New Roman" w:cs="Times New Roman"/>
                      <w:color w:val="auto"/>
                    </w:rPr>
                  </w:pPr>
                  <w:r>
                    <w:rPr>
                      <w:rFonts w:hint="default" w:ascii="Times New Roman" w:hAnsi="Times New Roman" w:cs="Times New Roman"/>
                      <w:color w:val="auto"/>
                    </w:rPr>
                    <w:t>火电、水泥等重点行业及燃煤锅炉，严格按照大气污染物排放标准及特别排放限值要求执行。</w:t>
                  </w:r>
                </w:p>
              </w:tc>
              <w:tc>
                <w:tcPr>
                  <w:tcW w:w="1173" w:type="pct"/>
                  <w:tcBorders>
                    <w:tl2br w:val="nil"/>
                    <w:tr2bl w:val="nil"/>
                  </w:tcBorders>
                  <w:noWrap w:val="0"/>
                  <w:vAlign w:val="center"/>
                </w:tcPr>
                <w:p w14:paraId="3C3DC138">
                  <w:pPr>
                    <w:pStyle w:val="107"/>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6037ED1A">
                  <w:pPr>
                    <w:pStyle w:val="107"/>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3D5BD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0E0B6C65">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6F5170FC">
                  <w:pPr>
                    <w:pStyle w:val="107"/>
                    <w:rPr>
                      <w:rFonts w:hint="default" w:ascii="Times New Roman" w:hAnsi="Times New Roman" w:cs="Times New Roman"/>
                      <w:color w:val="auto"/>
                    </w:rPr>
                  </w:pPr>
                </w:p>
              </w:tc>
              <w:tc>
                <w:tcPr>
                  <w:tcW w:w="2524" w:type="pct"/>
                  <w:tcBorders>
                    <w:tl2br w:val="nil"/>
                    <w:tr2bl w:val="nil"/>
                  </w:tcBorders>
                  <w:noWrap w:val="0"/>
                  <w:vAlign w:val="center"/>
                </w:tcPr>
                <w:p w14:paraId="254622C0">
                  <w:pPr>
                    <w:pStyle w:val="107"/>
                    <w:jc w:val="both"/>
                    <w:rPr>
                      <w:rFonts w:hint="default" w:ascii="Times New Roman" w:hAnsi="Times New Roman" w:cs="Times New Roman"/>
                      <w:color w:val="auto"/>
                    </w:rPr>
                  </w:pPr>
                  <w:r>
                    <w:rPr>
                      <w:rFonts w:hint="default" w:ascii="Times New Roman" w:hAnsi="Times New Roman" w:cs="Times New Roman"/>
                      <w:color w:val="auto"/>
                    </w:rPr>
                    <w:t>到2025年，全市工业固体废弃物综合利用率达到80%，中水利用率达到85%以上。</w:t>
                  </w:r>
                </w:p>
              </w:tc>
              <w:tc>
                <w:tcPr>
                  <w:tcW w:w="1173" w:type="pct"/>
                  <w:tcBorders>
                    <w:tl2br w:val="nil"/>
                    <w:tr2bl w:val="nil"/>
                  </w:tcBorders>
                  <w:noWrap w:val="0"/>
                  <w:vAlign w:val="center"/>
                </w:tcPr>
                <w:p w14:paraId="24903F2F">
                  <w:pPr>
                    <w:pStyle w:val="107"/>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643996A7">
                  <w:pPr>
                    <w:pStyle w:val="107"/>
                    <w:rPr>
                      <w:rFonts w:hint="default" w:ascii="Times New Roman" w:hAnsi="Times New Roman" w:cs="Times New Roman"/>
                      <w:color w:val="auto"/>
                    </w:rPr>
                  </w:pPr>
                  <w:r>
                    <w:rPr>
                      <w:rFonts w:hint="default" w:ascii="Times New Roman" w:hAnsi="Times New Roman" w:cs="Times New Roman"/>
                      <w:color w:val="auto"/>
                    </w:rPr>
                    <w:t>符合</w:t>
                  </w:r>
                </w:p>
              </w:tc>
            </w:tr>
            <w:tr w14:paraId="588208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199B6373">
                  <w:pPr>
                    <w:pStyle w:val="107"/>
                    <w:rPr>
                      <w:rFonts w:hint="default" w:ascii="Times New Roman" w:hAnsi="Times New Roman" w:cs="Times New Roman"/>
                      <w:color w:val="auto"/>
                    </w:rPr>
                  </w:pPr>
                </w:p>
              </w:tc>
              <w:tc>
                <w:tcPr>
                  <w:tcW w:w="467" w:type="pct"/>
                  <w:vMerge w:val="restart"/>
                  <w:tcBorders>
                    <w:tl2br w:val="nil"/>
                    <w:tr2bl w:val="nil"/>
                  </w:tcBorders>
                  <w:noWrap w:val="0"/>
                  <w:vAlign w:val="center"/>
                </w:tcPr>
                <w:p w14:paraId="27B9E33C">
                  <w:pPr>
                    <w:pStyle w:val="107"/>
                    <w:rPr>
                      <w:rFonts w:hint="default" w:ascii="Times New Roman" w:hAnsi="Times New Roman" w:cs="Times New Roman"/>
                      <w:color w:val="auto"/>
                    </w:rPr>
                  </w:pPr>
                  <w:r>
                    <w:rPr>
                      <w:rFonts w:hint="default" w:ascii="Times New Roman" w:hAnsi="Times New Roman" w:cs="Times New Roman"/>
                      <w:color w:val="auto"/>
                    </w:rPr>
                    <w:t>A2.2现有源提标升级改造</w:t>
                  </w:r>
                </w:p>
              </w:tc>
              <w:tc>
                <w:tcPr>
                  <w:tcW w:w="2524" w:type="pct"/>
                  <w:tcBorders>
                    <w:tl2br w:val="nil"/>
                    <w:tr2bl w:val="nil"/>
                  </w:tcBorders>
                  <w:noWrap w:val="0"/>
                  <w:vAlign w:val="center"/>
                </w:tcPr>
                <w:p w14:paraId="3D5B12BA">
                  <w:pPr>
                    <w:pStyle w:val="107"/>
                    <w:jc w:val="both"/>
                    <w:rPr>
                      <w:rFonts w:hint="default" w:ascii="Times New Roman" w:hAnsi="Times New Roman" w:cs="Times New Roman"/>
                      <w:color w:val="auto"/>
                    </w:rPr>
                  </w:pPr>
                  <w:r>
                    <w:rPr>
                      <w:rFonts w:hint="default" w:ascii="Times New Roman" w:hAnsi="Times New Roman" w:cs="Times New Roman"/>
                      <w:color w:val="auto"/>
                    </w:rPr>
                    <w:t>到2025年，65蒸吨/小时及以上燃煤锅炉</w:t>
                  </w:r>
                  <w:r>
                    <w:rPr>
                      <w:rFonts w:hint="default" w:ascii="Times New Roman" w:hAnsi="Times New Roman" w:cs="Times New Roman"/>
                      <w:color w:val="auto"/>
                      <w:lang w:eastAsia="zh-CN"/>
                    </w:rPr>
                    <w:t>（</w:t>
                  </w:r>
                  <w:r>
                    <w:rPr>
                      <w:rFonts w:hint="default" w:ascii="Times New Roman" w:hAnsi="Times New Roman" w:cs="Times New Roman"/>
                      <w:color w:val="auto"/>
                    </w:rPr>
                    <w:t>含电力</w:t>
                  </w:r>
                  <w:r>
                    <w:rPr>
                      <w:rFonts w:hint="default" w:ascii="Times New Roman" w:hAnsi="Times New Roman" w:cs="Times New Roman"/>
                      <w:color w:val="auto"/>
                      <w:lang w:eastAsia="zh-CN"/>
                    </w:rPr>
                    <w:t>）</w:t>
                  </w:r>
                  <w:r>
                    <w:rPr>
                      <w:rFonts w:hint="default" w:ascii="Times New Roman" w:hAnsi="Times New Roman" w:cs="Times New Roman"/>
                      <w:color w:val="auto"/>
                    </w:rPr>
                    <w:t>全面实现超低排放</w:t>
                  </w:r>
                  <w:r>
                    <w:rPr>
                      <w:rFonts w:hint="default" w:ascii="Times New Roman" w:hAnsi="Times New Roman" w:cs="Times New Roman"/>
                      <w:color w:val="auto"/>
                      <w:lang w:eastAsia="zh-CN"/>
                    </w:rPr>
                    <w:t>；</w:t>
                  </w:r>
                  <w:r>
                    <w:rPr>
                      <w:rFonts w:hint="default" w:ascii="Times New Roman" w:hAnsi="Times New Roman" w:cs="Times New Roman"/>
                      <w:color w:val="auto"/>
                    </w:rPr>
                    <w:t>所有燃气锅炉氨氧化物排放浓度低于50毫克/立方米。</w:t>
                  </w:r>
                </w:p>
              </w:tc>
              <w:tc>
                <w:tcPr>
                  <w:tcW w:w="1173" w:type="pct"/>
                  <w:tcBorders>
                    <w:tl2br w:val="nil"/>
                    <w:tr2bl w:val="nil"/>
                  </w:tcBorders>
                  <w:noWrap w:val="0"/>
                  <w:vAlign w:val="center"/>
                </w:tcPr>
                <w:p w14:paraId="618380E6">
                  <w:pPr>
                    <w:pStyle w:val="107"/>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6D2925D5">
                  <w:pPr>
                    <w:pStyle w:val="107"/>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26603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1CC43662">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00E85D81">
                  <w:pPr>
                    <w:pStyle w:val="107"/>
                    <w:rPr>
                      <w:rFonts w:hint="default" w:ascii="Times New Roman" w:hAnsi="Times New Roman" w:cs="Times New Roman"/>
                      <w:color w:val="auto"/>
                    </w:rPr>
                  </w:pPr>
                </w:p>
              </w:tc>
              <w:tc>
                <w:tcPr>
                  <w:tcW w:w="2524" w:type="pct"/>
                  <w:tcBorders>
                    <w:tl2br w:val="nil"/>
                    <w:tr2bl w:val="nil"/>
                  </w:tcBorders>
                  <w:noWrap w:val="0"/>
                  <w:vAlign w:val="center"/>
                </w:tcPr>
                <w:p w14:paraId="7CEE5C4B">
                  <w:pPr>
                    <w:pStyle w:val="107"/>
                    <w:jc w:val="both"/>
                    <w:rPr>
                      <w:rFonts w:hint="default" w:ascii="Times New Roman" w:hAnsi="Times New Roman" w:cs="Times New Roman"/>
                      <w:color w:val="auto"/>
                    </w:rPr>
                  </w:pPr>
                  <w:r>
                    <w:rPr>
                      <w:rFonts w:hint="default" w:ascii="Times New Roman" w:hAnsi="Times New Roman" w:cs="Times New Roman"/>
                      <w:color w:val="auto"/>
                    </w:rPr>
                    <w:t>探索畜禽养殖“出户入园”模式，落实“一控两减三利用”，减少化肥和农药使用量；实现畜禽粪便、农作物秸秆、农膜资源化利用，到2025年，农业废弃物综合利用率达到94%以上。</w:t>
                  </w:r>
                </w:p>
              </w:tc>
              <w:tc>
                <w:tcPr>
                  <w:tcW w:w="1173" w:type="pct"/>
                  <w:tcBorders>
                    <w:tl2br w:val="nil"/>
                    <w:tr2bl w:val="nil"/>
                  </w:tcBorders>
                  <w:noWrap w:val="0"/>
                  <w:vAlign w:val="center"/>
                </w:tcPr>
                <w:p w14:paraId="1C3F4194">
                  <w:pPr>
                    <w:pStyle w:val="107"/>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4A367C1A">
                  <w:pPr>
                    <w:pStyle w:val="107"/>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501B5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restart"/>
                  <w:tcBorders>
                    <w:tl2br w:val="nil"/>
                    <w:tr2bl w:val="nil"/>
                  </w:tcBorders>
                  <w:noWrap w:val="0"/>
                  <w:vAlign w:val="center"/>
                </w:tcPr>
                <w:p w14:paraId="39A809AA">
                  <w:pPr>
                    <w:pStyle w:val="107"/>
                    <w:rPr>
                      <w:rFonts w:hint="default" w:ascii="Times New Roman" w:hAnsi="Times New Roman" w:cs="Times New Roman"/>
                      <w:color w:val="auto"/>
                    </w:rPr>
                  </w:pPr>
                  <w:r>
                    <w:rPr>
                      <w:rFonts w:hint="default" w:ascii="Times New Roman" w:hAnsi="Times New Roman" w:cs="Times New Roman"/>
                      <w:color w:val="auto"/>
                    </w:rPr>
                    <w:t>A3环境风险防控</w:t>
                  </w:r>
                </w:p>
              </w:tc>
              <w:tc>
                <w:tcPr>
                  <w:tcW w:w="467" w:type="pct"/>
                  <w:vMerge w:val="restart"/>
                  <w:tcBorders>
                    <w:tl2br w:val="nil"/>
                    <w:tr2bl w:val="nil"/>
                  </w:tcBorders>
                  <w:noWrap w:val="0"/>
                  <w:vAlign w:val="center"/>
                </w:tcPr>
                <w:p w14:paraId="22108F1F">
                  <w:pPr>
                    <w:pStyle w:val="107"/>
                    <w:rPr>
                      <w:rFonts w:hint="default" w:ascii="Times New Roman" w:hAnsi="Times New Roman" w:cs="Times New Roman"/>
                      <w:color w:val="auto"/>
                    </w:rPr>
                  </w:pPr>
                  <w:r>
                    <w:rPr>
                      <w:rFonts w:hint="default" w:ascii="Times New Roman" w:hAnsi="Times New Roman" w:cs="Times New Roman"/>
                      <w:color w:val="auto"/>
                    </w:rPr>
                    <w:t>A3.1联防联控要求</w:t>
                  </w:r>
                </w:p>
              </w:tc>
              <w:tc>
                <w:tcPr>
                  <w:tcW w:w="2524" w:type="pct"/>
                  <w:tcBorders>
                    <w:tl2br w:val="nil"/>
                    <w:tr2bl w:val="nil"/>
                  </w:tcBorders>
                  <w:noWrap w:val="0"/>
                  <w:vAlign w:val="center"/>
                </w:tcPr>
                <w:p w14:paraId="121AAF59">
                  <w:pPr>
                    <w:pStyle w:val="107"/>
                    <w:jc w:val="both"/>
                    <w:rPr>
                      <w:rFonts w:hint="default" w:ascii="Times New Roman" w:hAnsi="Times New Roman" w:cs="Times New Roman"/>
                      <w:color w:val="auto"/>
                    </w:rPr>
                  </w:pPr>
                  <w:r>
                    <w:rPr>
                      <w:rFonts w:hint="default" w:ascii="Times New Roman" w:hAnsi="Times New Roman" w:eastAsia="宋体" w:cs="Times New Roman"/>
                      <w:color w:val="auto"/>
                      <w:sz w:val="21"/>
                      <w:szCs w:val="21"/>
                    </w:rPr>
                    <w:t>开展医疗、化工、石油开采和汽修等重点行业涉及危险废物排查整治，建立健全环境风险重点管控单位名录，严控危险废物贮存环节环境风险，严禁超期、超量贮存各类危险废物。</w:t>
                  </w:r>
                </w:p>
              </w:tc>
              <w:tc>
                <w:tcPr>
                  <w:tcW w:w="1173" w:type="pct"/>
                  <w:tcBorders>
                    <w:tl2br w:val="nil"/>
                    <w:tr2bl w:val="nil"/>
                  </w:tcBorders>
                  <w:noWrap w:val="0"/>
                  <w:vAlign w:val="center"/>
                </w:tcPr>
                <w:p w14:paraId="090DCCC5">
                  <w:pPr>
                    <w:pStyle w:val="107"/>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3219934A">
                  <w:pPr>
                    <w:pStyle w:val="107"/>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151BB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96" w:type="pct"/>
                  <w:vMerge w:val="continue"/>
                  <w:tcBorders>
                    <w:tl2br w:val="nil"/>
                    <w:tr2bl w:val="nil"/>
                  </w:tcBorders>
                  <w:noWrap w:val="0"/>
                  <w:vAlign w:val="center"/>
                </w:tcPr>
                <w:p w14:paraId="4D952A69">
                  <w:pPr>
                    <w:pStyle w:val="107"/>
                    <w:rPr>
                      <w:rFonts w:hint="default" w:ascii="Times New Roman" w:hAnsi="Times New Roman" w:cs="Times New Roman"/>
                      <w:color w:val="auto"/>
                    </w:rPr>
                  </w:pPr>
                </w:p>
              </w:tc>
              <w:tc>
                <w:tcPr>
                  <w:tcW w:w="467" w:type="pct"/>
                  <w:vMerge w:val="continue"/>
                  <w:tcBorders>
                    <w:tl2br w:val="nil"/>
                    <w:tr2bl w:val="nil"/>
                  </w:tcBorders>
                  <w:noWrap w:val="0"/>
                  <w:vAlign w:val="center"/>
                </w:tcPr>
                <w:p w14:paraId="7E4D7390">
                  <w:pPr>
                    <w:pStyle w:val="107"/>
                    <w:rPr>
                      <w:rFonts w:hint="default" w:ascii="Times New Roman" w:hAnsi="Times New Roman" w:cs="Times New Roman"/>
                      <w:color w:val="auto"/>
                    </w:rPr>
                  </w:pPr>
                </w:p>
              </w:tc>
              <w:tc>
                <w:tcPr>
                  <w:tcW w:w="2524" w:type="pct"/>
                  <w:tcBorders>
                    <w:tl2br w:val="nil"/>
                    <w:tr2bl w:val="nil"/>
                  </w:tcBorders>
                  <w:noWrap w:val="0"/>
                  <w:vAlign w:val="center"/>
                </w:tcPr>
                <w:p w14:paraId="13D3D376">
                  <w:pPr>
                    <w:pStyle w:val="107"/>
                    <w:jc w:val="both"/>
                    <w:rPr>
                      <w:rFonts w:hint="default" w:ascii="Times New Roman" w:hAnsi="Times New Roman" w:cs="Times New Roman"/>
                      <w:color w:val="auto"/>
                    </w:rPr>
                  </w:pPr>
                  <w:r>
                    <w:rPr>
                      <w:rFonts w:hint="default" w:ascii="Times New Roman" w:hAnsi="Times New Roman" w:eastAsia="宋体" w:cs="Times New Roman"/>
                      <w:color w:val="auto"/>
                      <w:sz w:val="21"/>
                      <w:szCs w:val="21"/>
                    </w:rPr>
                    <w:t>以环境风险较高的饮用水水源地保护区、交通干道和集中式污染处理设施等为重点，提高防范环境风险能力，规范化集中式污染处理设施日常运行维护，建设应急导流槽、事故调蓄池、应急闸坝等事故排水收集截留设施等预防性设施。</w:t>
                  </w:r>
                </w:p>
              </w:tc>
              <w:tc>
                <w:tcPr>
                  <w:tcW w:w="1173" w:type="pct"/>
                  <w:tcBorders>
                    <w:tl2br w:val="nil"/>
                    <w:tr2bl w:val="nil"/>
                  </w:tcBorders>
                  <w:noWrap w:val="0"/>
                  <w:vAlign w:val="center"/>
                </w:tcPr>
                <w:p w14:paraId="0996F30F">
                  <w:pPr>
                    <w:pStyle w:val="107"/>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vMerge w:val="restart"/>
                  <w:tcBorders>
                    <w:tl2br w:val="nil"/>
                    <w:tr2bl w:val="nil"/>
                  </w:tcBorders>
                  <w:noWrap w:val="0"/>
                  <w:vAlign w:val="center"/>
                </w:tcPr>
                <w:p w14:paraId="5C48A760">
                  <w:pPr>
                    <w:pStyle w:val="107"/>
                    <w:rPr>
                      <w:rFonts w:hint="default" w:ascii="Times New Roman" w:hAnsi="Times New Roman" w:cs="Times New Roman"/>
                      <w:color w:val="auto"/>
                    </w:rPr>
                  </w:pPr>
                  <w:r>
                    <w:rPr>
                      <w:rFonts w:hint="default" w:ascii="Times New Roman" w:hAnsi="Times New Roman" w:cs="Times New Roman"/>
                      <w:color w:val="auto"/>
                    </w:rPr>
                    <w:t>符合</w:t>
                  </w:r>
                </w:p>
              </w:tc>
            </w:tr>
            <w:tr w14:paraId="6A3C5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96" w:type="pct"/>
                  <w:vMerge w:val="continue"/>
                  <w:tcBorders>
                    <w:tl2br w:val="nil"/>
                    <w:tr2bl w:val="nil"/>
                  </w:tcBorders>
                  <w:noWrap w:val="0"/>
                  <w:vAlign w:val="center"/>
                </w:tcPr>
                <w:p w14:paraId="24EF8662">
                  <w:pPr>
                    <w:pStyle w:val="107"/>
                    <w:jc w:val="both"/>
                    <w:rPr>
                      <w:rFonts w:hint="default" w:ascii="Times New Roman" w:hAnsi="Times New Roman" w:cs="Times New Roman"/>
                      <w:color w:val="auto"/>
                    </w:rPr>
                  </w:pPr>
                </w:p>
              </w:tc>
              <w:tc>
                <w:tcPr>
                  <w:tcW w:w="467" w:type="pct"/>
                  <w:vMerge w:val="continue"/>
                  <w:tcBorders>
                    <w:tl2br w:val="nil"/>
                    <w:tr2bl w:val="nil"/>
                  </w:tcBorders>
                  <w:noWrap w:val="0"/>
                  <w:vAlign w:val="center"/>
                </w:tcPr>
                <w:p w14:paraId="2D39210D">
                  <w:pPr>
                    <w:pStyle w:val="107"/>
                    <w:jc w:val="both"/>
                    <w:rPr>
                      <w:rFonts w:hint="default" w:ascii="Times New Roman" w:hAnsi="Times New Roman" w:cs="Times New Roman"/>
                      <w:color w:val="auto"/>
                    </w:rPr>
                  </w:pPr>
                </w:p>
              </w:tc>
              <w:tc>
                <w:tcPr>
                  <w:tcW w:w="2524" w:type="pct"/>
                  <w:tcBorders>
                    <w:tl2br w:val="nil"/>
                    <w:tr2bl w:val="nil"/>
                  </w:tcBorders>
                  <w:noWrap w:val="0"/>
                  <w:vAlign w:val="center"/>
                </w:tcPr>
                <w:p w14:paraId="2BE961E7">
                  <w:pPr>
                    <w:pStyle w:val="107"/>
                    <w:jc w:val="both"/>
                    <w:rPr>
                      <w:rFonts w:hint="default" w:ascii="Times New Roman" w:hAnsi="Times New Roman" w:cs="Times New Roman"/>
                      <w:color w:val="auto"/>
                    </w:rPr>
                  </w:pPr>
                  <w:r>
                    <w:rPr>
                      <w:rFonts w:hint="default" w:ascii="Times New Roman" w:hAnsi="Times New Roman" w:eastAsia="宋体" w:cs="Times New Roman"/>
                      <w:color w:val="auto"/>
                      <w:sz w:val="21"/>
                      <w:szCs w:val="21"/>
                    </w:rPr>
                    <w:t>健全突发环境事件应急预案体系，推进跨区域、跨流域环境应急联动。</w:t>
                  </w:r>
                </w:p>
              </w:tc>
              <w:tc>
                <w:tcPr>
                  <w:tcW w:w="1173" w:type="pct"/>
                  <w:tcBorders>
                    <w:tl2br w:val="nil"/>
                    <w:tr2bl w:val="nil"/>
                  </w:tcBorders>
                  <w:noWrap w:val="0"/>
                  <w:vAlign w:val="center"/>
                </w:tcPr>
                <w:p w14:paraId="32D52883">
                  <w:pPr>
                    <w:pStyle w:val="107"/>
                    <w:jc w:val="center"/>
                    <w:rPr>
                      <w:rFonts w:hint="default" w:ascii="Times New Roman" w:hAnsi="Times New Roman" w:cs="Times New Roman"/>
                      <w:color w:val="auto"/>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vMerge w:val="continue"/>
                  <w:tcBorders>
                    <w:tl2br w:val="nil"/>
                    <w:tr2bl w:val="nil"/>
                  </w:tcBorders>
                  <w:noWrap w:val="0"/>
                  <w:vAlign w:val="center"/>
                </w:tcPr>
                <w:p w14:paraId="74A8C372">
                  <w:pPr>
                    <w:pStyle w:val="107"/>
                    <w:jc w:val="both"/>
                    <w:rPr>
                      <w:rFonts w:hint="default" w:ascii="Times New Roman" w:hAnsi="Times New Roman" w:cs="Times New Roman"/>
                      <w:color w:val="auto"/>
                    </w:rPr>
                  </w:pPr>
                </w:p>
              </w:tc>
            </w:tr>
            <w:tr w14:paraId="6F899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96" w:type="pct"/>
                  <w:vMerge w:val="restart"/>
                  <w:tcBorders>
                    <w:tl2br w:val="nil"/>
                    <w:tr2bl w:val="nil"/>
                  </w:tcBorders>
                  <w:noWrap w:val="0"/>
                  <w:vAlign w:val="center"/>
                </w:tcPr>
                <w:p w14:paraId="358DB9EA">
                  <w:pPr>
                    <w:pStyle w:val="107"/>
                    <w:jc w:val="both"/>
                    <w:rPr>
                      <w:rFonts w:hint="default" w:ascii="Times New Roman" w:hAnsi="Times New Roman" w:cs="Times New Roman"/>
                      <w:color w:val="auto"/>
                    </w:rPr>
                  </w:pPr>
                  <w:r>
                    <w:rPr>
                      <w:rFonts w:hint="default" w:ascii="Times New Roman" w:hAnsi="Times New Roman" w:cs="Times New Roman"/>
                      <w:color w:val="auto"/>
                    </w:rPr>
                    <w:t>A4资源利用效率要求</w:t>
                  </w:r>
                </w:p>
              </w:tc>
              <w:tc>
                <w:tcPr>
                  <w:tcW w:w="467" w:type="pct"/>
                  <w:vMerge w:val="restart"/>
                  <w:tcBorders>
                    <w:tl2br w:val="nil"/>
                    <w:tr2bl w:val="nil"/>
                  </w:tcBorders>
                  <w:noWrap w:val="0"/>
                  <w:vAlign w:val="center"/>
                </w:tcPr>
                <w:p w14:paraId="26AF1DA7">
                  <w:pPr>
                    <w:pStyle w:val="107"/>
                    <w:jc w:val="both"/>
                    <w:rPr>
                      <w:rFonts w:hint="default" w:ascii="Times New Roman" w:hAnsi="Times New Roman" w:cs="Times New Roman"/>
                      <w:color w:val="auto"/>
                    </w:rPr>
                  </w:pPr>
                  <w:r>
                    <w:rPr>
                      <w:rFonts w:hint="default" w:ascii="Times New Roman" w:hAnsi="Times New Roman" w:cs="Times New Roman"/>
                      <w:color w:val="auto"/>
                    </w:rPr>
                    <w:t>A4.1能源利用总量及效率要求</w:t>
                  </w:r>
                </w:p>
              </w:tc>
              <w:tc>
                <w:tcPr>
                  <w:tcW w:w="2524" w:type="pct"/>
                  <w:tcBorders>
                    <w:tl2br w:val="nil"/>
                    <w:tr2bl w:val="nil"/>
                  </w:tcBorders>
                  <w:noWrap w:val="0"/>
                  <w:vAlign w:val="center"/>
                </w:tcPr>
                <w:p w14:paraId="0E859557">
                  <w:pPr>
                    <w:pStyle w:val="107"/>
                    <w:jc w:val="both"/>
                    <w:rPr>
                      <w:rFonts w:hint="default" w:ascii="Times New Roman" w:hAnsi="Times New Roman" w:cs="Times New Roman"/>
                      <w:color w:val="auto"/>
                    </w:rPr>
                  </w:pPr>
                  <w:r>
                    <w:rPr>
                      <w:rFonts w:hint="default" w:ascii="Times New Roman" w:hAnsi="Times New Roman" w:eastAsia="宋体" w:cs="Times New Roman"/>
                      <w:color w:val="auto"/>
                      <w:sz w:val="21"/>
                      <w:szCs w:val="21"/>
                    </w:rPr>
                    <w:t>实行煤炭消费总量控制，严控高耗煤行业新增项目。</w:t>
                  </w:r>
                </w:p>
              </w:tc>
              <w:tc>
                <w:tcPr>
                  <w:tcW w:w="1173" w:type="pct"/>
                  <w:tcBorders>
                    <w:tl2br w:val="nil"/>
                    <w:tr2bl w:val="nil"/>
                  </w:tcBorders>
                  <w:noWrap w:val="0"/>
                  <w:vAlign w:val="center"/>
                </w:tcPr>
                <w:p w14:paraId="3E957CA1">
                  <w:pPr>
                    <w:pStyle w:val="107"/>
                    <w:jc w:val="center"/>
                    <w:rPr>
                      <w:rFonts w:hint="default" w:ascii="Times New Roman" w:hAnsi="Times New Roman" w:cs="Times New Roman"/>
                      <w:color w:val="auto"/>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vMerge w:val="continue"/>
                  <w:tcBorders>
                    <w:tl2br w:val="nil"/>
                    <w:tr2bl w:val="nil"/>
                  </w:tcBorders>
                  <w:noWrap w:val="0"/>
                  <w:vAlign w:val="center"/>
                </w:tcPr>
                <w:p w14:paraId="52570347">
                  <w:pPr>
                    <w:pStyle w:val="107"/>
                    <w:jc w:val="both"/>
                    <w:rPr>
                      <w:rFonts w:hint="default" w:ascii="Times New Roman" w:hAnsi="Times New Roman" w:cs="Times New Roman"/>
                      <w:color w:val="auto"/>
                    </w:rPr>
                  </w:pPr>
                </w:p>
              </w:tc>
            </w:tr>
            <w:tr w14:paraId="0DCE0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96" w:type="pct"/>
                  <w:vMerge w:val="continue"/>
                  <w:tcBorders>
                    <w:tl2br w:val="nil"/>
                    <w:tr2bl w:val="nil"/>
                  </w:tcBorders>
                  <w:noWrap w:val="0"/>
                  <w:vAlign w:val="center"/>
                </w:tcPr>
                <w:p w14:paraId="3F403B41">
                  <w:pPr>
                    <w:pStyle w:val="107"/>
                    <w:jc w:val="both"/>
                    <w:rPr>
                      <w:rFonts w:hint="default" w:ascii="Times New Roman" w:hAnsi="Times New Roman" w:cs="Times New Roman"/>
                      <w:color w:val="auto"/>
                    </w:rPr>
                  </w:pPr>
                </w:p>
              </w:tc>
              <w:tc>
                <w:tcPr>
                  <w:tcW w:w="467" w:type="pct"/>
                  <w:vMerge w:val="continue"/>
                  <w:tcBorders>
                    <w:tl2br w:val="nil"/>
                    <w:tr2bl w:val="nil"/>
                  </w:tcBorders>
                  <w:noWrap w:val="0"/>
                  <w:vAlign w:val="center"/>
                </w:tcPr>
                <w:p w14:paraId="7E3D1D10">
                  <w:pPr>
                    <w:pStyle w:val="107"/>
                    <w:jc w:val="both"/>
                    <w:rPr>
                      <w:rFonts w:hint="default" w:ascii="Times New Roman" w:hAnsi="Times New Roman" w:cs="Times New Roman"/>
                      <w:color w:val="auto"/>
                    </w:rPr>
                  </w:pPr>
                </w:p>
              </w:tc>
              <w:tc>
                <w:tcPr>
                  <w:tcW w:w="2524" w:type="pct"/>
                  <w:tcBorders>
                    <w:tl2br w:val="nil"/>
                    <w:tr2bl w:val="nil"/>
                  </w:tcBorders>
                  <w:noWrap w:val="0"/>
                  <w:vAlign w:val="center"/>
                </w:tcPr>
                <w:p w14:paraId="173642D3">
                  <w:pPr>
                    <w:pStyle w:val="107"/>
                    <w:jc w:val="both"/>
                    <w:rPr>
                      <w:rFonts w:hint="default" w:ascii="Times New Roman" w:hAnsi="Times New Roman" w:cs="Times New Roman"/>
                      <w:color w:val="auto"/>
                    </w:rPr>
                  </w:pPr>
                  <w:r>
                    <w:rPr>
                      <w:rFonts w:hint="default" w:ascii="Times New Roman" w:hAnsi="Times New Roman" w:eastAsia="宋体" w:cs="Times New Roman"/>
                      <w:color w:val="auto"/>
                      <w:sz w:val="21"/>
                      <w:szCs w:val="21"/>
                    </w:rPr>
                    <w:t>到2025年，全市单位地区生产总值能耗降低基本目标为13%，激励目标为14%。</w:t>
                  </w:r>
                </w:p>
              </w:tc>
              <w:tc>
                <w:tcPr>
                  <w:tcW w:w="1173" w:type="pct"/>
                  <w:tcBorders>
                    <w:tl2br w:val="nil"/>
                    <w:tr2bl w:val="nil"/>
                  </w:tcBorders>
                  <w:noWrap w:val="0"/>
                  <w:vAlign w:val="center"/>
                </w:tcPr>
                <w:p w14:paraId="741E3F51">
                  <w:pPr>
                    <w:pStyle w:val="107"/>
                    <w:jc w:val="center"/>
                    <w:rPr>
                      <w:rFonts w:hint="default" w:ascii="Times New Roman" w:hAnsi="Times New Roman" w:cs="Times New Roman"/>
                      <w:color w:val="auto"/>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vMerge w:val="continue"/>
                  <w:tcBorders>
                    <w:tl2br w:val="nil"/>
                    <w:tr2bl w:val="nil"/>
                  </w:tcBorders>
                  <w:noWrap w:val="0"/>
                  <w:vAlign w:val="center"/>
                </w:tcPr>
                <w:p w14:paraId="47FE7C43">
                  <w:pPr>
                    <w:pStyle w:val="107"/>
                    <w:jc w:val="both"/>
                    <w:rPr>
                      <w:rFonts w:hint="default" w:ascii="Times New Roman" w:hAnsi="Times New Roman" w:cs="Times New Roman"/>
                      <w:color w:val="auto"/>
                    </w:rPr>
                  </w:pPr>
                </w:p>
              </w:tc>
            </w:tr>
            <w:tr w14:paraId="1D5FC1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tcBorders>
                    <w:tl2br w:val="nil"/>
                    <w:tr2bl w:val="nil"/>
                  </w:tcBorders>
                  <w:noWrap w:val="0"/>
                  <w:vAlign w:val="center"/>
                </w:tcPr>
                <w:p w14:paraId="0F550F21">
                  <w:pPr>
                    <w:pStyle w:val="107"/>
                    <w:rPr>
                      <w:rFonts w:hint="default" w:ascii="Times New Roman" w:hAnsi="Times New Roman" w:cs="Times New Roman"/>
                      <w:color w:val="auto"/>
                    </w:rPr>
                  </w:pPr>
                </w:p>
              </w:tc>
              <w:tc>
                <w:tcPr>
                  <w:tcW w:w="467" w:type="pct"/>
                  <w:tcBorders>
                    <w:tl2br w:val="nil"/>
                    <w:tr2bl w:val="nil"/>
                  </w:tcBorders>
                  <w:noWrap w:val="0"/>
                  <w:vAlign w:val="center"/>
                </w:tcPr>
                <w:p w14:paraId="17FD231F">
                  <w:pPr>
                    <w:pStyle w:val="107"/>
                    <w:rPr>
                      <w:rFonts w:hint="default" w:ascii="Times New Roman" w:hAnsi="Times New Roman" w:cs="Times New Roman"/>
                      <w:color w:val="auto"/>
                    </w:rPr>
                  </w:pPr>
                  <w:r>
                    <w:rPr>
                      <w:rFonts w:hint="default" w:ascii="Times New Roman" w:hAnsi="Times New Roman" w:cs="Times New Roman"/>
                      <w:color w:val="auto"/>
                    </w:rPr>
                    <w:t>A4.2水资源利用总量及效率要求</w:t>
                  </w:r>
                </w:p>
              </w:tc>
              <w:tc>
                <w:tcPr>
                  <w:tcW w:w="2524" w:type="pct"/>
                  <w:tcBorders>
                    <w:tl2br w:val="nil"/>
                    <w:tr2bl w:val="nil"/>
                  </w:tcBorders>
                  <w:noWrap w:val="0"/>
                  <w:vAlign w:val="center"/>
                </w:tcPr>
                <w:p w14:paraId="084D2C55">
                  <w:pPr>
                    <w:pStyle w:val="107"/>
                    <w:jc w:val="both"/>
                    <w:rPr>
                      <w:rFonts w:hint="default" w:ascii="Times New Roman" w:hAnsi="Times New Roman" w:cs="Times New Roman"/>
                      <w:color w:val="auto"/>
                    </w:rPr>
                  </w:pPr>
                  <w:r>
                    <w:rPr>
                      <w:rFonts w:hint="default" w:ascii="Times New Roman" w:hAnsi="Times New Roman" w:eastAsia="宋体" w:cs="Times New Roman"/>
                      <w:color w:val="auto"/>
                      <w:sz w:val="21"/>
                      <w:szCs w:val="21"/>
                    </w:rPr>
                    <w:t>落实节水指标纳入县（区）政绩考核，对水资源超载地区实行用水和项目“双限批”，到2025年全市用水总量控制在2.90亿立方米，单位GDP用水量较2020年下降13%。积极推广农业成套综合节水技术，到2025年农田灌溉水有效利用系数达到0.79。</w:t>
                  </w:r>
                </w:p>
              </w:tc>
              <w:tc>
                <w:tcPr>
                  <w:tcW w:w="1173" w:type="pct"/>
                  <w:tcBorders>
                    <w:tl2br w:val="nil"/>
                    <w:tr2bl w:val="nil"/>
                  </w:tcBorders>
                  <w:noWrap w:val="0"/>
                  <w:vAlign w:val="center"/>
                </w:tcPr>
                <w:p w14:paraId="36EBDD67">
                  <w:pPr>
                    <w:pStyle w:val="107"/>
                    <w:jc w:val="center"/>
                    <w:rPr>
                      <w:rFonts w:hint="default" w:ascii="Times New Roman" w:hAnsi="Times New Roman" w:cs="Times New Roman"/>
                      <w:color w:val="auto"/>
                    </w:rPr>
                  </w:pPr>
                  <w:r>
                    <w:rPr>
                      <w:rFonts w:hint="default" w:ascii="Times New Roman" w:hAnsi="Times New Roman" w:cs="Times New Roman"/>
                      <w:color w:val="auto"/>
                      <w:lang w:val="en-US" w:eastAsia="zh-CN"/>
                    </w:rPr>
                    <w:t>不涉及</w:t>
                  </w:r>
                  <w:r>
                    <w:rPr>
                      <w:rFonts w:hint="default" w:ascii="Times New Roman" w:hAnsi="Times New Roman" w:cs="Times New Roman"/>
                      <w:color w:val="auto"/>
                      <w:lang w:eastAsia="zh-CN"/>
                    </w:rPr>
                    <w:t>。</w:t>
                  </w:r>
                </w:p>
              </w:tc>
              <w:tc>
                <w:tcPr>
                  <w:tcW w:w="438" w:type="pct"/>
                  <w:tcBorders>
                    <w:tl2br w:val="nil"/>
                    <w:tr2bl w:val="nil"/>
                  </w:tcBorders>
                  <w:noWrap w:val="0"/>
                  <w:vAlign w:val="center"/>
                </w:tcPr>
                <w:p w14:paraId="23491E5D">
                  <w:pPr>
                    <w:pStyle w:val="107"/>
                    <w:rPr>
                      <w:rFonts w:hint="default" w:ascii="Times New Roman" w:hAnsi="Times New Roman" w:cs="Times New Roman"/>
                      <w:color w:val="auto"/>
                    </w:rPr>
                  </w:pPr>
                  <w:r>
                    <w:rPr>
                      <w:rFonts w:hint="default" w:ascii="Times New Roman" w:hAnsi="Times New Roman" w:cs="Times New Roman"/>
                      <w:color w:val="auto"/>
                    </w:rPr>
                    <w:t>符合</w:t>
                  </w:r>
                </w:p>
              </w:tc>
            </w:tr>
          </w:tbl>
          <w:p w14:paraId="03687390">
            <w:pPr>
              <w:keepNext w:val="0"/>
              <w:keepLines w:val="0"/>
              <w:pageBreakBefore w:val="0"/>
              <w:widowControl/>
              <w:suppressLineNumbers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rPr>
              <w:t>表1-</w:t>
            </w:r>
            <w:r>
              <w:rPr>
                <w:rFonts w:hint="default" w:ascii="Times New Roman" w:hAnsi="Times New Roman" w:eastAsia="宋体" w:cs="Times New Roman"/>
                <w:b/>
                <w:bCs/>
                <w:color w:val="auto"/>
                <w:sz w:val="24"/>
                <w:szCs w:val="24"/>
                <w:highlight w:val="none"/>
                <w:lang w:val="en-US" w:eastAsia="zh-CN"/>
              </w:rPr>
              <w:t xml:space="preserve">4 </w:t>
            </w:r>
            <w:r>
              <w:rPr>
                <w:rFonts w:hint="default" w:ascii="Times New Roman" w:hAnsi="Times New Roman" w:eastAsia="宋体" w:cs="Times New Roman"/>
                <w:b/>
                <w:bCs/>
                <w:color w:val="auto"/>
                <w:sz w:val="24"/>
                <w:szCs w:val="24"/>
                <w:highlight w:val="none"/>
                <w:lang w:val="en-US"/>
              </w:rPr>
              <w:t xml:space="preserve"> </w:t>
            </w:r>
            <w:r>
              <w:rPr>
                <w:rFonts w:hint="default" w:ascii="Times New Roman" w:hAnsi="Times New Roman" w:eastAsia="宋体" w:cs="Times New Roman"/>
                <w:b/>
                <w:bCs/>
                <w:color w:val="auto"/>
                <w:sz w:val="24"/>
                <w:szCs w:val="24"/>
                <w:highlight w:val="none"/>
                <w:lang w:val="en-US" w:eastAsia="zh-CN"/>
              </w:rPr>
              <w:t>项目与固原</w:t>
            </w:r>
            <w:r>
              <w:rPr>
                <w:rFonts w:hint="default" w:ascii="Times New Roman" w:hAnsi="Times New Roman" w:eastAsia="宋体" w:cs="Times New Roman"/>
                <w:b/>
                <w:bCs/>
                <w:color w:val="auto"/>
                <w:sz w:val="24"/>
                <w:szCs w:val="24"/>
                <w:highlight w:val="none"/>
                <w:lang w:val="en-US"/>
              </w:rPr>
              <w:t>市</w:t>
            </w:r>
            <w:r>
              <w:rPr>
                <w:rFonts w:hint="default" w:ascii="Times New Roman" w:hAnsi="Times New Roman" w:eastAsia="宋体" w:cs="Times New Roman"/>
                <w:b/>
                <w:bCs/>
                <w:color w:val="auto"/>
                <w:sz w:val="24"/>
                <w:szCs w:val="24"/>
                <w:highlight w:val="none"/>
                <w:lang w:val="en-US" w:eastAsia="zh-CN"/>
              </w:rPr>
              <w:t>环境管控单元</w:t>
            </w:r>
            <w:r>
              <w:rPr>
                <w:rFonts w:hint="default" w:ascii="Times New Roman" w:hAnsi="Times New Roman" w:eastAsia="宋体" w:cs="Times New Roman"/>
                <w:b/>
                <w:bCs/>
                <w:color w:val="auto"/>
                <w:sz w:val="24"/>
                <w:szCs w:val="24"/>
                <w:highlight w:val="none"/>
                <w:lang w:val="en-US"/>
              </w:rPr>
              <w:t>生态环境准入清单</w:t>
            </w:r>
            <w:r>
              <w:rPr>
                <w:rFonts w:hint="default" w:ascii="Times New Roman" w:hAnsi="Times New Roman" w:eastAsia="宋体" w:cs="Times New Roman"/>
                <w:b/>
                <w:bCs/>
                <w:color w:val="auto"/>
                <w:sz w:val="24"/>
                <w:szCs w:val="24"/>
                <w:highlight w:val="none"/>
                <w:lang w:val="en-US" w:eastAsia="zh-CN"/>
              </w:rPr>
              <w:t>的符合性分析</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5"/>
              <w:gridCol w:w="736"/>
              <w:gridCol w:w="341"/>
              <w:gridCol w:w="259"/>
              <w:gridCol w:w="409"/>
              <w:gridCol w:w="641"/>
              <w:gridCol w:w="386"/>
              <w:gridCol w:w="461"/>
              <w:gridCol w:w="912"/>
              <w:gridCol w:w="614"/>
              <w:gridCol w:w="535"/>
              <w:gridCol w:w="370"/>
              <w:gridCol w:w="943"/>
              <w:gridCol w:w="364"/>
            </w:tblGrid>
            <w:tr w14:paraId="6DACF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395" w:type="dxa"/>
                  <w:vMerge w:val="restart"/>
                  <w:tcBorders>
                    <w:tl2br w:val="nil"/>
                    <w:tr2bl w:val="nil"/>
                  </w:tcBorders>
                  <w:noWrap w:val="0"/>
                  <w:vAlign w:val="center"/>
                </w:tcPr>
                <w:p w14:paraId="5FE8FD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736" w:type="dxa"/>
                  <w:vMerge w:val="restart"/>
                  <w:tcBorders>
                    <w:tl2br w:val="nil"/>
                    <w:tr2bl w:val="nil"/>
                  </w:tcBorders>
                  <w:noWrap w:val="0"/>
                  <w:vAlign w:val="center"/>
                </w:tcPr>
                <w:p w14:paraId="2C97A4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lang w:val="en-US" w:eastAsia="zh-CN"/>
                    </w:rPr>
                    <w:t>环境</w:t>
                  </w:r>
                  <w:r>
                    <w:rPr>
                      <w:rFonts w:hint="default" w:ascii="Times New Roman" w:hAnsi="Times New Roman" w:eastAsia="宋体" w:cs="Times New Roman"/>
                      <w:b/>
                      <w:bCs/>
                      <w:color w:val="auto"/>
                      <w:sz w:val="21"/>
                      <w:szCs w:val="21"/>
                      <w:highlight w:val="none"/>
                      <w:vertAlign w:val="baseline"/>
                    </w:rPr>
                    <w:t>管控</w:t>
                  </w:r>
                </w:p>
                <w:p w14:paraId="3818F1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单元名称</w:t>
                  </w:r>
                </w:p>
              </w:tc>
              <w:tc>
                <w:tcPr>
                  <w:tcW w:w="1650" w:type="dxa"/>
                  <w:gridSpan w:val="4"/>
                  <w:tcBorders>
                    <w:tl2br w:val="nil"/>
                    <w:tr2bl w:val="nil"/>
                  </w:tcBorders>
                  <w:noWrap w:val="0"/>
                  <w:vAlign w:val="center"/>
                </w:tcPr>
                <w:p w14:paraId="11FF4C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行政区划</w:t>
                  </w:r>
                </w:p>
              </w:tc>
              <w:tc>
                <w:tcPr>
                  <w:tcW w:w="386" w:type="dxa"/>
                  <w:vMerge w:val="restart"/>
                  <w:tcBorders>
                    <w:tl2br w:val="nil"/>
                    <w:tr2bl w:val="nil"/>
                  </w:tcBorders>
                  <w:noWrap w:val="0"/>
                  <w:vAlign w:val="center"/>
                </w:tcPr>
                <w:p w14:paraId="034D0F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要素属性</w:t>
                  </w:r>
                </w:p>
              </w:tc>
              <w:tc>
                <w:tcPr>
                  <w:tcW w:w="461" w:type="dxa"/>
                  <w:vMerge w:val="restart"/>
                  <w:tcBorders>
                    <w:tl2br w:val="nil"/>
                    <w:tr2bl w:val="nil"/>
                  </w:tcBorders>
                  <w:noWrap w:val="0"/>
                  <w:vAlign w:val="center"/>
                </w:tcPr>
                <w:p w14:paraId="434AC1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rPr>
                    <w:t>管控单元</w:t>
                  </w:r>
                  <w:r>
                    <w:rPr>
                      <w:rFonts w:hint="default" w:ascii="Times New Roman" w:hAnsi="Times New Roman" w:eastAsia="宋体" w:cs="Times New Roman"/>
                      <w:b/>
                      <w:bCs/>
                      <w:color w:val="auto"/>
                      <w:sz w:val="21"/>
                      <w:szCs w:val="21"/>
                      <w:highlight w:val="none"/>
                      <w:vertAlign w:val="baseline"/>
                      <w:lang w:val="en-US" w:eastAsia="zh-CN"/>
                    </w:rPr>
                    <w:t>分类</w:t>
                  </w:r>
                </w:p>
              </w:tc>
              <w:tc>
                <w:tcPr>
                  <w:tcW w:w="2431" w:type="dxa"/>
                  <w:gridSpan w:val="4"/>
                  <w:tcBorders>
                    <w:tl2br w:val="nil"/>
                    <w:tr2bl w:val="nil"/>
                  </w:tcBorders>
                  <w:noWrap w:val="0"/>
                  <w:vAlign w:val="center"/>
                </w:tcPr>
                <w:p w14:paraId="70FC73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lang w:val="en-US" w:eastAsia="zh-CN"/>
                    </w:rPr>
                    <w:t>管控</w:t>
                  </w:r>
                  <w:r>
                    <w:rPr>
                      <w:rFonts w:hint="default" w:ascii="Times New Roman" w:hAnsi="Times New Roman" w:eastAsia="宋体" w:cs="Times New Roman"/>
                      <w:b/>
                      <w:bCs/>
                      <w:color w:val="auto"/>
                      <w:sz w:val="21"/>
                      <w:szCs w:val="21"/>
                      <w:highlight w:val="none"/>
                      <w:vertAlign w:val="baseline"/>
                    </w:rPr>
                    <w:t>要求</w:t>
                  </w:r>
                </w:p>
              </w:tc>
              <w:tc>
                <w:tcPr>
                  <w:tcW w:w="943" w:type="dxa"/>
                  <w:vMerge w:val="restart"/>
                  <w:tcBorders>
                    <w:tl2br w:val="nil"/>
                    <w:tr2bl w:val="nil"/>
                  </w:tcBorders>
                  <w:noWrap w:val="0"/>
                  <w:vAlign w:val="center"/>
                </w:tcPr>
                <w:p w14:paraId="41377D14">
                  <w:pP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lang w:val="en-US" w:eastAsia="zh-CN"/>
                    </w:rPr>
                    <w:t>本项目情况</w:t>
                  </w:r>
                </w:p>
              </w:tc>
              <w:tc>
                <w:tcPr>
                  <w:tcW w:w="364" w:type="dxa"/>
                  <w:vMerge w:val="restart"/>
                  <w:tcBorders>
                    <w:tl2br w:val="nil"/>
                    <w:tr2bl w:val="nil"/>
                  </w:tcBorders>
                  <w:noWrap w:val="0"/>
                  <w:vAlign w:val="center"/>
                </w:tcPr>
                <w:p w14:paraId="10A943CE">
                  <w:pP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是否符合</w:t>
                  </w:r>
                </w:p>
              </w:tc>
            </w:tr>
            <w:tr w14:paraId="4C55C7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395" w:type="dxa"/>
                  <w:vMerge w:val="continue"/>
                  <w:tcBorders>
                    <w:tl2br w:val="nil"/>
                    <w:tr2bl w:val="nil"/>
                  </w:tcBorders>
                  <w:noWrap w:val="0"/>
                  <w:vAlign w:val="center"/>
                </w:tcPr>
                <w:p w14:paraId="447FE4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p>
              </w:tc>
              <w:tc>
                <w:tcPr>
                  <w:tcW w:w="736" w:type="dxa"/>
                  <w:vMerge w:val="continue"/>
                  <w:tcBorders>
                    <w:tl2br w:val="nil"/>
                    <w:tr2bl w:val="nil"/>
                  </w:tcBorders>
                  <w:noWrap w:val="0"/>
                  <w:vAlign w:val="center"/>
                </w:tcPr>
                <w:p w14:paraId="51712E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p>
              </w:tc>
              <w:tc>
                <w:tcPr>
                  <w:tcW w:w="341" w:type="dxa"/>
                  <w:tcBorders>
                    <w:tl2br w:val="nil"/>
                    <w:tr2bl w:val="nil"/>
                  </w:tcBorders>
                  <w:noWrap w:val="0"/>
                  <w:vAlign w:val="center"/>
                </w:tcPr>
                <w:p w14:paraId="583A1D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省</w:t>
                  </w:r>
                </w:p>
              </w:tc>
              <w:tc>
                <w:tcPr>
                  <w:tcW w:w="259" w:type="dxa"/>
                  <w:tcBorders>
                    <w:tl2br w:val="nil"/>
                    <w:tr2bl w:val="nil"/>
                  </w:tcBorders>
                  <w:noWrap w:val="0"/>
                  <w:vAlign w:val="center"/>
                </w:tcPr>
                <w:p w14:paraId="7A35A8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市</w:t>
                  </w:r>
                </w:p>
              </w:tc>
              <w:tc>
                <w:tcPr>
                  <w:tcW w:w="409" w:type="dxa"/>
                  <w:tcBorders>
                    <w:tl2br w:val="nil"/>
                    <w:tr2bl w:val="nil"/>
                  </w:tcBorders>
                  <w:noWrap w:val="0"/>
                  <w:vAlign w:val="center"/>
                </w:tcPr>
                <w:p w14:paraId="7CF636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县</w:t>
                  </w:r>
                </w:p>
              </w:tc>
              <w:tc>
                <w:tcPr>
                  <w:tcW w:w="641" w:type="dxa"/>
                  <w:tcBorders>
                    <w:tl2br w:val="nil"/>
                    <w:tr2bl w:val="nil"/>
                  </w:tcBorders>
                  <w:noWrap w:val="0"/>
                  <w:vAlign w:val="center"/>
                </w:tcPr>
                <w:p w14:paraId="1433D8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涉及乡镇</w:t>
                  </w:r>
                </w:p>
                <w:p w14:paraId="165B94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w:t>
                  </w:r>
                  <w:r>
                    <w:rPr>
                      <w:rFonts w:hint="default" w:ascii="Times New Roman" w:hAnsi="Times New Roman" w:eastAsia="宋体" w:cs="Times New Roman"/>
                      <w:b/>
                      <w:bCs/>
                      <w:color w:val="auto"/>
                      <w:sz w:val="21"/>
                      <w:szCs w:val="21"/>
                      <w:highlight w:val="none"/>
                      <w:vertAlign w:val="baseline"/>
                      <w:lang w:val="en-US" w:eastAsia="zh-CN"/>
                    </w:rPr>
                    <w:t>街道</w:t>
                  </w:r>
                  <w:r>
                    <w:rPr>
                      <w:rFonts w:hint="default" w:ascii="Times New Roman" w:hAnsi="Times New Roman" w:eastAsia="宋体" w:cs="Times New Roman"/>
                      <w:b/>
                      <w:bCs/>
                      <w:color w:val="auto"/>
                      <w:sz w:val="21"/>
                      <w:szCs w:val="21"/>
                      <w:highlight w:val="none"/>
                      <w:vertAlign w:val="baseline"/>
                      <w:lang w:eastAsia="zh-CN"/>
                    </w:rPr>
                    <w:t>）</w:t>
                  </w:r>
                </w:p>
              </w:tc>
              <w:tc>
                <w:tcPr>
                  <w:tcW w:w="386" w:type="dxa"/>
                  <w:vMerge w:val="continue"/>
                  <w:tcBorders>
                    <w:tl2br w:val="nil"/>
                    <w:tr2bl w:val="nil"/>
                  </w:tcBorders>
                  <w:noWrap w:val="0"/>
                  <w:vAlign w:val="center"/>
                </w:tcPr>
                <w:p w14:paraId="23C4BD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p>
              </w:tc>
              <w:tc>
                <w:tcPr>
                  <w:tcW w:w="461" w:type="dxa"/>
                  <w:vMerge w:val="continue"/>
                  <w:tcBorders>
                    <w:tl2br w:val="nil"/>
                    <w:tr2bl w:val="nil"/>
                  </w:tcBorders>
                  <w:noWrap w:val="0"/>
                  <w:vAlign w:val="center"/>
                </w:tcPr>
                <w:p w14:paraId="05D5C1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p>
              </w:tc>
              <w:tc>
                <w:tcPr>
                  <w:tcW w:w="912" w:type="dxa"/>
                  <w:tcBorders>
                    <w:tl2br w:val="nil"/>
                    <w:tr2bl w:val="nil"/>
                  </w:tcBorders>
                  <w:noWrap w:val="0"/>
                  <w:vAlign w:val="center"/>
                </w:tcPr>
                <w:p w14:paraId="4B9D18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空间布局约束</w:t>
                  </w:r>
                </w:p>
              </w:tc>
              <w:tc>
                <w:tcPr>
                  <w:tcW w:w="614" w:type="dxa"/>
                  <w:tcBorders>
                    <w:tl2br w:val="nil"/>
                    <w:tr2bl w:val="nil"/>
                  </w:tcBorders>
                  <w:noWrap w:val="0"/>
                  <w:vAlign w:val="center"/>
                </w:tcPr>
                <w:p w14:paraId="13A139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污染物排放管控</w:t>
                  </w:r>
                </w:p>
              </w:tc>
              <w:tc>
                <w:tcPr>
                  <w:tcW w:w="535" w:type="dxa"/>
                  <w:tcBorders>
                    <w:tl2br w:val="nil"/>
                    <w:tr2bl w:val="nil"/>
                  </w:tcBorders>
                  <w:noWrap w:val="0"/>
                  <w:vAlign w:val="center"/>
                </w:tcPr>
                <w:p w14:paraId="5DD5C4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rPr>
                    <w:t>环境风险防控</w:t>
                  </w:r>
                </w:p>
              </w:tc>
              <w:tc>
                <w:tcPr>
                  <w:tcW w:w="370" w:type="dxa"/>
                  <w:tcBorders>
                    <w:tl2br w:val="nil"/>
                    <w:tr2bl w:val="nil"/>
                  </w:tcBorders>
                  <w:noWrap w:val="0"/>
                  <w:vAlign w:val="center"/>
                </w:tcPr>
                <w:p w14:paraId="5DD7AE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资源开发效率</w:t>
                  </w:r>
                </w:p>
              </w:tc>
              <w:tc>
                <w:tcPr>
                  <w:tcW w:w="943" w:type="dxa"/>
                  <w:vMerge w:val="continue"/>
                  <w:tcBorders>
                    <w:tl2br w:val="nil"/>
                    <w:tr2bl w:val="nil"/>
                  </w:tcBorders>
                  <w:noWrap w:val="0"/>
                  <w:vAlign w:val="center"/>
                </w:tcPr>
                <w:p w14:paraId="5E2D15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p>
              </w:tc>
              <w:tc>
                <w:tcPr>
                  <w:tcW w:w="364" w:type="dxa"/>
                  <w:vMerge w:val="continue"/>
                  <w:tcBorders>
                    <w:tl2br w:val="nil"/>
                    <w:tr2bl w:val="nil"/>
                  </w:tcBorders>
                  <w:noWrap w:val="0"/>
                  <w:vAlign w:val="center"/>
                </w:tcPr>
                <w:p w14:paraId="571FCA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p>
              </w:tc>
            </w:tr>
            <w:tr w14:paraId="22C4D4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6" w:hRule="atLeast"/>
                <w:jc w:val="center"/>
              </w:trPr>
              <w:tc>
                <w:tcPr>
                  <w:tcW w:w="395" w:type="dxa"/>
                  <w:tcBorders>
                    <w:tl2br w:val="nil"/>
                    <w:tr2bl w:val="nil"/>
                  </w:tcBorders>
                  <w:noWrap w:val="0"/>
                  <w:vAlign w:val="center"/>
                </w:tcPr>
                <w:p w14:paraId="060167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eastAsia="zh-CN"/>
                    </w:rPr>
                  </w:pPr>
                  <w:r>
                    <w:rPr>
                      <w:rFonts w:hint="default" w:ascii="Times New Roman" w:hAnsi="Times New Roman" w:eastAsia="宋体" w:cs="Times New Roman"/>
                      <w:b w:val="0"/>
                      <w:bCs w:val="0"/>
                      <w:strike w:val="0"/>
                      <w:dstrike w:val="0"/>
                      <w:color w:val="auto"/>
                      <w:sz w:val="21"/>
                      <w:szCs w:val="21"/>
                      <w:highlight w:val="none"/>
                      <w:vertAlign w:val="baseline"/>
                      <w:lang w:eastAsia="zh-CN"/>
                    </w:rPr>
                    <w:t>ZH64040210011</w:t>
                  </w:r>
                </w:p>
              </w:tc>
              <w:tc>
                <w:tcPr>
                  <w:tcW w:w="736" w:type="dxa"/>
                  <w:tcBorders>
                    <w:tl2br w:val="nil"/>
                    <w:tr2bl w:val="nil"/>
                  </w:tcBorders>
                  <w:noWrap w:val="0"/>
                  <w:vAlign w:val="center"/>
                </w:tcPr>
                <w:p w14:paraId="7AB5DE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原州区优先保护单元1</w:t>
                  </w:r>
                </w:p>
              </w:tc>
              <w:tc>
                <w:tcPr>
                  <w:tcW w:w="341" w:type="dxa"/>
                  <w:vMerge w:val="restart"/>
                  <w:tcBorders>
                    <w:tl2br w:val="nil"/>
                    <w:tr2bl w:val="nil"/>
                  </w:tcBorders>
                  <w:noWrap w:val="0"/>
                  <w:vAlign w:val="center"/>
                </w:tcPr>
                <w:p w14:paraId="032623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rPr>
                  </w:pPr>
                  <w:r>
                    <w:rPr>
                      <w:rFonts w:hint="default" w:ascii="Times New Roman" w:hAnsi="Times New Roman" w:eastAsia="宋体" w:cs="Times New Roman"/>
                      <w:b w:val="0"/>
                      <w:bCs w:val="0"/>
                      <w:strike w:val="0"/>
                      <w:dstrike w:val="0"/>
                      <w:color w:val="auto"/>
                      <w:sz w:val="21"/>
                      <w:szCs w:val="21"/>
                      <w:highlight w:val="none"/>
                      <w:vertAlign w:val="baseline"/>
                    </w:rPr>
                    <w:t>宁夏回族自治区</w:t>
                  </w:r>
                </w:p>
              </w:tc>
              <w:tc>
                <w:tcPr>
                  <w:tcW w:w="259" w:type="dxa"/>
                  <w:vMerge w:val="restart"/>
                  <w:tcBorders>
                    <w:tl2br w:val="nil"/>
                    <w:tr2bl w:val="nil"/>
                  </w:tcBorders>
                  <w:noWrap w:val="0"/>
                  <w:vAlign w:val="center"/>
                </w:tcPr>
                <w:p w14:paraId="2B68E0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固原市</w:t>
                  </w:r>
                </w:p>
              </w:tc>
              <w:tc>
                <w:tcPr>
                  <w:tcW w:w="409" w:type="dxa"/>
                  <w:tcBorders>
                    <w:tl2br w:val="nil"/>
                    <w:tr2bl w:val="nil"/>
                  </w:tcBorders>
                  <w:noWrap w:val="0"/>
                  <w:vAlign w:val="center"/>
                </w:tcPr>
                <w:p w14:paraId="698437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原州区</w:t>
                  </w:r>
                </w:p>
              </w:tc>
              <w:tc>
                <w:tcPr>
                  <w:tcW w:w="641" w:type="dxa"/>
                  <w:tcBorders>
                    <w:tl2br w:val="nil"/>
                    <w:tr2bl w:val="nil"/>
                  </w:tcBorders>
                  <w:noWrap w:val="0"/>
                  <w:vAlign w:val="center"/>
                </w:tcPr>
                <w:p w14:paraId="19CC96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rPr>
                  </w:pPr>
                  <w:r>
                    <w:rPr>
                      <w:rFonts w:hint="default" w:ascii="Times New Roman" w:hAnsi="Times New Roman" w:eastAsia="宋体" w:cs="Times New Roman"/>
                      <w:b w:val="0"/>
                      <w:bCs w:val="0"/>
                      <w:strike w:val="0"/>
                      <w:dstrike w:val="0"/>
                      <w:color w:val="auto"/>
                      <w:sz w:val="21"/>
                      <w:szCs w:val="21"/>
                      <w:highlight w:val="none"/>
                      <w:vertAlign w:val="baseline"/>
                    </w:rPr>
                    <w:t>头营镇</w:t>
                  </w:r>
                  <w:r>
                    <w:rPr>
                      <w:rFonts w:hint="default" w:ascii="Times New Roman" w:hAnsi="Times New Roman" w:eastAsia="宋体" w:cs="Times New Roman"/>
                      <w:b w:val="0"/>
                      <w:bCs w:val="0"/>
                      <w:strike w:val="0"/>
                      <w:dstrike w:val="0"/>
                      <w:color w:val="auto"/>
                      <w:sz w:val="21"/>
                      <w:szCs w:val="21"/>
                      <w:highlight w:val="none"/>
                      <w:vertAlign w:val="baseline"/>
                      <w:lang w:eastAsia="zh-CN"/>
                    </w:rPr>
                    <w:t>、</w:t>
                  </w:r>
                  <w:r>
                    <w:rPr>
                      <w:rFonts w:hint="default" w:ascii="Times New Roman" w:hAnsi="Times New Roman" w:eastAsia="宋体" w:cs="Times New Roman"/>
                      <w:b w:val="0"/>
                      <w:bCs w:val="0"/>
                      <w:strike w:val="0"/>
                      <w:dstrike w:val="0"/>
                      <w:color w:val="auto"/>
                      <w:sz w:val="21"/>
                      <w:szCs w:val="21"/>
                      <w:highlight w:val="none"/>
                      <w:vertAlign w:val="baseline"/>
                    </w:rPr>
                    <w:t>寨科乡</w:t>
                  </w:r>
                  <w:r>
                    <w:rPr>
                      <w:rFonts w:hint="default" w:ascii="Times New Roman" w:hAnsi="Times New Roman" w:eastAsia="宋体" w:cs="Times New Roman"/>
                      <w:b w:val="0"/>
                      <w:bCs w:val="0"/>
                      <w:strike w:val="0"/>
                      <w:dstrike w:val="0"/>
                      <w:color w:val="auto"/>
                      <w:sz w:val="21"/>
                      <w:szCs w:val="21"/>
                      <w:highlight w:val="none"/>
                      <w:vertAlign w:val="baseline"/>
                      <w:lang w:eastAsia="zh-CN"/>
                    </w:rPr>
                    <w:t>、</w:t>
                  </w:r>
                  <w:r>
                    <w:rPr>
                      <w:rFonts w:hint="default" w:ascii="Times New Roman" w:hAnsi="Times New Roman" w:eastAsia="宋体" w:cs="Times New Roman"/>
                      <w:b w:val="0"/>
                      <w:bCs w:val="0"/>
                      <w:strike w:val="0"/>
                      <w:dstrike w:val="0"/>
                      <w:color w:val="auto"/>
                      <w:sz w:val="21"/>
                      <w:szCs w:val="21"/>
                      <w:highlight w:val="none"/>
                      <w:vertAlign w:val="baseline"/>
                    </w:rPr>
                    <w:t>河川乡</w:t>
                  </w:r>
                  <w:r>
                    <w:rPr>
                      <w:rFonts w:hint="default" w:ascii="Times New Roman" w:hAnsi="Times New Roman" w:eastAsia="宋体" w:cs="Times New Roman"/>
                      <w:b w:val="0"/>
                      <w:bCs w:val="0"/>
                      <w:strike w:val="0"/>
                      <w:dstrike w:val="0"/>
                      <w:color w:val="auto"/>
                      <w:sz w:val="21"/>
                      <w:szCs w:val="21"/>
                      <w:highlight w:val="none"/>
                      <w:vertAlign w:val="baseline"/>
                      <w:lang w:eastAsia="zh-CN"/>
                    </w:rPr>
                    <w:t>、</w:t>
                  </w:r>
                  <w:r>
                    <w:rPr>
                      <w:rFonts w:hint="default" w:ascii="Times New Roman" w:hAnsi="Times New Roman" w:eastAsia="宋体" w:cs="Times New Roman"/>
                      <w:b w:val="0"/>
                      <w:bCs w:val="0"/>
                      <w:strike w:val="0"/>
                      <w:dstrike w:val="0"/>
                      <w:color w:val="auto"/>
                      <w:sz w:val="21"/>
                      <w:szCs w:val="21"/>
                      <w:highlight w:val="none"/>
                      <w:vertAlign w:val="baseline"/>
                    </w:rPr>
                    <w:t>官厅镇</w:t>
                  </w:r>
                </w:p>
              </w:tc>
              <w:tc>
                <w:tcPr>
                  <w:tcW w:w="386" w:type="dxa"/>
                  <w:vMerge w:val="restart"/>
                  <w:tcBorders>
                    <w:tl2br w:val="nil"/>
                    <w:tr2bl w:val="nil"/>
                  </w:tcBorders>
                  <w:noWrap w:val="0"/>
                  <w:vAlign w:val="center"/>
                </w:tcPr>
                <w:p w14:paraId="61EB15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生态</w:t>
                  </w:r>
                </w:p>
                <w:p w14:paraId="1A9D4B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空间</w:t>
                  </w:r>
                </w:p>
              </w:tc>
              <w:tc>
                <w:tcPr>
                  <w:tcW w:w="461" w:type="dxa"/>
                  <w:vMerge w:val="restart"/>
                  <w:tcBorders>
                    <w:tl2br w:val="nil"/>
                    <w:tr2bl w:val="nil"/>
                  </w:tcBorders>
                  <w:noWrap w:val="0"/>
                  <w:vAlign w:val="center"/>
                </w:tcPr>
                <w:p w14:paraId="01CE55A9">
                  <w:pPr>
                    <w:keepNext w:val="0"/>
                    <w:keepLines w:val="0"/>
                    <w:widowControl/>
                    <w:suppressLineNumbers w:val="0"/>
                    <w:spacing w:line="240" w:lineRule="auto"/>
                    <w:jc w:val="center"/>
                    <w:rPr>
                      <w:rFonts w:hint="default" w:ascii="Times New Roman" w:hAnsi="Times New Roman" w:eastAsia="宋体" w:cs="Times New Roman"/>
                      <w:b w:val="0"/>
                      <w:bCs w:val="0"/>
                      <w:strike w:val="0"/>
                      <w:dstrike w:val="0"/>
                      <w:color w:val="auto"/>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优先保护单元</w:t>
                  </w:r>
                </w:p>
              </w:tc>
              <w:tc>
                <w:tcPr>
                  <w:tcW w:w="912" w:type="dxa"/>
                  <w:vMerge w:val="restart"/>
                  <w:tcBorders>
                    <w:tl2br w:val="nil"/>
                    <w:tr2bl w:val="nil"/>
                  </w:tcBorders>
                  <w:noWrap w:val="0"/>
                  <w:vAlign w:val="center"/>
                </w:tcPr>
                <w:p w14:paraId="04E94ABF">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1.</w:t>
                  </w:r>
                  <w:r>
                    <w:rPr>
                      <w:rFonts w:hint="default" w:ascii="Times New Roman" w:hAnsi="Times New Roman" w:eastAsia="宋体" w:cs="Times New Roman"/>
                      <w:b w:val="0"/>
                      <w:bCs w:val="0"/>
                      <w:strike w:val="0"/>
                      <w:dstrike w:val="0"/>
                      <w:color w:val="auto"/>
                      <w:sz w:val="21"/>
                      <w:szCs w:val="21"/>
                      <w:highlight w:val="none"/>
                      <w:vertAlign w:val="baseline"/>
                    </w:rPr>
                    <w:t>禁止在二十五度以上陡坡地开垦种植农作物。</w:t>
                  </w:r>
                </w:p>
                <w:p w14:paraId="60D0F248">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lang w:eastAsia="zh-CN"/>
                    </w:rPr>
                  </w:pPr>
                  <w:r>
                    <w:rPr>
                      <w:rFonts w:hint="default" w:ascii="Times New Roman" w:hAnsi="Times New Roman" w:eastAsia="宋体" w:cs="Times New Roman"/>
                      <w:b w:val="0"/>
                      <w:bCs w:val="0"/>
                      <w:strike w:val="0"/>
                      <w:dstrike w:val="0"/>
                      <w:color w:val="auto"/>
                      <w:sz w:val="21"/>
                      <w:szCs w:val="21"/>
                      <w:highlight w:val="none"/>
                      <w:vertAlign w:val="baseline"/>
                    </w:rPr>
                    <w:t>2.生态保护红线内，除国家重大战略项目以及对生态功能不造成破坏的十类有限人为活动之外，严格禁止各类开发性、生产性建设活动。一般生态空间内，在生态保护红线正面清单的基础上，仅允许开展生态修复等对生态环境扰动较小，不损害或有利于提升生态功能的开发项目。生态保护红线和一般生态空间以外的其他区域，除国家、自治区重大战略规划项目和不可避让生态红线的十类建设项目外，禁止新建排放污染物的各类工业和规模化养殖项目</w:t>
                  </w:r>
                  <w:r>
                    <w:rPr>
                      <w:rFonts w:hint="default" w:ascii="Times New Roman" w:hAnsi="Times New Roman" w:eastAsia="宋体" w:cs="Times New Roman"/>
                      <w:b w:val="0"/>
                      <w:bCs w:val="0"/>
                      <w:strike w:val="0"/>
                      <w:dstrike w:val="0"/>
                      <w:color w:val="auto"/>
                      <w:sz w:val="21"/>
                      <w:szCs w:val="21"/>
                      <w:highlight w:val="none"/>
                      <w:vertAlign w:val="baseline"/>
                      <w:lang w:eastAsia="zh-CN"/>
                    </w:rPr>
                    <w:t>。</w:t>
                  </w:r>
                </w:p>
              </w:tc>
              <w:tc>
                <w:tcPr>
                  <w:tcW w:w="614" w:type="dxa"/>
                  <w:vMerge w:val="restart"/>
                  <w:tcBorders>
                    <w:tl2br w:val="nil"/>
                    <w:tr2bl w:val="nil"/>
                  </w:tcBorders>
                  <w:noWrap w:val="0"/>
                  <w:vAlign w:val="center"/>
                </w:tcPr>
                <w:p w14:paraId="5D9111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w:t>
                  </w:r>
                </w:p>
              </w:tc>
              <w:tc>
                <w:tcPr>
                  <w:tcW w:w="535" w:type="dxa"/>
                  <w:vMerge w:val="restart"/>
                  <w:tcBorders>
                    <w:tl2br w:val="nil"/>
                    <w:tr2bl w:val="nil"/>
                  </w:tcBorders>
                  <w:noWrap w:val="0"/>
                  <w:vAlign w:val="center"/>
                </w:tcPr>
                <w:p w14:paraId="72980F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w:t>
                  </w:r>
                </w:p>
              </w:tc>
              <w:tc>
                <w:tcPr>
                  <w:tcW w:w="370" w:type="dxa"/>
                  <w:vMerge w:val="restart"/>
                  <w:tcBorders>
                    <w:tl2br w:val="nil"/>
                    <w:tr2bl w:val="nil"/>
                  </w:tcBorders>
                  <w:noWrap w:val="0"/>
                  <w:vAlign w:val="center"/>
                </w:tcPr>
                <w:p w14:paraId="5FB3C8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w:t>
                  </w:r>
                </w:p>
              </w:tc>
              <w:tc>
                <w:tcPr>
                  <w:tcW w:w="943" w:type="dxa"/>
                  <w:vMerge w:val="restart"/>
                  <w:tcBorders>
                    <w:tl2br w:val="nil"/>
                    <w:tr2bl w:val="nil"/>
                  </w:tcBorders>
                  <w:noWrap w:val="0"/>
                  <w:vAlign w:val="center"/>
                </w:tcPr>
                <w:p w14:paraId="485D22E9">
                  <w:pPr>
                    <w:keepNext w:val="0"/>
                    <w:keepLines w:val="0"/>
                    <w:widowControl/>
                    <w:suppressLineNumbers w:val="0"/>
                    <w:spacing w:line="240" w:lineRule="auto"/>
                    <w:jc w:val="both"/>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云雾山330千伏变电站间隔扩建工程生态影响评价范围内涉及东南黄土高原丘陵水土保持生态保护红线，但本次间隔扩建工程仅为站内施工，不在站外设置永久或临时占地，因此对站外东南黄土高原丘陵水土保持生态保护红线影响</w:t>
                  </w:r>
                  <w:r>
                    <w:rPr>
                      <w:rFonts w:hint="eastAsia" w:cs="Times New Roman"/>
                      <w:color w:val="auto"/>
                      <w:sz w:val="21"/>
                      <w:szCs w:val="21"/>
                      <w:highlight w:val="none"/>
                      <w:lang w:val="en-US" w:eastAsia="zh-CN"/>
                    </w:rPr>
                    <w:t>轻微</w:t>
                  </w:r>
                  <w:r>
                    <w:rPr>
                      <w:rFonts w:hint="default" w:ascii="Times New Roman" w:hAnsi="Times New Roman" w:cs="Times New Roman"/>
                      <w:color w:val="auto"/>
                      <w:sz w:val="21"/>
                      <w:szCs w:val="21"/>
                      <w:highlight w:val="none"/>
                      <w:lang w:val="en-US" w:eastAsia="zh-CN"/>
                    </w:rPr>
                    <w:t>；输电线路穿越东南黄土高原丘陵水土保持生态保护红线</w:t>
                  </w:r>
                  <w:r>
                    <w:rPr>
                      <w:rFonts w:hint="eastAsia" w:cs="Times New Roman"/>
                      <w:color w:val="auto"/>
                      <w:sz w:val="21"/>
                      <w:szCs w:val="21"/>
                      <w:highlight w:val="none"/>
                      <w:lang w:val="en-US" w:eastAsia="zh-CN"/>
                    </w:rPr>
                    <w:t>10.514</w:t>
                  </w:r>
                  <w:r>
                    <w:rPr>
                      <w:rFonts w:hint="default" w:ascii="Times New Roman" w:hAnsi="Times New Roman" w:cs="Times New Roman"/>
                      <w:color w:val="auto"/>
                      <w:sz w:val="21"/>
                      <w:szCs w:val="21"/>
                      <w:highlight w:val="none"/>
                      <w:lang w:val="en-US" w:eastAsia="zh-CN"/>
                    </w:rPr>
                    <w:t>km，红线内立塔3</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基，在红线内总占地面积3.1696hm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，已于202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X</w:t>
                  </w:r>
                  <w:r>
                    <w:rPr>
                      <w:rFonts w:hint="default" w:ascii="Times New Roman" w:hAnsi="Times New Roman" w:cs="Times New Roman"/>
                      <w:color w:val="auto"/>
                      <w:sz w:val="21"/>
                      <w:szCs w:val="21"/>
                      <w:highlight w:val="none"/>
                      <w:lang w:val="en-US" w:eastAsia="zh-CN"/>
                    </w:rPr>
                    <w:t>月</w:t>
                  </w:r>
                  <w:r>
                    <w:rPr>
                      <w:rFonts w:hint="eastAsia" w:cs="Times New Roman"/>
                      <w:color w:val="auto"/>
                      <w:sz w:val="21"/>
                      <w:szCs w:val="21"/>
                      <w:highlight w:val="none"/>
                      <w:lang w:val="en-US" w:eastAsia="zh-CN"/>
                    </w:rPr>
                    <w:t>X</w:t>
                  </w:r>
                  <w:r>
                    <w:rPr>
                      <w:rFonts w:hint="default" w:ascii="Times New Roman" w:hAnsi="Times New Roman" w:cs="Times New Roman"/>
                      <w:color w:val="auto"/>
                      <w:sz w:val="21"/>
                      <w:szCs w:val="21"/>
                      <w:highlight w:val="none"/>
                      <w:lang w:val="en-US" w:eastAsia="zh-CN"/>
                    </w:rPr>
                    <w:t>日取得固原市人民政府关于认定宁夏固原华电彭阳200兆瓦风电项目110千伏送出工程临时用地符合生态保护红线内允许有限人为活动的意见。</w:t>
                  </w:r>
                </w:p>
              </w:tc>
              <w:tc>
                <w:tcPr>
                  <w:tcW w:w="364" w:type="dxa"/>
                  <w:vMerge w:val="restart"/>
                  <w:tcBorders>
                    <w:tl2br w:val="nil"/>
                    <w:tr2bl w:val="nil"/>
                  </w:tcBorders>
                  <w:noWrap w:val="0"/>
                  <w:vAlign w:val="center"/>
                </w:tcPr>
                <w:p w14:paraId="5BC8C3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符合</w:t>
                  </w:r>
                </w:p>
              </w:tc>
            </w:tr>
            <w:tr w14:paraId="2E3D14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95" w:type="dxa"/>
                  <w:tcBorders>
                    <w:tl2br w:val="nil"/>
                    <w:tr2bl w:val="nil"/>
                  </w:tcBorders>
                  <w:noWrap w:val="0"/>
                  <w:vAlign w:val="center"/>
                </w:tcPr>
                <w:p w14:paraId="23A5E7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eastAsia="zh-CN"/>
                    </w:rPr>
                  </w:pPr>
                  <w:r>
                    <w:rPr>
                      <w:rFonts w:hint="default" w:ascii="Times New Roman" w:hAnsi="Times New Roman" w:eastAsia="宋体" w:cs="Times New Roman"/>
                      <w:b w:val="0"/>
                      <w:bCs w:val="0"/>
                      <w:strike w:val="0"/>
                      <w:dstrike w:val="0"/>
                      <w:color w:val="auto"/>
                      <w:sz w:val="21"/>
                      <w:szCs w:val="21"/>
                      <w:highlight w:val="none"/>
                      <w:vertAlign w:val="baseline"/>
                      <w:lang w:eastAsia="zh-CN"/>
                    </w:rPr>
                    <w:t>ZH6404021001</w:t>
                  </w:r>
                  <w:r>
                    <w:rPr>
                      <w:rFonts w:hint="default" w:ascii="Times New Roman" w:hAnsi="Times New Roman" w:eastAsia="宋体" w:cs="Times New Roman"/>
                      <w:b w:val="0"/>
                      <w:bCs w:val="0"/>
                      <w:strike w:val="0"/>
                      <w:dstrike w:val="0"/>
                      <w:color w:val="auto"/>
                      <w:sz w:val="21"/>
                      <w:szCs w:val="21"/>
                      <w:highlight w:val="none"/>
                      <w:vertAlign w:val="baseline"/>
                      <w:lang w:val="en-US" w:eastAsia="zh-CN"/>
                    </w:rPr>
                    <w:t>2</w:t>
                  </w:r>
                </w:p>
              </w:tc>
              <w:tc>
                <w:tcPr>
                  <w:tcW w:w="736" w:type="dxa"/>
                  <w:tcBorders>
                    <w:tl2br w:val="nil"/>
                    <w:tr2bl w:val="nil"/>
                  </w:tcBorders>
                  <w:noWrap w:val="0"/>
                  <w:vAlign w:val="center"/>
                </w:tcPr>
                <w:p w14:paraId="0126B2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原州区优先保护单元2</w:t>
                  </w:r>
                </w:p>
              </w:tc>
              <w:tc>
                <w:tcPr>
                  <w:tcW w:w="341" w:type="dxa"/>
                  <w:vMerge w:val="continue"/>
                  <w:tcBorders>
                    <w:tl2br w:val="nil"/>
                    <w:tr2bl w:val="nil"/>
                  </w:tcBorders>
                  <w:noWrap w:val="0"/>
                  <w:vAlign w:val="center"/>
                </w:tcPr>
                <w:p w14:paraId="4772B9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rPr>
                  </w:pPr>
                </w:p>
              </w:tc>
              <w:tc>
                <w:tcPr>
                  <w:tcW w:w="259" w:type="dxa"/>
                  <w:vMerge w:val="continue"/>
                  <w:tcBorders>
                    <w:tl2br w:val="nil"/>
                    <w:tr2bl w:val="nil"/>
                  </w:tcBorders>
                  <w:noWrap w:val="0"/>
                  <w:vAlign w:val="center"/>
                </w:tcPr>
                <w:p w14:paraId="5EEF7F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409" w:type="dxa"/>
                  <w:tcBorders>
                    <w:tl2br w:val="nil"/>
                    <w:tr2bl w:val="nil"/>
                  </w:tcBorders>
                  <w:noWrap w:val="0"/>
                  <w:vAlign w:val="center"/>
                </w:tcPr>
                <w:p w14:paraId="1A0A23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原州区</w:t>
                  </w:r>
                </w:p>
              </w:tc>
              <w:tc>
                <w:tcPr>
                  <w:tcW w:w="641" w:type="dxa"/>
                  <w:tcBorders>
                    <w:tl2br w:val="nil"/>
                    <w:tr2bl w:val="nil"/>
                  </w:tcBorders>
                  <w:noWrap w:val="0"/>
                  <w:vAlign w:val="center"/>
                </w:tcPr>
                <w:p w14:paraId="74A3D0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南关街道、河川乡、官厅镇、开城镇</w:t>
                  </w:r>
                </w:p>
              </w:tc>
              <w:tc>
                <w:tcPr>
                  <w:tcW w:w="386" w:type="dxa"/>
                  <w:vMerge w:val="continue"/>
                  <w:tcBorders>
                    <w:tl2br w:val="nil"/>
                    <w:tr2bl w:val="nil"/>
                  </w:tcBorders>
                  <w:noWrap w:val="0"/>
                  <w:vAlign w:val="center"/>
                </w:tcPr>
                <w:p w14:paraId="687F4B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461" w:type="dxa"/>
                  <w:vMerge w:val="continue"/>
                  <w:tcBorders>
                    <w:tl2br w:val="nil"/>
                    <w:tr2bl w:val="nil"/>
                  </w:tcBorders>
                  <w:noWrap w:val="0"/>
                  <w:vAlign w:val="center"/>
                </w:tcPr>
                <w:p w14:paraId="570D92FB">
                  <w:pPr>
                    <w:keepNext w:val="0"/>
                    <w:keepLines w:val="0"/>
                    <w:widowControl/>
                    <w:suppressLineNumbers w:val="0"/>
                    <w:spacing w:line="240" w:lineRule="auto"/>
                    <w:jc w:val="both"/>
                    <w:rPr>
                      <w:rFonts w:hint="default" w:ascii="Times New Roman" w:hAnsi="Times New Roman" w:eastAsia="宋体" w:cs="Times New Roman"/>
                      <w:color w:val="auto"/>
                      <w:kern w:val="0"/>
                      <w:sz w:val="21"/>
                      <w:szCs w:val="21"/>
                      <w:highlight w:val="none"/>
                      <w:lang w:val="en-US" w:eastAsia="zh-CN" w:bidi="ar"/>
                    </w:rPr>
                  </w:pPr>
                </w:p>
              </w:tc>
              <w:tc>
                <w:tcPr>
                  <w:tcW w:w="912" w:type="dxa"/>
                  <w:vMerge w:val="continue"/>
                  <w:tcBorders>
                    <w:tl2br w:val="nil"/>
                    <w:tr2bl w:val="nil"/>
                  </w:tcBorders>
                  <w:noWrap w:val="0"/>
                  <w:vAlign w:val="center"/>
                </w:tcPr>
                <w:p w14:paraId="0678501C">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rPr>
                  </w:pPr>
                </w:p>
              </w:tc>
              <w:tc>
                <w:tcPr>
                  <w:tcW w:w="614" w:type="dxa"/>
                  <w:vMerge w:val="continue"/>
                  <w:tcBorders>
                    <w:tl2br w:val="nil"/>
                    <w:tr2bl w:val="nil"/>
                  </w:tcBorders>
                  <w:noWrap w:val="0"/>
                  <w:vAlign w:val="center"/>
                </w:tcPr>
                <w:p w14:paraId="3407B187">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535" w:type="dxa"/>
                  <w:vMerge w:val="continue"/>
                  <w:tcBorders>
                    <w:tl2br w:val="nil"/>
                    <w:tr2bl w:val="nil"/>
                  </w:tcBorders>
                  <w:noWrap w:val="0"/>
                  <w:vAlign w:val="center"/>
                </w:tcPr>
                <w:p w14:paraId="3FEBE761">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lang w:val="en-US" w:eastAsia="zh-CN"/>
                    </w:rPr>
                  </w:pPr>
                </w:p>
              </w:tc>
              <w:tc>
                <w:tcPr>
                  <w:tcW w:w="370" w:type="dxa"/>
                  <w:vMerge w:val="continue"/>
                  <w:tcBorders>
                    <w:tl2br w:val="nil"/>
                    <w:tr2bl w:val="nil"/>
                  </w:tcBorders>
                  <w:noWrap w:val="0"/>
                  <w:vAlign w:val="center"/>
                </w:tcPr>
                <w:p w14:paraId="07DF5307">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p>
              </w:tc>
              <w:tc>
                <w:tcPr>
                  <w:tcW w:w="943" w:type="dxa"/>
                  <w:vMerge w:val="continue"/>
                  <w:tcBorders>
                    <w:tl2br w:val="nil"/>
                    <w:tr2bl w:val="nil"/>
                  </w:tcBorders>
                  <w:noWrap w:val="0"/>
                  <w:vAlign w:val="center"/>
                </w:tcPr>
                <w:p w14:paraId="6D8578C9">
                  <w:pPr>
                    <w:keepNext w:val="0"/>
                    <w:keepLines w:val="0"/>
                    <w:widowControl/>
                    <w:suppressLineNumbers w:val="0"/>
                    <w:spacing w:line="240" w:lineRule="auto"/>
                    <w:jc w:val="both"/>
                    <w:rPr>
                      <w:rFonts w:hint="default" w:ascii="Times New Roman" w:hAnsi="Times New Roman" w:eastAsia="宋体" w:cs="Times New Roman"/>
                      <w:bCs/>
                      <w:color w:val="auto"/>
                      <w:sz w:val="21"/>
                      <w:szCs w:val="21"/>
                      <w:highlight w:val="none"/>
                      <w:lang w:val="en-US" w:eastAsia="zh-CN"/>
                    </w:rPr>
                  </w:pPr>
                </w:p>
              </w:tc>
              <w:tc>
                <w:tcPr>
                  <w:tcW w:w="364" w:type="dxa"/>
                  <w:vMerge w:val="continue"/>
                  <w:tcBorders>
                    <w:tl2br w:val="nil"/>
                    <w:tr2bl w:val="nil"/>
                  </w:tcBorders>
                  <w:noWrap w:val="0"/>
                  <w:vAlign w:val="center"/>
                </w:tcPr>
                <w:p w14:paraId="673DC8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14:paraId="6FAF1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5" w:type="dxa"/>
                  <w:tcBorders>
                    <w:tl2br w:val="nil"/>
                    <w:tr2bl w:val="nil"/>
                  </w:tcBorders>
                  <w:noWrap w:val="0"/>
                  <w:vAlign w:val="center"/>
                </w:tcPr>
                <w:p w14:paraId="7AB62470">
                  <w:pPr>
                    <w:keepNext w:val="0"/>
                    <w:keepLines w:val="0"/>
                    <w:widowControl/>
                    <w:suppressLineNumbers w:val="0"/>
                    <w:spacing w:line="240" w:lineRule="auto"/>
                    <w:jc w:val="left"/>
                    <w:rPr>
                      <w:rFonts w:hint="default" w:ascii="Times New Roman" w:hAnsi="Times New Roman" w:eastAsia="宋体" w:cs="Times New Roman"/>
                      <w:b w:val="0"/>
                      <w:bCs w:val="0"/>
                      <w:strike w:val="0"/>
                      <w:dstrike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lang w:val="en-US" w:eastAsia="zh-CN" w:bidi="ar"/>
                    </w:rPr>
                    <w:t>ZH64042510004</w:t>
                  </w:r>
                </w:p>
              </w:tc>
              <w:tc>
                <w:tcPr>
                  <w:tcW w:w="736" w:type="dxa"/>
                  <w:tcBorders>
                    <w:tl2br w:val="nil"/>
                    <w:tr2bl w:val="nil"/>
                  </w:tcBorders>
                  <w:noWrap w:val="0"/>
                  <w:vAlign w:val="center"/>
                </w:tcPr>
                <w:p w14:paraId="7D57DA02">
                  <w:pPr>
                    <w:keepNext w:val="0"/>
                    <w:keepLines w:val="0"/>
                    <w:widowControl/>
                    <w:suppressLineNumbers w:val="0"/>
                    <w:spacing w:line="240" w:lineRule="auto"/>
                    <w:jc w:val="center"/>
                    <w:rPr>
                      <w:rFonts w:hint="default" w:ascii="Times New Roman" w:hAnsi="Times New Roman" w:eastAsia="宋体" w:cs="Times New Roman"/>
                      <w:b w:val="0"/>
                      <w:bCs w:val="0"/>
                      <w:strike w:val="0"/>
                      <w:dstrike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lang w:val="en-US" w:eastAsia="zh-CN" w:bidi="ar"/>
                    </w:rPr>
                    <w:t>彭阳县优先保护单元1</w:t>
                  </w:r>
                </w:p>
              </w:tc>
              <w:tc>
                <w:tcPr>
                  <w:tcW w:w="341" w:type="dxa"/>
                  <w:vMerge w:val="continue"/>
                  <w:tcBorders>
                    <w:tl2br w:val="nil"/>
                    <w:tr2bl w:val="nil"/>
                  </w:tcBorders>
                  <w:noWrap w:val="0"/>
                  <w:vAlign w:val="center"/>
                </w:tcPr>
                <w:p w14:paraId="78476B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kern w:val="2"/>
                      <w:sz w:val="21"/>
                      <w:szCs w:val="21"/>
                      <w:highlight w:val="none"/>
                      <w:vertAlign w:val="baseline"/>
                      <w:lang w:val="en-US" w:eastAsia="zh-CN" w:bidi="ar-SA"/>
                    </w:rPr>
                  </w:pPr>
                </w:p>
              </w:tc>
              <w:tc>
                <w:tcPr>
                  <w:tcW w:w="259" w:type="dxa"/>
                  <w:vMerge w:val="continue"/>
                  <w:tcBorders>
                    <w:tl2br w:val="nil"/>
                    <w:tr2bl w:val="nil"/>
                  </w:tcBorders>
                  <w:noWrap w:val="0"/>
                  <w:vAlign w:val="center"/>
                </w:tcPr>
                <w:p w14:paraId="675E50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kern w:val="2"/>
                      <w:sz w:val="21"/>
                      <w:szCs w:val="21"/>
                      <w:highlight w:val="none"/>
                      <w:vertAlign w:val="baseline"/>
                      <w:lang w:val="en-US" w:eastAsia="zh-CN" w:bidi="ar-SA"/>
                    </w:rPr>
                  </w:pPr>
                </w:p>
              </w:tc>
              <w:tc>
                <w:tcPr>
                  <w:tcW w:w="409" w:type="dxa"/>
                  <w:tcBorders>
                    <w:tl2br w:val="nil"/>
                    <w:tr2bl w:val="nil"/>
                  </w:tcBorders>
                  <w:noWrap w:val="0"/>
                  <w:vAlign w:val="center"/>
                </w:tcPr>
                <w:p w14:paraId="473993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彭阳县</w:t>
                  </w:r>
                </w:p>
              </w:tc>
              <w:tc>
                <w:tcPr>
                  <w:tcW w:w="641" w:type="dxa"/>
                  <w:tcBorders>
                    <w:tl2br w:val="nil"/>
                    <w:tr2bl w:val="nil"/>
                  </w:tcBorders>
                  <w:noWrap w:val="0"/>
                  <w:vAlign w:val="center"/>
                </w:tcPr>
                <w:p w14:paraId="794C76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草庙林场、交岔乡、罗洼乡、孟塬乡、小岔乡、冯庄乡、王洼镇、草庙乡</w:t>
                  </w:r>
                </w:p>
              </w:tc>
              <w:tc>
                <w:tcPr>
                  <w:tcW w:w="386" w:type="dxa"/>
                  <w:tcBorders>
                    <w:tl2br w:val="nil"/>
                    <w:tr2bl w:val="nil"/>
                  </w:tcBorders>
                  <w:noWrap w:val="0"/>
                  <w:vAlign w:val="center"/>
                </w:tcPr>
                <w:p w14:paraId="1FBD3B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生态</w:t>
                  </w:r>
                </w:p>
                <w:p w14:paraId="2A2062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空间</w:t>
                  </w:r>
                </w:p>
              </w:tc>
              <w:tc>
                <w:tcPr>
                  <w:tcW w:w="461" w:type="dxa"/>
                  <w:tcBorders>
                    <w:tl2br w:val="nil"/>
                    <w:tr2bl w:val="nil"/>
                  </w:tcBorders>
                  <w:noWrap w:val="0"/>
                  <w:vAlign w:val="center"/>
                </w:tcPr>
                <w:p w14:paraId="22529962">
                  <w:pPr>
                    <w:keepNext w:val="0"/>
                    <w:keepLines w:val="0"/>
                    <w:widowControl/>
                    <w:suppressLineNumbers w:val="0"/>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优先保护单元</w:t>
                  </w:r>
                </w:p>
              </w:tc>
              <w:tc>
                <w:tcPr>
                  <w:tcW w:w="912" w:type="dxa"/>
                  <w:vMerge w:val="continue"/>
                  <w:tcBorders>
                    <w:tl2br w:val="nil"/>
                    <w:tr2bl w:val="nil"/>
                  </w:tcBorders>
                  <w:noWrap w:val="0"/>
                  <w:vAlign w:val="center"/>
                </w:tcPr>
                <w:p w14:paraId="607DB2BB">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kern w:val="2"/>
                      <w:sz w:val="21"/>
                      <w:szCs w:val="21"/>
                      <w:highlight w:val="none"/>
                      <w:vertAlign w:val="baseline"/>
                      <w:lang w:val="en-US" w:eastAsia="zh-CN" w:bidi="ar-SA"/>
                    </w:rPr>
                  </w:pPr>
                </w:p>
              </w:tc>
              <w:tc>
                <w:tcPr>
                  <w:tcW w:w="614" w:type="dxa"/>
                  <w:vMerge w:val="continue"/>
                  <w:tcBorders>
                    <w:tl2br w:val="nil"/>
                    <w:tr2bl w:val="nil"/>
                  </w:tcBorders>
                  <w:noWrap w:val="0"/>
                  <w:vAlign w:val="center"/>
                </w:tcPr>
                <w:p w14:paraId="50DE79DC">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kern w:val="2"/>
                      <w:sz w:val="21"/>
                      <w:szCs w:val="21"/>
                      <w:highlight w:val="none"/>
                      <w:vertAlign w:val="baseline"/>
                      <w:lang w:val="en-US" w:eastAsia="zh-CN" w:bidi="ar-SA"/>
                    </w:rPr>
                  </w:pPr>
                </w:p>
              </w:tc>
              <w:tc>
                <w:tcPr>
                  <w:tcW w:w="535" w:type="dxa"/>
                  <w:vMerge w:val="continue"/>
                  <w:tcBorders>
                    <w:tl2br w:val="nil"/>
                    <w:tr2bl w:val="nil"/>
                  </w:tcBorders>
                  <w:noWrap w:val="0"/>
                  <w:vAlign w:val="center"/>
                </w:tcPr>
                <w:p w14:paraId="40CB9572">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kern w:val="2"/>
                      <w:sz w:val="21"/>
                      <w:szCs w:val="21"/>
                      <w:highlight w:val="none"/>
                      <w:lang w:val="en-US" w:eastAsia="zh-CN" w:bidi="ar-SA"/>
                    </w:rPr>
                  </w:pPr>
                </w:p>
              </w:tc>
              <w:tc>
                <w:tcPr>
                  <w:tcW w:w="370" w:type="dxa"/>
                  <w:vMerge w:val="continue"/>
                  <w:tcBorders>
                    <w:tl2br w:val="nil"/>
                    <w:tr2bl w:val="nil"/>
                  </w:tcBorders>
                  <w:noWrap w:val="0"/>
                  <w:vAlign w:val="center"/>
                </w:tcPr>
                <w:p w14:paraId="7A724B06">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p>
              </w:tc>
              <w:tc>
                <w:tcPr>
                  <w:tcW w:w="943" w:type="dxa"/>
                  <w:vMerge w:val="continue"/>
                  <w:tcBorders>
                    <w:tl2br w:val="nil"/>
                    <w:tr2bl w:val="nil"/>
                  </w:tcBorders>
                  <w:noWrap w:val="0"/>
                  <w:vAlign w:val="center"/>
                </w:tcPr>
                <w:p w14:paraId="144E436B">
                  <w:pPr>
                    <w:keepNext w:val="0"/>
                    <w:keepLines w:val="0"/>
                    <w:widowControl/>
                    <w:suppressLineNumbers w:val="0"/>
                    <w:spacing w:line="240" w:lineRule="auto"/>
                    <w:jc w:val="both"/>
                    <w:rPr>
                      <w:rFonts w:hint="default" w:ascii="Times New Roman" w:hAnsi="Times New Roman" w:eastAsia="宋体" w:cs="Times New Roman"/>
                      <w:bCs/>
                      <w:color w:val="auto"/>
                      <w:kern w:val="2"/>
                      <w:sz w:val="21"/>
                      <w:szCs w:val="21"/>
                      <w:highlight w:val="none"/>
                      <w:lang w:val="en-US" w:eastAsia="zh-CN" w:bidi="ar-SA"/>
                    </w:rPr>
                  </w:pPr>
                </w:p>
              </w:tc>
              <w:tc>
                <w:tcPr>
                  <w:tcW w:w="364" w:type="dxa"/>
                  <w:vMerge w:val="continue"/>
                  <w:tcBorders>
                    <w:tl2br w:val="nil"/>
                    <w:tr2bl w:val="nil"/>
                  </w:tcBorders>
                  <w:noWrap w:val="0"/>
                  <w:vAlign w:val="center"/>
                </w:tcPr>
                <w:p w14:paraId="5F020D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14:paraId="3F37C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95" w:type="dxa"/>
                  <w:tcBorders>
                    <w:tl2br w:val="nil"/>
                    <w:tr2bl w:val="nil"/>
                  </w:tcBorders>
                  <w:noWrap w:val="0"/>
                  <w:vAlign w:val="center"/>
                </w:tcPr>
                <w:p w14:paraId="07F279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eastAsia="zh-CN"/>
                    </w:rPr>
                    <w:t>ZH640402</w:t>
                  </w:r>
                  <w:r>
                    <w:rPr>
                      <w:rFonts w:hint="default" w:ascii="Times New Roman" w:hAnsi="Times New Roman" w:eastAsia="宋体" w:cs="Times New Roman"/>
                      <w:b w:val="0"/>
                      <w:bCs w:val="0"/>
                      <w:strike w:val="0"/>
                      <w:dstrike w:val="0"/>
                      <w:color w:val="auto"/>
                      <w:sz w:val="21"/>
                      <w:szCs w:val="21"/>
                      <w:highlight w:val="none"/>
                      <w:vertAlign w:val="baseline"/>
                      <w:lang w:val="en-US" w:eastAsia="zh-CN"/>
                    </w:rPr>
                    <w:t>30001</w:t>
                  </w:r>
                </w:p>
              </w:tc>
              <w:tc>
                <w:tcPr>
                  <w:tcW w:w="736" w:type="dxa"/>
                  <w:tcBorders>
                    <w:tl2br w:val="nil"/>
                    <w:tr2bl w:val="nil"/>
                  </w:tcBorders>
                  <w:noWrap w:val="0"/>
                  <w:vAlign w:val="center"/>
                </w:tcPr>
                <w:p w14:paraId="3140D7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原州区一般管控单元1</w:t>
                  </w:r>
                </w:p>
              </w:tc>
              <w:tc>
                <w:tcPr>
                  <w:tcW w:w="341" w:type="dxa"/>
                  <w:vMerge w:val="continue"/>
                  <w:tcBorders>
                    <w:tl2br w:val="nil"/>
                    <w:tr2bl w:val="nil"/>
                  </w:tcBorders>
                  <w:noWrap w:val="0"/>
                  <w:vAlign w:val="center"/>
                </w:tcPr>
                <w:p w14:paraId="5D79E8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rPr>
                  </w:pPr>
                </w:p>
              </w:tc>
              <w:tc>
                <w:tcPr>
                  <w:tcW w:w="259" w:type="dxa"/>
                  <w:vMerge w:val="continue"/>
                  <w:tcBorders>
                    <w:tl2br w:val="nil"/>
                    <w:tr2bl w:val="nil"/>
                  </w:tcBorders>
                  <w:noWrap w:val="0"/>
                  <w:vAlign w:val="center"/>
                </w:tcPr>
                <w:p w14:paraId="2123A1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409" w:type="dxa"/>
                  <w:tcBorders>
                    <w:tl2br w:val="nil"/>
                    <w:tr2bl w:val="nil"/>
                  </w:tcBorders>
                  <w:noWrap w:val="0"/>
                  <w:vAlign w:val="center"/>
                </w:tcPr>
                <w:p w14:paraId="32B5C4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原州区</w:t>
                  </w:r>
                </w:p>
              </w:tc>
              <w:tc>
                <w:tcPr>
                  <w:tcW w:w="641" w:type="dxa"/>
                  <w:tcBorders>
                    <w:tl2br w:val="nil"/>
                    <w:tr2bl w:val="nil"/>
                  </w:tcBorders>
                  <w:noWrap w:val="0"/>
                  <w:vAlign w:val="center"/>
                </w:tcPr>
                <w:p w14:paraId="13B895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河川乡、官厅镇</w:t>
                  </w:r>
                </w:p>
              </w:tc>
              <w:tc>
                <w:tcPr>
                  <w:tcW w:w="386" w:type="dxa"/>
                  <w:tcBorders>
                    <w:tl2br w:val="nil"/>
                    <w:tr2bl w:val="nil"/>
                  </w:tcBorders>
                  <w:noWrap w:val="0"/>
                  <w:vAlign w:val="center"/>
                </w:tcPr>
                <w:p w14:paraId="343177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一般管控区</w:t>
                  </w:r>
                </w:p>
              </w:tc>
              <w:tc>
                <w:tcPr>
                  <w:tcW w:w="461" w:type="dxa"/>
                  <w:tcBorders>
                    <w:tl2br w:val="nil"/>
                    <w:tr2bl w:val="nil"/>
                  </w:tcBorders>
                  <w:noWrap w:val="0"/>
                  <w:vAlign w:val="center"/>
                </w:tcPr>
                <w:p w14:paraId="2039ED5A">
                  <w:pPr>
                    <w:keepNext w:val="0"/>
                    <w:keepLines w:val="0"/>
                    <w:widowControl/>
                    <w:suppressLineNumbers w:val="0"/>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一般管控单元</w:t>
                  </w:r>
                </w:p>
              </w:tc>
              <w:tc>
                <w:tcPr>
                  <w:tcW w:w="912" w:type="dxa"/>
                  <w:vMerge w:val="restart"/>
                  <w:tcBorders>
                    <w:tl2br w:val="nil"/>
                    <w:tr2bl w:val="nil"/>
                  </w:tcBorders>
                  <w:noWrap w:val="0"/>
                  <w:vAlign w:val="center"/>
                </w:tcPr>
                <w:p w14:paraId="67A400D0">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rPr>
                  </w:pPr>
                  <w:r>
                    <w:rPr>
                      <w:rFonts w:hint="default" w:ascii="Times New Roman" w:hAnsi="Times New Roman" w:eastAsia="宋体" w:cs="Times New Roman"/>
                      <w:b w:val="0"/>
                      <w:bCs w:val="0"/>
                      <w:strike w:val="0"/>
                      <w:dstrike w:val="0"/>
                      <w:color w:val="auto"/>
                      <w:sz w:val="21"/>
                      <w:szCs w:val="21"/>
                      <w:highlight w:val="none"/>
                      <w:vertAlign w:val="baseline"/>
                    </w:rPr>
                    <w:t>1.禁止在二十五度以上陡坡地开垦种植农作物。</w:t>
                  </w:r>
                  <w:r>
                    <w:rPr>
                      <w:rFonts w:hint="default" w:ascii="Times New Roman" w:hAnsi="Times New Roman" w:eastAsia="宋体" w:cs="Times New Roman"/>
                      <w:b w:val="0"/>
                      <w:bCs w:val="0"/>
                      <w:strike w:val="0"/>
                      <w:dstrike w:val="0"/>
                      <w:color w:val="auto"/>
                      <w:sz w:val="21"/>
                      <w:szCs w:val="21"/>
                      <w:highlight w:val="none"/>
                      <w:vertAlign w:val="baseline"/>
                    </w:rPr>
                    <w:br w:type="textWrapping"/>
                  </w:r>
                  <w:r>
                    <w:rPr>
                      <w:rFonts w:hint="default" w:ascii="Times New Roman" w:hAnsi="Times New Roman" w:eastAsia="宋体" w:cs="Times New Roman"/>
                      <w:b w:val="0"/>
                      <w:bCs w:val="0"/>
                      <w:strike w:val="0"/>
                      <w:dstrike w:val="0"/>
                      <w:color w:val="auto"/>
                      <w:sz w:val="21"/>
                      <w:szCs w:val="21"/>
                      <w:highlight w:val="none"/>
                      <w:vertAlign w:val="baseline"/>
                    </w:rPr>
                    <w:t>2.严格限制占用林地、草地及清水河等河流沿线湿地进行开发建设活动。</w:t>
                  </w:r>
                </w:p>
                <w:p w14:paraId="429D151A">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lang w:eastAsia="zh-CN"/>
                    </w:rPr>
                  </w:pPr>
                  <w:r>
                    <w:rPr>
                      <w:rFonts w:hint="default" w:ascii="Times New Roman" w:hAnsi="Times New Roman" w:eastAsia="宋体" w:cs="Times New Roman"/>
                      <w:b w:val="0"/>
                      <w:bCs w:val="0"/>
                      <w:strike w:val="0"/>
                      <w:dstrike w:val="0"/>
                      <w:color w:val="auto"/>
                      <w:sz w:val="21"/>
                      <w:szCs w:val="21"/>
                      <w:highlight w:val="none"/>
                      <w:vertAlign w:val="baseline"/>
                    </w:rPr>
                    <w:t>3.在满足产业准入、总量控制、排放标准等国家和地方相关管理制度要求的前提下，集约发展</w:t>
                  </w:r>
                  <w:r>
                    <w:rPr>
                      <w:rFonts w:hint="default" w:ascii="Times New Roman" w:hAnsi="Times New Roman" w:eastAsia="宋体" w:cs="Times New Roman"/>
                      <w:b w:val="0"/>
                      <w:bCs w:val="0"/>
                      <w:strike w:val="0"/>
                      <w:dstrike w:val="0"/>
                      <w:color w:val="auto"/>
                      <w:sz w:val="21"/>
                      <w:szCs w:val="21"/>
                      <w:highlight w:val="none"/>
                      <w:vertAlign w:val="baseline"/>
                      <w:lang w:eastAsia="zh-CN"/>
                    </w:rPr>
                    <w:t>。</w:t>
                  </w:r>
                </w:p>
              </w:tc>
              <w:tc>
                <w:tcPr>
                  <w:tcW w:w="614" w:type="dxa"/>
                  <w:vMerge w:val="restart"/>
                  <w:tcBorders>
                    <w:tl2br w:val="nil"/>
                    <w:tr2bl w:val="nil"/>
                  </w:tcBorders>
                  <w:noWrap w:val="0"/>
                  <w:vAlign w:val="center"/>
                </w:tcPr>
                <w:p w14:paraId="5EE902F2">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w:t>
                  </w:r>
                </w:p>
              </w:tc>
              <w:tc>
                <w:tcPr>
                  <w:tcW w:w="535" w:type="dxa"/>
                  <w:vMerge w:val="restart"/>
                  <w:tcBorders>
                    <w:tl2br w:val="nil"/>
                    <w:tr2bl w:val="nil"/>
                  </w:tcBorders>
                  <w:noWrap w:val="0"/>
                  <w:vAlign w:val="center"/>
                </w:tcPr>
                <w:p w14:paraId="540EC8C7">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w:t>
                  </w:r>
                </w:p>
              </w:tc>
              <w:tc>
                <w:tcPr>
                  <w:tcW w:w="370" w:type="dxa"/>
                  <w:vMerge w:val="restart"/>
                  <w:tcBorders>
                    <w:tl2br w:val="nil"/>
                    <w:tr2bl w:val="nil"/>
                  </w:tcBorders>
                  <w:noWrap w:val="0"/>
                  <w:vAlign w:val="center"/>
                </w:tcPr>
                <w:p w14:paraId="661ABD2E">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943" w:type="dxa"/>
                  <w:vMerge w:val="restart"/>
                  <w:tcBorders>
                    <w:tl2br w:val="nil"/>
                    <w:tr2bl w:val="nil"/>
                  </w:tcBorders>
                  <w:noWrap w:val="0"/>
                  <w:vAlign w:val="center"/>
                </w:tcPr>
                <w:p w14:paraId="6994BBF8">
                  <w:pPr>
                    <w:keepNext w:val="0"/>
                    <w:keepLines w:val="0"/>
                    <w:widowControl/>
                    <w:suppressLineNumbers w:val="0"/>
                    <w:spacing w:line="240" w:lineRule="auto"/>
                    <w:jc w:val="both"/>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本项目属于电力基础设施项目，</w:t>
                  </w:r>
                  <w:r>
                    <w:rPr>
                      <w:rFonts w:hint="default" w:ascii="Times New Roman" w:hAnsi="Times New Roman" w:eastAsia="宋体" w:cs="Times New Roman"/>
                      <w:b w:val="0"/>
                      <w:bCs w:val="0"/>
                      <w:strike w:val="0"/>
                      <w:dstrike w:val="0"/>
                      <w:color w:val="auto"/>
                      <w:sz w:val="21"/>
                      <w:szCs w:val="21"/>
                      <w:highlight w:val="none"/>
                      <w:vertAlign w:val="baseline"/>
                      <w:lang w:val="en-US" w:eastAsia="zh-CN"/>
                    </w:rPr>
                    <w:t>符合《产业结构调整指导目录（2024年）》。项目占用林地、草地，</w:t>
                  </w:r>
                  <w:r>
                    <w:rPr>
                      <w:rFonts w:hint="eastAsia" w:ascii="Times New Roman" w:hAnsi="Times New Roman" w:eastAsia="宋体" w:cs="Times New Roman"/>
                      <w:b w:val="0"/>
                      <w:bCs w:val="0"/>
                      <w:strike w:val="0"/>
                      <w:dstrike w:val="0"/>
                      <w:color w:val="auto"/>
                      <w:sz w:val="21"/>
                      <w:szCs w:val="21"/>
                      <w:highlight w:val="none"/>
                      <w:vertAlign w:val="baseline"/>
                      <w:lang w:val="en-US" w:eastAsia="zh-CN"/>
                    </w:rPr>
                    <w:t>建设单位正在办理相关手续</w:t>
                  </w:r>
                  <w:r>
                    <w:rPr>
                      <w:rFonts w:hint="default" w:ascii="Times New Roman" w:hAnsi="Times New Roman" w:eastAsia="宋体" w:cs="Times New Roman"/>
                      <w:color w:val="auto"/>
                      <w:kern w:val="0"/>
                      <w:sz w:val="21"/>
                      <w:szCs w:val="21"/>
                      <w:highlight w:val="none"/>
                      <w:lang w:val="en-US" w:eastAsia="zh-CN" w:bidi="ar"/>
                    </w:rPr>
                    <w:t>，运营期输电线路和间隔扩建工程无废气、废水、固体废物产生。</w:t>
                  </w:r>
                </w:p>
              </w:tc>
              <w:tc>
                <w:tcPr>
                  <w:tcW w:w="364" w:type="dxa"/>
                  <w:vMerge w:val="restart"/>
                  <w:tcBorders>
                    <w:tl2br w:val="nil"/>
                    <w:tr2bl w:val="nil"/>
                  </w:tcBorders>
                  <w:noWrap w:val="0"/>
                  <w:vAlign w:val="center"/>
                </w:tcPr>
                <w:p w14:paraId="7BE881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符合</w:t>
                  </w:r>
                </w:p>
              </w:tc>
            </w:tr>
            <w:tr w14:paraId="4CF9C6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95" w:type="dxa"/>
                  <w:tcBorders>
                    <w:tl2br w:val="nil"/>
                    <w:tr2bl w:val="nil"/>
                  </w:tcBorders>
                  <w:noWrap w:val="0"/>
                  <w:vAlign w:val="center"/>
                </w:tcPr>
                <w:p w14:paraId="30A1697D">
                  <w:pPr>
                    <w:keepNext w:val="0"/>
                    <w:keepLines w:val="0"/>
                    <w:widowControl/>
                    <w:suppressLineNumbers w:val="0"/>
                    <w:spacing w:line="240" w:lineRule="auto"/>
                    <w:jc w:val="left"/>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lang w:val="en-US" w:eastAsia="zh-CN" w:bidi="ar"/>
                    </w:rPr>
                    <w:t>ZH64042530001</w:t>
                  </w:r>
                </w:p>
              </w:tc>
              <w:tc>
                <w:tcPr>
                  <w:tcW w:w="736" w:type="dxa"/>
                  <w:tcBorders>
                    <w:tl2br w:val="nil"/>
                    <w:tr2bl w:val="nil"/>
                  </w:tcBorders>
                  <w:noWrap w:val="0"/>
                  <w:vAlign w:val="center"/>
                </w:tcPr>
                <w:p w14:paraId="34E861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lang w:val="en-US" w:eastAsia="zh-CN" w:bidi="ar"/>
                    </w:rPr>
                    <w:t>彭阳县</w:t>
                  </w:r>
                  <w:r>
                    <w:rPr>
                      <w:rFonts w:hint="default" w:ascii="Times New Roman" w:hAnsi="Times New Roman" w:eastAsia="宋体" w:cs="Times New Roman"/>
                      <w:b w:val="0"/>
                      <w:bCs w:val="0"/>
                      <w:strike w:val="0"/>
                      <w:dstrike w:val="0"/>
                      <w:color w:val="auto"/>
                      <w:sz w:val="21"/>
                      <w:szCs w:val="21"/>
                      <w:highlight w:val="none"/>
                      <w:vertAlign w:val="baseline"/>
                      <w:lang w:val="en-US" w:eastAsia="zh-CN"/>
                    </w:rPr>
                    <w:t>一般管控单元1</w:t>
                  </w:r>
                </w:p>
              </w:tc>
              <w:tc>
                <w:tcPr>
                  <w:tcW w:w="341" w:type="dxa"/>
                  <w:vMerge w:val="continue"/>
                  <w:tcBorders>
                    <w:tl2br w:val="nil"/>
                    <w:tr2bl w:val="nil"/>
                  </w:tcBorders>
                  <w:noWrap w:val="0"/>
                  <w:vAlign w:val="center"/>
                </w:tcPr>
                <w:p w14:paraId="5AC6D2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rPr>
                  </w:pPr>
                </w:p>
              </w:tc>
              <w:tc>
                <w:tcPr>
                  <w:tcW w:w="259" w:type="dxa"/>
                  <w:vMerge w:val="continue"/>
                  <w:tcBorders>
                    <w:tl2br w:val="nil"/>
                    <w:tr2bl w:val="nil"/>
                  </w:tcBorders>
                  <w:noWrap w:val="0"/>
                  <w:vAlign w:val="center"/>
                </w:tcPr>
                <w:p w14:paraId="130827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409" w:type="dxa"/>
                  <w:tcBorders>
                    <w:tl2br w:val="nil"/>
                    <w:tr2bl w:val="nil"/>
                  </w:tcBorders>
                  <w:noWrap w:val="0"/>
                  <w:vAlign w:val="center"/>
                </w:tcPr>
                <w:p w14:paraId="11C31E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彭阳县</w:t>
                  </w:r>
                </w:p>
              </w:tc>
              <w:tc>
                <w:tcPr>
                  <w:tcW w:w="641" w:type="dxa"/>
                  <w:tcBorders>
                    <w:tl2br w:val="nil"/>
                    <w:tr2bl w:val="nil"/>
                  </w:tcBorders>
                  <w:noWrap w:val="0"/>
                  <w:vAlign w:val="center"/>
                </w:tcPr>
                <w:p w14:paraId="7A56A954">
                  <w:pPr>
                    <w:keepNext w:val="0"/>
                    <w:keepLines w:val="0"/>
                    <w:widowControl/>
                    <w:suppressLineNumbers w:val="0"/>
                    <w:spacing w:line="240" w:lineRule="auto"/>
                    <w:jc w:val="center"/>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lang w:val="en-US" w:eastAsia="zh-CN" w:bidi="ar"/>
                    </w:rPr>
                    <w:t>交岔乡、罗洼乡、王洼镇</w:t>
                  </w:r>
                </w:p>
              </w:tc>
              <w:tc>
                <w:tcPr>
                  <w:tcW w:w="386" w:type="dxa"/>
                  <w:tcBorders>
                    <w:tl2br w:val="nil"/>
                    <w:tr2bl w:val="nil"/>
                  </w:tcBorders>
                  <w:noWrap w:val="0"/>
                  <w:vAlign w:val="center"/>
                </w:tcPr>
                <w:p w14:paraId="6E682B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一般管控区</w:t>
                  </w:r>
                </w:p>
              </w:tc>
              <w:tc>
                <w:tcPr>
                  <w:tcW w:w="461" w:type="dxa"/>
                  <w:tcBorders>
                    <w:tl2br w:val="nil"/>
                    <w:tr2bl w:val="nil"/>
                  </w:tcBorders>
                  <w:noWrap w:val="0"/>
                  <w:vAlign w:val="center"/>
                </w:tcPr>
                <w:p w14:paraId="1B96E3FF">
                  <w:pPr>
                    <w:keepNext w:val="0"/>
                    <w:keepLines w:val="0"/>
                    <w:widowControl/>
                    <w:suppressLineNumbers w:val="0"/>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一般管控单元</w:t>
                  </w:r>
                </w:p>
              </w:tc>
              <w:tc>
                <w:tcPr>
                  <w:tcW w:w="912" w:type="dxa"/>
                  <w:vMerge w:val="continue"/>
                  <w:tcBorders>
                    <w:tl2br w:val="nil"/>
                    <w:tr2bl w:val="nil"/>
                  </w:tcBorders>
                  <w:noWrap w:val="0"/>
                  <w:vAlign w:val="center"/>
                </w:tcPr>
                <w:p w14:paraId="50B0A179">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rPr>
                  </w:pPr>
                </w:p>
              </w:tc>
              <w:tc>
                <w:tcPr>
                  <w:tcW w:w="614" w:type="dxa"/>
                  <w:vMerge w:val="continue"/>
                  <w:tcBorders>
                    <w:tl2br w:val="nil"/>
                    <w:tr2bl w:val="nil"/>
                  </w:tcBorders>
                  <w:noWrap w:val="0"/>
                  <w:vAlign w:val="center"/>
                </w:tcPr>
                <w:p w14:paraId="3737562F">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535" w:type="dxa"/>
                  <w:vMerge w:val="continue"/>
                  <w:tcBorders>
                    <w:tl2br w:val="nil"/>
                    <w:tr2bl w:val="nil"/>
                  </w:tcBorders>
                  <w:noWrap w:val="0"/>
                  <w:vAlign w:val="center"/>
                </w:tcPr>
                <w:p w14:paraId="0DCFE041">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lang w:val="en-US" w:eastAsia="zh-CN"/>
                    </w:rPr>
                  </w:pPr>
                </w:p>
              </w:tc>
              <w:tc>
                <w:tcPr>
                  <w:tcW w:w="370" w:type="dxa"/>
                  <w:vMerge w:val="continue"/>
                  <w:tcBorders>
                    <w:tl2br w:val="nil"/>
                    <w:tr2bl w:val="nil"/>
                  </w:tcBorders>
                  <w:noWrap w:val="0"/>
                  <w:vAlign w:val="center"/>
                </w:tcPr>
                <w:p w14:paraId="5411D71F">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p>
              </w:tc>
              <w:tc>
                <w:tcPr>
                  <w:tcW w:w="943" w:type="dxa"/>
                  <w:vMerge w:val="continue"/>
                  <w:tcBorders>
                    <w:tl2br w:val="nil"/>
                    <w:tr2bl w:val="nil"/>
                  </w:tcBorders>
                  <w:noWrap w:val="0"/>
                  <w:vAlign w:val="center"/>
                </w:tcPr>
                <w:p w14:paraId="1B1AD0BD">
                  <w:pPr>
                    <w:keepNext w:val="0"/>
                    <w:keepLines w:val="0"/>
                    <w:widowControl/>
                    <w:suppressLineNumbers w:val="0"/>
                    <w:spacing w:line="240" w:lineRule="auto"/>
                    <w:jc w:val="both"/>
                    <w:rPr>
                      <w:rFonts w:hint="default" w:ascii="Times New Roman" w:hAnsi="Times New Roman" w:eastAsia="宋体" w:cs="Times New Roman"/>
                      <w:bCs/>
                      <w:color w:val="auto"/>
                      <w:sz w:val="21"/>
                      <w:szCs w:val="21"/>
                      <w:highlight w:val="none"/>
                      <w:lang w:val="en-US" w:eastAsia="zh-CN"/>
                    </w:rPr>
                  </w:pPr>
                </w:p>
              </w:tc>
              <w:tc>
                <w:tcPr>
                  <w:tcW w:w="364" w:type="dxa"/>
                  <w:vMerge w:val="continue"/>
                  <w:tcBorders>
                    <w:tl2br w:val="nil"/>
                    <w:tr2bl w:val="nil"/>
                  </w:tcBorders>
                  <w:noWrap w:val="0"/>
                  <w:vAlign w:val="center"/>
                </w:tcPr>
                <w:p w14:paraId="24DD18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14:paraId="0CC48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95" w:type="dxa"/>
                  <w:tcBorders>
                    <w:tl2br w:val="nil"/>
                    <w:tr2bl w:val="nil"/>
                  </w:tcBorders>
                  <w:noWrap w:val="0"/>
                  <w:vAlign w:val="center"/>
                </w:tcPr>
                <w:p w14:paraId="06C8F002">
                  <w:pPr>
                    <w:keepNext w:val="0"/>
                    <w:keepLines w:val="0"/>
                    <w:widowControl/>
                    <w:suppressLineNumbers w:val="0"/>
                    <w:spacing w:line="240" w:lineRule="auto"/>
                    <w:jc w:val="left"/>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lang w:val="en-US" w:eastAsia="zh-CN" w:bidi="ar"/>
                    </w:rPr>
                    <w:t>ZH64042530002</w:t>
                  </w:r>
                </w:p>
              </w:tc>
              <w:tc>
                <w:tcPr>
                  <w:tcW w:w="736" w:type="dxa"/>
                  <w:tcBorders>
                    <w:tl2br w:val="nil"/>
                    <w:tr2bl w:val="nil"/>
                  </w:tcBorders>
                  <w:noWrap w:val="0"/>
                  <w:vAlign w:val="center"/>
                </w:tcPr>
                <w:p w14:paraId="2C41CC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彭阳县</w:t>
                  </w:r>
                  <w:r>
                    <w:rPr>
                      <w:rFonts w:hint="default" w:ascii="Times New Roman" w:hAnsi="Times New Roman" w:eastAsia="宋体" w:cs="Times New Roman"/>
                      <w:b w:val="0"/>
                      <w:bCs w:val="0"/>
                      <w:strike w:val="0"/>
                      <w:dstrike w:val="0"/>
                      <w:color w:val="auto"/>
                      <w:sz w:val="21"/>
                      <w:szCs w:val="21"/>
                      <w:highlight w:val="none"/>
                      <w:vertAlign w:val="baseline"/>
                      <w:lang w:val="en-US" w:eastAsia="zh-CN"/>
                    </w:rPr>
                    <w:t>一般管控单元2</w:t>
                  </w:r>
                </w:p>
              </w:tc>
              <w:tc>
                <w:tcPr>
                  <w:tcW w:w="341" w:type="dxa"/>
                  <w:vMerge w:val="continue"/>
                  <w:tcBorders>
                    <w:tl2br w:val="nil"/>
                    <w:tr2bl w:val="nil"/>
                  </w:tcBorders>
                  <w:noWrap w:val="0"/>
                  <w:vAlign w:val="center"/>
                </w:tcPr>
                <w:p w14:paraId="647154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rPr>
                  </w:pPr>
                </w:p>
              </w:tc>
              <w:tc>
                <w:tcPr>
                  <w:tcW w:w="259" w:type="dxa"/>
                  <w:vMerge w:val="continue"/>
                  <w:tcBorders>
                    <w:tl2br w:val="nil"/>
                    <w:tr2bl w:val="nil"/>
                  </w:tcBorders>
                  <w:noWrap w:val="0"/>
                  <w:vAlign w:val="center"/>
                </w:tcPr>
                <w:p w14:paraId="0A0475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409" w:type="dxa"/>
                  <w:tcBorders>
                    <w:tl2br w:val="nil"/>
                    <w:tr2bl w:val="nil"/>
                  </w:tcBorders>
                  <w:noWrap w:val="0"/>
                  <w:vAlign w:val="center"/>
                </w:tcPr>
                <w:p w14:paraId="2FCF19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彭阳县</w:t>
                  </w:r>
                </w:p>
              </w:tc>
              <w:tc>
                <w:tcPr>
                  <w:tcW w:w="641" w:type="dxa"/>
                  <w:tcBorders>
                    <w:tl2br w:val="nil"/>
                    <w:tr2bl w:val="nil"/>
                  </w:tcBorders>
                  <w:noWrap w:val="0"/>
                  <w:vAlign w:val="center"/>
                </w:tcPr>
                <w:p w14:paraId="22507B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lang w:val="en-US" w:eastAsia="zh-CN" w:bidi="ar"/>
                    </w:rPr>
                    <w:t>交岔乡</w:t>
                  </w:r>
                </w:p>
              </w:tc>
              <w:tc>
                <w:tcPr>
                  <w:tcW w:w="386" w:type="dxa"/>
                  <w:tcBorders>
                    <w:tl2br w:val="nil"/>
                    <w:tr2bl w:val="nil"/>
                  </w:tcBorders>
                  <w:noWrap w:val="0"/>
                  <w:vAlign w:val="center"/>
                </w:tcPr>
                <w:p w14:paraId="28CDC1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一般管控区</w:t>
                  </w:r>
                </w:p>
              </w:tc>
              <w:tc>
                <w:tcPr>
                  <w:tcW w:w="461" w:type="dxa"/>
                  <w:tcBorders>
                    <w:tl2br w:val="nil"/>
                    <w:tr2bl w:val="nil"/>
                  </w:tcBorders>
                  <w:noWrap w:val="0"/>
                  <w:vAlign w:val="center"/>
                </w:tcPr>
                <w:p w14:paraId="0820BA24">
                  <w:pPr>
                    <w:keepNext w:val="0"/>
                    <w:keepLines w:val="0"/>
                    <w:widowControl/>
                    <w:suppressLineNumbers w:val="0"/>
                    <w:spacing w:line="240" w:lineRule="auto"/>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一般管控单元</w:t>
                  </w:r>
                </w:p>
              </w:tc>
              <w:tc>
                <w:tcPr>
                  <w:tcW w:w="912" w:type="dxa"/>
                  <w:vMerge w:val="continue"/>
                  <w:tcBorders>
                    <w:tl2br w:val="nil"/>
                    <w:tr2bl w:val="nil"/>
                  </w:tcBorders>
                  <w:noWrap w:val="0"/>
                  <w:vAlign w:val="center"/>
                </w:tcPr>
                <w:p w14:paraId="3134291F">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rPr>
                  </w:pPr>
                </w:p>
              </w:tc>
              <w:tc>
                <w:tcPr>
                  <w:tcW w:w="614" w:type="dxa"/>
                  <w:vMerge w:val="continue"/>
                  <w:tcBorders>
                    <w:tl2br w:val="nil"/>
                    <w:tr2bl w:val="nil"/>
                  </w:tcBorders>
                  <w:noWrap w:val="0"/>
                  <w:vAlign w:val="center"/>
                </w:tcPr>
                <w:p w14:paraId="6681CC18">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535" w:type="dxa"/>
                  <w:vMerge w:val="continue"/>
                  <w:tcBorders>
                    <w:tl2br w:val="nil"/>
                    <w:tr2bl w:val="nil"/>
                  </w:tcBorders>
                  <w:noWrap w:val="0"/>
                  <w:vAlign w:val="center"/>
                </w:tcPr>
                <w:p w14:paraId="0C451411">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lang w:val="en-US" w:eastAsia="zh-CN"/>
                    </w:rPr>
                  </w:pPr>
                </w:p>
              </w:tc>
              <w:tc>
                <w:tcPr>
                  <w:tcW w:w="370" w:type="dxa"/>
                  <w:vMerge w:val="continue"/>
                  <w:tcBorders>
                    <w:tl2br w:val="nil"/>
                    <w:tr2bl w:val="nil"/>
                  </w:tcBorders>
                  <w:noWrap w:val="0"/>
                  <w:vAlign w:val="center"/>
                </w:tcPr>
                <w:p w14:paraId="6A0D8006">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p>
              </w:tc>
              <w:tc>
                <w:tcPr>
                  <w:tcW w:w="943" w:type="dxa"/>
                  <w:vMerge w:val="continue"/>
                  <w:tcBorders>
                    <w:tl2br w:val="nil"/>
                    <w:tr2bl w:val="nil"/>
                  </w:tcBorders>
                  <w:noWrap w:val="0"/>
                  <w:vAlign w:val="center"/>
                </w:tcPr>
                <w:p w14:paraId="4C6C0879">
                  <w:pPr>
                    <w:keepNext w:val="0"/>
                    <w:keepLines w:val="0"/>
                    <w:widowControl/>
                    <w:suppressLineNumbers w:val="0"/>
                    <w:spacing w:line="240" w:lineRule="auto"/>
                    <w:jc w:val="both"/>
                    <w:rPr>
                      <w:rFonts w:hint="default" w:ascii="Times New Roman" w:hAnsi="Times New Roman" w:eastAsia="宋体" w:cs="Times New Roman"/>
                      <w:bCs/>
                      <w:color w:val="auto"/>
                      <w:sz w:val="21"/>
                      <w:szCs w:val="21"/>
                      <w:highlight w:val="none"/>
                      <w:lang w:val="en-US" w:eastAsia="zh-CN"/>
                    </w:rPr>
                  </w:pPr>
                </w:p>
              </w:tc>
              <w:tc>
                <w:tcPr>
                  <w:tcW w:w="364" w:type="dxa"/>
                  <w:vMerge w:val="continue"/>
                  <w:tcBorders>
                    <w:tl2br w:val="nil"/>
                    <w:tr2bl w:val="nil"/>
                  </w:tcBorders>
                  <w:noWrap w:val="0"/>
                  <w:vAlign w:val="center"/>
                </w:tcPr>
                <w:p w14:paraId="3A5B10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14:paraId="77442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95" w:type="dxa"/>
                  <w:tcBorders>
                    <w:tl2br w:val="nil"/>
                    <w:tr2bl w:val="nil"/>
                  </w:tcBorders>
                  <w:noWrap w:val="0"/>
                  <w:vAlign w:val="center"/>
                </w:tcPr>
                <w:p w14:paraId="362835DC">
                  <w:pPr>
                    <w:keepNext w:val="0"/>
                    <w:keepLines w:val="0"/>
                    <w:widowControl/>
                    <w:suppressLineNumbers w:val="0"/>
                    <w:spacing w:line="240" w:lineRule="auto"/>
                    <w:jc w:val="left"/>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lang w:val="en-US" w:eastAsia="zh-CN" w:bidi="ar"/>
                    </w:rPr>
                    <w:t>ZH64042530005</w:t>
                  </w:r>
                </w:p>
              </w:tc>
              <w:tc>
                <w:tcPr>
                  <w:tcW w:w="736" w:type="dxa"/>
                  <w:tcBorders>
                    <w:tl2br w:val="nil"/>
                    <w:tr2bl w:val="nil"/>
                  </w:tcBorders>
                  <w:noWrap w:val="0"/>
                  <w:vAlign w:val="center"/>
                </w:tcPr>
                <w:p w14:paraId="4A59CC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lang w:val="en-US" w:eastAsia="zh-CN" w:bidi="ar"/>
                    </w:rPr>
                    <w:t>彭阳县</w:t>
                  </w:r>
                  <w:r>
                    <w:rPr>
                      <w:rFonts w:hint="default" w:ascii="Times New Roman" w:hAnsi="Times New Roman" w:eastAsia="宋体" w:cs="Times New Roman"/>
                      <w:b w:val="0"/>
                      <w:bCs w:val="0"/>
                      <w:strike w:val="0"/>
                      <w:dstrike w:val="0"/>
                      <w:color w:val="auto"/>
                      <w:sz w:val="21"/>
                      <w:szCs w:val="21"/>
                      <w:highlight w:val="none"/>
                      <w:vertAlign w:val="baseline"/>
                      <w:lang w:val="en-US" w:eastAsia="zh-CN"/>
                    </w:rPr>
                    <w:t>一般管控单元5</w:t>
                  </w:r>
                </w:p>
              </w:tc>
              <w:tc>
                <w:tcPr>
                  <w:tcW w:w="341" w:type="dxa"/>
                  <w:vMerge w:val="continue"/>
                  <w:tcBorders>
                    <w:tl2br w:val="nil"/>
                    <w:tr2bl w:val="nil"/>
                  </w:tcBorders>
                  <w:noWrap w:val="0"/>
                  <w:vAlign w:val="center"/>
                </w:tcPr>
                <w:p w14:paraId="173A2E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rPr>
                  </w:pPr>
                </w:p>
              </w:tc>
              <w:tc>
                <w:tcPr>
                  <w:tcW w:w="259" w:type="dxa"/>
                  <w:vMerge w:val="continue"/>
                  <w:tcBorders>
                    <w:tl2br w:val="nil"/>
                    <w:tr2bl w:val="nil"/>
                  </w:tcBorders>
                  <w:noWrap w:val="0"/>
                  <w:vAlign w:val="center"/>
                </w:tcPr>
                <w:p w14:paraId="54AC20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409" w:type="dxa"/>
                  <w:tcBorders>
                    <w:tl2br w:val="nil"/>
                    <w:tr2bl w:val="nil"/>
                  </w:tcBorders>
                  <w:noWrap w:val="0"/>
                  <w:vAlign w:val="center"/>
                </w:tcPr>
                <w:p w14:paraId="631248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彭阳县</w:t>
                  </w:r>
                </w:p>
              </w:tc>
              <w:tc>
                <w:tcPr>
                  <w:tcW w:w="641" w:type="dxa"/>
                  <w:tcBorders>
                    <w:tl2br w:val="nil"/>
                    <w:tr2bl w:val="nil"/>
                  </w:tcBorders>
                  <w:noWrap w:val="0"/>
                  <w:vAlign w:val="center"/>
                </w:tcPr>
                <w:p w14:paraId="52ECF6EA">
                  <w:pPr>
                    <w:keepNext w:val="0"/>
                    <w:keepLines w:val="0"/>
                    <w:widowControl/>
                    <w:suppressLineNumbers w:val="0"/>
                    <w:spacing w:line="240" w:lineRule="auto"/>
                    <w:jc w:val="center"/>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lang w:val="en-US" w:eastAsia="zh-CN" w:bidi="ar"/>
                    </w:rPr>
                    <w:t>王洼镇</w:t>
                  </w:r>
                </w:p>
              </w:tc>
              <w:tc>
                <w:tcPr>
                  <w:tcW w:w="386" w:type="dxa"/>
                  <w:tcBorders>
                    <w:tl2br w:val="nil"/>
                    <w:tr2bl w:val="nil"/>
                  </w:tcBorders>
                  <w:noWrap w:val="0"/>
                  <w:vAlign w:val="center"/>
                </w:tcPr>
                <w:p w14:paraId="2B0936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r>
                    <w:rPr>
                      <w:rFonts w:hint="default" w:ascii="Times New Roman" w:hAnsi="Times New Roman" w:eastAsia="宋体" w:cs="Times New Roman"/>
                      <w:b w:val="0"/>
                      <w:bCs w:val="0"/>
                      <w:strike w:val="0"/>
                      <w:dstrike w:val="0"/>
                      <w:color w:val="auto"/>
                      <w:sz w:val="21"/>
                      <w:szCs w:val="21"/>
                      <w:highlight w:val="none"/>
                      <w:vertAlign w:val="baseline"/>
                      <w:lang w:val="en-US" w:eastAsia="zh-CN"/>
                    </w:rPr>
                    <w:t>一般管控区</w:t>
                  </w:r>
                </w:p>
              </w:tc>
              <w:tc>
                <w:tcPr>
                  <w:tcW w:w="461" w:type="dxa"/>
                  <w:tcBorders>
                    <w:tl2br w:val="nil"/>
                    <w:tr2bl w:val="nil"/>
                  </w:tcBorders>
                  <w:noWrap w:val="0"/>
                  <w:vAlign w:val="center"/>
                </w:tcPr>
                <w:p w14:paraId="2E941B75">
                  <w:pPr>
                    <w:keepNext w:val="0"/>
                    <w:keepLines w:val="0"/>
                    <w:widowControl/>
                    <w:suppressLineNumbers w:val="0"/>
                    <w:spacing w:line="240" w:lineRule="auto"/>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一般管控单元</w:t>
                  </w:r>
                </w:p>
              </w:tc>
              <w:tc>
                <w:tcPr>
                  <w:tcW w:w="912" w:type="dxa"/>
                  <w:vMerge w:val="continue"/>
                  <w:tcBorders>
                    <w:tl2br w:val="nil"/>
                    <w:tr2bl w:val="nil"/>
                  </w:tcBorders>
                  <w:noWrap w:val="0"/>
                  <w:vAlign w:val="center"/>
                </w:tcPr>
                <w:p w14:paraId="22CFDDFA">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rPr>
                  </w:pPr>
                </w:p>
              </w:tc>
              <w:tc>
                <w:tcPr>
                  <w:tcW w:w="614" w:type="dxa"/>
                  <w:vMerge w:val="continue"/>
                  <w:tcBorders>
                    <w:tl2br w:val="nil"/>
                    <w:tr2bl w:val="nil"/>
                  </w:tcBorders>
                  <w:noWrap w:val="0"/>
                  <w:vAlign w:val="center"/>
                </w:tcPr>
                <w:p w14:paraId="5C2C3C43">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vertAlign w:val="baseline"/>
                      <w:lang w:val="en-US" w:eastAsia="zh-CN"/>
                    </w:rPr>
                  </w:pPr>
                </w:p>
              </w:tc>
              <w:tc>
                <w:tcPr>
                  <w:tcW w:w="535" w:type="dxa"/>
                  <w:vMerge w:val="continue"/>
                  <w:tcBorders>
                    <w:tl2br w:val="nil"/>
                    <w:tr2bl w:val="nil"/>
                  </w:tcBorders>
                  <w:noWrap w:val="0"/>
                  <w:vAlign w:val="center"/>
                </w:tcPr>
                <w:p w14:paraId="38292261">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strike w:val="0"/>
                      <w:dstrike w:val="0"/>
                      <w:color w:val="auto"/>
                      <w:sz w:val="21"/>
                      <w:szCs w:val="21"/>
                      <w:highlight w:val="none"/>
                      <w:lang w:val="en-US" w:eastAsia="zh-CN"/>
                    </w:rPr>
                  </w:pPr>
                </w:p>
              </w:tc>
              <w:tc>
                <w:tcPr>
                  <w:tcW w:w="370" w:type="dxa"/>
                  <w:vMerge w:val="continue"/>
                  <w:tcBorders>
                    <w:tl2br w:val="nil"/>
                    <w:tr2bl w:val="nil"/>
                  </w:tcBorders>
                  <w:noWrap w:val="0"/>
                  <w:vAlign w:val="center"/>
                </w:tcPr>
                <w:p w14:paraId="20294B05">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p>
              </w:tc>
              <w:tc>
                <w:tcPr>
                  <w:tcW w:w="943" w:type="dxa"/>
                  <w:vMerge w:val="continue"/>
                  <w:tcBorders>
                    <w:tl2br w:val="nil"/>
                    <w:tr2bl w:val="nil"/>
                  </w:tcBorders>
                  <w:noWrap w:val="0"/>
                  <w:vAlign w:val="center"/>
                </w:tcPr>
                <w:p w14:paraId="1A4CD7CB">
                  <w:pPr>
                    <w:keepNext w:val="0"/>
                    <w:keepLines w:val="0"/>
                    <w:widowControl/>
                    <w:suppressLineNumbers w:val="0"/>
                    <w:spacing w:line="240" w:lineRule="auto"/>
                    <w:jc w:val="both"/>
                    <w:rPr>
                      <w:rFonts w:hint="default" w:ascii="Times New Roman" w:hAnsi="Times New Roman" w:eastAsia="宋体" w:cs="Times New Roman"/>
                      <w:bCs/>
                      <w:color w:val="auto"/>
                      <w:sz w:val="21"/>
                      <w:szCs w:val="21"/>
                      <w:highlight w:val="none"/>
                      <w:lang w:val="en-US" w:eastAsia="zh-CN"/>
                    </w:rPr>
                  </w:pPr>
                </w:p>
              </w:tc>
              <w:tc>
                <w:tcPr>
                  <w:tcW w:w="364" w:type="dxa"/>
                  <w:vMerge w:val="continue"/>
                  <w:tcBorders>
                    <w:tl2br w:val="nil"/>
                    <w:tr2bl w:val="nil"/>
                  </w:tcBorders>
                  <w:noWrap w:val="0"/>
                  <w:vAlign w:val="center"/>
                </w:tcPr>
                <w:p w14:paraId="7D484B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bl>
          <w:p w14:paraId="6F6866DC">
            <w:pPr>
              <w:pStyle w:val="53"/>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bCs/>
                <w:color w:val="auto"/>
                <w:sz w:val="24"/>
                <w:highlight w:val="none"/>
                <w:lang w:val="en-US" w:eastAsia="zh-CN"/>
              </w:rPr>
              <w:t>根据表1-2</w:t>
            </w:r>
            <w:r>
              <w:rPr>
                <w:rFonts w:hint="eastAsia" w:cs="Times New Roman"/>
                <w:bCs/>
                <w:color w:val="auto"/>
                <w:sz w:val="24"/>
                <w:highlight w:val="none"/>
                <w:lang w:val="en-US" w:eastAsia="zh-CN"/>
              </w:rPr>
              <w:t>、</w:t>
            </w:r>
            <w:r>
              <w:rPr>
                <w:rFonts w:hint="default" w:ascii="Times New Roman" w:hAnsi="Times New Roman" w:cs="Times New Roman"/>
                <w:bCs/>
                <w:color w:val="auto"/>
                <w:sz w:val="24"/>
                <w:highlight w:val="none"/>
                <w:lang w:val="en-US" w:eastAsia="zh-CN"/>
              </w:rPr>
              <w:t>表1-3</w:t>
            </w:r>
            <w:r>
              <w:rPr>
                <w:rFonts w:hint="eastAsia" w:cs="Times New Roman"/>
                <w:bCs/>
                <w:color w:val="auto"/>
                <w:sz w:val="24"/>
                <w:highlight w:val="none"/>
                <w:lang w:val="en-US" w:eastAsia="zh-CN"/>
              </w:rPr>
              <w:t>和</w:t>
            </w:r>
            <w:r>
              <w:rPr>
                <w:rFonts w:hint="default" w:ascii="Times New Roman" w:hAnsi="Times New Roman" w:cs="Times New Roman"/>
                <w:bCs/>
                <w:color w:val="auto"/>
                <w:sz w:val="24"/>
                <w:highlight w:val="none"/>
                <w:lang w:val="en-US" w:eastAsia="zh-CN"/>
              </w:rPr>
              <w:t>表1-</w:t>
            </w:r>
            <w:r>
              <w:rPr>
                <w:rFonts w:hint="eastAsia" w:cs="Times New Roman"/>
                <w:bCs/>
                <w:color w:val="auto"/>
                <w:sz w:val="24"/>
                <w:highlight w:val="none"/>
                <w:lang w:val="en-US" w:eastAsia="zh-CN"/>
              </w:rPr>
              <w:t>4</w:t>
            </w:r>
            <w:r>
              <w:rPr>
                <w:rFonts w:hint="default" w:ascii="Times New Roman" w:hAnsi="Times New Roman" w:cs="Times New Roman"/>
                <w:bCs/>
                <w:color w:val="auto"/>
                <w:sz w:val="24"/>
                <w:highlight w:val="none"/>
                <w:lang w:val="en-US" w:eastAsia="zh-CN"/>
              </w:rPr>
              <w:t>可知</w:t>
            </w:r>
            <w:r>
              <w:rPr>
                <w:rFonts w:hint="default" w:ascii="Times New Roman" w:hAnsi="Times New Roman" w:cs="Times New Roman"/>
                <w:bCs/>
                <w:color w:val="auto"/>
                <w:sz w:val="24"/>
                <w:highlight w:val="none"/>
              </w:rPr>
              <w:t>，</w:t>
            </w:r>
            <w:r>
              <w:rPr>
                <w:rFonts w:hint="default" w:ascii="Times New Roman" w:hAnsi="Times New Roman" w:cs="Times New Roman"/>
                <w:color w:val="auto"/>
                <w:highlight w:val="none"/>
                <w:lang w:val="en-US" w:eastAsia="zh-CN"/>
              </w:rPr>
              <w:t>本项目位于固原市优先保护单元和一般管控单元，为输变电工程，属于电力供应行业。运行期输电线路和间隔扩建工程不产生废气，对区域环境空气质量影响</w:t>
            </w:r>
            <w:r>
              <w:rPr>
                <w:rFonts w:hint="eastAsia" w:cs="Times New Roman"/>
                <w:color w:val="auto"/>
                <w:highlight w:val="none"/>
                <w:lang w:val="en-US" w:eastAsia="zh-CN"/>
              </w:rPr>
              <w:t>轻微</w:t>
            </w:r>
            <w:r>
              <w:rPr>
                <w:rFonts w:hint="default" w:ascii="Times New Roman" w:hAnsi="Times New Roman" w:cs="Times New Roman"/>
                <w:color w:val="auto"/>
                <w:highlight w:val="none"/>
                <w:lang w:val="en-US" w:eastAsia="zh-CN"/>
              </w:rPr>
              <w:t>，符合大气环境一般管控区的管控要求；运行期输电线路无废水产生，间隔扩建工程不新增工作人员，不新增生活用水和生活污水，对区域水环境质量无影响，符合水环境一般管控区的管控要求；输电线路路径涉及农用地优先保护区和土壤环境一般管控区，建设单位已于202</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年</w:t>
            </w:r>
            <w:r>
              <w:rPr>
                <w:rFonts w:hint="eastAsia" w:cs="Times New Roman"/>
                <w:color w:val="auto"/>
                <w:highlight w:val="none"/>
                <w:lang w:val="en-US" w:eastAsia="zh-CN"/>
              </w:rPr>
              <w:t>X</w:t>
            </w:r>
            <w:r>
              <w:rPr>
                <w:rFonts w:hint="default" w:ascii="Times New Roman" w:hAnsi="Times New Roman" w:cs="Times New Roman"/>
                <w:color w:val="auto"/>
                <w:highlight w:val="none"/>
                <w:lang w:val="en-US" w:eastAsia="zh-CN"/>
              </w:rPr>
              <w:t>月</w:t>
            </w:r>
            <w:r>
              <w:rPr>
                <w:rFonts w:hint="eastAsia" w:cs="Times New Roman"/>
                <w:color w:val="auto"/>
                <w:highlight w:val="none"/>
                <w:lang w:val="en-US" w:eastAsia="zh-CN"/>
              </w:rPr>
              <w:t>X</w:t>
            </w:r>
            <w:r>
              <w:rPr>
                <w:rFonts w:hint="default" w:ascii="Times New Roman" w:hAnsi="Times New Roman" w:cs="Times New Roman"/>
                <w:color w:val="auto"/>
                <w:highlight w:val="none"/>
                <w:lang w:val="en-US" w:eastAsia="zh-CN"/>
              </w:rPr>
              <w:t>日取得彭阳县自然资源局关于本项目临时用地占用耕地和基本农田不可避让论证方案评审意见的函</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b/>
                <w:bCs w:val="0"/>
                <w:color w:val="auto"/>
                <w:sz w:val="24"/>
                <w:szCs w:val="24"/>
                <w:lang w:val="en-US" w:eastAsia="zh-CN"/>
              </w:rPr>
              <w:t>详见附件</w:t>
            </w:r>
            <w:r>
              <w:rPr>
                <w:rFonts w:hint="eastAsia" w:cs="Times New Roman"/>
                <w:b/>
                <w:bCs w:val="0"/>
                <w:color w:val="auto"/>
                <w:sz w:val="24"/>
                <w:szCs w:val="24"/>
                <w:lang w:val="en-US" w:eastAsia="zh-CN"/>
              </w:rPr>
              <w:t>5</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highlight w:val="none"/>
                <w:lang w:val="en-US" w:eastAsia="zh-CN"/>
              </w:rPr>
              <w:t>，原则通过该项目临时用地占用耕地和基本农田不可避让论证方案。待项目建设完成后，建设单位严格按照该项目临时用地土地复垦方案提出的复垦计划和内容实施，确保土地复垦质量并在规定时间内完成复垦任务，确保临时占用基本农田的面积不减少，土壤环境质量不下降。运行期输电线路和间隔扩建工程不会对土壤造成污染，符合农用地优先保护区和一般管控区的要求。</w:t>
            </w:r>
          </w:p>
          <w:p w14:paraId="6DB77BFD">
            <w:pPr>
              <w:pStyle w:val="53"/>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运行期输电线路不涉及用水，间隔扩建工程不新增工作人员，不新增生活用水，对区域水资源总量无影响。输电线路塔基基础为点状分布，塔基占地不属于建设用地，塔基只赔不征，对土地资源影响较小；间隔扩建工程在云雾山变电站内进行，站外不新增永久占地或临时占地。综上，本项目的建设符合土地资源利用上线及分区管控要求。</w:t>
            </w:r>
          </w:p>
          <w:p w14:paraId="7866B899">
            <w:pPr>
              <w:pStyle w:val="53"/>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综上所述，本项目的建设与</w:t>
            </w:r>
            <w:r>
              <w:rPr>
                <w:rFonts w:hint="default" w:ascii="Times New Roman" w:hAnsi="Times New Roman" w:cs="Times New Roman"/>
                <w:color w:val="auto"/>
                <w:highlight w:val="none"/>
                <w:lang w:val="en-US" w:eastAsia="zh-CN"/>
              </w:rPr>
              <w:t>《固原市生态环境分区管控</w:t>
            </w:r>
            <w:r>
              <w:rPr>
                <w:rFonts w:hint="default" w:ascii="Times New Roman" w:hAnsi="Times New Roman" w:cs="Times New Roman"/>
                <w:bCs/>
                <w:color w:val="auto"/>
                <w:sz w:val="24"/>
                <w:highlight w:val="none"/>
                <w:lang w:val="en-US" w:eastAsia="zh-CN"/>
              </w:rPr>
              <w:t>实施方案</w:t>
            </w:r>
            <w:r>
              <w:rPr>
                <w:rFonts w:hint="default" w:ascii="Times New Roman" w:hAnsi="Times New Roman" w:cs="Times New Roman"/>
                <w:color w:val="auto"/>
                <w:highlight w:val="none"/>
                <w:lang w:val="en-US" w:eastAsia="zh-CN"/>
              </w:rPr>
              <w:t>》的通知（</w:t>
            </w:r>
            <w:r>
              <w:rPr>
                <w:rFonts w:hint="default" w:ascii="Times New Roman" w:hAnsi="Times New Roman" w:cs="Times New Roman"/>
                <w:bCs/>
                <w:color w:val="auto"/>
                <w:sz w:val="24"/>
                <w:highlight w:val="none"/>
                <w:lang w:val="en-US" w:eastAsia="zh-CN"/>
              </w:rPr>
              <w:t>固</w:t>
            </w:r>
            <w:r>
              <w:rPr>
                <w:rFonts w:hint="default" w:ascii="Times New Roman" w:hAnsi="Times New Roman" w:cs="Times New Roman"/>
                <w:bCs/>
                <w:color w:val="auto"/>
                <w:sz w:val="24"/>
                <w:highlight w:val="none"/>
              </w:rPr>
              <w:t>政发〔2024〕</w:t>
            </w:r>
            <w:r>
              <w:rPr>
                <w:rFonts w:hint="default" w:ascii="Times New Roman" w:hAnsi="Times New Roman" w:cs="Times New Roman"/>
                <w:bCs/>
                <w:color w:val="auto"/>
                <w:sz w:val="24"/>
                <w:highlight w:val="none"/>
                <w:lang w:val="en-US" w:eastAsia="zh-CN"/>
              </w:rPr>
              <w:t>28</w:t>
            </w:r>
            <w:r>
              <w:rPr>
                <w:rFonts w:hint="default" w:ascii="Times New Roman" w:hAnsi="Times New Roman" w:cs="Times New Roman"/>
                <w:bCs/>
                <w:color w:val="auto"/>
                <w:sz w:val="24"/>
                <w:highlight w:val="none"/>
              </w:rPr>
              <w:t>号</w:t>
            </w:r>
            <w:r>
              <w:rPr>
                <w:rFonts w:hint="default" w:ascii="Times New Roman" w:hAnsi="Times New Roman" w:cs="Times New Roman"/>
                <w:color w:val="auto"/>
                <w:highlight w:val="none"/>
                <w:lang w:val="en-US" w:eastAsia="zh-CN"/>
              </w:rPr>
              <w:t>）中</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固原市生态环境分区管控动态更新成果</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、“固原市生态环境总体准入要求”</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“固原市环境管控单元生态环境准入清单”</w:t>
            </w:r>
            <w:r>
              <w:rPr>
                <w:rFonts w:hint="eastAsia" w:cs="Times New Roman"/>
                <w:color w:val="auto"/>
                <w:highlight w:val="none"/>
                <w:lang w:val="en-US" w:eastAsia="zh-CN"/>
              </w:rPr>
              <w:t>相符</w:t>
            </w:r>
            <w:r>
              <w:rPr>
                <w:rFonts w:hint="default" w:ascii="Times New Roman" w:hAnsi="Times New Roman" w:cs="Times New Roman"/>
                <w:color w:val="auto"/>
                <w:highlight w:val="none"/>
                <w:lang w:val="en-US" w:eastAsia="zh-CN"/>
              </w:rPr>
              <w:t>。</w:t>
            </w:r>
          </w:p>
          <w:p w14:paraId="7267E664">
            <w:pPr>
              <w:spacing w:line="360" w:lineRule="auto"/>
              <w:ind w:firstLine="482" w:firstLineChars="200"/>
              <w:jc w:val="left"/>
              <w:rPr>
                <w:rFonts w:hint="default" w:ascii="Times New Roman" w:hAnsi="Times New Roman" w:cs="Times New Roman"/>
                <w:b/>
                <w:color w:val="auto"/>
                <w:sz w:val="24"/>
                <w:highlight w:val="none"/>
                <w:lang w:val="en-US" w:eastAsia="zh-CN"/>
              </w:rPr>
            </w:pPr>
            <w:r>
              <w:rPr>
                <w:rFonts w:hint="eastAsia" w:cs="Times New Roman"/>
                <w:b/>
                <w:color w:val="auto"/>
                <w:sz w:val="24"/>
                <w:highlight w:val="none"/>
                <w:lang w:val="en-US" w:eastAsia="zh-CN"/>
              </w:rPr>
              <w:t>8</w:t>
            </w:r>
            <w:r>
              <w:rPr>
                <w:rFonts w:hint="default" w:ascii="Times New Roman" w:hAnsi="Times New Roman" w:cs="Times New Roman"/>
                <w:b/>
                <w:color w:val="auto"/>
                <w:sz w:val="24"/>
                <w:highlight w:val="none"/>
                <w:lang w:val="en-US" w:eastAsia="zh-CN"/>
              </w:rPr>
              <w:t>.与《宁夏回族自治区能源发展“十四五”规划》相符性分析</w:t>
            </w:r>
          </w:p>
          <w:p w14:paraId="271C17A2">
            <w:pPr>
              <w:spacing w:line="360" w:lineRule="auto"/>
              <w:ind w:firstLine="480" w:firstLineChars="200"/>
              <w:jc w:val="both"/>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根据宁夏回族自治区人民政府办公厅文件《自治区人民政府办公厅关于印发〈宁夏回族自治区能源发展“十四五”规划〉的通知》（宁政办发〔2022〕65号）三、全面建设现代能源供应体系，（一）大规模开发可再生能源。2.稳定推进风电开发。结构和开发成本下降，采用高塔筒、大功率、长叶片风机及先进技术发展低风速风电，在吴忠市、固原市、中卫市等风能资源丰富区域，统筹电网接入和消纳条件，稳步推进集中式风电项目建设。在风能资源适宜、靠近负荷中心区域，完善市场交易机制，推动分散风能资源开发。本项目作为宁夏固原华电彭阳200兆瓦风电项目的配套工程，可保证风电项目接入需求，加快推进可再生能源电力接入。因此，本项目的建设符合《宁夏回族自治区能源发展“十四五”规划》中的相关规划内容。</w:t>
            </w:r>
          </w:p>
          <w:p w14:paraId="2F0D0C88">
            <w:pPr>
              <w:spacing w:line="360" w:lineRule="auto"/>
              <w:ind w:firstLine="482" w:firstLineChars="200"/>
              <w:jc w:val="left"/>
              <w:rPr>
                <w:rFonts w:hint="default" w:ascii="Times New Roman" w:hAnsi="Times New Roman" w:cs="Times New Roman"/>
                <w:b/>
                <w:color w:val="auto"/>
                <w:sz w:val="24"/>
                <w:highlight w:val="none"/>
                <w:lang w:val="en-US" w:eastAsia="zh-CN"/>
              </w:rPr>
            </w:pPr>
            <w:r>
              <w:rPr>
                <w:rFonts w:hint="eastAsia" w:cs="Times New Roman"/>
                <w:b/>
                <w:color w:val="auto"/>
                <w:sz w:val="24"/>
                <w:highlight w:val="none"/>
                <w:lang w:val="en-US" w:eastAsia="zh-CN"/>
              </w:rPr>
              <w:t>9</w:t>
            </w:r>
            <w:r>
              <w:rPr>
                <w:rFonts w:hint="default" w:ascii="Times New Roman" w:hAnsi="Times New Roman" w:cs="Times New Roman"/>
                <w:b/>
                <w:color w:val="auto"/>
                <w:sz w:val="24"/>
                <w:highlight w:val="none"/>
                <w:lang w:val="en-US" w:eastAsia="zh-CN"/>
              </w:rPr>
              <w:t>.与《固原市新能源发展“十四五”规划》相符性分析</w:t>
            </w:r>
          </w:p>
          <w:p w14:paraId="060AE318">
            <w:pPr>
              <w:spacing w:line="360" w:lineRule="auto"/>
              <w:ind w:firstLine="480" w:firstLineChars="200"/>
              <w:jc w:val="left"/>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根据《固原市新能源发展“十四五”规划》四、重点任务（一）发展风电产业。按照“集中式与分散式开发利用并举，集中送出与就地消纳结合”的原则，充分挖掘本地风能资源和土地资源开发潜力，严守生态保护红线，牢筑环境质量底线，把握资源利用上线，优化风电开发布局，走生态友好型风电开发之路。实施集中式风电项目。结合风电技术进步和开发成本下降，采用高塔筒、大功率、长叶片风机及先进技术发展低风速风电，在风能资源丰富区域，统筹电网接入和消纳条件，稳步推进集中式风电规模化发展。本项目作为宁夏固原华电彭阳200兆瓦风电项目的配套工程，可保证风电项目接入需求，加快推进可再生能源电力接入。因此，本项目的建设符合《固原市新能源发展“十四五”规划》中的相关规划内容。</w:t>
            </w:r>
          </w:p>
          <w:p w14:paraId="1BAAB51E">
            <w:pPr>
              <w:spacing w:line="360" w:lineRule="auto"/>
              <w:ind w:firstLine="482" w:firstLineChars="200"/>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1</w:t>
            </w:r>
            <w:r>
              <w:rPr>
                <w:rFonts w:hint="eastAsia" w:cs="Times New Roman"/>
                <w:b/>
                <w:color w:val="auto"/>
                <w:sz w:val="24"/>
                <w:highlight w:val="none"/>
                <w:lang w:val="en-US" w:eastAsia="zh-CN"/>
              </w:rPr>
              <w:t>0</w:t>
            </w:r>
            <w:r>
              <w:rPr>
                <w:rFonts w:hint="default" w:ascii="Times New Roman" w:hAnsi="Times New Roman" w:cs="Times New Roman"/>
                <w:b/>
                <w:color w:val="auto"/>
                <w:sz w:val="24"/>
                <w:highlight w:val="none"/>
                <w:lang w:val="en-US" w:eastAsia="zh-CN"/>
              </w:rPr>
              <w:t>.</w:t>
            </w:r>
            <w:r>
              <w:rPr>
                <w:rFonts w:hint="default" w:ascii="Times New Roman" w:hAnsi="Times New Roman" w:cs="Times New Roman"/>
                <w:b/>
                <w:color w:val="auto"/>
                <w:sz w:val="24"/>
                <w:highlight w:val="none"/>
              </w:rPr>
              <w:t>与《宁夏回族自治区生态环境保护“十四五”规划》的符合性分析</w:t>
            </w:r>
          </w:p>
          <w:p w14:paraId="024686D1">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根据自治区人民政府办公厅关于印发《宁夏回族自治区生态环境保护“十四五”规划》的通知（宁政办发〔2021〕59号）中</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十、加大管控力度，有效防范环境风险（四）强化核与辐射安全监管。预防电磁辐射污染。加强移动基站、高压输变电系统等电磁辐射环境影响评价管理，确保环境影响评价和竣工环境保护验收合格率均达到100%。电磁辐射设施（设备）的选址应符合国土空间规划，设置明显标识，定期监测并公开信息”。</w:t>
            </w:r>
          </w:p>
          <w:p w14:paraId="414245F7">
            <w:pPr>
              <w:spacing w:line="360" w:lineRule="auto"/>
              <w:ind w:firstLine="480" w:firstLineChars="200"/>
              <w:jc w:val="both"/>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本项目</w:t>
            </w:r>
            <w:r>
              <w:rPr>
                <w:rFonts w:hint="default" w:ascii="Times New Roman" w:hAnsi="Times New Roman" w:cs="Times New Roman"/>
                <w:bCs/>
                <w:color w:val="auto"/>
                <w:sz w:val="24"/>
                <w:highlight w:val="none"/>
                <w:lang w:val="en-US" w:eastAsia="zh-CN"/>
              </w:rPr>
              <w:t>为</w:t>
            </w:r>
            <w:r>
              <w:rPr>
                <w:rFonts w:hint="default" w:ascii="Times New Roman" w:hAnsi="Times New Roman" w:cs="Times New Roman"/>
                <w:color w:val="auto"/>
                <w:sz w:val="24"/>
                <w:highlight w:val="none"/>
                <w:lang w:eastAsia="zh-CN"/>
              </w:rPr>
              <w:t>宁夏固原华电彭阳200兆瓦风电项目110千伏送出工程</w:t>
            </w:r>
            <w:r>
              <w:rPr>
                <w:rFonts w:hint="default" w:ascii="Times New Roman" w:hAnsi="Times New Roman" w:cs="Times New Roman"/>
                <w:bCs/>
                <w:color w:val="auto"/>
                <w:sz w:val="24"/>
                <w:highlight w:val="none"/>
              </w:rPr>
              <w:t>，项目正在办理环境影响评价手续，后续竣工验</w:t>
            </w:r>
            <w:r>
              <w:rPr>
                <w:rFonts w:hint="default" w:ascii="Times New Roman" w:hAnsi="Times New Roman" w:eastAsia="宋体" w:cs="Times New Roman"/>
                <w:bCs/>
                <w:color w:val="auto"/>
                <w:sz w:val="24"/>
                <w:highlight w:val="none"/>
              </w:rPr>
              <w:t>收严格按照《建设项目竣工环境保护验收技术规范 输变电》（HJ705-2020）的要求开展竣工环保验收工作</w:t>
            </w:r>
            <w:r>
              <w:rPr>
                <w:rFonts w:hint="default" w:ascii="Times New Roman" w:hAnsi="Times New Roman" w:eastAsia="宋体" w:cs="Times New Roman"/>
                <w:bCs/>
                <w:color w:val="auto"/>
                <w:sz w:val="24"/>
                <w:highlight w:val="none"/>
                <w:lang w:eastAsia="zh-CN"/>
              </w:rPr>
              <w:t>。</w:t>
            </w:r>
            <w:r>
              <w:rPr>
                <w:rFonts w:hint="default" w:ascii="Times New Roman" w:hAnsi="Times New Roman" w:cs="Times New Roman"/>
                <w:bCs/>
                <w:color w:val="auto"/>
                <w:sz w:val="24"/>
                <w:highlight w:val="none"/>
              </w:rPr>
              <w:t>输电线路设置警示标识，</w:t>
            </w:r>
            <w:r>
              <w:rPr>
                <w:rFonts w:hint="default" w:ascii="Times New Roman" w:hAnsi="Times New Roman" w:eastAsia="宋体" w:cs="Times New Roman"/>
                <w:b w:val="0"/>
                <w:bCs w:val="0"/>
                <w:color w:val="auto"/>
                <w:sz w:val="24"/>
                <w:szCs w:val="24"/>
                <w:highlight w:val="none"/>
                <w:shd w:val="clear" w:color="auto" w:fill="auto"/>
                <w:lang w:val="en-US" w:eastAsia="zh-CN"/>
              </w:rPr>
              <w:t>定期进行监测，向周围公众宣传电磁辐射知识。</w:t>
            </w:r>
          </w:p>
          <w:p w14:paraId="18BAF4A8">
            <w:pPr>
              <w:spacing w:line="360" w:lineRule="auto"/>
              <w:ind w:firstLine="480" w:firstLineChars="200"/>
              <w:jc w:val="both"/>
              <w:rPr>
                <w:rFonts w:hint="default" w:ascii="Times New Roman" w:hAnsi="Times New Roman" w:eastAsia="宋体" w:cs="Times New Roman"/>
                <w:bCs/>
                <w:color w:val="auto"/>
                <w:sz w:val="24"/>
                <w:highlight w:val="none"/>
              </w:rPr>
            </w:pPr>
            <w:r>
              <w:rPr>
                <w:rFonts w:hint="default" w:ascii="Times New Roman" w:hAnsi="Times New Roman" w:cs="Times New Roman"/>
                <w:bCs/>
                <w:color w:val="auto"/>
                <w:sz w:val="24"/>
                <w:highlight w:val="none"/>
                <w:lang w:eastAsia="zh-CN"/>
              </w:rPr>
              <w:t>⑴</w:t>
            </w:r>
            <w:r>
              <w:rPr>
                <w:rFonts w:hint="default" w:ascii="Times New Roman" w:hAnsi="Times New Roman" w:eastAsia="宋体" w:cs="Times New Roman"/>
                <w:bCs/>
                <w:color w:val="auto"/>
                <w:sz w:val="24"/>
                <w:highlight w:val="none"/>
              </w:rPr>
              <w:t>深化扬尘污染管控。全面推行绿色施工，落实“六个标准化”扬尘防控要求，将绿色施工纳入企业资质评价、信用评价。</w:t>
            </w:r>
          </w:p>
          <w:p w14:paraId="4A5C546B">
            <w:pPr>
              <w:autoSpaceDE w:val="0"/>
              <w:autoSpaceDN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本项目施工过程中将严格按照规划提出的要求落实扬尘防治措施，严格落实建筑工地“六个百分百”防控措施</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采取洒水抑尘、防尘网苫盖等措施。</w:t>
            </w:r>
          </w:p>
          <w:p w14:paraId="10479A9F">
            <w:pPr>
              <w:spacing w:line="360" w:lineRule="auto"/>
              <w:ind w:firstLine="480" w:firstLineChars="200"/>
              <w:jc w:val="both"/>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eastAsia="zh-CN"/>
              </w:rPr>
              <w:t>⑵</w:t>
            </w:r>
            <w:r>
              <w:rPr>
                <w:rFonts w:hint="default" w:ascii="Times New Roman" w:hAnsi="Times New Roman" w:eastAsia="宋体" w:cs="Times New Roman"/>
                <w:bCs/>
                <w:color w:val="auto"/>
                <w:sz w:val="24"/>
                <w:highlight w:val="none"/>
              </w:rPr>
              <w:t>创建“无废城市”。加强建筑垃圾分类处理和回收利用，推行“原地再生+异地处理”模式，提高利用效率。</w:t>
            </w:r>
          </w:p>
          <w:p w14:paraId="423CB03B">
            <w:pPr>
              <w:autoSpaceDE w:val="0"/>
              <w:autoSpaceDN w:val="0"/>
              <w:snapToGrid w:val="0"/>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rPr>
              <w:t>本项目施工期</w:t>
            </w:r>
            <w:r>
              <w:rPr>
                <w:rFonts w:hint="default" w:ascii="Times New Roman" w:hAnsi="Times New Roman" w:cs="Times New Roman"/>
                <w:bCs/>
                <w:color w:val="auto"/>
                <w:sz w:val="24"/>
                <w:highlight w:val="none"/>
                <w:lang w:val="en-US" w:eastAsia="zh-CN"/>
              </w:rPr>
              <w:t>严格管理，编制建筑垃圾处理方案，采取污染防治措施，并报县级以上地方人民政府环境卫生主管部门备案，统一清运至管理部门指定的地点处置。间隔扩建工程施工过程开挖产生的</w:t>
            </w:r>
            <w:r>
              <w:rPr>
                <w:rFonts w:hint="eastAsia" w:cs="Times New Roman"/>
                <w:color w:val="auto"/>
                <w:sz w:val="24"/>
                <w:highlight w:val="none"/>
                <w:vertAlign w:val="baseline"/>
                <w:lang w:val="en-US" w:eastAsia="zh-CN"/>
              </w:rPr>
              <w:t>余</w:t>
            </w:r>
            <w:r>
              <w:rPr>
                <w:rFonts w:hint="default" w:ascii="Times New Roman" w:hAnsi="Times New Roman" w:cs="Times New Roman"/>
                <w:color w:val="auto"/>
                <w:sz w:val="24"/>
                <w:highlight w:val="none"/>
                <w:vertAlign w:val="baseline"/>
                <w:lang w:val="en-US" w:eastAsia="zh-CN"/>
              </w:rPr>
              <w:t>方由施工单位运至</w:t>
            </w:r>
            <w:r>
              <w:rPr>
                <w:rFonts w:hint="default" w:ascii="Times New Roman" w:hAnsi="Times New Roman" w:cs="Times New Roman"/>
                <w:color w:val="auto"/>
                <w:sz w:val="24"/>
                <w:highlight w:val="none"/>
                <w:lang w:val="en-US" w:eastAsia="zh-CN"/>
              </w:rPr>
              <w:t>输电线路塔基及施工作业区</w:t>
            </w:r>
            <w:r>
              <w:rPr>
                <w:rFonts w:hint="eastAsia" w:cs="Times New Roman"/>
                <w:color w:val="auto"/>
                <w:sz w:val="24"/>
                <w:highlight w:val="none"/>
                <w:lang w:val="en-US" w:eastAsia="zh-CN"/>
              </w:rPr>
              <w:t>场地平整使用</w:t>
            </w:r>
            <w:r>
              <w:rPr>
                <w:rFonts w:hint="eastAsia" w:cs="Times New Roman"/>
                <w:bCs/>
                <w:color w:val="auto"/>
                <w:sz w:val="24"/>
                <w:highlight w:val="none"/>
                <w:lang w:val="en-US" w:eastAsia="zh-CN"/>
              </w:rPr>
              <w:t>；</w:t>
            </w:r>
            <w:r>
              <w:rPr>
                <w:rFonts w:hint="default" w:ascii="Times New Roman" w:hAnsi="Times New Roman" w:cs="Times New Roman"/>
                <w:bCs/>
                <w:color w:val="auto"/>
                <w:sz w:val="24"/>
                <w:highlight w:val="none"/>
                <w:lang w:val="en-US" w:eastAsia="zh-CN"/>
              </w:rPr>
              <w:t>施工期塔基基础开挖出的土石方全部用于回填及塔基周围培土，无弃土产生。拆除下来的导线、地线、附件及其他可回收的铁塔部件临时堆放在拆除区域临时占地，及时运出并由施工单位统一收集后交由建管单位回收利用；基础破除产生的混凝土块，集中收集后由施工单位及时运至当地环境卫生主管部门指定的地点处置。</w:t>
            </w:r>
          </w:p>
          <w:p w14:paraId="7DA6A850">
            <w:pPr>
              <w:pStyle w:val="70"/>
              <w:snapToGrid/>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highlight w:val="none"/>
              </w:rPr>
              <w:t>综上所述，本项目建设符合</w:t>
            </w:r>
            <w:r>
              <w:rPr>
                <w:rFonts w:hint="default" w:ascii="Times New Roman" w:hAnsi="Times New Roman" w:cs="Times New Roman"/>
                <w:bCs/>
                <w:color w:val="auto"/>
                <w:sz w:val="24"/>
                <w:highlight w:val="none"/>
              </w:rPr>
              <w:t>《宁夏回族自治区生态环境保护“十四五”规划》</w:t>
            </w:r>
            <w:r>
              <w:rPr>
                <w:rFonts w:hint="default" w:ascii="Times New Roman" w:hAnsi="Times New Roman" w:cs="Times New Roman"/>
                <w:bCs/>
                <w:color w:val="auto"/>
                <w:highlight w:val="none"/>
              </w:rPr>
              <w:t>中的相关要求</w:t>
            </w:r>
            <w:r>
              <w:rPr>
                <w:rFonts w:hint="default" w:ascii="Times New Roman" w:hAnsi="Times New Roman" w:cs="Times New Roman"/>
                <w:bCs/>
                <w:color w:val="auto"/>
                <w:highlight w:val="none"/>
                <w:lang w:eastAsia="zh-CN"/>
              </w:rPr>
              <w:t>。</w:t>
            </w:r>
          </w:p>
          <w:p w14:paraId="02901093">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firstLine="482" w:firstLineChars="200"/>
              <w:jc w:val="both"/>
              <w:textAlignment w:val="auto"/>
              <w:rPr>
                <w:rFonts w:hint="default" w:ascii="Times New Roman" w:hAnsi="Times New Roman" w:eastAsia="宋体" w:cs="Times New Roman"/>
                <w:b/>
                <w:bCs/>
                <w:color w:val="auto"/>
                <w:sz w:val="24"/>
                <w:szCs w:val="24"/>
                <w:highlight w:val="none"/>
                <w:shd w:val="clear" w:color="auto" w:fill="auto"/>
                <w:lang w:val="en-US" w:eastAsia="zh-CN"/>
              </w:rPr>
            </w:pPr>
            <w:r>
              <w:rPr>
                <w:rFonts w:hint="default" w:ascii="Times New Roman" w:hAnsi="Times New Roman" w:eastAsia="宋体" w:cs="Times New Roman"/>
                <w:b/>
                <w:bCs/>
                <w:color w:val="auto"/>
                <w:kern w:val="0"/>
                <w:sz w:val="24"/>
                <w:highlight w:val="none"/>
                <w:shd w:val="clear" w:color="auto" w:fill="auto"/>
                <w:lang w:val="en-US" w:eastAsia="zh-CN"/>
              </w:rPr>
              <w:t>1</w:t>
            </w:r>
            <w:r>
              <w:rPr>
                <w:rFonts w:hint="eastAsia" w:ascii="Times New Roman" w:hAnsi="Times New Roman" w:cs="Times New Roman"/>
                <w:b/>
                <w:bCs/>
                <w:color w:val="auto"/>
                <w:kern w:val="0"/>
                <w:sz w:val="24"/>
                <w:highlight w:val="none"/>
                <w:shd w:val="clear" w:color="auto" w:fill="auto"/>
                <w:lang w:val="en-US" w:eastAsia="zh-CN"/>
              </w:rPr>
              <w:t>1</w:t>
            </w:r>
            <w:r>
              <w:rPr>
                <w:rFonts w:hint="default" w:ascii="Times New Roman" w:hAnsi="Times New Roman" w:eastAsia="宋体" w:cs="Times New Roman"/>
                <w:b/>
                <w:bCs/>
                <w:color w:val="auto"/>
                <w:kern w:val="0"/>
                <w:sz w:val="24"/>
                <w:highlight w:val="none"/>
                <w:shd w:val="clear" w:color="auto" w:fill="auto"/>
                <w:lang w:val="en-US" w:eastAsia="zh-CN"/>
              </w:rPr>
              <w:t>.与</w:t>
            </w:r>
            <w:r>
              <w:rPr>
                <w:rFonts w:hint="default" w:ascii="Times New Roman" w:hAnsi="Times New Roman" w:cs="Times New Roman"/>
                <w:b/>
                <w:bCs/>
                <w:color w:val="auto"/>
                <w:kern w:val="0"/>
                <w:sz w:val="24"/>
                <w:highlight w:val="none"/>
                <w:lang w:eastAsia="zh-CN"/>
              </w:rPr>
              <w:t>《</w:t>
            </w:r>
            <w:r>
              <w:rPr>
                <w:rFonts w:hint="default" w:ascii="Times New Roman" w:hAnsi="Times New Roman" w:cs="Times New Roman"/>
                <w:b/>
                <w:bCs/>
                <w:color w:val="auto"/>
                <w:kern w:val="0"/>
                <w:sz w:val="24"/>
                <w:highlight w:val="none"/>
                <w:lang w:val="en-US" w:eastAsia="zh-CN"/>
              </w:rPr>
              <w:t>固原</w:t>
            </w:r>
            <w:r>
              <w:rPr>
                <w:rFonts w:hint="default" w:ascii="Times New Roman" w:hAnsi="Times New Roman" w:cs="Times New Roman"/>
                <w:b/>
                <w:bCs/>
                <w:color w:val="auto"/>
                <w:kern w:val="0"/>
                <w:sz w:val="24"/>
                <w:highlight w:val="none"/>
                <w:lang w:eastAsia="zh-CN"/>
              </w:rPr>
              <w:t>市生态环境保护“十四五”规划》</w:t>
            </w:r>
            <w:r>
              <w:rPr>
                <w:rFonts w:hint="default" w:ascii="Times New Roman" w:hAnsi="Times New Roman" w:eastAsia="宋体" w:cs="Times New Roman"/>
                <w:b/>
                <w:bCs/>
                <w:color w:val="auto"/>
                <w:sz w:val="24"/>
                <w:szCs w:val="24"/>
                <w:highlight w:val="none"/>
                <w:shd w:val="clear" w:color="auto" w:fill="auto"/>
                <w:lang w:val="en-US" w:eastAsia="zh-CN"/>
              </w:rPr>
              <w:t>符合性分析</w:t>
            </w:r>
          </w:p>
          <w:p w14:paraId="23AB3AE0">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b w:val="0"/>
                <w:bCs w:val="0"/>
                <w:color w:val="auto"/>
                <w:sz w:val="24"/>
                <w:szCs w:val="24"/>
                <w:highlight w:val="none"/>
                <w:shd w:val="clear" w:color="auto" w:fill="auto"/>
                <w:lang w:val="en-US" w:eastAsia="zh-CN"/>
              </w:rPr>
            </w:pPr>
            <w:r>
              <w:rPr>
                <w:rFonts w:hint="default" w:ascii="Times New Roman" w:hAnsi="Times New Roman" w:cs="Times New Roman"/>
                <w:color w:val="auto"/>
                <w:sz w:val="24"/>
                <w:highlight w:val="none"/>
                <w:lang w:val="en-US" w:eastAsia="zh-CN"/>
              </w:rPr>
              <w:t>根据</w:t>
            </w:r>
            <w:r>
              <w:rPr>
                <w:rFonts w:hint="default" w:ascii="Times New Roman" w:hAnsi="Times New Roman" w:cs="Times New Roman"/>
                <w:bCs/>
                <w:color w:val="auto"/>
                <w:sz w:val="24"/>
                <w:highlight w:val="none"/>
                <w:lang w:val="en-US" w:eastAsia="zh-CN"/>
              </w:rPr>
              <w:t>固原</w:t>
            </w:r>
            <w:r>
              <w:rPr>
                <w:rFonts w:hint="default" w:ascii="Times New Roman" w:hAnsi="Times New Roman" w:cs="Times New Roman"/>
                <w:color w:val="auto"/>
                <w:sz w:val="24"/>
                <w:highlight w:val="none"/>
                <w:lang w:val="en-US" w:eastAsia="zh-CN"/>
              </w:rPr>
              <w:t>市人民政府办公室关于印发《</w:t>
            </w:r>
            <w:r>
              <w:rPr>
                <w:rFonts w:hint="default" w:ascii="Times New Roman" w:hAnsi="Times New Roman" w:cs="Times New Roman"/>
                <w:bCs/>
                <w:color w:val="auto"/>
                <w:sz w:val="24"/>
                <w:highlight w:val="none"/>
                <w:lang w:val="en-US" w:eastAsia="zh-CN"/>
              </w:rPr>
              <w:t>固原</w:t>
            </w:r>
            <w:r>
              <w:rPr>
                <w:rFonts w:hint="default" w:ascii="Times New Roman" w:hAnsi="Times New Roman" w:cs="Times New Roman"/>
                <w:color w:val="auto"/>
                <w:kern w:val="0"/>
                <w:sz w:val="24"/>
                <w:highlight w:val="none"/>
                <w:lang w:eastAsia="zh-CN"/>
              </w:rPr>
              <w:t>市生态环境保护“十四五”规划</w:t>
            </w:r>
            <w:r>
              <w:rPr>
                <w:rFonts w:hint="default" w:ascii="Times New Roman" w:hAnsi="Times New Roman" w:cs="Times New Roman"/>
                <w:color w:val="auto"/>
                <w:sz w:val="24"/>
                <w:highlight w:val="none"/>
                <w:lang w:val="en-US" w:eastAsia="zh-CN"/>
              </w:rPr>
              <w:t>》的通知（石政办发〔2022〕50号）</w:t>
            </w:r>
            <w:r>
              <w:rPr>
                <w:rFonts w:hint="default" w:ascii="Times New Roman" w:hAnsi="Times New Roman" w:eastAsia="宋体" w:cs="Times New Roman"/>
                <w:b w:val="0"/>
                <w:bCs w:val="0"/>
                <w:color w:val="auto"/>
                <w:sz w:val="24"/>
                <w:szCs w:val="24"/>
                <w:highlight w:val="none"/>
                <w:shd w:val="clear" w:color="auto" w:fill="auto"/>
                <w:lang w:val="en-US" w:eastAsia="zh-CN"/>
              </w:rPr>
              <w:t>中提出：“（二）推进产业结构转型升级 加快环保产业发展。以生态环境恢复和治理、‘三废”高效治理、资源循环利用为切入点，逐步打造技术先进、功能齐全、市场竞争力强的环保产业链。”</w:t>
            </w:r>
            <w:r>
              <w:rPr>
                <w:rFonts w:hint="default" w:ascii="Times New Roman" w:hAnsi="Times New Roman" w:cs="Times New Roman"/>
                <w:bCs/>
                <w:color w:val="auto"/>
                <w:sz w:val="24"/>
                <w:szCs w:val="24"/>
                <w:highlight w:val="none"/>
                <w:lang w:eastAsia="zh-CN"/>
              </w:rPr>
              <w:t>“十、加强环境风险防控，筑牢环境安全底线（四）强化核与辐射安全监管</w:t>
            </w:r>
            <w:r>
              <w:rPr>
                <w:rFonts w:hint="default" w:ascii="Times New Roman" w:hAnsi="Times New Roman" w:cs="Times New Roman"/>
                <w:bCs/>
                <w:color w:val="auto"/>
                <w:sz w:val="24"/>
                <w:szCs w:val="24"/>
                <w:highlight w:val="none"/>
                <w:lang w:val="en-US" w:eastAsia="zh-CN"/>
              </w:rPr>
              <w:t xml:space="preserve"> </w:t>
            </w:r>
            <w:r>
              <w:rPr>
                <w:rFonts w:hint="default" w:ascii="Times New Roman" w:hAnsi="Times New Roman" w:cs="Times New Roman"/>
                <w:bCs/>
                <w:color w:val="auto"/>
                <w:sz w:val="24"/>
                <w:szCs w:val="24"/>
                <w:highlight w:val="none"/>
                <w:lang w:eastAsia="zh-CN"/>
              </w:rPr>
              <w:t>预防电磁辐射污染。加强移动基站、高压输变电系统等电磁辐射环境影响评价管理，确保环境影响评价和竣工环境保护验收合格率均达到100%。电磁辐射设施（设备）的选址应符合国土空间规划，设置明显标识，定期监测并公开信息。积极引导公众正确认识电磁辐射对环境和人体的影响”。</w:t>
            </w:r>
          </w:p>
          <w:p w14:paraId="27901B08">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b w:val="0"/>
                <w:bCs w:val="0"/>
                <w:color w:val="auto"/>
                <w:sz w:val="24"/>
                <w:szCs w:val="24"/>
                <w:highlight w:val="none"/>
                <w:shd w:val="clear" w:color="auto" w:fill="auto"/>
                <w:lang w:val="en-US" w:eastAsia="zh-CN"/>
              </w:rPr>
            </w:pPr>
            <w:r>
              <w:rPr>
                <w:rFonts w:hint="default" w:ascii="Times New Roman" w:hAnsi="Times New Roman" w:eastAsia="宋体" w:cs="Times New Roman"/>
                <w:b w:val="0"/>
                <w:bCs w:val="0"/>
                <w:color w:val="auto"/>
                <w:sz w:val="24"/>
                <w:szCs w:val="24"/>
                <w:highlight w:val="none"/>
                <w:shd w:val="clear" w:color="auto" w:fill="auto"/>
                <w:lang w:val="en-US" w:eastAsia="zh-CN"/>
              </w:rPr>
              <w:t>本项目为宁夏固原华电彭阳200兆瓦风电项目110千伏送出工程，是为了满足华电彭阳200兆瓦风电项目接入需求，以1回110千伏线路接入云雾山330千伏变电站，因此建设宁夏固原华电彭阳200兆瓦风电项目110千伏送出工程是必要的。本项目</w:t>
            </w:r>
            <w:r>
              <w:rPr>
                <w:rFonts w:hint="default" w:ascii="Times New Roman" w:hAnsi="Times New Roman" w:cs="Times New Roman"/>
                <w:bCs/>
                <w:color w:val="auto"/>
                <w:sz w:val="24"/>
                <w:highlight w:val="none"/>
              </w:rPr>
              <w:t>正在办理环境影响评价手续，后续竣工验收严格按照《建设项目竣工环境保护验收技术规范 输变电》（HJ705-2020）的要求开展竣工环保验收工作</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输电线路设置警示标识，</w:t>
            </w:r>
            <w:r>
              <w:rPr>
                <w:rFonts w:hint="default" w:ascii="Times New Roman" w:hAnsi="Times New Roman" w:eastAsia="宋体" w:cs="Times New Roman"/>
                <w:b w:val="0"/>
                <w:bCs w:val="0"/>
                <w:color w:val="auto"/>
                <w:sz w:val="24"/>
                <w:szCs w:val="24"/>
                <w:highlight w:val="none"/>
                <w:shd w:val="clear" w:color="auto" w:fill="auto"/>
                <w:lang w:val="en-US" w:eastAsia="zh-CN"/>
              </w:rPr>
              <w:t>定期进行监测，向周围公众宣传电磁辐射知识。</w:t>
            </w:r>
          </w:p>
          <w:p w14:paraId="49EC184B">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b w:val="0"/>
                <w:bCs w:val="0"/>
                <w:color w:val="auto"/>
                <w:sz w:val="24"/>
                <w:szCs w:val="24"/>
                <w:highlight w:val="none"/>
                <w:shd w:val="clear" w:color="auto" w:fill="auto"/>
                <w:lang w:val="en-US" w:eastAsia="zh-CN"/>
              </w:rPr>
            </w:pPr>
            <w:r>
              <w:rPr>
                <w:rFonts w:hint="default" w:ascii="Times New Roman" w:hAnsi="Times New Roman" w:cs="Times New Roman"/>
                <w:bCs/>
                <w:color w:val="auto"/>
                <w:sz w:val="24"/>
                <w:highlight w:val="none"/>
                <w:lang w:eastAsia="zh-CN"/>
              </w:rPr>
              <w:t>⑴</w:t>
            </w:r>
            <w:r>
              <w:rPr>
                <w:rFonts w:hint="default" w:ascii="Times New Roman" w:hAnsi="Times New Roman" w:eastAsia="宋体" w:cs="Times New Roman"/>
                <w:bCs/>
                <w:color w:val="auto"/>
                <w:sz w:val="24"/>
                <w:highlight w:val="none"/>
              </w:rPr>
              <w:t>全面控制扬尘污染。落实扬尘污染控制属地责任，建立和完善扬尘污染综合防治的长效机制，全面落实“六个100%”扬尘防控措施，将绿色施工纳入企业资质评价、信用评价。</w:t>
            </w:r>
          </w:p>
          <w:p w14:paraId="1F76CC5E">
            <w:pPr>
              <w:autoSpaceDE w:val="0"/>
              <w:autoSpaceDN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本项目施工过程中将严格按照规划提出的要求落实扬尘防治措施，严格落实建筑工地“六个百分百”防控措施</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架空输电线路</w:t>
            </w:r>
            <w:r>
              <w:rPr>
                <w:rFonts w:hint="default" w:ascii="Times New Roman" w:hAnsi="Times New Roman" w:cs="Times New Roman"/>
                <w:color w:val="auto"/>
                <w:sz w:val="24"/>
              </w:rPr>
              <w:t>施工场地</w:t>
            </w:r>
            <w:r>
              <w:rPr>
                <w:rFonts w:hint="eastAsia" w:cs="Times New Roman"/>
                <w:color w:val="auto"/>
                <w:sz w:val="24"/>
                <w:lang w:val="en-US" w:eastAsia="zh-CN"/>
              </w:rPr>
              <w:t>采取</w:t>
            </w:r>
            <w:r>
              <w:rPr>
                <w:rFonts w:hint="default" w:ascii="Times New Roman" w:hAnsi="Times New Roman" w:cs="Times New Roman"/>
                <w:color w:val="auto"/>
                <w:sz w:val="24"/>
              </w:rPr>
              <w:t>物料堆放覆盖、土方开挖湿法作业、出入车辆清洗、渣土车辆密闭运输扬尘防控措施</w:t>
            </w:r>
            <w:r>
              <w:rPr>
                <w:rFonts w:hint="default" w:ascii="Times New Roman" w:hAnsi="Times New Roman" w:cs="Times New Roman"/>
                <w:color w:val="auto"/>
                <w:kern w:val="0"/>
                <w:sz w:val="24"/>
              </w:rPr>
              <w:t>。</w:t>
            </w:r>
          </w:p>
          <w:p w14:paraId="5CE90D45">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b w:val="0"/>
                <w:bCs w:val="0"/>
                <w:color w:val="auto"/>
                <w:sz w:val="24"/>
                <w:szCs w:val="24"/>
                <w:highlight w:val="none"/>
                <w:shd w:val="clear" w:color="auto" w:fill="auto"/>
                <w:lang w:val="en-US" w:eastAsia="zh-CN"/>
              </w:rPr>
            </w:pPr>
            <w:r>
              <w:rPr>
                <w:rFonts w:hint="default" w:ascii="Times New Roman" w:hAnsi="Times New Roman" w:eastAsia="宋体" w:cs="Times New Roman"/>
                <w:bCs/>
                <w:color w:val="auto"/>
                <w:sz w:val="24"/>
                <w:highlight w:val="none"/>
                <w:lang w:eastAsia="zh-CN"/>
              </w:rPr>
              <w:t>⑵创建“无废城市”。加强建筑垃圾分类处理和回收利用，推行“原地再生+异地处理”模式，提高利用效率。</w:t>
            </w:r>
          </w:p>
          <w:p w14:paraId="1F3C8307">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rPr>
              <w:t>本项目施工期</w:t>
            </w:r>
            <w:r>
              <w:rPr>
                <w:rFonts w:hint="default" w:ascii="Times New Roman" w:hAnsi="Times New Roman" w:cs="Times New Roman"/>
                <w:bCs/>
                <w:color w:val="auto"/>
                <w:sz w:val="24"/>
                <w:highlight w:val="none"/>
                <w:lang w:val="en-US" w:eastAsia="zh-CN"/>
              </w:rPr>
              <w:t>严格管理，编制建筑垃圾处理方案，采取污染防治措施，并报县级以上地方人民政府环境卫生主管部门备案，统一清运至管理部门指定的地点处置。间隔扩建工程施工过程开挖产生的</w:t>
            </w:r>
            <w:r>
              <w:rPr>
                <w:rFonts w:hint="eastAsia" w:cs="Times New Roman"/>
                <w:color w:val="auto"/>
                <w:sz w:val="24"/>
                <w:highlight w:val="none"/>
                <w:vertAlign w:val="baseline"/>
                <w:lang w:val="en-US" w:eastAsia="zh-CN"/>
              </w:rPr>
              <w:t>余</w:t>
            </w:r>
            <w:r>
              <w:rPr>
                <w:rFonts w:hint="default" w:ascii="Times New Roman" w:hAnsi="Times New Roman" w:cs="Times New Roman"/>
                <w:color w:val="auto"/>
                <w:sz w:val="24"/>
                <w:highlight w:val="none"/>
                <w:vertAlign w:val="baseline"/>
                <w:lang w:val="en-US" w:eastAsia="zh-CN"/>
              </w:rPr>
              <w:t>方由施工单位运至</w:t>
            </w:r>
            <w:r>
              <w:rPr>
                <w:rFonts w:hint="default" w:ascii="Times New Roman" w:hAnsi="Times New Roman" w:cs="Times New Roman"/>
                <w:color w:val="auto"/>
                <w:sz w:val="24"/>
                <w:highlight w:val="none"/>
                <w:lang w:val="en-US" w:eastAsia="zh-CN"/>
              </w:rPr>
              <w:t>输电线路塔基及施工作业区</w:t>
            </w:r>
            <w:r>
              <w:rPr>
                <w:rFonts w:hint="eastAsia" w:cs="Times New Roman"/>
                <w:color w:val="auto"/>
                <w:sz w:val="24"/>
                <w:highlight w:val="none"/>
                <w:lang w:val="en-US" w:eastAsia="zh-CN"/>
              </w:rPr>
              <w:t>场地平整使用</w:t>
            </w:r>
            <w:r>
              <w:rPr>
                <w:rFonts w:hint="eastAsia" w:cs="Times New Roman"/>
                <w:bCs/>
                <w:color w:val="auto"/>
                <w:sz w:val="24"/>
                <w:highlight w:val="none"/>
                <w:lang w:val="en-US" w:eastAsia="zh-CN"/>
              </w:rPr>
              <w:t>；</w:t>
            </w:r>
            <w:r>
              <w:rPr>
                <w:rFonts w:hint="default" w:ascii="Times New Roman" w:hAnsi="Times New Roman" w:cs="Times New Roman"/>
                <w:bCs/>
                <w:color w:val="auto"/>
                <w:sz w:val="24"/>
                <w:highlight w:val="none"/>
                <w:lang w:val="en-US" w:eastAsia="zh-CN"/>
              </w:rPr>
              <w:t>施工期塔基基础开挖出的土石方全部用于回填及塔基周围培土，无弃土产生。拆除下来的导线、地线、附件及其他可回收的铁塔部件临时堆放在拆除区域临时占地，及时运出并由施工单位统一收集后交由建管单位回收利用；基础破除产生的混凝土块，集中收集后由施工单位及时运至当地环境卫生主管部门指定的地点处置。</w:t>
            </w:r>
          </w:p>
          <w:p w14:paraId="47967B64">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b w:val="0"/>
                <w:bCs w:val="0"/>
                <w:color w:val="auto"/>
                <w:sz w:val="24"/>
                <w:szCs w:val="24"/>
                <w:highlight w:val="none"/>
                <w:shd w:val="clear" w:color="auto" w:fill="auto"/>
                <w:lang w:val="en-US" w:eastAsia="zh-CN"/>
              </w:rPr>
            </w:pPr>
            <w:r>
              <w:rPr>
                <w:rFonts w:hint="default" w:ascii="Times New Roman" w:hAnsi="Times New Roman" w:eastAsia="宋体" w:cs="Times New Roman"/>
                <w:b w:val="0"/>
                <w:bCs w:val="0"/>
                <w:color w:val="auto"/>
                <w:sz w:val="24"/>
                <w:szCs w:val="24"/>
                <w:highlight w:val="none"/>
                <w:shd w:val="clear" w:color="auto" w:fill="auto"/>
                <w:lang w:val="en-US" w:eastAsia="zh-CN"/>
              </w:rPr>
              <w:t>综上，本项目</w:t>
            </w:r>
            <w:r>
              <w:rPr>
                <w:rFonts w:hint="default" w:ascii="Times New Roman" w:hAnsi="Times New Roman" w:cs="Times New Roman"/>
                <w:bCs/>
                <w:color w:val="auto"/>
                <w:sz w:val="24"/>
                <w:highlight w:val="none"/>
              </w:rPr>
              <w:t>的建设</w:t>
            </w:r>
            <w:r>
              <w:rPr>
                <w:rFonts w:hint="default" w:ascii="Times New Roman" w:hAnsi="Times New Roman" w:eastAsia="宋体" w:cs="Times New Roman"/>
                <w:b w:val="0"/>
                <w:bCs w:val="0"/>
                <w:color w:val="auto"/>
                <w:sz w:val="24"/>
                <w:szCs w:val="24"/>
                <w:highlight w:val="none"/>
                <w:shd w:val="clear" w:color="auto" w:fill="auto"/>
                <w:lang w:val="en-US" w:eastAsia="zh-CN"/>
              </w:rPr>
              <w:t>符合《固原市生态环境保护“十四五”规划》</w:t>
            </w:r>
            <w:r>
              <w:rPr>
                <w:rFonts w:hint="default" w:ascii="Times New Roman" w:hAnsi="Times New Roman" w:cs="Times New Roman"/>
                <w:bCs/>
                <w:color w:val="auto"/>
                <w:sz w:val="24"/>
                <w:highlight w:val="none"/>
              </w:rPr>
              <w:t>的相关要求</w:t>
            </w:r>
            <w:r>
              <w:rPr>
                <w:rFonts w:hint="default" w:ascii="Times New Roman" w:hAnsi="Times New Roman" w:eastAsia="宋体" w:cs="Times New Roman"/>
                <w:b w:val="0"/>
                <w:bCs w:val="0"/>
                <w:color w:val="auto"/>
                <w:sz w:val="24"/>
                <w:szCs w:val="24"/>
                <w:highlight w:val="none"/>
                <w:shd w:val="clear" w:color="auto" w:fill="auto"/>
                <w:lang w:val="en-US" w:eastAsia="zh-CN"/>
              </w:rPr>
              <w:t>。</w:t>
            </w:r>
          </w:p>
          <w:p w14:paraId="56C5BABA">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482" w:firstLineChars="200"/>
              <w:jc w:val="both"/>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1</w:t>
            </w:r>
            <w:r>
              <w:rPr>
                <w:rFonts w:hint="eastAsia" w:ascii="Times New Roman" w:hAnsi="Times New Roman"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val="en-US" w:eastAsia="zh-CN"/>
              </w:rPr>
              <w:t>.与《固原市能源产业“十四五”发展规划》的符合性分析</w:t>
            </w:r>
          </w:p>
          <w:p w14:paraId="27F8837C">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根据固原市人民政府办公室关于印发《固原市能源产业“十四五”发展规划》的通知：“第三节 优化提升电力运行效能 一、提升电网输供电能力：优化电力营商环境，持续提升配电网自动化、数字化、信息化、智能化水平，积极推动园区企业双电源建设。......加强750千伏、220千伏主网架建设，强化固原电网与宁夏电网的联络。到2025年，推进烽燧750千伏输变电工程，曙光、高新等220千伏输变电工程，水泉、瀚泉等110千伏输变电工程，到2025年，电网主网架供电可靠性达99.9%以上”。</w:t>
            </w:r>
          </w:p>
          <w:p w14:paraId="6529E78D">
            <w:pPr>
              <w:pStyle w:val="14"/>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b w:val="0"/>
                <w:bCs w:val="0"/>
                <w:color w:val="auto"/>
                <w:sz w:val="24"/>
                <w:szCs w:val="24"/>
                <w:highlight w:val="none"/>
                <w:shd w:val="clear" w:color="auto" w:fill="auto"/>
                <w:lang w:val="en-US" w:eastAsia="zh-CN"/>
              </w:rPr>
              <w:t>为宁夏固原华电彭阳200兆瓦风电项目110千伏送出工程，是为了满足华电彭阳200兆瓦风电项目接入需求，以1回110千伏线路接入云雾山330千伏变电站，因此建设宁夏固原华电彭阳200兆瓦风电项目110千伏送出工程是必要的。本项目的建设可</w:t>
            </w:r>
            <w:r>
              <w:rPr>
                <w:rFonts w:hint="default" w:ascii="Times New Roman" w:hAnsi="Times New Roman" w:eastAsia="宋体" w:cs="Times New Roman"/>
                <w:color w:val="auto"/>
                <w:sz w:val="24"/>
                <w:highlight w:val="none"/>
                <w:lang w:val="en-US" w:eastAsia="zh-CN"/>
              </w:rPr>
              <w:t>提升园区电网输供电能力，可为企业提供基础供电保障，因此，本项目的建设符合《固原市能源产业“十四五”发展规划》相关要求。</w:t>
            </w:r>
          </w:p>
          <w:p w14:paraId="26C2FDDC">
            <w:pPr>
              <w:rPr>
                <w:rFonts w:hint="default" w:ascii="Times New Roman" w:hAnsi="Times New Roman" w:eastAsia="宋体" w:cs="Times New Roman"/>
                <w:color w:val="auto"/>
                <w:sz w:val="24"/>
                <w:highlight w:val="none"/>
                <w:lang w:val="en-US" w:eastAsia="zh-CN"/>
              </w:rPr>
            </w:pPr>
          </w:p>
          <w:p w14:paraId="69480501">
            <w:pPr>
              <w:rPr>
                <w:rFonts w:hint="default" w:ascii="Times New Roman" w:hAnsi="Times New Roman" w:eastAsia="宋体" w:cs="Times New Roman"/>
                <w:color w:val="auto"/>
                <w:sz w:val="24"/>
                <w:highlight w:val="none"/>
                <w:lang w:val="en-US" w:eastAsia="zh-CN"/>
              </w:rPr>
            </w:pPr>
          </w:p>
        </w:tc>
      </w:tr>
    </w:tbl>
    <w:p w14:paraId="03CB0C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lang w:val="en-US"/>
        </w:rPr>
        <w:sectPr>
          <w:footerReference r:id="rId5" w:type="default"/>
          <w:pgSz w:w="11905" w:h="16838"/>
          <w:pgMar w:top="1417" w:right="1417" w:bottom="1417" w:left="1417" w:header="850" w:footer="1077" w:gutter="0"/>
          <w:pgBorders>
            <w:top w:val="none" w:sz="0" w:space="0"/>
            <w:left w:val="none" w:sz="0" w:space="0"/>
            <w:bottom w:val="none" w:sz="0" w:space="0"/>
            <w:right w:val="none" w:sz="0" w:space="0"/>
          </w:pgBorders>
          <w:pgNumType w:fmt="decimal" w:start="1"/>
          <w:cols w:space="720" w:num="1"/>
          <w:rtlGutter w:val="0"/>
          <w:docGrid w:linePitch="312" w:charSpace="0"/>
        </w:sectPr>
      </w:pPr>
    </w:p>
    <w:p w14:paraId="7A8C4E28">
      <w:pPr>
        <w:pStyle w:val="29"/>
        <w:spacing w:before="0" w:beforeAutospacing="0" w:after="0" w:afterAutospacing="0" w:line="240" w:lineRule="auto"/>
        <w:jc w:val="center"/>
        <w:outlineLvl w:val="0"/>
        <w:rPr>
          <w:rFonts w:hint="default" w:ascii="Times New Roman" w:hAnsi="Times New Roman" w:eastAsia="黑体" w:cs="Times New Roman"/>
          <w:b/>
          <w:bCs/>
          <w:snapToGrid w:val="0"/>
          <w:color w:val="auto"/>
          <w:sz w:val="30"/>
          <w:szCs w:val="30"/>
          <w:highlight w:val="none"/>
        </w:rPr>
      </w:pPr>
      <w:bookmarkStart w:id="21" w:name="_Toc10941"/>
      <w:bookmarkStart w:id="22" w:name="_Toc152582970"/>
      <w:bookmarkStart w:id="23" w:name="_Toc27562"/>
      <w:bookmarkStart w:id="24" w:name="_Toc17609"/>
      <w:bookmarkStart w:id="25" w:name="_Toc19924"/>
      <w:bookmarkStart w:id="26" w:name="_Toc24145"/>
      <w:bookmarkStart w:id="27" w:name="_Toc30220"/>
      <w:bookmarkStart w:id="28" w:name="_Toc1392"/>
      <w:bookmarkStart w:id="29" w:name="_Toc6235"/>
      <w:bookmarkStart w:id="30" w:name="_Toc26090"/>
      <w:bookmarkStart w:id="31" w:name="_Toc13740"/>
      <w:bookmarkStart w:id="32" w:name="_Toc12485"/>
      <w:r>
        <w:rPr>
          <w:rFonts w:hint="default" w:ascii="Times New Roman" w:hAnsi="Times New Roman" w:eastAsia="黑体" w:cs="Times New Roman"/>
          <w:b/>
          <w:bCs/>
          <w:snapToGrid w:val="0"/>
          <w:color w:val="auto"/>
          <w:sz w:val="30"/>
          <w:szCs w:val="30"/>
          <w:highlight w:val="none"/>
        </w:rPr>
        <w:t>二、建设内容</w:t>
      </w:r>
      <w:bookmarkEnd w:id="21"/>
      <w:bookmarkEnd w:id="22"/>
      <w:bookmarkEnd w:id="23"/>
      <w:bookmarkEnd w:id="24"/>
      <w:bookmarkEnd w:id="25"/>
      <w:bookmarkEnd w:id="26"/>
      <w:bookmarkEnd w:id="27"/>
      <w:bookmarkEnd w:id="28"/>
      <w:bookmarkEnd w:id="29"/>
      <w:bookmarkEnd w:id="30"/>
      <w:bookmarkEnd w:id="31"/>
      <w:bookmarkEnd w:id="32"/>
    </w:p>
    <w:tbl>
      <w:tblPr>
        <w:tblStyle w:val="31"/>
        <w:tblW w:w="93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05"/>
        <w:gridCol w:w="8849"/>
      </w:tblGrid>
      <w:tr w14:paraId="032B31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7" w:type="dxa"/>
            <w:noWrap w:val="0"/>
            <w:vAlign w:val="center"/>
          </w:tcPr>
          <w:p w14:paraId="65084D0C">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地理</w:t>
            </w:r>
          </w:p>
          <w:p w14:paraId="2503155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位置</w:t>
            </w:r>
          </w:p>
        </w:tc>
        <w:tc>
          <w:tcPr>
            <w:tcW w:w="8712" w:type="dxa"/>
            <w:noWrap w:val="0"/>
            <w:vAlign w:val="center"/>
          </w:tcPr>
          <w:p w14:paraId="2A2E2927">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项目</w:t>
            </w:r>
            <w:r>
              <w:rPr>
                <w:rFonts w:hint="default" w:ascii="Times New Roman" w:hAnsi="Times New Roman" w:cs="Times New Roman"/>
                <w:color w:val="auto"/>
                <w:sz w:val="24"/>
                <w:highlight w:val="none"/>
                <w:lang w:val="en-US" w:eastAsia="zh-CN"/>
              </w:rPr>
              <w:t>建设地点</w:t>
            </w:r>
            <w:r>
              <w:rPr>
                <w:rFonts w:hint="default" w:ascii="Times New Roman" w:hAnsi="Times New Roman" w:cs="Times New Roman"/>
                <w:color w:val="auto"/>
                <w:sz w:val="24"/>
                <w:highlight w:val="none"/>
              </w:rPr>
              <w:t>位于</w:t>
            </w:r>
            <w:r>
              <w:rPr>
                <w:rFonts w:hint="default" w:ascii="Times New Roman" w:hAnsi="Times New Roman" w:cs="Times New Roman"/>
                <w:bCs/>
                <w:color w:val="auto"/>
                <w:sz w:val="24"/>
                <w:szCs w:val="24"/>
                <w:highlight w:val="none"/>
                <w:lang w:eastAsia="zh-CN"/>
              </w:rPr>
              <w:t>宁夏回族自治区固原市原州区、彭阳县，</w:t>
            </w:r>
            <w:r>
              <w:rPr>
                <w:rFonts w:hint="default" w:ascii="Times New Roman" w:hAnsi="Times New Roman" w:cs="Times New Roman"/>
                <w:bCs/>
                <w:color w:val="auto"/>
                <w:sz w:val="24"/>
                <w:szCs w:val="24"/>
                <w:highlight w:val="none"/>
                <w:lang w:val="en-US" w:eastAsia="zh-CN"/>
              </w:rPr>
              <w:t>其中：</w:t>
            </w:r>
          </w:p>
          <w:p w14:paraId="12DF932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cs="Times New Roman"/>
                <w:color w:val="auto"/>
                <w:sz w:val="24"/>
                <w:highlight w:val="none"/>
                <w:lang w:val="en-US" w:eastAsia="zh-CN"/>
              </w:rPr>
              <w:t>⑴间隔扩建工程：云雾山330千伏变电站站址中心坐标：</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eastAsia="zh-CN"/>
              </w:rPr>
              <w:t>106度</w:t>
            </w:r>
            <w:r>
              <w:rPr>
                <w:rFonts w:hint="default" w:ascii="Times New Roman" w:hAnsi="Times New Roman" w:cs="Times New Roman"/>
                <w:color w:val="auto"/>
                <w:sz w:val="24"/>
                <w:highlight w:val="none"/>
                <w:u w:val="none"/>
                <w:lang w:val="en-US" w:eastAsia="zh-CN"/>
              </w:rPr>
              <w:t>28</w:t>
            </w:r>
            <w:r>
              <w:rPr>
                <w:rFonts w:hint="default" w:ascii="Times New Roman" w:hAnsi="Times New Roman"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15.000</w:t>
            </w:r>
            <w:r>
              <w:rPr>
                <w:rFonts w:hint="default" w:ascii="Times New Roman" w:hAnsi="Times New Roman" w:cs="Times New Roman"/>
                <w:color w:val="auto"/>
                <w:sz w:val="24"/>
                <w:highlight w:val="none"/>
                <w:u w:val="none"/>
                <w:lang w:eastAsia="zh-CN"/>
              </w:rPr>
              <w:t>秒</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eastAsia="zh-CN"/>
              </w:rPr>
              <w:t>3</w:t>
            </w:r>
            <w:r>
              <w:rPr>
                <w:rFonts w:hint="default" w:ascii="Times New Roman" w:hAnsi="Times New Roman" w:cs="Times New Roman"/>
                <w:color w:val="auto"/>
                <w:sz w:val="24"/>
                <w:highlight w:val="none"/>
                <w:u w:val="none"/>
                <w:lang w:val="en-US" w:eastAsia="zh-CN"/>
              </w:rPr>
              <w:t>6</w:t>
            </w:r>
            <w:r>
              <w:rPr>
                <w:rFonts w:hint="default" w:ascii="Times New Roman" w:hAnsi="Times New Roman" w:cs="Times New Roman"/>
                <w:color w:val="auto"/>
                <w:sz w:val="24"/>
                <w:highlight w:val="none"/>
                <w:u w:val="none"/>
                <w:lang w:eastAsia="zh-CN"/>
              </w:rPr>
              <w:t>度</w:t>
            </w:r>
            <w:r>
              <w:rPr>
                <w:rFonts w:hint="default" w:ascii="Times New Roman" w:hAnsi="Times New Roman" w:cs="Times New Roman"/>
                <w:color w:val="auto"/>
                <w:sz w:val="24"/>
                <w:highlight w:val="none"/>
                <w:u w:val="none"/>
                <w:lang w:val="en-US" w:eastAsia="zh-CN"/>
              </w:rPr>
              <w:t>0</w:t>
            </w:r>
            <w:r>
              <w:rPr>
                <w:rFonts w:hint="default" w:ascii="Times New Roman" w:hAnsi="Times New Roman"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8.690</w:t>
            </w:r>
            <w:r>
              <w:rPr>
                <w:rFonts w:hint="default" w:ascii="Times New Roman" w:hAnsi="Times New Roman" w:cs="Times New Roman"/>
                <w:color w:val="auto"/>
                <w:sz w:val="24"/>
                <w:highlight w:val="none"/>
                <w:u w:val="none"/>
                <w:lang w:eastAsia="zh-CN"/>
              </w:rPr>
              <w:t>秒</w:t>
            </w:r>
            <w:r>
              <w:rPr>
                <w:rFonts w:hint="default"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w:t>
            </w:r>
          </w:p>
          <w:p w14:paraId="2FCC805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⑵</w:t>
            </w:r>
            <w:r>
              <w:rPr>
                <w:rFonts w:hint="eastAsia" w:cs="Times New Roman"/>
                <w:color w:val="auto"/>
                <w:sz w:val="24"/>
                <w:highlight w:val="none"/>
                <w:lang w:val="en-US" w:eastAsia="zh-CN"/>
              </w:rPr>
              <w:t>新建</w:t>
            </w:r>
            <w:r>
              <w:rPr>
                <w:rFonts w:hint="default" w:ascii="Times New Roman" w:hAnsi="Times New Roman" w:cs="Times New Roman"/>
                <w:color w:val="auto"/>
                <w:sz w:val="24"/>
                <w:highlight w:val="none"/>
                <w:lang w:val="en-US" w:eastAsia="zh-CN"/>
              </w:rPr>
              <w:t>输电线路工程：</w:t>
            </w:r>
            <w:r>
              <w:rPr>
                <w:rFonts w:hint="default" w:ascii="Times New Roman" w:hAnsi="Times New Roman" w:cs="Times New Roman"/>
                <w:color w:val="auto"/>
                <w:sz w:val="24"/>
                <w:highlight w:val="none"/>
              </w:rPr>
              <w:t>起</w:t>
            </w:r>
            <w:r>
              <w:rPr>
                <w:rFonts w:hint="default" w:ascii="Times New Roman" w:hAnsi="Times New Roman" w:eastAsia="宋体" w:cs="Times New Roman"/>
                <w:color w:val="auto"/>
                <w:sz w:val="24"/>
                <w:highlight w:val="none"/>
                <w:lang w:val="en-US" w:eastAsia="zh-CN"/>
              </w:rPr>
              <w:t>点为</w:t>
            </w:r>
            <w:r>
              <w:rPr>
                <w:rFonts w:hint="default" w:ascii="Times New Roman" w:hAnsi="Times New Roman" w:cs="Times New Roman"/>
                <w:color w:val="auto"/>
                <w:sz w:val="24"/>
                <w:highlight w:val="none"/>
                <w:u w:val="none"/>
                <w:lang w:val="en-US" w:eastAsia="zh-CN"/>
              </w:rPr>
              <w:t>拟建华电彭阳200兆瓦风电项目110</w:t>
            </w:r>
            <w:r>
              <w:rPr>
                <w:rFonts w:hint="default" w:ascii="Times New Roman" w:hAnsi="Times New Roman" w:cs="Times New Roman"/>
                <w:color w:val="auto"/>
                <w:sz w:val="24"/>
                <w:highlight w:val="none"/>
                <w:lang w:val="en-US" w:eastAsia="zh-CN"/>
              </w:rPr>
              <w:t>千伏</w:t>
            </w:r>
            <w:r>
              <w:rPr>
                <w:rFonts w:hint="default" w:ascii="Times New Roman" w:hAnsi="Times New Roman" w:cs="Times New Roman"/>
                <w:color w:val="auto"/>
                <w:sz w:val="24"/>
                <w:highlight w:val="none"/>
                <w:u w:val="none"/>
                <w:lang w:val="en-US" w:eastAsia="zh-CN"/>
              </w:rPr>
              <w:t>升压站</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eastAsia="zh-CN"/>
              </w:rPr>
              <w:t>106度</w:t>
            </w:r>
            <w:r>
              <w:rPr>
                <w:rFonts w:hint="default" w:ascii="Times New Roman" w:hAnsi="Times New Roman" w:cs="Times New Roman"/>
                <w:color w:val="auto"/>
                <w:sz w:val="24"/>
                <w:highlight w:val="none"/>
                <w:u w:val="none"/>
                <w:lang w:val="en-US" w:eastAsia="zh-CN"/>
              </w:rPr>
              <w:t>32</w:t>
            </w:r>
            <w:r>
              <w:rPr>
                <w:rFonts w:hint="default" w:ascii="Times New Roman" w:hAnsi="Times New Roman"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53.301</w:t>
            </w:r>
            <w:r>
              <w:rPr>
                <w:rFonts w:hint="default" w:ascii="Times New Roman" w:hAnsi="Times New Roman" w:cs="Times New Roman"/>
                <w:color w:val="auto"/>
                <w:sz w:val="24"/>
                <w:highlight w:val="none"/>
                <w:u w:val="none"/>
                <w:lang w:eastAsia="zh-CN"/>
              </w:rPr>
              <w:t>秒</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eastAsia="zh-CN"/>
              </w:rPr>
              <w:t>3</w:t>
            </w:r>
            <w:r>
              <w:rPr>
                <w:rFonts w:hint="default" w:ascii="Times New Roman" w:hAnsi="Times New Roman" w:cs="Times New Roman"/>
                <w:color w:val="auto"/>
                <w:sz w:val="24"/>
                <w:highlight w:val="none"/>
                <w:u w:val="none"/>
                <w:lang w:val="en-US" w:eastAsia="zh-CN"/>
              </w:rPr>
              <w:t>6</w:t>
            </w:r>
            <w:r>
              <w:rPr>
                <w:rFonts w:hint="default" w:ascii="Times New Roman" w:hAnsi="Times New Roman" w:cs="Times New Roman"/>
                <w:color w:val="auto"/>
                <w:sz w:val="24"/>
                <w:highlight w:val="none"/>
                <w:u w:val="none"/>
                <w:lang w:eastAsia="zh-CN"/>
              </w:rPr>
              <w:t>度1</w:t>
            </w:r>
            <w:r>
              <w:rPr>
                <w:rFonts w:hint="default" w:ascii="Times New Roman" w:hAnsi="Times New Roman" w:cs="Times New Roman"/>
                <w:color w:val="auto"/>
                <w:sz w:val="24"/>
                <w:highlight w:val="none"/>
                <w:u w:val="none"/>
                <w:lang w:val="en-US" w:eastAsia="zh-CN"/>
              </w:rPr>
              <w:t>2</w:t>
            </w:r>
            <w:r>
              <w:rPr>
                <w:rFonts w:hint="default" w:ascii="Times New Roman" w:hAnsi="Times New Roman"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8.925</w:t>
            </w:r>
            <w:r>
              <w:rPr>
                <w:rFonts w:hint="default" w:ascii="Times New Roman" w:hAnsi="Times New Roman" w:cs="Times New Roman"/>
                <w:color w:val="auto"/>
                <w:sz w:val="24"/>
                <w:highlight w:val="none"/>
                <w:u w:val="none"/>
                <w:lang w:eastAsia="zh-CN"/>
              </w:rPr>
              <w:t>秒</w:t>
            </w:r>
            <w:r>
              <w:rPr>
                <w:rFonts w:hint="default"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lang w:val="en-US" w:eastAsia="zh-CN"/>
              </w:rPr>
              <w:t>，终</w:t>
            </w:r>
            <w:r>
              <w:rPr>
                <w:rFonts w:hint="default" w:ascii="Times New Roman" w:hAnsi="Times New Roman" w:cs="Times New Roman"/>
                <w:color w:val="auto"/>
                <w:sz w:val="24"/>
                <w:highlight w:val="none"/>
              </w:rPr>
              <w:t>点</w:t>
            </w:r>
            <w:r>
              <w:rPr>
                <w:rFonts w:hint="default" w:ascii="Times New Roman" w:hAnsi="Times New Roman" w:eastAsia="宋体" w:cs="Times New Roman"/>
                <w:color w:val="auto"/>
                <w:sz w:val="24"/>
                <w:highlight w:val="none"/>
                <w:lang w:val="en-US" w:eastAsia="zh-CN"/>
              </w:rPr>
              <w:t>为在建云雾山 330</w:t>
            </w:r>
            <w:r>
              <w:rPr>
                <w:rFonts w:hint="default" w:ascii="Times New Roman" w:hAnsi="Times New Roman" w:cs="Times New Roman"/>
                <w:color w:val="auto"/>
                <w:sz w:val="24"/>
                <w:highlight w:val="none"/>
                <w:lang w:val="en-US" w:eastAsia="zh-CN"/>
              </w:rPr>
              <w:t>千伏</w:t>
            </w:r>
            <w:r>
              <w:rPr>
                <w:rFonts w:hint="default" w:ascii="Times New Roman" w:hAnsi="Times New Roman" w:eastAsia="宋体" w:cs="Times New Roman"/>
                <w:color w:val="auto"/>
                <w:sz w:val="24"/>
                <w:highlight w:val="none"/>
                <w:lang w:val="en-US" w:eastAsia="zh-CN"/>
              </w:rPr>
              <w:t>变电站110</w:t>
            </w:r>
            <w:r>
              <w:rPr>
                <w:rFonts w:hint="default" w:ascii="Times New Roman" w:hAnsi="Times New Roman" w:cs="Times New Roman"/>
                <w:color w:val="auto"/>
                <w:sz w:val="24"/>
                <w:highlight w:val="none"/>
                <w:lang w:val="en-US" w:eastAsia="zh-CN"/>
              </w:rPr>
              <w:t>千伏</w:t>
            </w:r>
            <w:r>
              <w:rPr>
                <w:rFonts w:hint="default" w:ascii="Times New Roman" w:hAnsi="Times New Roman" w:eastAsia="宋体" w:cs="Times New Roman"/>
                <w:color w:val="auto"/>
                <w:sz w:val="24"/>
                <w:highlight w:val="none"/>
                <w:lang w:val="en-US" w:eastAsia="zh-CN"/>
              </w:rPr>
              <w:t>侧架构西起第19个间隔（106度28分19.446秒，36度0分9.599秒）</w:t>
            </w:r>
            <w:r>
              <w:rPr>
                <w:rFonts w:hint="default" w:ascii="Times New Roman" w:hAnsi="Times New Roman" w:cs="Times New Roman"/>
                <w:color w:val="auto"/>
                <w:sz w:val="24"/>
                <w:highlight w:val="none"/>
              </w:rPr>
              <w:t>。</w:t>
            </w:r>
          </w:p>
          <w:p w14:paraId="2BB64E4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lang w:val="en-US" w:eastAsia="zh-CN"/>
              </w:rPr>
              <w:t>⑶抬高改造工程</w:t>
            </w:r>
            <w:r>
              <w:rPr>
                <w:rFonts w:hint="eastAsia" w:cs="Times New Roman"/>
                <w:color w:val="auto"/>
                <w:sz w:val="24"/>
                <w:szCs w:val="24"/>
                <w:highlight w:val="none"/>
                <w:lang w:val="en-US" w:eastAsia="zh-CN"/>
              </w:rPr>
              <w:t>：110千伏清李Ⅰ线117#、118#直线塔抬高改造线路，其起点117#杆塔坐标为</w:t>
            </w:r>
            <w:r>
              <w:rPr>
                <w:rFonts w:hint="default" w:cs="Times New Roman"/>
                <w:color w:val="auto"/>
                <w:sz w:val="24"/>
                <w:szCs w:val="24"/>
                <w:highlight w:val="none"/>
                <w:lang w:val="en-US" w:eastAsia="zh-CN"/>
              </w:rPr>
              <w:t>106度3</w:t>
            </w:r>
            <w:r>
              <w:rPr>
                <w:rFonts w:hint="eastAsia" w:cs="Times New Roman"/>
                <w:color w:val="auto"/>
                <w:sz w:val="24"/>
                <w:szCs w:val="24"/>
                <w:highlight w:val="none"/>
                <w:lang w:val="en-US" w:eastAsia="zh-CN"/>
              </w:rPr>
              <w:t>1</w:t>
            </w:r>
            <w:r>
              <w:rPr>
                <w:rFonts w:hint="default" w:cs="Times New Roman"/>
                <w:color w:val="auto"/>
                <w:sz w:val="24"/>
                <w:szCs w:val="24"/>
                <w:highlight w:val="none"/>
                <w:lang w:val="en-US" w:eastAsia="zh-CN"/>
              </w:rPr>
              <w:t>分</w:t>
            </w:r>
            <w:r>
              <w:rPr>
                <w:rFonts w:hint="eastAsia" w:cs="Times New Roman"/>
                <w:color w:val="auto"/>
                <w:sz w:val="24"/>
                <w:szCs w:val="24"/>
                <w:highlight w:val="none"/>
                <w:lang w:val="en-US" w:eastAsia="zh-CN"/>
              </w:rPr>
              <w:t>25.467</w:t>
            </w:r>
            <w:r>
              <w:rPr>
                <w:rFonts w:hint="default" w:cs="Times New Roman"/>
                <w:color w:val="auto"/>
                <w:sz w:val="24"/>
                <w:szCs w:val="24"/>
                <w:highlight w:val="none"/>
                <w:lang w:val="en-US" w:eastAsia="zh-CN"/>
              </w:rPr>
              <w:t>秒，36度</w:t>
            </w:r>
            <w:r>
              <w:rPr>
                <w:rFonts w:hint="eastAsia" w:cs="Times New Roman"/>
                <w:color w:val="auto"/>
                <w:sz w:val="24"/>
                <w:szCs w:val="24"/>
                <w:highlight w:val="none"/>
                <w:lang w:val="en-US" w:eastAsia="zh-CN"/>
              </w:rPr>
              <w:t>09</w:t>
            </w:r>
            <w:r>
              <w:rPr>
                <w:rFonts w:hint="default" w:cs="Times New Roman"/>
                <w:color w:val="auto"/>
                <w:sz w:val="24"/>
                <w:szCs w:val="24"/>
                <w:highlight w:val="none"/>
                <w:lang w:val="en-US" w:eastAsia="zh-CN"/>
              </w:rPr>
              <w:t>分</w:t>
            </w:r>
            <w:r>
              <w:rPr>
                <w:rFonts w:hint="eastAsia" w:cs="Times New Roman"/>
                <w:color w:val="auto"/>
                <w:sz w:val="24"/>
                <w:szCs w:val="24"/>
                <w:highlight w:val="none"/>
                <w:lang w:val="en-US" w:eastAsia="zh-CN"/>
              </w:rPr>
              <w:t>44.409</w:t>
            </w:r>
            <w:r>
              <w:rPr>
                <w:rFonts w:hint="default" w:cs="Times New Roman"/>
                <w:color w:val="auto"/>
                <w:sz w:val="24"/>
                <w:szCs w:val="24"/>
                <w:highlight w:val="none"/>
                <w:lang w:val="en-US" w:eastAsia="zh-CN"/>
              </w:rPr>
              <w:t>秒</w:t>
            </w:r>
            <w:r>
              <w:rPr>
                <w:rFonts w:hint="eastAsia" w:cs="Times New Roman"/>
                <w:color w:val="auto"/>
                <w:sz w:val="24"/>
                <w:szCs w:val="24"/>
                <w:highlight w:val="none"/>
                <w:lang w:val="en-US" w:eastAsia="zh-CN"/>
              </w:rPr>
              <w:t>，</w:t>
            </w:r>
            <w:r>
              <w:rPr>
                <w:rFonts w:hint="default" w:cs="Times New Roman"/>
                <w:color w:val="auto"/>
                <w:sz w:val="24"/>
                <w:szCs w:val="24"/>
                <w:highlight w:val="none"/>
                <w:lang w:val="en-US" w:eastAsia="zh-CN"/>
              </w:rPr>
              <w:t>终点</w:t>
            </w:r>
            <w:r>
              <w:rPr>
                <w:rFonts w:hint="eastAsia" w:cs="Times New Roman"/>
                <w:color w:val="auto"/>
                <w:sz w:val="24"/>
                <w:szCs w:val="24"/>
                <w:highlight w:val="none"/>
                <w:lang w:val="en-US" w:eastAsia="zh-CN"/>
              </w:rPr>
              <w:t>118#杆塔坐标为</w:t>
            </w:r>
            <w:r>
              <w:rPr>
                <w:rFonts w:hint="default" w:cs="Times New Roman"/>
                <w:color w:val="auto"/>
                <w:sz w:val="24"/>
                <w:szCs w:val="24"/>
                <w:highlight w:val="none"/>
                <w:lang w:val="en-US" w:eastAsia="zh-CN"/>
              </w:rPr>
              <w:t>106度3</w:t>
            </w:r>
            <w:r>
              <w:rPr>
                <w:rFonts w:hint="eastAsia" w:cs="Times New Roman"/>
                <w:color w:val="auto"/>
                <w:sz w:val="24"/>
                <w:szCs w:val="24"/>
                <w:highlight w:val="none"/>
                <w:lang w:val="en-US" w:eastAsia="zh-CN"/>
              </w:rPr>
              <w:t>1</w:t>
            </w:r>
            <w:r>
              <w:rPr>
                <w:rFonts w:hint="default" w:cs="Times New Roman"/>
                <w:color w:val="auto"/>
                <w:sz w:val="24"/>
                <w:szCs w:val="24"/>
                <w:highlight w:val="none"/>
                <w:lang w:val="en-US" w:eastAsia="zh-CN"/>
              </w:rPr>
              <w:t>分</w:t>
            </w:r>
            <w:r>
              <w:rPr>
                <w:rFonts w:hint="eastAsia" w:cs="Times New Roman"/>
                <w:color w:val="auto"/>
                <w:sz w:val="24"/>
                <w:szCs w:val="24"/>
                <w:highlight w:val="none"/>
                <w:lang w:val="en-US" w:eastAsia="zh-CN"/>
              </w:rPr>
              <w:t>33.770</w:t>
            </w:r>
            <w:r>
              <w:rPr>
                <w:rFonts w:hint="default" w:cs="Times New Roman"/>
                <w:color w:val="auto"/>
                <w:sz w:val="24"/>
                <w:szCs w:val="24"/>
                <w:highlight w:val="none"/>
                <w:lang w:val="en-US" w:eastAsia="zh-CN"/>
              </w:rPr>
              <w:t>秒，36度</w:t>
            </w:r>
            <w:r>
              <w:rPr>
                <w:rFonts w:hint="eastAsia" w:cs="Times New Roman"/>
                <w:color w:val="auto"/>
                <w:sz w:val="24"/>
                <w:szCs w:val="24"/>
                <w:highlight w:val="none"/>
                <w:lang w:val="en-US" w:eastAsia="zh-CN"/>
              </w:rPr>
              <w:t>09</w:t>
            </w:r>
            <w:r>
              <w:rPr>
                <w:rFonts w:hint="default" w:cs="Times New Roman"/>
                <w:color w:val="auto"/>
                <w:sz w:val="24"/>
                <w:szCs w:val="24"/>
                <w:highlight w:val="none"/>
                <w:lang w:val="en-US" w:eastAsia="zh-CN"/>
              </w:rPr>
              <w:t>分</w:t>
            </w:r>
            <w:r>
              <w:rPr>
                <w:rFonts w:hint="eastAsia" w:cs="Times New Roman"/>
                <w:color w:val="auto"/>
                <w:sz w:val="24"/>
                <w:szCs w:val="24"/>
                <w:highlight w:val="none"/>
                <w:lang w:val="en-US" w:eastAsia="zh-CN"/>
              </w:rPr>
              <w:t>40.584</w:t>
            </w:r>
            <w:r>
              <w:rPr>
                <w:rFonts w:hint="default" w:cs="Times New Roman"/>
                <w:color w:val="auto"/>
                <w:sz w:val="24"/>
                <w:szCs w:val="24"/>
                <w:highlight w:val="none"/>
                <w:lang w:val="en-US" w:eastAsia="zh-CN"/>
              </w:rPr>
              <w:t>秒</w:t>
            </w:r>
            <w:r>
              <w:rPr>
                <w:rFonts w:hint="eastAsia" w:cs="Times New Roman"/>
                <w:color w:val="auto"/>
                <w:sz w:val="24"/>
                <w:szCs w:val="24"/>
                <w:highlight w:val="none"/>
                <w:lang w:val="en-US" w:eastAsia="zh-CN"/>
              </w:rPr>
              <w:t>；110千伏至李线96#、97#直线塔抬高改造线路，其起点96#杆塔坐标为</w:t>
            </w:r>
            <w:r>
              <w:rPr>
                <w:rFonts w:hint="default" w:cs="Times New Roman"/>
                <w:color w:val="auto"/>
                <w:sz w:val="24"/>
                <w:szCs w:val="24"/>
                <w:highlight w:val="none"/>
                <w:lang w:val="en-US" w:eastAsia="zh-CN"/>
              </w:rPr>
              <w:t>106度3</w:t>
            </w:r>
            <w:r>
              <w:rPr>
                <w:rFonts w:hint="eastAsia" w:cs="Times New Roman"/>
                <w:color w:val="auto"/>
                <w:sz w:val="24"/>
                <w:szCs w:val="24"/>
                <w:highlight w:val="none"/>
                <w:lang w:val="en-US" w:eastAsia="zh-CN"/>
              </w:rPr>
              <w:t>1</w:t>
            </w:r>
            <w:r>
              <w:rPr>
                <w:rFonts w:hint="default" w:cs="Times New Roman"/>
                <w:color w:val="auto"/>
                <w:sz w:val="24"/>
                <w:szCs w:val="24"/>
                <w:highlight w:val="none"/>
                <w:lang w:val="en-US" w:eastAsia="zh-CN"/>
              </w:rPr>
              <w:t>分</w:t>
            </w:r>
            <w:r>
              <w:rPr>
                <w:rFonts w:hint="eastAsia" w:cs="Times New Roman"/>
                <w:color w:val="auto"/>
                <w:sz w:val="24"/>
                <w:szCs w:val="24"/>
                <w:highlight w:val="none"/>
                <w:lang w:val="en-US" w:eastAsia="zh-CN"/>
              </w:rPr>
              <w:t>28.435</w:t>
            </w:r>
            <w:r>
              <w:rPr>
                <w:rFonts w:hint="default" w:cs="Times New Roman"/>
                <w:color w:val="auto"/>
                <w:sz w:val="24"/>
                <w:szCs w:val="24"/>
                <w:highlight w:val="none"/>
                <w:lang w:val="en-US" w:eastAsia="zh-CN"/>
              </w:rPr>
              <w:t>秒，36度</w:t>
            </w:r>
            <w:r>
              <w:rPr>
                <w:rFonts w:hint="eastAsia" w:cs="Times New Roman"/>
                <w:color w:val="auto"/>
                <w:sz w:val="24"/>
                <w:szCs w:val="24"/>
                <w:highlight w:val="none"/>
                <w:lang w:val="en-US" w:eastAsia="zh-CN"/>
              </w:rPr>
              <w:t>09</w:t>
            </w:r>
            <w:r>
              <w:rPr>
                <w:rFonts w:hint="default" w:cs="Times New Roman"/>
                <w:color w:val="auto"/>
                <w:sz w:val="24"/>
                <w:szCs w:val="24"/>
                <w:highlight w:val="none"/>
                <w:lang w:val="en-US" w:eastAsia="zh-CN"/>
              </w:rPr>
              <w:t>分</w:t>
            </w:r>
            <w:r>
              <w:rPr>
                <w:rFonts w:hint="eastAsia" w:cs="Times New Roman"/>
                <w:color w:val="auto"/>
                <w:sz w:val="24"/>
                <w:szCs w:val="24"/>
                <w:highlight w:val="none"/>
                <w:lang w:val="en-US" w:eastAsia="zh-CN"/>
              </w:rPr>
              <w:t>47.983</w:t>
            </w:r>
            <w:r>
              <w:rPr>
                <w:rFonts w:hint="default" w:cs="Times New Roman"/>
                <w:color w:val="auto"/>
                <w:sz w:val="24"/>
                <w:szCs w:val="24"/>
                <w:highlight w:val="none"/>
                <w:lang w:val="en-US" w:eastAsia="zh-CN"/>
              </w:rPr>
              <w:t>秒</w:t>
            </w:r>
            <w:r>
              <w:rPr>
                <w:rFonts w:hint="eastAsia" w:cs="Times New Roman"/>
                <w:color w:val="auto"/>
                <w:sz w:val="24"/>
                <w:szCs w:val="24"/>
                <w:highlight w:val="none"/>
                <w:lang w:val="en-US" w:eastAsia="zh-CN"/>
              </w:rPr>
              <w:t>，</w:t>
            </w:r>
            <w:r>
              <w:rPr>
                <w:rFonts w:hint="default" w:cs="Times New Roman"/>
                <w:color w:val="auto"/>
                <w:sz w:val="24"/>
                <w:szCs w:val="24"/>
                <w:highlight w:val="none"/>
                <w:lang w:val="en-US" w:eastAsia="zh-CN"/>
              </w:rPr>
              <w:t>终点</w:t>
            </w:r>
            <w:r>
              <w:rPr>
                <w:rFonts w:hint="eastAsia" w:cs="Times New Roman"/>
                <w:color w:val="auto"/>
                <w:sz w:val="24"/>
                <w:szCs w:val="24"/>
                <w:highlight w:val="none"/>
                <w:lang w:val="en-US" w:eastAsia="zh-CN"/>
              </w:rPr>
              <w:t>97#杆塔坐标为</w:t>
            </w:r>
            <w:r>
              <w:rPr>
                <w:rFonts w:hint="default" w:cs="Times New Roman"/>
                <w:color w:val="auto"/>
                <w:sz w:val="24"/>
                <w:szCs w:val="24"/>
                <w:highlight w:val="none"/>
                <w:lang w:val="en-US" w:eastAsia="zh-CN"/>
              </w:rPr>
              <w:t>106度3</w:t>
            </w:r>
            <w:r>
              <w:rPr>
                <w:rFonts w:hint="eastAsia" w:cs="Times New Roman"/>
                <w:color w:val="auto"/>
                <w:sz w:val="24"/>
                <w:szCs w:val="24"/>
                <w:highlight w:val="none"/>
                <w:lang w:val="en-US" w:eastAsia="zh-CN"/>
              </w:rPr>
              <w:t>1</w:t>
            </w:r>
            <w:r>
              <w:rPr>
                <w:rFonts w:hint="default" w:cs="Times New Roman"/>
                <w:color w:val="auto"/>
                <w:sz w:val="24"/>
                <w:szCs w:val="24"/>
                <w:highlight w:val="none"/>
                <w:lang w:val="en-US" w:eastAsia="zh-CN"/>
              </w:rPr>
              <w:t>分</w:t>
            </w:r>
            <w:r>
              <w:rPr>
                <w:rFonts w:hint="eastAsia" w:cs="Times New Roman"/>
                <w:color w:val="auto"/>
                <w:sz w:val="24"/>
                <w:szCs w:val="24"/>
                <w:highlight w:val="none"/>
                <w:lang w:val="en-US" w:eastAsia="zh-CN"/>
              </w:rPr>
              <w:t>35.528</w:t>
            </w:r>
            <w:r>
              <w:rPr>
                <w:rFonts w:hint="default" w:cs="Times New Roman"/>
                <w:color w:val="auto"/>
                <w:sz w:val="24"/>
                <w:szCs w:val="24"/>
                <w:highlight w:val="none"/>
                <w:lang w:val="en-US" w:eastAsia="zh-CN"/>
              </w:rPr>
              <w:t>秒，36度</w:t>
            </w:r>
            <w:r>
              <w:rPr>
                <w:rFonts w:hint="eastAsia" w:cs="Times New Roman"/>
                <w:color w:val="auto"/>
                <w:sz w:val="24"/>
                <w:szCs w:val="24"/>
                <w:highlight w:val="none"/>
                <w:lang w:val="en-US" w:eastAsia="zh-CN"/>
              </w:rPr>
              <w:t>09</w:t>
            </w:r>
            <w:r>
              <w:rPr>
                <w:rFonts w:hint="default" w:cs="Times New Roman"/>
                <w:color w:val="auto"/>
                <w:sz w:val="24"/>
                <w:szCs w:val="24"/>
                <w:highlight w:val="none"/>
                <w:lang w:val="en-US" w:eastAsia="zh-CN"/>
              </w:rPr>
              <w:t>分</w:t>
            </w:r>
            <w:r>
              <w:rPr>
                <w:rFonts w:hint="eastAsia" w:cs="Times New Roman"/>
                <w:color w:val="auto"/>
                <w:sz w:val="24"/>
                <w:szCs w:val="24"/>
                <w:highlight w:val="none"/>
                <w:lang w:val="en-US" w:eastAsia="zh-CN"/>
              </w:rPr>
              <w:t>44.851</w:t>
            </w:r>
            <w:r>
              <w:rPr>
                <w:rFonts w:hint="default" w:cs="Times New Roman"/>
                <w:color w:val="auto"/>
                <w:sz w:val="24"/>
                <w:szCs w:val="24"/>
                <w:highlight w:val="none"/>
                <w:lang w:val="en-US" w:eastAsia="zh-CN"/>
              </w:rPr>
              <w:t>秒</w:t>
            </w:r>
            <w:r>
              <w:rPr>
                <w:rFonts w:hint="eastAsia" w:cs="Times New Roman"/>
                <w:color w:val="auto"/>
                <w:sz w:val="24"/>
                <w:szCs w:val="24"/>
                <w:highlight w:val="none"/>
                <w:lang w:val="en-US" w:eastAsia="zh-CN"/>
              </w:rPr>
              <w:t>。</w:t>
            </w:r>
          </w:p>
          <w:p w14:paraId="2CAEB6F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项目</w:t>
            </w:r>
            <w:r>
              <w:rPr>
                <w:rFonts w:hint="default" w:ascii="Times New Roman" w:hAnsi="Times New Roman" w:cs="Times New Roman"/>
                <w:color w:val="auto"/>
                <w:sz w:val="24"/>
                <w:highlight w:val="none"/>
                <w:lang w:val="en-US" w:eastAsia="zh-CN"/>
              </w:rPr>
              <w:t>地理位置图</w:t>
            </w:r>
            <w:r>
              <w:rPr>
                <w:rFonts w:hint="default" w:ascii="Times New Roman" w:hAnsi="Times New Roman" w:cs="Times New Roman"/>
                <w:color w:val="auto"/>
                <w:sz w:val="24"/>
                <w:highlight w:val="none"/>
              </w:rPr>
              <w:t>见</w:t>
            </w:r>
            <w:r>
              <w:rPr>
                <w:rFonts w:hint="default" w:ascii="Times New Roman" w:hAnsi="Times New Roman" w:cs="Times New Roman"/>
                <w:color w:val="auto"/>
                <w:sz w:val="24"/>
                <w:highlight w:val="none"/>
                <w:lang w:eastAsia="zh-CN"/>
              </w:rPr>
              <w:t>附</w:t>
            </w:r>
            <w:r>
              <w:rPr>
                <w:rFonts w:hint="default" w:ascii="Times New Roman" w:hAnsi="Times New Roman" w:cs="Times New Roman"/>
                <w:color w:val="auto"/>
                <w:sz w:val="24"/>
                <w:highlight w:val="none"/>
              </w:rPr>
              <w:t>图</w:t>
            </w:r>
            <w:r>
              <w:rPr>
                <w:rFonts w:hint="default" w:ascii="Times New Roman" w:hAnsi="Times New Roman" w:cs="Times New Roman"/>
                <w:color w:val="auto"/>
                <w:sz w:val="24"/>
                <w:highlight w:val="none"/>
                <w:lang w:val="en-US" w:eastAsia="zh-CN"/>
              </w:rPr>
              <w:t>2-1。</w:t>
            </w:r>
          </w:p>
        </w:tc>
      </w:tr>
      <w:tr w14:paraId="3A4C86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7" w:type="dxa"/>
            <w:noWrap w:val="0"/>
            <w:vAlign w:val="center"/>
          </w:tcPr>
          <w:p w14:paraId="2A6E259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项目组成及规模</w:t>
            </w:r>
          </w:p>
        </w:tc>
        <w:tc>
          <w:tcPr>
            <w:tcW w:w="8712" w:type="dxa"/>
            <w:noWrap w:val="0"/>
            <w:vAlign w:val="center"/>
          </w:tcPr>
          <w:p w14:paraId="18F6F03D">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1.</w:t>
            </w:r>
            <w:r>
              <w:rPr>
                <w:rFonts w:hint="default" w:ascii="Times New Roman" w:hAnsi="Times New Roman" w:cs="Times New Roman"/>
                <w:b/>
                <w:bCs/>
                <w:color w:val="auto"/>
                <w:sz w:val="24"/>
                <w:highlight w:val="none"/>
              </w:rPr>
              <w:t>项目由来</w:t>
            </w:r>
          </w:p>
          <w:p w14:paraId="31C92E4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b w:val="0"/>
                <w:bCs w:val="0"/>
                <w:color w:val="auto"/>
                <w:sz w:val="24"/>
                <w:szCs w:val="24"/>
                <w:highlight w:val="none"/>
                <w:shd w:val="clear" w:color="auto" w:fill="auto"/>
                <w:lang w:val="en-US" w:eastAsia="zh-CN"/>
              </w:rPr>
              <w:t>为了满足宁夏固原华电彭阳200兆瓦风电项目送出需求，本项目以1回110千伏线路接入云雾山330千伏变电站，因此建设宁夏固原华电彭阳200兆瓦风电项目110千伏送出工程是必要的。</w:t>
            </w:r>
            <w:r>
              <w:rPr>
                <w:rFonts w:hint="default" w:ascii="Times New Roman" w:hAnsi="Times New Roman" w:cs="Times New Roman"/>
                <w:color w:val="auto"/>
                <w:sz w:val="24"/>
                <w:highlight w:val="none"/>
                <w:lang w:eastAsia="zh-CN"/>
              </w:rPr>
              <w:t>2025年</w:t>
            </w:r>
            <w:r>
              <w:rPr>
                <w:rFonts w:hint="default"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lang w:eastAsia="zh-CN"/>
              </w:rPr>
              <w:t>月</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eastAsia="zh-CN"/>
              </w:rPr>
              <w:t>日</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建设单位取得固原</w:t>
            </w:r>
            <w:r>
              <w:rPr>
                <w:rFonts w:hint="default" w:ascii="Times New Roman" w:hAnsi="Times New Roman" w:cs="Times New Roman"/>
                <w:color w:val="auto"/>
                <w:sz w:val="24"/>
                <w:highlight w:val="none"/>
                <w:lang w:eastAsia="zh-CN"/>
              </w:rPr>
              <w:t>市审批服务管理局</w:t>
            </w:r>
            <w:r>
              <w:rPr>
                <w:rFonts w:hint="default" w:ascii="Times New Roman" w:hAnsi="Times New Roman" w:cs="Times New Roman"/>
                <w:color w:val="auto"/>
                <w:sz w:val="24"/>
                <w:highlight w:val="none"/>
              </w:rPr>
              <w:t>《关于</w:t>
            </w:r>
            <w:r>
              <w:rPr>
                <w:rFonts w:hint="default" w:ascii="Times New Roman" w:hAnsi="Times New Roman" w:cs="Times New Roman"/>
                <w:color w:val="auto"/>
                <w:sz w:val="24"/>
                <w:highlight w:val="none"/>
                <w:lang w:eastAsia="zh-CN"/>
              </w:rPr>
              <w:t>宁夏固原华电彭阳200兆瓦风电项目110千伏送出工程</w:t>
            </w:r>
            <w:r>
              <w:rPr>
                <w:rFonts w:hint="default" w:ascii="Times New Roman" w:hAnsi="Times New Roman" w:cs="Times New Roman"/>
                <w:color w:val="auto"/>
                <w:sz w:val="24"/>
                <w:highlight w:val="none"/>
              </w:rPr>
              <w:t>核准的批复》（</w:t>
            </w:r>
            <w:r>
              <w:rPr>
                <w:rFonts w:hint="default" w:ascii="Times New Roman" w:hAnsi="Times New Roman" w:cs="Times New Roman"/>
                <w:color w:val="auto"/>
                <w:sz w:val="24"/>
                <w:highlight w:val="none"/>
                <w:lang w:val="en-US" w:eastAsia="zh-CN"/>
              </w:rPr>
              <w:t>固审批（投资）﹝2025﹞56号</w:t>
            </w:r>
            <w:r>
              <w:rPr>
                <w:rFonts w:hint="default" w:ascii="Times New Roman" w:hAnsi="Times New Roman" w:cs="Times New Roman"/>
                <w:color w:val="auto"/>
                <w:sz w:val="24"/>
                <w:highlight w:val="none"/>
              </w:rPr>
              <w:t>）</w:t>
            </w: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lang w:val="en-US" w:eastAsia="zh-CN"/>
              </w:rPr>
              <w:t>详</w:t>
            </w:r>
            <w:r>
              <w:rPr>
                <w:rFonts w:hint="default" w:ascii="Times New Roman" w:hAnsi="Times New Roman" w:cs="Times New Roman"/>
                <w:b/>
                <w:bCs/>
                <w:color w:val="auto"/>
                <w:sz w:val="24"/>
                <w:highlight w:val="none"/>
              </w:rPr>
              <w:t>见附件</w:t>
            </w:r>
            <w:r>
              <w:rPr>
                <w:rFonts w:hint="eastAsia" w:cs="Times New Roman"/>
                <w:b/>
                <w:bCs/>
                <w:color w:val="auto"/>
                <w:sz w:val="24"/>
                <w:highlight w:val="none"/>
                <w:lang w:val="en-US" w:eastAsia="zh-CN"/>
              </w:rPr>
              <w:t>3</w:t>
            </w:r>
            <w:r>
              <w:rPr>
                <w:rFonts w:hint="default" w:ascii="Times New Roman" w:hAnsi="Times New Roman" w:cs="Times New Roman"/>
                <w:b/>
                <w:bCs/>
                <w:color w:val="auto"/>
                <w:sz w:val="24"/>
                <w:highlight w:val="none"/>
                <w:lang w:eastAsia="zh-CN"/>
              </w:rPr>
              <w:t>）</w:t>
            </w:r>
            <w:r>
              <w:rPr>
                <w:rFonts w:hint="default" w:ascii="Times New Roman" w:hAnsi="Times New Roman" w:cs="Times New Roman"/>
                <w:color w:val="auto"/>
                <w:sz w:val="24"/>
                <w:highlight w:val="none"/>
                <w:lang w:val="en-US" w:eastAsia="zh-CN"/>
              </w:rPr>
              <w:t>。</w:t>
            </w:r>
          </w:p>
          <w:p w14:paraId="5F90DF2C">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2.</w:t>
            </w:r>
            <w:r>
              <w:rPr>
                <w:rFonts w:hint="default" w:ascii="Times New Roman" w:hAnsi="Times New Roman" w:cs="Times New Roman"/>
                <w:b/>
                <w:bCs/>
                <w:color w:val="auto"/>
                <w:sz w:val="24"/>
                <w:highlight w:val="none"/>
              </w:rPr>
              <w:t>项目组成及规模</w:t>
            </w:r>
          </w:p>
          <w:p w14:paraId="0D23296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eastAsia="zh-CN"/>
              </w:rPr>
            </w:pPr>
            <w:bookmarkStart w:id="33" w:name="_Toc152582971"/>
            <w:bookmarkStart w:id="34" w:name="_Toc31771"/>
            <w:bookmarkStart w:id="35" w:name="_Toc28478"/>
            <w:r>
              <w:rPr>
                <w:rFonts w:hint="default" w:ascii="Times New Roman" w:hAnsi="Times New Roman" w:cs="Times New Roman"/>
                <w:color w:val="auto"/>
                <w:sz w:val="24"/>
                <w:highlight w:val="none"/>
                <w:lang w:val="en-US" w:eastAsia="zh-CN"/>
              </w:rPr>
              <w:t>本项目</w:t>
            </w:r>
            <w:r>
              <w:rPr>
                <w:rFonts w:hint="default" w:ascii="Times New Roman" w:hAnsi="Times New Roman" w:cs="Times New Roman"/>
                <w:color w:val="auto"/>
                <w:sz w:val="24"/>
                <w:highlight w:val="none"/>
                <w:lang w:eastAsia="zh-CN"/>
              </w:rPr>
              <w:t>主要建设内容</w:t>
            </w:r>
            <w:r>
              <w:rPr>
                <w:rFonts w:hint="default" w:ascii="Times New Roman" w:hAnsi="Times New Roman" w:cs="Times New Roman"/>
                <w:color w:val="auto"/>
                <w:sz w:val="24"/>
                <w:highlight w:val="none"/>
                <w:lang w:val="en-US" w:eastAsia="zh-CN"/>
              </w:rPr>
              <w:t>包含</w:t>
            </w:r>
            <w:r>
              <w:rPr>
                <w:rFonts w:hint="default" w:ascii="Times New Roman" w:hAnsi="Times New Roman" w:cs="Times New Roman"/>
                <w:color w:val="auto"/>
                <w:sz w:val="24"/>
                <w:highlight w:val="none"/>
                <w:lang w:eastAsia="zh-CN"/>
              </w:rPr>
              <w:t>：</w:t>
            </w:r>
          </w:p>
          <w:p w14:paraId="7C9ACD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⑴新建云雾山330千伏变电站本期扩建110千伏出线间隔1个。</w:t>
            </w:r>
          </w:p>
          <w:p w14:paraId="6F136C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highlight w:val="none"/>
                <w:lang w:val="en-US" w:eastAsia="zh-CN"/>
              </w:rPr>
              <w:t>⑵新建华电彭阳200兆瓦风电～云雾山330千伏变电站110千伏架空线路1×24.2</w:t>
            </w:r>
            <w:r>
              <w:rPr>
                <w:rFonts w:hint="eastAsia" w:cs="Times New Roman"/>
                <w:color w:val="auto"/>
                <w:sz w:val="24"/>
                <w:highlight w:val="none"/>
                <w:lang w:val="en-US" w:eastAsia="zh-CN"/>
              </w:rPr>
              <w:t>km</w:t>
            </w:r>
            <w:r>
              <w:rPr>
                <w:rFonts w:hint="default" w:ascii="Times New Roman" w:hAnsi="Times New Roman" w:cs="Times New Roman"/>
                <w:color w:val="auto"/>
                <w:sz w:val="24"/>
                <w:highlight w:val="none"/>
                <w:lang w:val="en-US" w:eastAsia="zh-CN"/>
              </w:rPr>
              <w:t>（架空）。其中，1×24.</w:t>
            </w:r>
            <w:r>
              <w:rPr>
                <w:rFonts w:hint="eastAsia" w:cs="Times New Roman"/>
                <w:color w:val="auto"/>
                <w:sz w:val="24"/>
                <w:highlight w:val="none"/>
                <w:lang w:val="en-US" w:eastAsia="zh-CN"/>
              </w:rPr>
              <w:t>15</w:t>
            </w:r>
            <w:r>
              <w:rPr>
                <w:rFonts w:hint="default" w:ascii="Times New Roman" w:hAnsi="Times New Roman" w:cs="Times New Roman"/>
                <w:color w:val="auto"/>
                <w:sz w:val="24"/>
                <w:highlight w:val="none"/>
                <w:lang w:val="en-US" w:eastAsia="zh-CN"/>
              </w:rPr>
              <w:t>km单回路架空+2×0.050km同塔双回架设单侧挂线，另一侧预留，电压等级为110千伏。</w:t>
            </w:r>
            <w:bookmarkEnd w:id="33"/>
            <w:bookmarkStart w:id="36" w:name="_Toc12062"/>
            <w:bookmarkStart w:id="37" w:name="_Toc11637"/>
            <w:bookmarkStart w:id="38" w:name="_Toc2191"/>
            <w:bookmarkStart w:id="39" w:name="_Toc30413"/>
            <w:bookmarkStart w:id="40" w:name="_Toc152582972"/>
            <w:r>
              <w:rPr>
                <w:rFonts w:hint="default" w:ascii="Times New Roman" w:hAnsi="Times New Roman" w:cs="Times New Roman"/>
                <w:color w:val="auto"/>
                <w:sz w:val="24"/>
                <w:szCs w:val="24"/>
                <w:highlight w:val="none"/>
                <w:lang w:val="en-US" w:eastAsia="zh-CN"/>
              </w:rPr>
              <w:t>除云雾山330千伏变电站出线第一基采用双回路铁塔，其余均采用单回路架设。</w:t>
            </w:r>
            <w:r>
              <w:rPr>
                <w:rFonts w:hint="default" w:ascii="Times New Roman" w:hAnsi="Times New Roman" w:cs="Times New Roman"/>
                <w:color w:val="auto"/>
                <w:sz w:val="24"/>
                <w:szCs w:val="24"/>
                <w:highlight w:val="none"/>
                <w:lang w:val="en-US" w:eastAsia="zh-CN"/>
              </w:rPr>
              <w:br w:type="textWrapping"/>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lang w:val="en-US" w:eastAsia="zh-CN"/>
              </w:rPr>
              <w:t>⑶抬高改造工程</w:t>
            </w:r>
            <w:r>
              <w:rPr>
                <w:rFonts w:hint="eastAsia" w:cs="Times New Roman"/>
                <w:color w:val="auto"/>
                <w:sz w:val="24"/>
                <w:szCs w:val="24"/>
                <w:highlight w:val="none"/>
                <w:lang w:val="en-US" w:eastAsia="zh-CN"/>
              </w:rPr>
              <w:t>：对110千伏清李Ⅰ线117#、118#直线塔、110千伏至李线96#、97#直线塔进行抬高改造。其中，110千伏清李I线：新建直线铁塔2基，导线、地线利旧，紧线长度2.04km，拆除直线塔2基。110千伏至李线：新建直线铁塔2基，导线、地线利旧，紧线长度 2.06km，拆除直线塔2基。</w:t>
            </w:r>
          </w:p>
          <w:p w14:paraId="3F3E42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本项目组成及规模见表2-</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w:t>
            </w:r>
            <w:bookmarkEnd w:id="34"/>
            <w:bookmarkEnd w:id="35"/>
            <w:bookmarkEnd w:id="36"/>
            <w:bookmarkEnd w:id="37"/>
            <w:bookmarkEnd w:id="38"/>
            <w:bookmarkEnd w:id="39"/>
            <w:bookmarkEnd w:id="40"/>
          </w:p>
          <w:p w14:paraId="35FE41A2">
            <w:pPr>
              <w:spacing w:line="24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w:t>
            </w:r>
            <w:r>
              <w:rPr>
                <w:rFonts w:hint="default" w:ascii="Times New Roman" w:hAnsi="Times New Roman" w:eastAsia="宋体" w:cs="Times New Roman"/>
                <w:b/>
                <w:bCs/>
                <w:color w:val="auto"/>
                <w:sz w:val="24"/>
                <w:highlight w:val="none"/>
                <w:lang w:val="en-US" w:eastAsia="zh-CN"/>
              </w:rPr>
              <w:t xml:space="preserve">1  </w:t>
            </w:r>
            <w:r>
              <w:rPr>
                <w:rFonts w:hint="default" w:ascii="Times New Roman" w:hAnsi="Times New Roman" w:eastAsia="宋体" w:cs="Times New Roman"/>
                <w:b/>
                <w:bCs/>
                <w:color w:val="auto"/>
                <w:sz w:val="24"/>
                <w:highlight w:val="none"/>
              </w:rPr>
              <w:t xml:space="preserve">  本项目组成及规模</w:t>
            </w:r>
          </w:p>
          <w:tbl>
            <w:tblPr>
              <w:tblStyle w:val="31"/>
              <w:tblW w:w="867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9"/>
              <w:gridCol w:w="393"/>
              <w:gridCol w:w="1163"/>
              <w:gridCol w:w="6428"/>
            </w:tblGrid>
            <w:tr w14:paraId="6303A4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245" w:type="dxa"/>
                  <w:gridSpan w:val="3"/>
                  <w:noWrap w:val="0"/>
                  <w:vAlign w:val="center"/>
                </w:tcPr>
                <w:p w14:paraId="0B64C33F">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项目名称</w:t>
                  </w:r>
                </w:p>
              </w:tc>
              <w:tc>
                <w:tcPr>
                  <w:tcW w:w="6428" w:type="dxa"/>
                  <w:noWrap w:val="0"/>
                  <w:vAlign w:val="center"/>
                </w:tcPr>
                <w:p w14:paraId="59E3BDF5">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bCs/>
                      <w:color w:val="auto"/>
                      <w:sz w:val="21"/>
                      <w:szCs w:val="21"/>
                      <w:highlight w:val="none"/>
                      <w:lang w:eastAsia="zh-CN"/>
                    </w:rPr>
                    <w:t>宁夏固原华电彭阳200兆瓦风电项目110千伏送出工程</w:t>
                  </w:r>
                </w:p>
              </w:tc>
            </w:tr>
            <w:tr w14:paraId="10D06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245" w:type="dxa"/>
                  <w:gridSpan w:val="3"/>
                  <w:noWrap w:val="0"/>
                  <w:vAlign w:val="center"/>
                </w:tcPr>
                <w:p w14:paraId="0B097D93">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建设单位</w:t>
                  </w:r>
                </w:p>
              </w:tc>
              <w:tc>
                <w:tcPr>
                  <w:tcW w:w="6428" w:type="dxa"/>
                  <w:noWrap w:val="0"/>
                  <w:vAlign w:val="center"/>
                </w:tcPr>
                <w:p w14:paraId="55C39281">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国网宁夏电力有限公司固原供电公司</w:t>
                  </w:r>
                </w:p>
              </w:tc>
            </w:tr>
            <w:tr w14:paraId="2130CC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245" w:type="dxa"/>
                  <w:gridSpan w:val="3"/>
                  <w:noWrap w:val="0"/>
                  <w:vAlign w:val="center"/>
                </w:tcPr>
                <w:p w14:paraId="14288109">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项目设计单位</w:t>
                  </w:r>
                </w:p>
              </w:tc>
              <w:tc>
                <w:tcPr>
                  <w:tcW w:w="6428" w:type="dxa"/>
                  <w:noWrap w:val="0"/>
                  <w:vAlign w:val="center"/>
                </w:tcPr>
                <w:p w14:paraId="142CE6C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固原龙源电力勘测设计咨询有限公司</w:t>
                  </w:r>
                </w:p>
              </w:tc>
            </w:tr>
            <w:tr w14:paraId="5F48E4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245" w:type="dxa"/>
                  <w:gridSpan w:val="3"/>
                  <w:noWrap w:val="0"/>
                  <w:vAlign w:val="center"/>
                </w:tcPr>
                <w:p w14:paraId="4F8F0C7E">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建设性质</w:t>
                  </w:r>
                </w:p>
              </w:tc>
              <w:tc>
                <w:tcPr>
                  <w:tcW w:w="6428" w:type="dxa"/>
                  <w:noWrap w:val="0"/>
                  <w:vAlign w:val="center"/>
                </w:tcPr>
                <w:p w14:paraId="6A977D42">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新建</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改扩建</w:t>
                  </w:r>
                </w:p>
              </w:tc>
            </w:tr>
            <w:tr w14:paraId="27A43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245" w:type="dxa"/>
                  <w:gridSpan w:val="3"/>
                  <w:noWrap w:val="0"/>
                  <w:vAlign w:val="center"/>
                </w:tcPr>
                <w:p w14:paraId="24A3803D">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建设地点</w:t>
                  </w:r>
                </w:p>
              </w:tc>
              <w:tc>
                <w:tcPr>
                  <w:tcW w:w="6428" w:type="dxa"/>
                  <w:noWrap w:val="0"/>
                  <w:vAlign w:val="center"/>
                </w:tcPr>
                <w:p w14:paraId="014AFB6F">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宁夏回族自治区固原市原州区、彭阳县</w:t>
                  </w:r>
                </w:p>
              </w:tc>
            </w:tr>
            <w:tr w14:paraId="31A1D5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9" w:type="dxa"/>
                  <w:vMerge w:val="restart"/>
                  <w:noWrap w:val="0"/>
                  <w:vAlign w:val="center"/>
                </w:tcPr>
                <w:p w14:paraId="3F233FE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相关装置</w:t>
                  </w:r>
                </w:p>
              </w:tc>
              <w:tc>
                <w:tcPr>
                  <w:tcW w:w="1556" w:type="dxa"/>
                  <w:gridSpan w:val="2"/>
                  <w:noWrap w:val="0"/>
                  <w:vAlign w:val="center"/>
                </w:tcPr>
                <w:p w14:paraId="37E8EA57">
                  <w:pPr>
                    <w:jc w:val="both"/>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间隔扩建工程</w:t>
                  </w:r>
                </w:p>
              </w:tc>
              <w:tc>
                <w:tcPr>
                  <w:tcW w:w="6428" w:type="dxa"/>
                  <w:noWrap w:val="0"/>
                  <w:vAlign w:val="center"/>
                </w:tcPr>
                <w:p w14:paraId="3A45FD93">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lang w:val="en-US" w:eastAsia="zh-CN"/>
                    </w:rPr>
                    <w:t>新建云雾山330千伏变电站本期扩建110千伏出线间隔1个，位于 110千伏配电装置西起第19个出线间隔（19Y）。</w:t>
                  </w:r>
                </w:p>
              </w:tc>
            </w:tr>
            <w:tr w14:paraId="2EF05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689" w:type="dxa"/>
                  <w:vMerge w:val="continue"/>
                  <w:noWrap w:val="0"/>
                  <w:vAlign w:val="center"/>
                </w:tcPr>
                <w:p w14:paraId="616C362F">
                  <w:pPr>
                    <w:jc w:val="center"/>
                    <w:rPr>
                      <w:rFonts w:hint="default" w:ascii="Times New Roman" w:hAnsi="Times New Roman" w:cs="Times New Roman"/>
                      <w:color w:val="auto"/>
                      <w:sz w:val="21"/>
                      <w:szCs w:val="21"/>
                      <w:highlight w:val="none"/>
                    </w:rPr>
                  </w:pPr>
                </w:p>
              </w:tc>
              <w:tc>
                <w:tcPr>
                  <w:tcW w:w="1556" w:type="dxa"/>
                  <w:gridSpan w:val="2"/>
                  <w:noWrap w:val="0"/>
                  <w:vAlign w:val="center"/>
                </w:tcPr>
                <w:p w14:paraId="46DCFDB2">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11</w:t>
                  </w:r>
                  <w:r>
                    <w:rPr>
                      <w:rFonts w:hint="default" w:ascii="Times New Roman" w:hAnsi="Times New Roman" w:cs="Times New Roman"/>
                      <w:bCs/>
                      <w:color w:val="auto"/>
                      <w:sz w:val="21"/>
                      <w:szCs w:val="21"/>
                      <w:highlight w:val="none"/>
                    </w:rPr>
                    <w:t>0</w:t>
                  </w:r>
                  <w:r>
                    <w:rPr>
                      <w:rFonts w:hint="default" w:ascii="Times New Roman" w:hAnsi="Times New Roman" w:cs="Times New Roman"/>
                      <w:bCs/>
                      <w:color w:val="auto"/>
                      <w:sz w:val="21"/>
                      <w:szCs w:val="21"/>
                      <w:highlight w:val="none"/>
                      <w:lang w:val="en-US" w:eastAsia="zh-CN"/>
                    </w:rPr>
                    <w:t>千伏</w:t>
                  </w:r>
                  <w:r>
                    <w:rPr>
                      <w:rFonts w:hint="default" w:ascii="Times New Roman" w:hAnsi="Times New Roman" w:cs="Times New Roman"/>
                      <w:bCs/>
                      <w:color w:val="auto"/>
                      <w:sz w:val="21"/>
                      <w:szCs w:val="21"/>
                      <w:highlight w:val="none"/>
                    </w:rPr>
                    <w:t>输</w:t>
                  </w:r>
                </w:p>
                <w:p w14:paraId="40DD68B5">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电线路工程</w:t>
                  </w:r>
                </w:p>
              </w:tc>
              <w:tc>
                <w:tcPr>
                  <w:tcW w:w="6428" w:type="dxa"/>
                  <w:noWrap w:val="0"/>
                  <w:vAlign w:val="center"/>
                </w:tcPr>
                <w:p w14:paraId="18EE45F9">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Cs/>
                      <w:color w:val="auto"/>
                      <w:sz w:val="21"/>
                      <w:szCs w:val="21"/>
                      <w:highlight w:val="none"/>
                      <w:lang w:val="en-US" w:eastAsia="zh-CN"/>
                    </w:rPr>
                    <w:t>架空输电线路全长24.2km，其中，1×24.</w:t>
                  </w:r>
                  <w:r>
                    <w:rPr>
                      <w:rFonts w:hint="eastAsia" w:cs="Times New Roman"/>
                      <w:bCs/>
                      <w:color w:val="auto"/>
                      <w:sz w:val="21"/>
                      <w:szCs w:val="21"/>
                      <w:highlight w:val="none"/>
                      <w:lang w:val="en-US" w:eastAsia="zh-CN"/>
                    </w:rPr>
                    <w:t>15</w:t>
                  </w:r>
                  <w:r>
                    <w:rPr>
                      <w:rFonts w:hint="default" w:ascii="Times New Roman" w:hAnsi="Times New Roman" w:eastAsia="宋体" w:cs="Times New Roman"/>
                      <w:bCs/>
                      <w:color w:val="auto"/>
                      <w:sz w:val="21"/>
                      <w:szCs w:val="21"/>
                      <w:highlight w:val="none"/>
                      <w:lang w:val="en-US" w:eastAsia="zh-CN"/>
                    </w:rPr>
                    <w:t>km单回路架空+2×0.050km同塔双回架设单侧挂线，另一侧预留），电压等级为110千伏。</w:t>
                  </w:r>
                  <w:r>
                    <w:rPr>
                      <w:rFonts w:hint="default" w:ascii="Times New Roman" w:hAnsi="Times New Roman" w:eastAsia="宋体" w:cs="Times New Roman"/>
                      <w:color w:val="auto"/>
                      <w:kern w:val="0"/>
                      <w:sz w:val="21"/>
                      <w:szCs w:val="21"/>
                      <w:highlight w:val="none"/>
                      <w:lang w:val="en-US" w:eastAsia="zh-CN" w:bidi="ar"/>
                    </w:rPr>
                    <w:t>新建铁塔</w:t>
                  </w:r>
                  <w:r>
                    <w:rPr>
                      <w:rFonts w:hint="eastAsia" w:cs="Times New Roman"/>
                      <w:color w:val="auto"/>
                      <w:kern w:val="0"/>
                      <w:sz w:val="21"/>
                      <w:szCs w:val="21"/>
                      <w:highlight w:val="none"/>
                      <w:lang w:val="en-US" w:eastAsia="zh-CN" w:bidi="ar"/>
                    </w:rPr>
                    <w:t>82</w:t>
                  </w:r>
                  <w:r>
                    <w:rPr>
                      <w:rFonts w:hint="default" w:ascii="Times New Roman" w:hAnsi="Times New Roman" w:eastAsia="宋体" w:cs="Times New Roman"/>
                      <w:color w:val="auto"/>
                      <w:kern w:val="0"/>
                      <w:sz w:val="21"/>
                      <w:szCs w:val="21"/>
                      <w:highlight w:val="none"/>
                      <w:lang w:val="en-US" w:eastAsia="zh-CN" w:bidi="ar"/>
                    </w:rPr>
                    <w:t>基，其中：双回路耐张塔1基，单回路直线塔5</w:t>
                  </w:r>
                  <w:r>
                    <w:rPr>
                      <w:rFonts w:hint="eastAsia" w:cs="Times New Roman"/>
                      <w:color w:val="auto"/>
                      <w:kern w:val="0"/>
                      <w:sz w:val="21"/>
                      <w:szCs w:val="21"/>
                      <w:highlight w:val="none"/>
                      <w:lang w:val="en-US" w:eastAsia="zh-CN" w:bidi="ar"/>
                    </w:rPr>
                    <w:t>5</w:t>
                  </w:r>
                  <w:r>
                    <w:rPr>
                      <w:rFonts w:hint="default" w:ascii="Times New Roman" w:hAnsi="Times New Roman" w:eastAsia="宋体" w:cs="Times New Roman"/>
                      <w:color w:val="auto"/>
                      <w:kern w:val="0"/>
                      <w:sz w:val="21"/>
                      <w:szCs w:val="21"/>
                      <w:highlight w:val="none"/>
                      <w:lang w:val="en-US" w:eastAsia="zh-CN" w:bidi="ar"/>
                    </w:rPr>
                    <w:t>基，单回路耐张杆</w:t>
                  </w:r>
                  <w:r>
                    <w:rPr>
                      <w:rFonts w:hint="eastAsia" w:cs="Times New Roman"/>
                      <w:color w:val="auto"/>
                      <w:kern w:val="0"/>
                      <w:sz w:val="21"/>
                      <w:szCs w:val="21"/>
                      <w:highlight w:val="none"/>
                      <w:lang w:val="en-US" w:eastAsia="zh-CN" w:bidi="ar"/>
                    </w:rPr>
                    <w:t>26</w:t>
                  </w:r>
                  <w:r>
                    <w:rPr>
                      <w:rFonts w:hint="default" w:ascii="Times New Roman" w:hAnsi="Times New Roman" w:eastAsia="宋体" w:cs="Times New Roman"/>
                      <w:color w:val="auto"/>
                      <w:kern w:val="0"/>
                      <w:sz w:val="21"/>
                      <w:szCs w:val="21"/>
                      <w:highlight w:val="none"/>
                      <w:lang w:val="en-US" w:eastAsia="zh-CN" w:bidi="ar"/>
                    </w:rPr>
                    <w:t>基。</w:t>
                  </w:r>
                </w:p>
                <w:p w14:paraId="17C4F657">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导线采用2×JL3/G1A-240/30-24/7钢芯铝绞线。</w:t>
                  </w:r>
                </w:p>
                <w:p w14:paraId="6D2608FA">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地线采用2根24芯OPGW</w:t>
                  </w:r>
                  <w:r>
                    <w:rPr>
                      <w:rFonts w:hint="eastAsia" w:cs="Times New Roman"/>
                      <w:color w:val="auto"/>
                      <w:kern w:val="0"/>
                      <w:sz w:val="21"/>
                      <w:szCs w:val="21"/>
                      <w:highlight w:val="none"/>
                      <w:lang w:val="en-US" w:eastAsia="zh-CN" w:bidi="ar"/>
                    </w:rPr>
                    <w:t>-100光纤</w:t>
                  </w:r>
                  <w:r>
                    <w:rPr>
                      <w:rFonts w:hint="default" w:ascii="Times New Roman" w:hAnsi="Times New Roman" w:eastAsia="宋体" w:cs="Times New Roman"/>
                      <w:color w:val="auto"/>
                      <w:kern w:val="0"/>
                      <w:sz w:val="21"/>
                      <w:szCs w:val="21"/>
                      <w:highlight w:val="none"/>
                      <w:lang w:val="en-US" w:eastAsia="zh-CN" w:bidi="ar"/>
                    </w:rPr>
                    <w:t>复合架空地线</w:t>
                  </w:r>
                  <w:r>
                    <w:rPr>
                      <w:rFonts w:hint="eastAsia" w:cs="Times New Roman"/>
                      <w:color w:val="auto"/>
                      <w:kern w:val="0"/>
                      <w:sz w:val="21"/>
                      <w:szCs w:val="21"/>
                      <w:highlight w:val="none"/>
                      <w:lang w:val="en-US" w:eastAsia="zh-CN" w:bidi="ar"/>
                    </w:rPr>
                    <w:t>；跨越高速段地线采用2根72芯OPWG-15-120-2光纤复合架空地线</w:t>
                  </w:r>
                  <w:r>
                    <w:rPr>
                      <w:rFonts w:hint="default" w:ascii="Times New Roman" w:hAnsi="Times New Roman" w:eastAsia="宋体" w:cs="Times New Roman"/>
                      <w:color w:val="auto"/>
                      <w:kern w:val="0"/>
                      <w:sz w:val="21"/>
                      <w:szCs w:val="21"/>
                      <w:highlight w:val="none"/>
                      <w:lang w:val="en-US" w:eastAsia="zh-CN" w:bidi="ar"/>
                    </w:rPr>
                    <w:t>。</w:t>
                  </w:r>
                </w:p>
              </w:tc>
            </w:tr>
            <w:tr w14:paraId="69BF8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3" w:hRule="atLeast"/>
                <w:jc w:val="center"/>
              </w:trPr>
              <w:tc>
                <w:tcPr>
                  <w:tcW w:w="689" w:type="dxa"/>
                  <w:noWrap w:val="0"/>
                  <w:vAlign w:val="center"/>
                </w:tcPr>
                <w:p w14:paraId="1A39EB2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辅助工程</w:t>
                  </w:r>
                </w:p>
              </w:tc>
              <w:tc>
                <w:tcPr>
                  <w:tcW w:w="1556" w:type="dxa"/>
                  <w:gridSpan w:val="2"/>
                  <w:noWrap w:val="0"/>
                  <w:vAlign w:val="center"/>
                </w:tcPr>
                <w:p w14:paraId="7692F51C">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抬高改造工程</w:t>
                  </w:r>
                </w:p>
              </w:tc>
              <w:tc>
                <w:tcPr>
                  <w:tcW w:w="6428" w:type="dxa"/>
                  <w:noWrap w:val="0"/>
                  <w:vAlign w:val="center"/>
                </w:tcPr>
                <w:p w14:paraId="61E3C49C">
                  <w:pPr>
                    <w:keepNext w:val="0"/>
                    <w:keepLines w:val="0"/>
                    <w:pageBreakBefore w:val="0"/>
                    <w:widowControl w:val="0"/>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对110千伏清李Ⅰ线117#、118#直线塔、110千伏至李线96#、97#直线塔进行抬高改造。</w:t>
                  </w:r>
                  <w:r>
                    <w:rPr>
                      <w:rFonts w:hint="default" w:ascii="Times New Roman" w:hAnsi="Times New Roman" w:eastAsia="宋体" w:cs="Times New Roman"/>
                      <w:color w:val="auto"/>
                      <w:kern w:val="0"/>
                      <w:sz w:val="21"/>
                      <w:szCs w:val="21"/>
                      <w:highlight w:val="none"/>
                      <w:lang w:val="en-US" w:eastAsia="zh-CN" w:bidi="ar"/>
                    </w:rPr>
                    <w:br w:type="textWrapping"/>
                  </w:r>
                  <w:r>
                    <w:rPr>
                      <w:rFonts w:hint="default" w:ascii="Times New Roman" w:hAnsi="Times New Roman" w:eastAsia="宋体" w:cs="Times New Roman"/>
                      <w:color w:val="auto"/>
                      <w:kern w:val="0"/>
                      <w:sz w:val="21"/>
                      <w:szCs w:val="21"/>
                      <w:highlight w:val="none"/>
                      <w:lang w:val="en-US" w:eastAsia="zh-CN" w:bidi="ar"/>
                    </w:rPr>
                    <w:t>110千伏清李</w:t>
                  </w:r>
                  <w:r>
                    <w:rPr>
                      <w:rFonts w:hint="eastAsia" w:cs="Times New Roman"/>
                      <w:color w:val="auto"/>
                      <w:kern w:val="0"/>
                      <w:sz w:val="21"/>
                      <w:szCs w:val="21"/>
                      <w:highlight w:val="none"/>
                      <w:lang w:val="en-US" w:eastAsia="zh-CN" w:bidi="ar"/>
                    </w:rPr>
                    <w:t>I</w:t>
                  </w:r>
                  <w:r>
                    <w:rPr>
                      <w:rFonts w:hint="default" w:ascii="Times New Roman" w:hAnsi="Times New Roman" w:eastAsia="宋体" w:cs="Times New Roman"/>
                      <w:color w:val="auto"/>
                      <w:kern w:val="0"/>
                      <w:sz w:val="21"/>
                      <w:szCs w:val="21"/>
                      <w:highlight w:val="none"/>
                      <w:lang w:val="en-US" w:eastAsia="zh-CN" w:bidi="ar"/>
                    </w:rPr>
                    <w:t xml:space="preserve">线：新建直线铁塔2基，导线、地线利旧，紧线长度2.04km，拆除直线塔2基。 </w:t>
                  </w:r>
                </w:p>
                <w:p w14:paraId="0BF605A7">
                  <w:pPr>
                    <w:keepNext w:val="0"/>
                    <w:keepLines w:val="0"/>
                    <w:pageBreakBefore w:val="0"/>
                    <w:widowControl w:val="0"/>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110千伏至李线：新建直线铁塔2基，导线、地线利旧，紧线长度 2.06km，拆除直线塔2基。</w:t>
                  </w:r>
                </w:p>
              </w:tc>
            </w:tr>
            <w:tr w14:paraId="27511C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7" w:hRule="atLeast"/>
                <w:jc w:val="center"/>
              </w:trPr>
              <w:tc>
                <w:tcPr>
                  <w:tcW w:w="689" w:type="dxa"/>
                  <w:vMerge w:val="restart"/>
                  <w:noWrap w:val="0"/>
                  <w:vAlign w:val="center"/>
                </w:tcPr>
                <w:p w14:paraId="782C39A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临时</w:t>
                  </w:r>
                  <w:r>
                    <w:rPr>
                      <w:rFonts w:hint="default" w:ascii="Times New Roman" w:hAnsi="Times New Roman" w:eastAsia="宋体" w:cs="Times New Roman"/>
                      <w:color w:val="auto"/>
                      <w:sz w:val="21"/>
                      <w:szCs w:val="21"/>
                      <w:highlight w:val="none"/>
                    </w:rPr>
                    <w:t>工程</w:t>
                  </w:r>
                </w:p>
              </w:tc>
              <w:tc>
                <w:tcPr>
                  <w:tcW w:w="1556" w:type="dxa"/>
                  <w:gridSpan w:val="2"/>
                  <w:noWrap w:val="0"/>
                  <w:vAlign w:val="center"/>
                </w:tcPr>
                <w:p w14:paraId="3F3E79F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间隔扩建工程临时施工场地</w:t>
                  </w:r>
                </w:p>
              </w:tc>
              <w:tc>
                <w:tcPr>
                  <w:tcW w:w="6428" w:type="dxa"/>
                  <w:noWrap w:val="0"/>
                  <w:vAlign w:val="center"/>
                </w:tcPr>
                <w:p w14:paraId="767C9AA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间隔扩建工程临时施工场地位于云雾山变电站及租住民房区域内，不在站外另设临时施工场地。</w:t>
                  </w:r>
                </w:p>
              </w:tc>
            </w:tr>
            <w:tr w14:paraId="70FD8C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7" w:hRule="atLeast"/>
                <w:jc w:val="center"/>
              </w:trPr>
              <w:tc>
                <w:tcPr>
                  <w:tcW w:w="689" w:type="dxa"/>
                  <w:vMerge w:val="continue"/>
                  <w:noWrap w:val="0"/>
                  <w:vAlign w:val="center"/>
                </w:tcPr>
                <w:p w14:paraId="525D2B00">
                  <w:pPr>
                    <w:jc w:val="center"/>
                    <w:rPr>
                      <w:rFonts w:hint="default" w:ascii="Times New Roman" w:hAnsi="Times New Roman" w:eastAsia="宋体" w:cs="Times New Roman"/>
                      <w:color w:val="auto"/>
                      <w:sz w:val="21"/>
                      <w:szCs w:val="21"/>
                      <w:highlight w:val="none"/>
                    </w:rPr>
                  </w:pPr>
                </w:p>
              </w:tc>
              <w:tc>
                <w:tcPr>
                  <w:tcW w:w="1556" w:type="dxa"/>
                  <w:gridSpan w:val="2"/>
                  <w:noWrap w:val="0"/>
                  <w:vAlign w:val="center"/>
                </w:tcPr>
                <w:p w14:paraId="5642DD9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输电线路塔基施工作业区</w:t>
                  </w:r>
                </w:p>
              </w:tc>
              <w:tc>
                <w:tcPr>
                  <w:tcW w:w="6428" w:type="dxa"/>
                  <w:noWrap w:val="0"/>
                  <w:vAlign w:val="center"/>
                </w:tcPr>
                <w:p w14:paraId="6ABE464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塔基区仅限于塔基基础施工以及杆塔架设的临时堆放场地等施工场地占地范围内，塔基基础施工临时场地以单个塔基为单位零星布置在塔基区附近。拟设置</w:t>
                  </w:r>
                  <w:r>
                    <w:rPr>
                      <w:rFonts w:hint="eastAsia" w:cs="Times New Roman"/>
                      <w:color w:val="auto"/>
                      <w:sz w:val="21"/>
                      <w:szCs w:val="21"/>
                      <w:highlight w:val="none"/>
                      <w:lang w:val="en-US" w:eastAsia="zh-CN"/>
                    </w:rPr>
                    <w:t>90</w:t>
                  </w:r>
                  <w:r>
                    <w:rPr>
                      <w:rFonts w:hint="default" w:ascii="Times New Roman" w:hAnsi="Times New Roman" w:eastAsia="宋体" w:cs="Times New Roman"/>
                      <w:color w:val="auto"/>
                      <w:sz w:val="21"/>
                      <w:szCs w:val="21"/>
                      <w:highlight w:val="none"/>
                      <w:lang w:val="en-US" w:eastAsia="zh-CN"/>
                    </w:rPr>
                    <w:t>处塔基临时施工场地，</w:t>
                  </w:r>
                  <w:r>
                    <w:rPr>
                      <w:rFonts w:hint="eastAsia" w:cs="Times New Roman"/>
                      <w:color w:val="auto"/>
                      <w:sz w:val="21"/>
                      <w:szCs w:val="21"/>
                      <w:highlight w:val="none"/>
                      <w:lang w:val="en-US" w:eastAsia="zh-CN"/>
                    </w:rPr>
                    <w:t>主要包含86</w:t>
                  </w:r>
                  <w:r>
                    <w:rPr>
                      <w:rFonts w:hint="default" w:ascii="Times New Roman" w:hAnsi="Times New Roman" w:eastAsia="宋体" w:cs="Times New Roman"/>
                      <w:color w:val="auto"/>
                      <w:sz w:val="21"/>
                      <w:szCs w:val="21"/>
                      <w:highlight w:val="none"/>
                      <w:lang w:val="en-US" w:eastAsia="zh-CN"/>
                    </w:rPr>
                    <w:t>处新建塔基临时施工场地</w:t>
                  </w:r>
                  <w:r>
                    <w:rPr>
                      <w:rFonts w:hint="eastAsia" w:cs="Times New Roman"/>
                      <w:color w:val="auto"/>
                      <w:sz w:val="21"/>
                      <w:szCs w:val="21"/>
                      <w:highlight w:val="none"/>
                      <w:lang w:val="en-US" w:eastAsia="zh-CN"/>
                    </w:rPr>
                    <w:t>和4</w:t>
                  </w:r>
                  <w:r>
                    <w:rPr>
                      <w:rFonts w:hint="default" w:ascii="Times New Roman" w:hAnsi="Times New Roman" w:eastAsia="宋体" w:cs="Times New Roman"/>
                      <w:color w:val="auto"/>
                      <w:sz w:val="21"/>
                      <w:szCs w:val="21"/>
                      <w:highlight w:val="none"/>
                      <w:lang w:val="en-US" w:eastAsia="zh-CN"/>
                    </w:rPr>
                    <w:t>处抬高改造工程</w:t>
                  </w:r>
                  <w:r>
                    <w:rPr>
                      <w:rFonts w:hint="eastAsia" w:cs="Times New Roman"/>
                      <w:color w:val="auto"/>
                      <w:sz w:val="21"/>
                      <w:szCs w:val="21"/>
                      <w:highlight w:val="none"/>
                      <w:lang w:val="en-US" w:eastAsia="zh-CN"/>
                    </w:rPr>
                    <w:t>拆除</w:t>
                  </w:r>
                  <w:r>
                    <w:rPr>
                      <w:rFonts w:hint="default" w:ascii="Times New Roman" w:hAnsi="Times New Roman" w:eastAsia="宋体" w:cs="Times New Roman"/>
                      <w:color w:val="auto"/>
                      <w:sz w:val="21"/>
                      <w:szCs w:val="21"/>
                      <w:highlight w:val="none"/>
                      <w:lang w:val="en-US" w:eastAsia="zh-CN"/>
                    </w:rPr>
                    <w:t>塔基临时施工场地。塔基施工作业区总占地面积为7.9240hm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r>
            <w:tr w14:paraId="2BDC8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6" w:hRule="atLeast"/>
                <w:jc w:val="center"/>
              </w:trPr>
              <w:tc>
                <w:tcPr>
                  <w:tcW w:w="689" w:type="dxa"/>
                  <w:vMerge w:val="continue"/>
                  <w:noWrap w:val="0"/>
                  <w:vAlign w:val="center"/>
                </w:tcPr>
                <w:p w14:paraId="142B1F0D">
                  <w:pPr>
                    <w:jc w:val="center"/>
                    <w:rPr>
                      <w:rFonts w:hint="default" w:ascii="Times New Roman" w:hAnsi="Times New Roman" w:eastAsia="宋体" w:cs="Times New Roman"/>
                      <w:color w:val="auto"/>
                      <w:sz w:val="21"/>
                      <w:szCs w:val="21"/>
                      <w:highlight w:val="none"/>
                      <w:lang w:val="en-US" w:eastAsia="zh-CN"/>
                    </w:rPr>
                  </w:pPr>
                </w:p>
              </w:tc>
              <w:tc>
                <w:tcPr>
                  <w:tcW w:w="1556" w:type="dxa"/>
                  <w:gridSpan w:val="2"/>
                  <w:noWrap w:val="0"/>
                  <w:vAlign w:val="center"/>
                </w:tcPr>
                <w:p w14:paraId="1B08805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塔基拆除区域</w:t>
                  </w:r>
                </w:p>
              </w:tc>
              <w:tc>
                <w:tcPr>
                  <w:tcW w:w="6428" w:type="dxa"/>
                  <w:noWrap w:val="0"/>
                  <w:vAlign w:val="center"/>
                </w:tcPr>
                <w:p w14:paraId="690425E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拆除工程施工作业量较小，临时占地布置在拆除杆塔附近。</w:t>
                  </w:r>
                </w:p>
              </w:tc>
            </w:tr>
            <w:tr w14:paraId="79B8B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89" w:type="dxa"/>
                  <w:vMerge w:val="continue"/>
                  <w:noWrap w:val="0"/>
                  <w:vAlign w:val="center"/>
                </w:tcPr>
                <w:p w14:paraId="0F162EB4">
                  <w:pPr>
                    <w:jc w:val="left"/>
                    <w:rPr>
                      <w:rFonts w:hint="default" w:ascii="Times New Roman" w:hAnsi="Times New Roman" w:cs="Times New Roman"/>
                      <w:color w:val="auto"/>
                      <w:sz w:val="21"/>
                      <w:szCs w:val="21"/>
                      <w:highlight w:val="none"/>
                    </w:rPr>
                  </w:pPr>
                </w:p>
              </w:tc>
              <w:tc>
                <w:tcPr>
                  <w:tcW w:w="1556" w:type="dxa"/>
                  <w:gridSpan w:val="2"/>
                  <w:noWrap w:val="0"/>
                  <w:vAlign w:val="center"/>
                </w:tcPr>
                <w:p w14:paraId="02BEC35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牵张场</w:t>
                  </w:r>
                </w:p>
              </w:tc>
              <w:tc>
                <w:tcPr>
                  <w:tcW w:w="6428" w:type="dxa"/>
                  <w:noWrap w:val="0"/>
                  <w:vAlign w:val="center"/>
                </w:tcPr>
                <w:p w14:paraId="4066602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采用张力放线，牵张场共设置6处，分别在13#、55#、40#、47#、22#、13#杆塔附近，牵张场总占地面积为0.4202hm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r>
            <w:tr w14:paraId="628560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89" w:type="dxa"/>
                  <w:vMerge w:val="continue"/>
                  <w:noWrap w:val="0"/>
                  <w:vAlign w:val="center"/>
                </w:tcPr>
                <w:p w14:paraId="56783CDA">
                  <w:pPr>
                    <w:jc w:val="left"/>
                    <w:rPr>
                      <w:rFonts w:hint="default" w:ascii="Times New Roman" w:hAnsi="Times New Roman" w:cs="Times New Roman"/>
                      <w:color w:val="auto"/>
                      <w:sz w:val="21"/>
                      <w:szCs w:val="21"/>
                      <w:highlight w:val="none"/>
                    </w:rPr>
                  </w:pPr>
                </w:p>
              </w:tc>
              <w:tc>
                <w:tcPr>
                  <w:tcW w:w="1556" w:type="dxa"/>
                  <w:gridSpan w:val="2"/>
                  <w:noWrap w:val="0"/>
                  <w:vAlign w:val="center"/>
                </w:tcPr>
                <w:p w14:paraId="7EFFE5E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跨越架</w:t>
                  </w:r>
                </w:p>
              </w:tc>
              <w:tc>
                <w:tcPr>
                  <w:tcW w:w="6428" w:type="dxa"/>
                  <w:noWrap w:val="0"/>
                  <w:vAlign w:val="center"/>
                </w:tcPr>
                <w:p w14:paraId="5B5754C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线路在跨越电力线路、公路处需要设置跨越架，拟设置11处跨越架，分别在65#-66#杆塔间设置2处，55#-56#杆塔间设置2处、29#-30#杆塔间设置1处、22#-23#杆塔间设置2处、16#-17#杆塔间设置2处、8#-9#杆塔间设置2处。跨越架总占地面积为0.0792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r>
            <w:tr w14:paraId="355F8C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89" w:type="dxa"/>
                  <w:vMerge w:val="continue"/>
                  <w:noWrap w:val="0"/>
                  <w:vAlign w:val="center"/>
                </w:tcPr>
                <w:p w14:paraId="104ACFA4">
                  <w:pPr>
                    <w:jc w:val="left"/>
                    <w:rPr>
                      <w:rFonts w:hint="default" w:ascii="Times New Roman" w:hAnsi="Times New Roman" w:cs="Times New Roman"/>
                      <w:color w:val="auto"/>
                      <w:sz w:val="21"/>
                      <w:szCs w:val="21"/>
                      <w:highlight w:val="none"/>
                    </w:rPr>
                  </w:pPr>
                </w:p>
              </w:tc>
              <w:tc>
                <w:tcPr>
                  <w:tcW w:w="1556" w:type="dxa"/>
                  <w:gridSpan w:val="2"/>
                  <w:noWrap w:val="0"/>
                  <w:vAlign w:val="center"/>
                </w:tcPr>
                <w:p w14:paraId="78E9FE7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临时施工便道</w:t>
                  </w:r>
                </w:p>
              </w:tc>
              <w:tc>
                <w:tcPr>
                  <w:tcW w:w="6428" w:type="dxa"/>
                  <w:noWrap w:val="0"/>
                  <w:vAlign w:val="center"/>
                </w:tcPr>
                <w:p w14:paraId="3F6C43B7">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根据施工现场道路现状，尽量利用现有道路，在不具备施工运输条件的杆塔附近沿线设置临时施工便道长22.02m，宽4m（含农用地表土剥离宽度0.5m），施工结束后恢复原有使用功能。临时施工便道总占地面积为3.7860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p>
              </w:tc>
            </w:tr>
            <w:tr w14:paraId="305A7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89" w:type="dxa"/>
                  <w:vMerge w:val="continue"/>
                  <w:noWrap w:val="0"/>
                  <w:vAlign w:val="center"/>
                </w:tcPr>
                <w:p w14:paraId="0E2B80DC">
                  <w:pPr>
                    <w:jc w:val="center"/>
                    <w:rPr>
                      <w:rFonts w:hint="default" w:ascii="Times New Roman" w:hAnsi="Times New Roman" w:eastAsia="宋体" w:cs="Times New Roman"/>
                      <w:color w:val="auto"/>
                      <w:sz w:val="21"/>
                      <w:szCs w:val="21"/>
                      <w:highlight w:val="none"/>
                    </w:rPr>
                  </w:pPr>
                </w:p>
              </w:tc>
              <w:tc>
                <w:tcPr>
                  <w:tcW w:w="1556" w:type="dxa"/>
                  <w:gridSpan w:val="2"/>
                  <w:noWrap w:val="0"/>
                  <w:vAlign w:val="center"/>
                </w:tcPr>
                <w:p w14:paraId="42ADD35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施工营地</w:t>
                  </w:r>
                </w:p>
              </w:tc>
              <w:tc>
                <w:tcPr>
                  <w:tcW w:w="6428" w:type="dxa"/>
                  <w:noWrap w:val="0"/>
                  <w:vAlign w:val="center"/>
                </w:tcPr>
                <w:p w14:paraId="6DE71E23">
                  <w:pPr>
                    <w:keepNext w:val="0"/>
                    <w:keepLines w:val="0"/>
                    <w:pageBreakBefore w:val="0"/>
                    <w:widowControl w:val="0"/>
                    <w:kinsoku/>
                    <w:wordWrap/>
                    <w:overflowPunct/>
                    <w:topLinePunct w:val="0"/>
                    <w:autoSpaceDE/>
                    <w:autoSpaceDN/>
                    <w:bidi w:val="0"/>
                    <w:adjustRightInd w:val="0"/>
                    <w:snapToGrid w:val="0"/>
                    <w:jc w:val="both"/>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由于云雾山330千伏变电站拟计划于2026年5月投运，6月完成所有的临时占地恢复工作，因此</w:t>
                  </w: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间隔扩建工程施工期不能依托云雾山变电站的临时施工营地作为</w:t>
                  </w:r>
                  <w:r>
                    <w:rPr>
                      <w:rFonts w:hint="default" w:ascii="Times New Roman" w:hAnsi="Times New Roman" w:eastAsia="宋体" w:cs="Times New Roman"/>
                      <w:color w:val="auto"/>
                      <w:sz w:val="21"/>
                      <w:szCs w:val="21"/>
                      <w:highlight w:val="none"/>
                      <w:lang w:val="en-US" w:eastAsia="zh-CN"/>
                    </w:rPr>
                    <w:t>办公生活区及设备材料临时堆放场所</w:t>
                  </w:r>
                  <w:r>
                    <w:rPr>
                      <w:rFonts w:hint="eastAsia" w:cs="Times New Roman"/>
                      <w:color w:val="auto"/>
                      <w:sz w:val="21"/>
                      <w:szCs w:val="21"/>
                      <w:highlight w:val="none"/>
                      <w:lang w:val="en-US" w:eastAsia="zh-CN"/>
                    </w:rPr>
                    <w:t>。</w:t>
                  </w:r>
                </w:p>
                <w:p w14:paraId="6889893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本期间隔扩建工程施工期</w:t>
                  </w:r>
                  <w:r>
                    <w:rPr>
                      <w:rFonts w:hint="default" w:ascii="Times New Roman" w:hAnsi="Times New Roman" w:eastAsia="宋体" w:cs="Times New Roman"/>
                      <w:color w:val="auto"/>
                      <w:sz w:val="21"/>
                      <w:szCs w:val="21"/>
                      <w:highlight w:val="none"/>
                      <w:lang w:val="en-US" w:eastAsia="zh-CN"/>
                    </w:rPr>
                    <w:t>不设施工营地，租用当地民房作为施工营地，内设办公生活区及设备材料临时堆放场所。</w:t>
                  </w:r>
                </w:p>
              </w:tc>
            </w:tr>
            <w:tr w14:paraId="696148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89" w:type="dxa"/>
                  <w:vMerge w:val="restart"/>
                  <w:noWrap w:val="0"/>
                  <w:vAlign w:val="center"/>
                </w:tcPr>
                <w:p w14:paraId="5DD9AABA">
                  <w:pPr>
                    <w:autoSpaceDE w:val="0"/>
                    <w:autoSpaceDN w:val="0"/>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环保工程</w:t>
                  </w:r>
                </w:p>
              </w:tc>
              <w:tc>
                <w:tcPr>
                  <w:tcW w:w="393" w:type="dxa"/>
                  <w:vMerge w:val="restart"/>
                  <w:noWrap w:val="0"/>
                  <w:vAlign w:val="center"/>
                </w:tcPr>
                <w:p w14:paraId="49B62D3B">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w:t>
                  </w:r>
                </w:p>
              </w:tc>
              <w:tc>
                <w:tcPr>
                  <w:tcW w:w="1163" w:type="dxa"/>
                  <w:noWrap w:val="0"/>
                  <w:vAlign w:val="center"/>
                </w:tcPr>
                <w:p w14:paraId="42938FC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生态防</w:t>
                  </w:r>
                </w:p>
                <w:p w14:paraId="67D9E65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护措施</w:t>
                  </w:r>
                </w:p>
              </w:tc>
              <w:tc>
                <w:tcPr>
                  <w:tcW w:w="6428" w:type="dxa"/>
                  <w:noWrap w:val="0"/>
                  <w:vAlign w:val="center"/>
                </w:tcPr>
                <w:p w14:paraId="6FD930C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间隔扩建施工区域设置施工围栏，控制施工作业范围，避开雨季施工。</w:t>
                  </w:r>
                </w:p>
                <w:p w14:paraId="1F9D397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输电线路施工时保存塔基开挖处的表层土，并按照原土层的顺序回填；根据当地地形合理选择塔基位置，将塔基尽量设置在空地、植被较少的区域；充分利用现有道路，尽量减少修建临时施工便道；线路经过林地区域加大线路档距，减少林地的占用，采用高跨的方式通过，线路走廊下不涉及林木砍伐，保护生态环境；线路经过耕地、林地、草地、园地等区域进行表土剥离、单独存放并采取相应的保护措施，施工结束后用于临时占地植被恢复使用；线路施工完成后，对施工过程中临时占用的土地，及时恢复原有土地功能或植被。</w:t>
                  </w:r>
                </w:p>
              </w:tc>
            </w:tr>
            <w:tr w14:paraId="039A86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89" w:type="dxa"/>
                  <w:vMerge w:val="continue"/>
                  <w:noWrap w:val="0"/>
                  <w:vAlign w:val="center"/>
                </w:tcPr>
                <w:p w14:paraId="6C8CA397">
                  <w:pPr>
                    <w:autoSpaceDE w:val="0"/>
                    <w:autoSpaceDN w:val="0"/>
                    <w:adjustRightInd w:val="0"/>
                    <w:snapToGrid w:val="0"/>
                    <w:jc w:val="center"/>
                    <w:rPr>
                      <w:rFonts w:hint="default" w:ascii="Times New Roman" w:hAnsi="Times New Roman" w:cs="Times New Roman"/>
                      <w:color w:val="auto"/>
                      <w:sz w:val="21"/>
                      <w:szCs w:val="21"/>
                      <w:highlight w:val="none"/>
                    </w:rPr>
                  </w:pPr>
                </w:p>
              </w:tc>
              <w:tc>
                <w:tcPr>
                  <w:tcW w:w="393" w:type="dxa"/>
                  <w:vMerge w:val="continue"/>
                  <w:noWrap w:val="0"/>
                  <w:vAlign w:val="center"/>
                </w:tcPr>
                <w:p w14:paraId="2DE38C8D">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p>
              </w:tc>
              <w:tc>
                <w:tcPr>
                  <w:tcW w:w="1163" w:type="dxa"/>
                  <w:noWrap w:val="0"/>
                  <w:vAlign w:val="center"/>
                </w:tcPr>
                <w:p w14:paraId="08064AA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废水治</w:t>
                  </w:r>
                </w:p>
                <w:p w14:paraId="3E7848B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理设施</w:t>
                  </w:r>
                </w:p>
              </w:tc>
              <w:tc>
                <w:tcPr>
                  <w:tcW w:w="6428" w:type="dxa"/>
                  <w:noWrap w:val="0"/>
                  <w:vAlign w:val="center"/>
                </w:tcPr>
                <w:p w14:paraId="37798EA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施工期采用商品混凝土，无施工废水产生；②施工期不设施工营地，租用当地民房作为施工营地，变电站内施工人员产生的少量生活污水依托站内已建的化粪池进行处理；线路施工人员产生的生活污水依托居住地污水处理措施处理。</w:t>
                  </w:r>
                </w:p>
              </w:tc>
            </w:tr>
            <w:tr w14:paraId="31C1C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89" w:type="dxa"/>
                  <w:vMerge w:val="continue"/>
                  <w:noWrap w:val="0"/>
                  <w:vAlign w:val="center"/>
                </w:tcPr>
                <w:p w14:paraId="04D6E15B">
                  <w:pPr>
                    <w:jc w:val="center"/>
                    <w:rPr>
                      <w:rFonts w:hint="default" w:ascii="Times New Roman" w:hAnsi="Times New Roman" w:cs="Times New Roman"/>
                      <w:b/>
                      <w:color w:val="auto"/>
                      <w:sz w:val="21"/>
                      <w:szCs w:val="21"/>
                      <w:highlight w:val="none"/>
                    </w:rPr>
                  </w:pPr>
                </w:p>
              </w:tc>
              <w:tc>
                <w:tcPr>
                  <w:tcW w:w="393" w:type="dxa"/>
                  <w:vMerge w:val="continue"/>
                  <w:noWrap w:val="0"/>
                  <w:vAlign w:val="center"/>
                </w:tcPr>
                <w:p w14:paraId="0CB07D11">
                  <w:pPr>
                    <w:jc w:val="center"/>
                    <w:rPr>
                      <w:rFonts w:hint="default" w:ascii="Times New Roman" w:hAnsi="Times New Roman" w:cs="Times New Roman"/>
                      <w:bCs/>
                      <w:color w:val="auto"/>
                      <w:sz w:val="21"/>
                      <w:szCs w:val="21"/>
                      <w:highlight w:val="none"/>
                    </w:rPr>
                  </w:pPr>
                </w:p>
              </w:tc>
              <w:tc>
                <w:tcPr>
                  <w:tcW w:w="1163" w:type="dxa"/>
                  <w:noWrap w:val="0"/>
                  <w:vAlign w:val="center"/>
                </w:tcPr>
                <w:p w14:paraId="148A1ED1">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扬尘</w:t>
                  </w:r>
                  <w:r>
                    <w:rPr>
                      <w:rFonts w:hint="default" w:ascii="Times New Roman" w:hAnsi="Times New Roman" w:cs="Times New Roman"/>
                      <w:color w:val="auto"/>
                      <w:sz w:val="21"/>
                      <w:szCs w:val="21"/>
                      <w:highlight w:val="none"/>
                    </w:rPr>
                    <w:t>治</w:t>
                  </w:r>
                </w:p>
                <w:p w14:paraId="20B5682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理措施</w:t>
                  </w:r>
                </w:p>
              </w:tc>
              <w:tc>
                <w:tcPr>
                  <w:tcW w:w="6428" w:type="dxa"/>
                  <w:noWrap w:val="0"/>
                  <w:vAlign w:val="center"/>
                </w:tcPr>
                <w:p w14:paraId="62020BCD">
                  <w:pPr>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间隔扩建工程在变电站内进行，</w:t>
                  </w:r>
                  <w:r>
                    <w:rPr>
                      <w:rFonts w:hint="default" w:ascii="Times New Roman" w:hAnsi="Times New Roman" w:eastAsia="宋体" w:cs="Times New Roman"/>
                      <w:color w:val="auto"/>
                      <w:spacing w:val="0"/>
                      <w:sz w:val="21"/>
                      <w:szCs w:val="21"/>
                      <w:highlight w:val="none"/>
                    </w:rPr>
                    <w:t>临时土方采取苫盖措施；施工场地及进站道路定期洒水降尘</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lang w:val="en-US" w:eastAsia="zh-CN"/>
                    </w:rPr>
                    <w:t>输电线路</w:t>
                  </w:r>
                  <w:r>
                    <w:rPr>
                      <w:rFonts w:hint="default" w:ascii="Times New Roman" w:hAnsi="Times New Roman" w:eastAsia="宋体" w:cs="Times New Roman"/>
                      <w:color w:val="auto"/>
                      <w:sz w:val="21"/>
                      <w:szCs w:val="21"/>
                      <w:highlight w:val="none"/>
                    </w:rPr>
                    <w:t>施工现场及</w:t>
                  </w:r>
                  <w:r>
                    <w:rPr>
                      <w:rFonts w:hint="default" w:ascii="Times New Roman" w:hAnsi="Times New Roman" w:eastAsia="宋体" w:cs="Times New Roman"/>
                      <w:color w:val="auto"/>
                      <w:sz w:val="21"/>
                      <w:szCs w:val="21"/>
                      <w:highlight w:val="none"/>
                      <w:lang w:val="en-US" w:eastAsia="zh-CN"/>
                    </w:rPr>
                    <w:t>临时</w:t>
                  </w:r>
                  <w:r>
                    <w:rPr>
                      <w:rFonts w:hint="default" w:ascii="Times New Roman" w:hAnsi="Times New Roman" w:eastAsia="宋体" w:cs="Times New Roman"/>
                      <w:color w:val="auto"/>
                      <w:sz w:val="21"/>
                      <w:szCs w:val="21"/>
                      <w:highlight w:val="none"/>
                    </w:rPr>
                    <w:t>施工道路</w:t>
                  </w:r>
                  <w:r>
                    <w:rPr>
                      <w:rFonts w:hint="default" w:ascii="Times New Roman" w:hAnsi="Times New Roman" w:eastAsia="宋体" w:cs="Times New Roman"/>
                      <w:color w:val="auto"/>
                      <w:sz w:val="21"/>
                      <w:szCs w:val="21"/>
                      <w:highlight w:val="none"/>
                      <w:lang w:val="en-US" w:eastAsia="zh-CN"/>
                    </w:rPr>
                    <w:t>及时洒水抑尘措施，开挖土方分层堆放，采用密目网苫盖，施工结束后分层回填；运输车辆加盖篷布等措施。</w:t>
                  </w:r>
                </w:p>
              </w:tc>
            </w:tr>
            <w:tr w14:paraId="2C820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89" w:type="dxa"/>
                  <w:vMerge w:val="continue"/>
                  <w:noWrap w:val="0"/>
                  <w:vAlign w:val="center"/>
                </w:tcPr>
                <w:p w14:paraId="00735FF1">
                  <w:pPr>
                    <w:jc w:val="center"/>
                    <w:rPr>
                      <w:rFonts w:hint="default" w:ascii="Times New Roman" w:hAnsi="Times New Roman" w:cs="Times New Roman"/>
                      <w:b/>
                      <w:color w:val="auto"/>
                      <w:sz w:val="21"/>
                      <w:szCs w:val="21"/>
                      <w:highlight w:val="none"/>
                    </w:rPr>
                  </w:pPr>
                </w:p>
              </w:tc>
              <w:tc>
                <w:tcPr>
                  <w:tcW w:w="393" w:type="dxa"/>
                  <w:vMerge w:val="continue"/>
                  <w:noWrap w:val="0"/>
                  <w:vAlign w:val="center"/>
                </w:tcPr>
                <w:p w14:paraId="361D3656">
                  <w:pPr>
                    <w:jc w:val="center"/>
                    <w:rPr>
                      <w:rFonts w:hint="default" w:ascii="Times New Roman" w:hAnsi="Times New Roman" w:cs="Times New Roman"/>
                      <w:bCs/>
                      <w:color w:val="auto"/>
                      <w:sz w:val="21"/>
                      <w:szCs w:val="21"/>
                      <w:highlight w:val="none"/>
                    </w:rPr>
                  </w:pPr>
                </w:p>
              </w:tc>
              <w:tc>
                <w:tcPr>
                  <w:tcW w:w="1163" w:type="dxa"/>
                  <w:noWrap w:val="0"/>
                  <w:vAlign w:val="center"/>
                </w:tcPr>
                <w:p w14:paraId="2F5EA0E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p w14:paraId="3B9835BC">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防治措施</w:t>
                  </w:r>
                </w:p>
              </w:tc>
              <w:tc>
                <w:tcPr>
                  <w:tcW w:w="6428" w:type="dxa"/>
                  <w:noWrap w:val="0"/>
                  <w:vAlign w:val="center"/>
                </w:tcPr>
                <w:p w14:paraId="4DA5AEDD">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间隔扩建在变电站内施工，围墙隔声；</w:t>
                  </w:r>
                  <w:r>
                    <w:rPr>
                      <w:rFonts w:hint="default" w:ascii="Times New Roman" w:hAnsi="Times New Roman" w:eastAsia="宋体" w:cs="Times New Roman"/>
                      <w:color w:val="auto"/>
                      <w:sz w:val="21"/>
                      <w:szCs w:val="21"/>
                      <w:highlight w:val="none"/>
                    </w:rPr>
                    <w:t>施工选取低噪声设备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合理安排施工时间；</w:t>
                  </w:r>
                  <w:r>
                    <w:rPr>
                      <w:rFonts w:hint="default" w:ascii="Times New Roman" w:hAnsi="Times New Roman" w:eastAsia="宋体" w:cs="Times New Roman"/>
                      <w:color w:val="auto"/>
                      <w:sz w:val="21"/>
                      <w:szCs w:val="21"/>
                      <w:highlight w:val="none"/>
                      <w:lang w:eastAsia="zh-CN"/>
                    </w:rPr>
                    <w:t>运输路线</w:t>
                  </w:r>
                  <w:r>
                    <w:rPr>
                      <w:rFonts w:hint="default" w:ascii="Times New Roman" w:hAnsi="Times New Roman" w:eastAsia="宋体" w:cs="Times New Roman"/>
                      <w:color w:val="auto"/>
                      <w:sz w:val="21"/>
                      <w:szCs w:val="21"/>
                      <w:highlight w:val="none"/>
                      <w:lang w:val="en-US" w:eastAsia="zh-CN"/>
                    </w:rPr>
                    <w:t>经过</w:t>
                  </w:r>
                  <w:r>
                    <w:rPr>
                      <w:rFonts w:hint="default" w:ascii="Times New Roman" w:hAnsi="Times New Roman" w:eastAsia="宋体" w:cs="Times New Roman"/>
                      <w:color w:val="auto"/>
                      <w:sz w:val="21"/>
                      <w:szCs w:val="21"/>
                      <w:highlight w:val="none"/>
                      <w:lang w:eastAsia="zh-CN"/>
                    </w:rPr>
                    <w:t>敏感点</w:t>
                  </w:r>
                  <w:r>
                    <w:rPr>
                      <w:rFonts w:hint="default" w:ascii="Times New Roman" w:hAnsi="Times New Roman" w:eastAsia="宋体" w:cs="Times New Roman"/>
                      <w:color w:val="auto"/>
                      <w:sz w:val="21"/>
                      <w:szCs w:val="21"/>
                      <w:highlight w:val="none"/>
                      <w:lang w:val="en-US" w:eastAsia="zh-CN"/>
                    </w:rPr>
                    <w:t>时限制车速、禁止鸣笛</w:t>
                  </w:r>
                  <w:r>
                    <w:rPr>
                      <w:rFonts w:hint="default" w:ascii="Times New Roman" w:hAnsi="Times New Roman" w:eastAsia="宋体" w:cs="Times New Roman"/>
                      <w:color w:val="auto"/>
                      <w:sz w:val="21"/>
                      <w:szCs w:val="21"/>
                      <w:highlight w:val="none"/>
                      <w:lang w:eastAsia="zh-CN"/>
                    </w:rPr>
                    <w:t>。</w:t>
                  </w:r>
                </w:p>
              </w:tc>
            </w:tr>
            <w:tr w14:paraId="48B3C9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89" w:type="dxa"/>
                  <w:vMerge w:val="continue"/>
                  <w:noWrap w:val="0"/>
                  <w:vAlign w:val="center"/>
                </w:tcPr>
                <w:p w14:paraId="3D3731C8">
                  <w:pPr>
                    <w:jc w:val="center"/>
                    <w:rPr>
                      <w:rFonts w:hint="default" w:ascii="Times New Roman" w:hAnsi="Times New Roman" w:cs="Times New Roman"/>
                      <w:b/>
                      <w:color w:val="auto"/>
                      <w:sz w:val="21"/>
                      <w:szCs w:val="21"/>
                      <w:highlight w:val="none"/>
                    </w:rPr>
                  </w:pPr>
                </w:p>
              </w:tc>
              <w:tc>
                <w:tcPr>
                  <w:tcW w:w="393" w:type="dxa"/>
                  <w:vMerge w:val="continue"/>
                  <w:noWrap w:val="0"/>
                  <w:vAlign w:val="center"/>
                </w:tcPr>
                <w:p w14:paraId="5F0D9F41">
                  <w:pPr>
                    <w:jc w:val="center"/>
                    <w:rPr>
                      <w:rFonts w:hint="default" w:ascii="Times New Roman" w:hAnsi="Times New Roman" w:cs="Times New Roman"/>
                      <w:bCs/>
                      <w:color w:val="auto"/>
                      <w:sz w:val="21"/>
                      <w:szCs w:val="21"/>
                      <w:highlight w:val="none"/>
                    </w:rPr>
                  </w:pPr>
                </w:p>
              </w:tc>
              <w:tc>
                <w:tcPr>
                  <w:tcW w:w="1163" w:type="dxa"/>
                  <w:noWrap w:val="0"/>
                  <w:vAlign w:val="center"/>
                </w:tcPr>
                <w:p w14:paraId="1981C03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w:t>
                  </w:r>
                  <w:r>
                    <w:rPr>
                      <w:rFonts w:hint="default" w:ascii="Times New Roman" w:hAnsi="Times New Roman" w:cs="Times New Roman"/>
                      <w:color w:val="auto"/>
                      <w:sz w:val="21"/>
                      <w:szCs w:val="21"/>
                      <w:highlight w:val="none"/>
                      <w:lang w:val="en-US" w:eastAsia="zh-CN"/>
                    </w:rPr>
                    <w:t>处置设施/措</w:t>
                  </w:r>
                  <w:r>
                    <w:rPr>
                      <w:rFonts w:hint="default" w:ascii="Times New Roman" w:hAnsi="Times New Roman" w:cs="Times New Roman"/>
                      <w:color w:val="auto"/>
                      <w:sz w:val="21"/>
                      <w:szCs w:val="21"/>
                      <w:highlight w:val="none"/>
                    </w:rPr>
                    <w:t>施</w:t>
                  </w:r>
                </w:p>
              </w:tc>
              <w:tc>
                <w:tcPr>
                  <w:tcW w:w="6428" w:type="dxa"/>
                  <w:noWrap w:val="0"/>
                  <w:vAlign w:val="center"/>
                </w:tcPr>
                <w:p w14:paraId="020AE4B6">
                  <w:pPr>
                    <w:jc w:val="both"/>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pacing w:val="9"/>
                      <w:sz w:val="21"/>
                      <w:szCs w:val="21"/>
                      <w:highlight w:val="none"/>
                      <w:lang w:val="en-US" w:eastAsia="zh-CN"/>
                    </w:rPr>
                    <w:t>①</w:t>
                  </w:r>
                  <w:r>
                    <w:rPr>
                      <w:rFonts w:hint="default" w:ascii="Times New Roman" w:hAnsi="Times New Roman" w:eastAsia="宋体" w:cs="Times New Roman"/>
                      <w:color w:val="auto"/>
                      <w:sz w:val="21"/>
                      <w:szCs w:val="21"/>
                      <w:lang w:val="en-US" w:eastAsia="zh-CN"/>
                    </w:rPr>
                    <w:t>间隔扩建工程</w:t>
                  </w:r>
                  <w:r>
                    <w:rPr>
                      <w:rFonts w:hint="default" w:ascii="Times New Roman" w:hAnsi="Times New Roman" w:eastAsia="宋体" w:cs="Times New Roman"/>
                      <w:color w:val="auto"/>
                      <w:sz w:val="21"/>
                      <w:szCs w:val="21"/>
                      <w:highlight w:val="none"/>
                      <w:lang w:val="en-US" w:eastAsia="zh-CN"/>
                    </w:rPr>
                    <w:t>施工过程开挖产生的</w:t>
                  </w:r>
                  <w:r>
                    <w:rPr>
                      <w:rFonts w:hint="eastAsia" w:cs="Times New Roman"/>
                      <w:color w:val="auto"/>
                      <w:sz w:val="21"/>
                      <w:szCs w:val="21"/>
                      <w:highlight w:val="none"/>
                      <w:vertAlign w:val="baseline"/>
                      <w:lang w:val="en-US" w:eastAsia="zh-CN"/>
                    </w:rPr>
                    <w:t>余</w:t>
                  </w:r>
                  <w:r>
                    <w:rPr>
                      <w:rFonts w:hint="default" w:ascii="Times New Roman" w:hAnsi="Times New Roman" w:cs="Times New Roman"/>
                      <w:color w:val="auto"/>
                      <w:sz w:val="21"/>
                      <w:szCs w:val="21"/>
                      <w:highlight w:val="none"/>
                      <w:vertAlign w:val="baseline"/>
                      <w:lang w:val="en-US" w:eastAsia="zh-CN"/>
                    </w:rPr>
                    <w:t>方由施工单位运至</w:t>
                  </w:r>
                  <w:r>
                    <w:rPr>
                      <w:rFonts w:hint="default" w:ascii="Times New Roman" w:hAnsi="Times New Roman" w:cs="Times New Roman"/>
                      <w:color w:val="auto"/>
                      <w:sz w:val="21"/>
                      <w:szCs w:val="21"/>
                      <w:highlight w:val="none"/>
                      <w:lang w:val="en-US" w:eastAsia="zh-CN"/>
                    </w:rPr>
                    <w:t>输电线路塔基及施工作业区</w:t>
                  </w:r>
                  <w:r>
                    <w:rPr>
                      <w:rFonts w:hint="eastAsia" w:cs="Times New Roman"/>
                      <w:color w:val="auto"/>
                      <w:sz w:val="21"/>
                      <w:szCs w:val="21"/>
                      <w:highlight w:val="none"/>
                      <w:lang w:val="en-US" w:eastAsia="zh-CN"/>
                    </w:rPr>
                    <w:t>场地平整使用</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pacing w:val="9"/>
                      <w:sz w:val="21"/>
                      <w:szCs w:val="21"/>
                      <w:highlight w:val="none"/>
                      <w:lang w:val="en-US" w:eastAsia="zh-CN"/>
                    </w:rPr>
                    <w:t>施工期塔基基础开挖出的土石方全部用于回填及塔基周围培土，无弃土产生。②</w:t>
                  </w:r>
                  <w:r>
                    <w:rPr>
                      <w:rFonts w:hint="default" w:ascii="Times New Roman" w:hAnsi="Times New Roman" w:cs="Times New Roman"/>
                      <w:color w:val="auto"/>
                      <w:sz w:val="21"/>
                      <w:szCs w:val="21"/>
                      <w:highlight w:val="none"/>
                      <w:lang w:val="en-US" w:eastAsia="zh-CN"/>
                    </w:rPr>
                    <w:t>变电站内施工人员产生的</w:t>
                  </w:r>
                  <w:r>
                    <w:rPr>
                      <w:rFonts w:hint="default" w:ascii="Times New Roman" w:hAnsi="Times New Roman" w:eastAsia="宋体" w:cs="Times New Roman"/>
                      <w:color w:val="auto"/>
                      <w:sz w:val="21"/>
                      <w:szCs w:val="21"/>
                      <w:highlight w:val="none"/>
                      <w:lang w:val="en-US" w:eastAsia="zh-CN"/>
                    </w:rPr>
                    <w:t>生活垃圾</w:t>
                  </w:r>
                  <w:r>
                    <w:rPr>
                      <w:rFonts w:hint="default" w:ascii="Times New Roman" w:hAnsi="Times New Roman" w:cs="Times New Roman"/>
                      <w:color w:val="auto"/>
                      <w:sz w:val="21"/>
                      <w:szCs w:val="21"/>
                      <w:highlight w:val="none"/>
                      <w:lang w:val="en-US" w:eastAsia="zh-CN"/>
                    </w:rPr>
                    <w:t>依托站内</w:t>
                  </w:r>
                  <w:r>
                    <w:rPr>
                      <w:rFonts w:hint="default" w:ascii="Times New Roman" w:hAnsi="Times New Roman" w:eastAsia="宋体" w:cs="Times New Roman"/>
                      <w:color w:val="auto"/>
                      <w:sz w:val="21"/>
                      <w:szCs w:val="21"/>
                      <w:highlight w:val="none"/>
                      <w:lang w:val="en-US" w:eastAsia="zh-CN"/>
                    </w:rPr>
                    <w:t>生活</w:t>
                  </w:r>
                  <w:r>
                    <w:rPr>
                      <w:rFonts w:hint="default" w:ascii="Times New Roman" w:hAnsi="Times New Roman" w:cs="Times New Roman"/>
                      <w:color w:val="auto"/>
                      <w:sz w:val="21"/>
                      <w:szCs w:val="21"/>
                      <w:highlight w:val="none"/>
                      <w:lang w:val="en-US" w:eastAsia="zh-CN"/>
                    </w:rPr>
                    <w:t>垃圾桶分类收集</w:t>
                  </w:r>
                  <w:r>
                    <w:rPr>
                      <w:rFonts w:hint="eastAsia" w:cs="Times New Roman"/>
                      <w:color w:val="auto"/>
                      <w:sz w:val="21"/>
                      <w:szCs w:val="21"/>
                      <w:highlight w:val="none"/>
                      <w:lang w:val="en-US" w:eastAsia="zh-CN"/>
                    </w:rPr>
                    <w:t>后送附近垃圾收集点收集处置</w:t>
                  </w:r>
                  <w:r>
                    <w:rPr>
                      <w:rFonts w:hint="default" w:ascii="Times New Roman" w:hAnsi="Times New Roman" w:cs="Times New Roman"/>
                      <w:color w:val="auto"/>
                      <w:sz w:val="21"/>
                      <w:szCs w:val="21"/>
                      <w:highlight w:val="none"/>
                      <w:lang w:val="en-US" w:eastAsia="zh-CN"/>
                    </w:rPr>
                    <w:t>。输电线路</w:t>
                  </w:r>
                  <w:r>
                    <w:rPr>
                      <w:rFonts w:hint="default" w:ascii="Times New Roman" w:hAnsi="Times New Roman" w:eastAsia="宋体" w:cs="Times New Roman"/>
                      <w:color w:val="auto"/>
                      <w:sz w:val="21"/>
                      <w:szCs w:val="21"/>
                      <w:highlight w:val="none"/>
                      <w:lang w:val="en-US" w:eastAsia="zh-CN"/>
                    </w:rPr>
                    <w:t>施工人员产生的生活垃圾依托</w:t>
                  </w:r>
                  <w:r>
                    <w:rPr>
                      <w:rFonts w:hint="default" w:ascii="Times New Roman" w:hAnsi="Times New Roman" w:cs="Times New Roman"/>
                      <w:color w:val="auto"/>
                      <w:spacing w:val="-11"/>
                      <w:sz w:val="21"/>
                      <w:szCs w:val="21"/>
                      <w:highlight w:val="none"/>
                      <w:lang w:val="en-US" w:eastAsia="zh-CN"/>
                    </w:rPr>
                    <w:t>居住地</w:t>
                  </w:r>
                  <w:r>
                    <w:rPr>
                      <w:rFonts w:hint="default" w:ascii="Times New Roman" w:hAnsi="Times New Roman" w:eastAsia="宋体" w:cs="Times New Roman"/>
                      <w:color w:val="auto"/>
                      <w:sz w:val="21"/>
                      <w:szCs w:val="21"/>
                      <w:highlight w:val="none"/>
                      <w:lang w:val="en-US" w:eastAsia="zh-CN"/>
                    </w:rPr>
                    <w:t>现有的垃圾桶</w:t>
                  </w:r>
                  <w:r>
                    <w:rPr>
                      <w:rFonts w:hint="default" w:ascii="Times New Roman" w:hAnsi="Times New Roman" w:eastAsia="宋体" w:cs="Times New Roman"/>
                      <w:color w:val="auto"/>
                      <w:kern w:val="0"/>
                      <w:sz w:val="21"/>
                      <w:szCs w:val="21"/>
                      <w:highlight w:val="none"/>
                    </w:rPr>
                    <w:t>集中收集</w:t>
                  </w:r>
                  <w:r>
                    <w:rPr>
                      <w:rFonts w:hint="eastAsia" w:cs="Times New Roman"/>
                      <w:color w:val="auto"/>
                      <w:sz w:val="21"/>
                      <w:szCs w:val="21"/>
                      <w:highlight w:val="none"/>
                      <w:lang w:val="en-US" w:eastAsia="zh-CN"/>
                    </w:rPr>
                    <w:t>后送附近垃圾收集点收集处置</w:t>
                  </w:r>
                  <w:r>
                    <w:rPr>
                      <w:rFonts w:hint="default" w:ascii="Times New Roman" w:hAnsi="Times New Roman" w:eastAsia="宋体" w:cs="Times New Roman"/>
                      <w:color w:val="auto"/>
                      <w:kern w:val="0"/>
                      <w:sz w:val="21"/>
                      <w:szCs w:val="21"/>
                      <w:highlight w:val="none"/>
                      <w:lang w:eastAsia="zh-CN"/>
                    </w:rPr>
                    <w:t>。③</w:t>
                  </w:r>
                  <w:r>
                    <w:rPr>
                      <w:rFonts w:hint="default" w:ascii="Times New Roman" w:hAnsi="Times New Roman" w:eastAsia="宋体" w:cs="Times New Roman"/>
                      <w:color w:val="auto"/>
                      <w:sz w:val="21"/>
                      <w:szCs w:val="21"/>
                      <w:highlight w:val="none"/>
                      <w:lang w:eastAsia="zh-CN"/>
                    </w:rPr>
                    <w:t>施工单位</w:t>
                  </w:r>
                  <w:r>
                    <w:rPr>
                      <w:rFonts w:hint="default" w:ascii="Times New Roman" w:hAnsi="Times New Roman" w:eastAsia="宋体" w:cs="Times New Roman"/>
                      <w:color w:val="auto"/>
                      <w:sz w:val="21"/>
                      <w:szCs w:val="21"/>
                      <w:highlight w:val="none"/>
                      <w:lang w:val="en-US" w:eastAsia="zh-CN"/>
                    </w:rPr>
                    <w:t>按要求</w:t>
                  </w:r>
                  <w:r>
                    <w:rPr>
                      <w:rFonts w:hint="default" w:ascii="Times New Roman" w:hAnsi="Times New Roman" w:eastAsia="宋体" w:cs="Times New Roman"/>
                      <w:color w:val="auto"/>
                      <w:sz w:val="21"/>
                      <w:szCs w:val="21"/>
                      <w:highlight w:val="none"/>
                      <w:lang w:eastAsia="zh-CN"/>
                    </w:rPr>
                    <w:t>编制建筑垃圾处理方案，</w:t>
                  </w:r>
                  <w:r>
                    <w:rPr>
                      <w:rFonts w:hint="default" w:ascii="Times New Roman" w:hAnsi="Times New Roman" w:eastAsia="宋体" w:cs="Times New Roman"/>
                      <w:color w:val="auto"/>
                      <w:sz w:val="21"/>
                      <w:szCs w:val="21"/>
                      <w:highlight w:val="none"/>
                    </w:rPr>
                    <w:t>及时</w:t>
                  </w:r>
                  <w:r>
                    <w:rPr>
                      <w:rFonts w:hint="default" w:ascii="Times New Roman" w:hAnsi="Times New Roman" w:eastAsia="宋体" w:cs="Times New Roman"/>
                      <w:color w:val="auto"/>
                      <w:sz w:val="21"/>
                      <w:szCs w:val="21"/>
                      <w:highlight w:val="none"/>
                      <w:lang w:val="en-US" w:eastAsia="zh-CN"/>
                    </w:rPr>
                    <w:t>将建筑垃圾</w:t>
                  </w:r>
                  <w:r>
                    <w:rPr>
                      <w:rFonts w:hint="default" w:ascii="Times New Roman" w:hAnsi="Times New Roman" w:eastAsia="宋体" w:cs="Times New Roman"/>
                      <w:color w:val="auto"/>
                      <w:sz w:val="21"/>
                      <w:szCs w:val="21"/>
                      <w:highlight w:val="none"/>
                    </w:rPr>
                    <w:t>清运</w:t>
                  </w:r>
                  <w:r>
                    <w:rPr>
                      <w:rFonts w:hint="default" w:ascii="Times New Roman" w:hAnsi="Times New Roman" w:eastAsia="宋体" w:cs="Times New Roman"/>
                      <w:color w:val="auto"/>
                      <w:sz w:val="21"/>
                      <w:szCs w:val="21"/>
                      <w:highlight w:val="none"/>
                      <w:lang w:val="en-US" w:eastAsia="zh-CN"/>
                    </w:rPr>
                    <w:t>至政府指定地点</w:t>
                  </w:r>
                  <w:r>
                    <w:rPr>
                      <w:rFonts w:hint="default" w:ascii="Times New Roman" w:hAnsi="Times New Roman" w:eastAsia="宋体" w:cs="Times New Roman"/>
                      <w:color w:val="auto"/>
                      <w:sz w:val="21"/>
                      <w:szCs w:val="21"/>
                      <w:highlight w:val="none"/>
                      <w:lang w:eastAsia="zh-CN"/>
                    </w:rPr>
                    <w:t>，并报县级以上地方人民政府环境卫生主管部门备案，统一清运至管理部门指定的地点处置</w:t>
                  </w:r>
                  <w:r>
                    <w:rPr>
                      <w:rFonts w:hint="default" w:ascii="Times New Roman" w:hAnsi="Times New Roman" w:eastAsia="宋体" w:cs="Times New Roman"/>
                      <w:color w:val="auto"/>
                      <w:kern w:val="0"/>
                      <w:sz w:val="21"/>
                      <w:szCs w:val="21"/>
                      <w:highlight w:val="none"/>
                      <w:lang w:val="en-US" w:eastAsia="zh-CN"/>
                    </w:rPr>
                    <w:t>。④</w:t>
                  </w:r>
                  <w:r>
                    <w:rPr>
                      <w:rFonts w:hint="default" w:ascii="Times New Roman" w:hAnsi="Times New Roman" w:eastAsia="宋体" w:cs="Times New Roman"/>
                      <w:color w:val="auto"/>
                      <w:sz w:val="21"/>
                      <w:szCs w:val="21"/>
                      <w:highlight w:val="none"/>
                      <w:lang w:val="en-US" w:eastAsia="zh-CN"/>
                    </w:rPr>
                    <w:t>拆除下来的导线、地线、附件及其他可回收的铁塔部件临时堆放在拆除区域临时占地，及时运出并由施工单位统一收集后交由建管单位回收利用；基础破除产生的混凝土块，集中收集后由施工单位及时运至当地环境卫生主管部门指定的地点处置。</w:t>
                  </w:r>
                </w:p>
              </w:tc>
            </w:tr>
            <w:tr w14:paraId="0B359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89" w:type="dxa"/>
                  <w:vMerge w:val="continue"/>
                  <w:noWrap w:val="0"/>
                  <w:vAlign w:val="center"/>
                </w:tcPr>
                <w:p w14:paraId="1D062EE5">
                  <w:pPr>
                    <w:jc w:val="center"/>
                    <w:rPr>
                      <w:rFonts w:hint="default" w:ascii="Times New Roman" w:hAnsi="Times New Roman" w:cs="Times New Roman"/>
                      <w:b/>
                      <w:color w:val="auto"/>
                      <w:sz w:val="21"/>
                      <w:szCs w:val="21"/>
                      <w:highlight w:val="none"/>
                    </w:rPr>
                  </w:pPr>
                </w:p>
              </w:tc>
              <w:tc>
                <w:tcPr>
                  <w:tcW w:w="393" w:type="dxa"/>
                  <w:vMerge w:val="restart"/>
                  <w:noWrap w:val="0"/>
                  <w:vAlign w:val="center"/>
                </w:tcPr>
                <w:p w14:paraId="3E4B95D3">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运营期</w:t>
                  </w:r>
                </w:p>
              </w:tc>
              <w:tc>
                <w:tcPr>
                  <w:tcW w:w="1163" w:type="dxa"/>
                  <w:noWrap w:val="0"/>
                  <w:vAlign w:val="center"/>
                </w:tcPr>
                <w:p w14:paraId="6C393BD1">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生态环境</w:t>
                  </w:r>
                </w:p>
              </w:tc>
              <w:tc>
                <w:tcPr>
                  <w:tcW w:w="6428" w:type="dxa"/>
                  <w:noWrap w:val="0"/>
                  <w:vAlign w:val="center"/>
                </w:tcPr>
                <w:p w14:paraId="289F08C9">
                  <w:pPr>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rPr>
                    <w:t>运营期</w:t>
                  </w:r>
                  <w:r>
                    <w:rPr>
                      <w:rFonts w:hint="default" w:ascii="Times New Roman" w:hAnsi="Times New Roman" w:cs="Times New Roman"/>
                      <w:color w:val="auto"/>
                      <w:kern w:val="0"/>
                      <w:sz w:val="21"/>
                      <w:szCs w:val="21"/>
                      <w:highlight w:val="none"/>
                      <w:lang w:val="en-US" w:eastAsia="zh-CN"/>
                    </w:rPr>
                    <w:t>间隔扩建处</w:t>
                  </w:r>
                  <w:r>
                    <w:rPr>
                      <w:rFonts w:hint="default" w:ascii="Times New Roman" w:hAnsi="Times New Roman" w:cs="Times New Roman"/>
                      <w:color w:val="auto"/>
                      <w:kern w:val="0"/>
                      <w:sz w:val="21"/>
                      <w:szCs w:val="21"/>
                      <w:highlight w:val="none"/>
                    </w:rPr>
                    <w:t>采取</w:t>
                  </w:r>
                  <w:r>
                    <w:rPr>
                      <w:rFonts w:hint="default" w:ascii="Times New Roman" w:hAnsi="Times New Roman" w:cs="Times New Roman"/>
                      <w:color w:val="auto"/>
                      <w:kern w:val="0"/>
                      <w:sz w:val="21"/>
                      <w:szCs w:val="21"/>
                      <w:highlight w:val="none"/>
                      <w:lang w:val="en-US" w:eastAsia="zh-CN"/>
                    </w:rPr>
                    <w:t>水泥</w:t>
                  </w:r>
                  <w:r>
                    <w:rPr>
                      <w:rFonts w:hint="default" w:ascii="Times New Roman" w:hAnsi="Times New Roman" w:cs="Times New Roman"/>
                      <w:color w:val="auto"/>
                      <w:kern w:val="0"/>
                      <w:sz w:val="21"/>
                      <w:szCs w:val="21"/>
                      <w:highlight w:val="none"/>
                    </w:rPr>
                    <w:t>硬化、砾石覆盖</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输电线路</w:t>
                  </w:r>
                  <w:r>
                    <w:rPr>
                      <w:rFonts w:hint="default" w:ascii="Times New Roman" w:hAnsi="Times New Roman" w:cs="Times New Roman"/>
                      <w:color w:val="auto"/>
                      <w:kern w:val="0"/>
                      <w:sz w:val="21"/>
                      <w:szCs w:val="21"/>
                      <w:highlight w:val="none"/>
                    </w:rPr>
                    <w:t>巡检时利用已有道路，</w:t>
                  </w:r>
                  <w:r>
                    <w:rPr>
                      <w:rFonts w:hint="default" w:ascii="Times New Roman" w:hAnsi="Times New Roman" w:cs="Times New Roman"/>
                      <w:color w:val="auto"/>
                      <w:kern w:val="0"/>
                      <w:sz w:val="21"/>
                      <w:szCs w:val="21"/>
                      <w:highlight w:val="none"/>
                      <w:lang w:val="en-US" w:eastAsia="zh-CN"/>
                    </w:rPr>
                    <w:t>并</w:t>
                  </w:r>
                  <w:r>
                    <w:rPr>
                      <w:rFonts w:hint="default" w:ascii="Times New Roman" w:hAnsi="Times New Roman" w:cs="Times New Roman"/>
                      <w:color w:val="auto"/>
                      <w:kern w:val="0"/>
                      <w:sz w:val="21"/>
                      <w:szCs w:val="21"/>
                      <w:highlight w:val="none"/>
                      <w:lang w:eastAsia="zh-CN"/>
                    </w:rPr>
                    <w:t>按固定线路巡检</w:t>
                  </w:r>
                  <w:r>
                    <w:rPr>
                      <w:rFonts w:hint="default" w:ascii="Times New Roman" w:hAnsi="Times New Roman" w:cs="Times New Roman"/>
                      <w:color w:val="auto"/>
                      <w:kern w:val="0"/>
                      <w:sz w:val="21"/>
                      <w:szCs w:val="21"/>
                      <w:highlight w:val="none"/>
                    </w:rPr>
                    <w:t>，加强对巡检人员的监督管理，</w:t>
                  </w:r>
                  <w:r>
                    <w:rPr>
                      <w:rFonts w:hint="default" w:ascii="Times New Roman" w:hAnsi="Times New Roman" w:cs="Times New Roman"/>
                      <w:color w:val="auto"/>
                      <w:kern w:val="0"/>
                      <w:sz w:val="21"/>
                      <w:szCs w:val="21"/>
                      <w:highlight w:val="none"/>
                      <w:lang w:val="en-US" w:eastAsia="zh-CN"/>
                    </w:rPr>
                    <w:t>减少对</w:t>
                  </w:r>
                  <w:r>
                    <w:rPr>
                      <w:rFonts w:hint="default" w:ascii="Times New Roman" w:hAnsi="Times New Roman" w:cs="Times New Roman"/>
                      <w:color w:val="auto"/>
                      <w:kern w:val="0"/>
                      <w:sz w:val="21"/>
                      <w:szCs w:val="21"/>
                      <w:highlight w:val="none"/>
                    </w:rPr>
                    <w:t>生态环境</w:t>
                  </w:r>
                  <w:r>
                    <w:rPr>
                      <w:rFonts w:hint="default" w:ascii="Times New Roman" w:hAnsi="Times New Roman" w:cs="Times New Roman"/>
                      <w:color w:val="auto"/>
                      <w:kern w:val="0"/>
                      <w:sz w:val="21"/>
                      <w:szCs w:val="21"/>
                      <w:highlight w:val="none"/>
                      <w:lang w:val="en-US" w:eastAsia="zh-CN"/>
                    </w:rPr>
                    <w:t>的</w:t>
                  </w:r>
                  <w:r>
                    <w:rPr>
                      <w:rFonts w:hint="default" w:ascii="Times New Roman" w:hAnsi="Times New Roman" w:cs="Times New Roman"/>
                      <w:color w:val="auto"/>
                      <w:kern w:val="0"/>
                      <w:sz w:val="21"/>
                      <w:szCs w:val="21"/>
                      <w:highlight w:val="none"/>
                    </w:rPr>
                    <w:t>影响。</w:t>
                  </w:r>
                </w:p>
              </w:tc>
            </w:tr>
            <w:tr w14:paraId="4629A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89" w:type="dxa"/>
                  <w:vMerge w:val="continue"/>
                  <w:noWrap w:val="0"/>
                  <w:vAlign w:val="center"/>
                </w:tcPr>
                <w:p w14:paraId="71385D69">
                  <w:pPr>
                    <w:jc w:val="center"/>
                    <w:rPr>
                      <w:rFonts w:hint="default" w:ascii="Times New Roman" w:hAnsi="Times New Roman" w:cs="Times New Roman"/>
                      <w:b/>
                      <w:color w:val="auto"/>
                      <w:sz w:val="21"/>
                      <w:szCs w:val="21"/>
                      <w:highlight w:val="none"/>
                    </w:rPr>
                  </w:pPr>
                </w:p>
              </w:tc>
              <w:tc>
                <w:tcPr>
                  <w:tcW w:w="393" w:type="dxa"/>
                  <w:vMerge w:val="continue"/>
                  <w:noWrap w:val="0"/>
                  <w:vAlign w:val="center"/>
                </w:tcPr>
                <w:p w14:paraId="2B06BA59">
                  <w:pPr>
                    <w:jc w:val="center"/>
                    <w:rPr>
                      <w:rFonts w:hint="default" w:ascii="Times New Roman" w:hAnsi="Times New Roman" w:cs="Times New Roman"/>
                      <w:bCs/>
                      <w:color w:val="auto"/>
                      <w:sz w:val="21"/>
                      <w:szCs w:val="21"/>
                      <w:highlight w:val="none"/>
                    </w:rPr>
                  </w:pPr>
                </w:p>
              </w:tc>
              <w:tc>
                <w:tcPr>
                  <w:tcW w:w="1163" w:type="dxa"/>
                  <w:noWrap w:val="0"/>
                  <w:vAlign w:val="center"/>
                </w:tcPr>
                <w:p w14:paraId="575F880B">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电磁环境</w:t>
                  </w:r>
                </w:p>
              </w:tc>
              <w:tc>
                <w:tcPr>
                  <w:tcW w:w="6428" w:type="dxa"/>
                  <w:noWrap w:val="0"/>
                  <w:vAlign w:val="center"/>
                </w:tcPr>
                <w:p w14:paraId="624A8C82">
                  <w:pPr>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Cs w:val="21"/>
                      <w:lang w:val="en-US" w:eastAsia="zh-CN"/>
                    </w:rPr>
                    <w:t>间隔扩建工程</w:t>
                  </w:r>
                  <w:r>
                    <w:rPr>
                      <w:rFonts w:hint="default" w:ascii="Times New Roman" w:hAnsi="Times New Roman" w:cs="Times New Roman"/>
                      <w:color w:val="auto"/>
                      <w:kern w:val="0"/>
                      <w:szCs w:val="21"/>
                    </w:rPr>
                    <w:t>合理选择电气设备、设施</w:t>
                  </w:r>
                  <w:r>
                    <w:rPr>
                      <w:rFonts w:hint="default" w:ascii="Times New Roman" w:hAnsi="Times New Roman" w:cs="Times New Roman"/>
                      <w:color w:val="auto"/>
                      <w:szCs w:val="21"/>
                      <w:lang w:eastAsia="zh-CN"/>
                    </w:rPr>
                    <w:t>；</w:t>
                  </w:r>
                  <w:r>
                    <w:rPr>
                      <w:rFonts w:hint="default" w:ascii="Times New Roman" w:hAnsi="Times New Roman" w:cs="Times New Roman"/>
                      <w:color w:val="auto"/>
                      <w:kern w:val="0"/>
                      <w:sz w:val="21"/>
                      <w:szCs w:val="21"/>
                      <w:highlight w:val="none"/>
                    </w:rPr>
                    <w:t>输电线路合理选择导线、金具及绝缘子等电气设备、设施，</w:t>
                  </w:r>
                  <w:r>
                    <w:rPr>
                      <w:rFonts w:hint="default" w:ascii="Times New Roman" w:hAnsi="Times New Roman" w:cs="Times New Roman"/>
                      <w:color w:val="auto"/>
                      <w:sz w:val="21"/>
                      <w:szCs w:val="21"/>
                      <w:highlight w:val="none"/>
                    </w:rPr>
                    <w:t>采用合理的导线截面积，提高导线对地距离</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0"/>
                      <w:sz w:val="21"/>
                      <w:szCs w:val="21"/>
                      <w:highlight w:val="none"/>
                    </w:rPr>
                    <w:t>交叉跨越安全距离</w:t>
                  </w:r>
                  <w:r>
                    <w:rPr>
                      <w:rFonts w:hint="default" w:ascii="Times New Roman" w:hAnsi="Times New Roman" w:cs="Times New Roman"/>
                      <w:color w:val="auto"/>
                      <w:sz w:val="21"/>
                      <w:szCs w:val="21"/>
                      <w:highlight w:val="none"/>
                    </w:rPr>
                    <w:t>等方式，减轻架空线路的电磁环境影响。</w:t>
                  </w:r>
                </w:p>
              </w:tc>
            </w:tr>
            <w:tr w14:paraId="14747B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89" w:type="dxa"/>
                  <w:vMerge w:val="continue"/>
                  <w:noWrap w:val="0"/>
                  <w:vAlign w:val="center"/>
                </w:tcPr>
                <w:p w14:paraId="16E1557F">
                  <w:pPr>
                    <w:jc w:val="center"/>
                    <w:rPr>
                      <w:rFonts w:hint="default" w:ascii="Times New Roman" w:hAnsi="Times New Roman" w:cs="Times New Roman"/>
                      <w:b/>
                      <w:color w:val="auto"/>
                      <w:sz w:val="21"/>
                      <w:szCs w:val="21"/>
                      <w:highlight w:val="none"/>
                    </w:rPr>
                  </w:pPr>
                </w:p>
              </w:tc>
              <w:tc>
                <w:tcPr>
                  <w:tcW w:w="393" w:type="dxa"/>
                  <w:vMerge w:val="continue"/>
                  <w:noWrap w:val="0"/>
                  <w:vAlign w:val="center"/>
                </w:tcPr>
                <w:p w14:paraId="75880031">
                  <w:pPr>
                    <w:jc w:val="center"/>
                    <w:rPr>
                      <w:rFonts w:hint="default" w:ascii="Times New Roman" w:hAnsi="Times New Roman" w:cs="Times New Roman"/>
                      <w:bCs/>
                      <w:color w:val="auto"/>
                      <w:sz w:val="21"/>
                      <w:szCs w:val="21"/>
                      <w:highlight w:val="none"/>
                    </w:rPr>
                  </w:pPr>
                </w:p>
              </w:tc>
              <w:tc>
                <w:tcPr>
                  <w:tcW w:w="1163" w:type="dxa"/>
                  <w:noWrap w:val="0"/>
                  <w:vAlign w:val="center"/>
                </w:tcPr>
                <w:p w14:paraId="097B79F2">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声环境</w:t>
                  </w:r>
                </w:p>
              </w:tc>
              <w:tc>
                <w:tcPr>
                  <w:tcW w:w="6428" w:type="dxa"/>
                  <w:noWrap w:val="0"/>
                  <w:vAlign w:val="center"/>
                </w:tcPr>
                <w:p w14:paraId="22D86D0F">
                  <w:pPr>
                    <w:jc w:val="both"/>
                    <w:rPr>
                      <w:rFonts w:hint="default" w:ascii="Times New Roman" w:hAnsi="Times New Roman" w:cs="Times New Roman"/>
                      <w:color w:val="auto"/>
                      <w:kern w:val="0"/>
                      <w:szCs w:val="21"/>
                      <w:lang w:val="en-US" w:eastAsia="zh-CN"/>
                    </w:rPr>
                  </w:pPr>
                  <w:r>
                    <w:rPr>
                      <w:rFonts w:hint="default" w:ascii="Times New Roman" w:hAnsi="Times New Roman" w:cs="Times New Roman"/>
                      <w:color w:val="auto"/>
                      <w:lang w:val="en-US" w:eastAsia="zh-CN"/>
                    </w:rPr>
                    <w:t>间隔扩建工程</w:t>
                  </w:r>
                  <w:r>
                    <w:rPr>
                      <w:rFonts w:hint="default" w:ascii="Times New Roman" w:hAnsi="Times New Roman" w:cs="Times New Roman"/>
                      <w:color w:val="auto"/>
                    </w:rPr>
                    <w:t>选用低噪声设备，合理布置电气设备</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输电线路合理选择导线截面</w:t>
                  </w:r>
                  <w:r>
                    <w:rPr>
                      <w:rFonts w:hint="default" w:ascii="Times New Roman" w:hAnsi="Times New Roman" w:cs="Times New Roman"/>
                      <w:color w:val="auto"/>
                      <w:kern w:val="0"/>
                      <w:sz w:val="21"/>
                      <w:szCs w:val="21"/>
                      <w:highlight w:val="none"/>
                      <w:lang w:eastAsia="zh-CN"/>
                    </w:rPr>
                    <w:t>和</w:t>
                  </w:r>
                  <w:r>
                    <w:rPr>
                      <w:rFonts w:hint="default" w:ascii="Times New Roman" w:hAnsi="Times New Roman" w:cs="Times New Roman"/>
                      <w:color w:val="auto"/>
                      <w:kern w:val="0"/>
                      <w:sz w:val="21"/>
                      <w:szCs w:val="21"/>
                      <w:highlight w:val="none"/>
                    </w:rPr>
                    <w:t>导线结构，控制导线对地高度，加强输电线路监督管理</w:t>
                  </w:r>
                  <w:r>
                    <w:rPr>
                      <w:rFonts w:hint="default" w:ascii="Times New Roman" w:hAnsi="Times New Roman" w:cs="Times New Roman"/>
                      <w:color w:val="auto"/>
                      <w:kern w:val="0"/>
                      <w:sz w:val="21"/>
                      <w:szCs w:val="21"/>
                      <w:highlight w:val="none"/>
                      <w:lang w:eastAsia="zh-CN"/>
                    </w:rPr>
                    <w:t>。</w:t>
                  </w:r>
                </w:p>
              </w:tc>
            </w:tr>
            <w:tr w14:paraId="52E4B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89" w:type="dxa"/>
                  <w:vMerge w:val="continue"/>
                  <w:noWrap w:val="0"/>
                  <w:vAlign w:val="center"/>
                </w:tcPr>
                <w:p w14:paraId="32B594FF">
                  <w:pPr>
                    <w:jc w:val="center"/>
                    <w:rPr>
                      <w:rFonts w:hint="default" w:ascii="Times New Roman" w:hAnsi="Times New Roman" w:cs="Times New Roman"/>
                      <w:b/>
                      <w:color w:val="auto"/>
                      <w:sz w:val="21"/>
                      <w:szCs w:val="21"/>
                      <w:highlight w:val="none"/>
                    </w:rPr>
                  </w:pPr>
                </w:p>
              </w:tc>
              <w:tc>
                <w:tcPr>
                  <w:tcW w:w="393" w:type="dxa"/>
                  <w:vMerge w:val="continue"/>
                  <w:noWrap w:val="0"/>
                  <w:vAlign w:val="center"/>
                </w:tcPr>
                <w:p w14:paraId="6378E4B9">
                  <w:pPr>
                    <w:jc w:val="center"/>
                    <w:rPr>
                      <w:rFonts w:hint="default" w:ascii="Times New Roman" w:hAnsi="Times New Roman" w:cs="Times New Roman"/>
                      <w:bCs/>
                      <w:color w:val="auto"/>
                      <w:sz w:val="21"/>
                      <w:szCs w:val="21"/>
                      <w:highlight w:val="none"/>
                    </w:rPr>
                  </w:pPr>
                </w:p>
              </w:tc>
              <w:tc>
                <w:tcPr>
                  <w:tcW w:w="1163" w:type="dxa"/>
                  <w:noWrap w:val="0"/>
                  <w:vAlign w:val="center"/>
                </w:tcPr>
                <w:p w14:paraId="3906865A">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环境</w:t>
                  </w:r>
                  <w:r>
                    <w:rPr>
                      <w:rFonts w:hint="default" w:ascii="Times New Roman" w:hAnsi="Times New Roman" w:cs="Times New Roman"/>
                      <w:color w:val="auto"/>
                      <w:sz w:val="21"/>
                      <w:szCs w:val="21"/>
                      <w:highlight w:val="none"/>
                      <w:lang w:val="en-US" w:eastAsia="zh-CN"/>
                    </w:rPr>
                    <w:t>管理与</w:t>
                  </w:r>
                  <w:r>
                    <w:rPr>
                      <w:rFonts w:hint="default" w:ascii="Times New Roman" w:hAnsi="Times New Roman" w:cs="Times New Roman"/>
                      <w:color w:val="auto"/>
                      <w:sz w:val="21"/>
                      <w:szCs w:val="21"/>
                      <w:highlight w:val="none"/>
                    </w:rPr>
                    <w:t>监测</w:t>
                  </w:r>
                </w:p>
              </w:tc>
              <w:tc>
                <w:tcPr>
                  <w:tcW w:w="6428" w:type="dxa"/>
                  <w:noWrap w:val="0"/>
                  <w:vAlign w:val="center"/>
                </w:tcPr>
                <w:p w14:paraId="0E4FC9A3">
                  <w:pPr>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Cs w:val="21"/>
                      <w:highlight w:val="none"/>
                    </w:rPr>
                    <w:t>设置环境管理部门</w:t>
                  </w:r>
                  <w:r>
                    <w:rPr>
                      <w:rFonts w:hint="eastAsia" w:cs="Times New Roman"/>
                      <w:color w:val="auto"/>
                      <w:szCs w:val="21"/>
                      <w:highlight w:val="none"/>
                      <w:lang w:eastAsia="zh-CN"/>
                    </w:rPr>
                    <w:t>，在</w:t>
                  </w:r>
                  <w:r>
                    <w:rPr>
                      <w:rFonts w:hint="default" w:ascii="Times New Roman" w:hAnsi="Times New Roman" w:cs="Times New Roman"/>
                      <w:color w:val="auto"/>
                      <w:sz w:val="21"/>
                      <w:szCs w:val="21"/>
                      <w:highlight w:val="none"/>
                    </w:rPr>
                    <w:t>运行</w:t>
                  </w:r>
                  <w:r>
                    <w:rPr>
                      <w:rFonts w:hint="eastAsia" w:cs="Times New Roman"/>
                      <w:color w:val="auto"/>
                      <w:sz w:val="21"/>
                      <w:szCs w:val="21"/>
                      <w:highlight w:val="none"/>
                      <w:lang w:eastAsia="zh-CN"/>
                    </w:rPr>
                    <w:t>期间</w:t>
                  </w:r>
                  <w:r>
                    <w:rPr>
                      <w:rFonts w:hint="default" w:ascii="Times New Roman" w:hAnsi="Times New Roman" w:cs="Times New Roman"/>
                      <w:color w:val="auto"/>
                      <w:sz w:val="21"/>
                      <w:szCs w:val="21"/>
                      <w:highlight w:val="none"/>
                    </w:rPr>
                    <w:t>做好环境保护设施的维护和运行管理，加强巡查和检查。定期开展电磁、噪声环境监测，确保达标排放。</w:t>
                  </w:r>
                </w:p>
              </w:tc>
            </w:tr>
            <w:tr w14:paraId="2529F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89" w:type="dxa"/>
                  <w:vMerge w:val="continue"/>
                  <w:noWrap w:val="0"/>
                  <w:vAlign w:val="center"/>
                </w:tcPr>
                <w:p w14:paraId="738A04FF">
                  <w:pPr>
                    <w:jc w:val="center"/>
                    <w:rPr>
                      <w:rFonts w:hint="default" w:ascii="Times New Roman" w:hAnsi="Times New Roman" w:cs="Times New Roman"/>
                      <w:b/>
                      <w:color w:val="auto"/>
                      <w:sz w:val="21"/>
                      <w:szCs w:val="21"/>
                      <w:highlight w:val="none"/>
                    </w:rPr>
                  </w:pPr>
                </w:p>
              </w:tc>
              <w:tc>
                <w:tcPr>
                  <w:tcW w:w="393" w:type="dxa"/>
                  <w:vMerge w:val="continue"/>
                  <w:noWrap w:val="0"/>
                  <w:vAlign w:val="center"/>
                </w:tcPr>
                <w:p w14:paraId="008FB03F">
                  <w:pPr>
                    <w:jc w:val="center"/>
                    <w:rPr>
                      <w:rFonts w:hint="default" w:ascii="Times New Roman" w:hAnsi="Times New Roman" w:cs="Times New Roman"/>
                      <w:bCs/>
                      <w:color w:val="auto"/>
                      <w:sz w:val="21"/>
                      <w:szCs w:val="21"/>
                      <w:highlight w:val="none"/>
                    </w:rPr>
                  </w:pPr>
                </w:p>
              </w:tc>
              <w:tc>
                <w:tcPr>
                  <w:tcW w:w="1163" w:type="dxa"/>
                  <w:noWrap w:val="0"/>
                  <w:vAlign w:val="center"/>
                </w:tcPr>
                <w:p w14:paraId="6F2BFFB0">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其他</w:t>
                  </w:r>
                </w:p>
              </w:tc>
              <w:tc>
                <w:tcPr>
                  <w:tcW w:w="6428" w:type="dxa"/>
                  <w:noWrap w:val="0"/>
                  <w:vAlign w:val="center"/>
                </w:tcPr>
                <w:p w14:paraId="025143E8">
                  <w:pPr>
                    <w:autoSpaceDE w:val="0"/>
                    <w:autoSpaceDN w:val="0"/>
                    <w:adjustRightInd w:val="0"/>
                    <w:snapToGrid w:val="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设</w:t>
                  </w:r>
                  <w:r>
                    <w:rPr>
                      <w:rFonts w:hint="default" w:ascii="Times New Roman" w:hAnsi="Times New Roman" w:eastAsia="宋体" w:cs="Times New Roman"/>
                      <w:color w:val="auto"/>
                      <w:sz w:val="21"/>
                      <w:szCs w:val="21"/>
                      <w:highlight w:val="none"/>
                      <w:lang w:val="en-US" w:eastAsia="zh-CN"/>
                    </w:rPr>
                    <w:t>置警示和防护指示标志。</w:t>
                  </w:r>
                </w:p>
              </w:tc>
            </w:tr>
          </w:tbl>
          <w:p w14:paraId="58EB3251">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2" w:firstLineChars="200"/>
              <w:textAlignment w:val="auto"/>
              <w:rPr>
                <w:rFonts w:hint="default" w:ascii="Times New Roman" w:hAnsi="Times New Roman" w:cs="Times New Roman"/>
                <w:b/>
                <w:bCs/>
                <w:color w:val="auto"/>
                <w:sz w:val="24"/>
                <w:lang w:val="en-US" w:eastAsia="zh-CN"/>
              </w:rPr>
            </w:pPr>
            <w:r>
              <w:rPr>
                <w:rFonts w:hint="eastAsia" w:ascii="Times New Roman" w:hAnsi="Times New Roman" w:cs="Times New Roman"/>
                <w:b/>
                <w:bCs/>
                <w:color w:val="auto"/>
                <w:sz w:val="24"/>
                <w:lang w:val="en-US" w:eastAsia="zh-CN"/>
              </w:rPr>
              <w:t>本期间隔扩建工程涉及到的依托工程及依托可行性分析：</w:t>
            </w:r>
          </w:p>
          <w:p w14:paraId="38D3DD02">
            <w:pPr>
              <w:pStyle w:val="10"/>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表2-2  本期</w:t>
            </w:r>
            <w:r>
              <w:rPr>
                <w:rFonts w:hint="eastAsia" w:ascii="Times New Roman" w:hAnsi="Times New Roman" w:cs="Times New Roman"/>
                <w:b/>
                <w:bCs/>
                <w:color w:val="auto"/>
                <w:sz w:val="24"/>
                <w:lang w:val="en-US" w:eastAsia="zh-CN"/>
              </w:rPr>
              <w:t>间隔扩建</w:t>
            </w:r>
            <w:r>
              <w:rPr>
                <w:rFonts w:hint="eastAsia" w:ascii="Times New Roman" w:hAnsi="Times New Roman" w:eastAsia="宋体" w:cs="Times New Roman"/>
                <w:b/>
                <w:bCs/>
                <w:color w:val="auto"/>
                <w:kern w:val="2"/>
                <w:sz w:val="24"/>
                <w:szCs w:val="24"/>
                <w:lang w:val="en-US" w:eastAsia="zh-CN" w:bidi="ar-SA"/>
              </w:rPr>
              <w:t>工程与</w:t>
            </w:r>
            <w:r>
              <w:rPr>
                <w:rFonts w:hint="eastAsia" w:ascii="Times New Roman" w:hAnsi="Times New Roman" w:cs="Times New Roman"/>
                <w:b/>
                <w:bCs/>
                <w:color w:val="auto"/>
                <w:kern w:val="2"/>
                <w:sz w:val="24"/>
                <w:szCs w:val="24"/>
                <w:lang w:val="en-US" w:eastAsia="zh-CN" w:bidi="ar-SA"/>
              </w:rPr>
              <w:t>云雾山</w:t>
            </w:r>
            <w:r>
              <w:rPr>
                <w:rFonts w:hint="eastAsia" w:ascii="Times New Roman" w:hAnsi="Times New Roman" w:eastAsia="宋体" w:cs="Times New Roman"/>
                <w:b/>
                <w:bCs/>
                <w:color w:val="auto"/>
                <w:kern w:val="2"/>
                <w:sz w:val="24"/>
                <w:szCs w:val="24"/>
                <w:lang w:val="en-US" w:eastAsia="zh-CN" w:bidi="ar-SA"/>
              </w:rPr>
              <w:t>330千伏变电站前期工程依托关系一览表</w:t>
            </w:r>
          </w:p>
          <w:tbl>
            <w:tblPr>
              <w:tblStyle w:val="8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32"/>
              <w:gridCol w:w="1006"/>
              <w:gridCol w:w="6792"/>
            </w:tblGrid>
            <w:tr w14:paraId="77A776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838" w:type="dxa"/>
                  <w:gridSpan w:val="2"/>
                  <w:tcBorders>
                    <w:tl2br w:val="nil"/>
                    <w:tr2bl w:val="nil"/>
                  </w:tcBorders>
                  <w:noWrap w:val="0"/>
                  <w:vAlign w:val="center"/>
                </w:tcPr>
                <w:p w14:paraId="3767F149">
                  <w:pPr>
                    <w:pStyle w:val="106"/>
                    <w:spacing w:before="36" w:line="208"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5"/>
                      <w:sz w:val="21"/>
                      <w:szCs w:val="21"/>
                    </w:rPr>
                    <w:t>项目</w:t>
                  </w:r>
                </w:p>
              </w:tc>
              <w:tc>
                <w:tcPr>
                  <w:tcW w:w="6792" w:type="dxa"/>
                  <w:tcBorders>
                    <w:tl2br w:val="nil"/>
                    <w:tr2bl w:val="nil"/>
                  </w:tcBorders>
                  <w:noWrap w:val="0"/>
                  <w:vAlign w:val="center"/>
                </w:tcPr>
                <w:p w14:paraId="7217159A">
                  <w:pPr>
                    <w:pStyle w:val="106"/>
                    <w:spacing w:before="36" w:line="208"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5"/>
                      <w:sz w:val="21"/>
                      <w:szCs w:val="21"/>
                    </w:rPr>
                    <w:t>内容</w:t>
                  </w:r>
                </w:p>
              </w:tc>
            </w:tr>
            <w:tr w14:paraId="6BA9B1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32" w:type="dxa"/>
                  <w:vMerge w:val="restart"/>
                  <w:tcBorders>
                    <w:tl2br w:val="nil"/>
                    <w:tr2bl w:val="nil"/>
                  </w:tcBorders>
                  <w:noWrap w:val="0"/>
                  <w:vAlign w:val="center"/>
                </w:tcPr>
                <w:p w14:paraId="2FEFF141">
                  <w:pPr>
                    <w:pStyle w:val="106"/>
                    <w:spacing w:before="58" w:line="248" w:lineRule="auto"/>
                    <w:ind w:left="166" w:right="15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站内</w:t>
                  </w:r>
                  <w:r>
                    <w:rPr>
                      <w:rFonts w:hint="default" w:ascii="Times New Roman" w:hAnsi="Times New Roman" w:eastAsia="宋体" w:cs="Times New Roman"/>
                      <w:color w:val="auto"/>
                      <w:spacing w:val="-5"/>
                      <w:sz w:val="21"/>
                      <w:szCs w:val="21"/>
                    </w:rPr>
                    <w:t>永久设施</w:t>
                  </w:r>
                </w:p>
              </w:tc>
              <w:tc>
                <w:tcPr>
                  <w:tcW w:w="1006" w:type="dxa"/>
                  <w:tcBorders>
                    <w:tl2br w:val="nil"/>
                    <w:tr2bl w:val="nil"/>
                  </w:tcBorders>
                  <w:noWrap w:val="0"/>
                  <w:vAlign w:val="center"/>
                </w:tcPr>
                <w:p w14:paraId="7C9F75B5">
                  <w:pPr>
                    <w:pStyle w:val="106"/>
                    <w:spacing w:before="34" w:line="206"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进站道路</w:t>
                  </w:r>
                </w:p>
              </w:tc>
              <w:tc>
                <w:tcPr>
                  <w:tcW w:w="6792" w:type="dxa"/>
                  <w:tcBorders>
                    <w:tl2br w:val="nil"/>
                    <w:tr2bl w:val="nil"/>
                  </w:tcBorders>
                  <w:noWrap w:val="0"/>
                  <w:vAlign w:val="center"/>
                </w:tcPr>
                <w:p w14:paraId="11F5AD9B">
                  <w:pPr>
                    <w:pStyle w:val="106"/>
                    <w:spacing w:before="34" w:line="206"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利用前期工程中</w:t>
                  </w:r>
                  <w:r>
                    <w:rPr>
                      <w:rFonts w:hint="eastAsia" w:ascii="Times New Roman" w:hAnsi="Times New Roman" w:cs="Times New Roman"/>
                      <w:color w:val="auto"/>
                      <w:spacing w:val="-1"/>
                      <w:sz w:val="21"/>
                      <w:szCs w:val="21"/>
                      <w:lang w:val="en-US" w:eastAsia="zh-CN"/>
                    </w:rPr>
                    <w:t>已</w:t>
                  </w:r>
                  <w:r>
                    <w:rPr>
                      <w:rFonts w:hint="default" w:ascii="Times New Roman" w:hAnsi="Times New Roman" w:eastAsia="宋体" w:cs="Times New Roman"/>
                      <w:color w:val="auto"/>
                      <w:spacing w:val="-1"/>
                      <w:sz w:val="21"/>
                      <w:szCs w:val="21"/>
                    </w:rPr>
                    <w:t>建设的进站道路。</w:t>
                  </w:r>
                </w:p>
              </w:tc>
            </w:tr>
            <w:tr w14:paraId="1A6713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32" w:type="dxa"/>
                  <w:vMerge w:val="continue"/>
                  <w:tcBorders>
                    <w:tl2br w:val="nil"/>
                    <w:tr2bl w:val="nil"/>
                  </w:tcBorders>
                  <w:noWrap w:val="0"/>
                  <w:vAlign w:val="center"/>
                </w:tcPr>
                <w:p w14:paraId="1FCC282A">
                  <w:pPr>
                    <w:jc w:val="center"/>
                    <w:rPr>
                      <w:rFonts w:hint="default" w:ascii="Times New Roman" w:hAnsi="Times New Roman" w:eastAsia="宋体" w:cs="Times New Roman"/>
                      <w:color w:val="auto"/>
                      <w:sz w:val="21"/>
                      <w:szCs w:val="21"/>
                    </w:rPr>
                  </w:pPr>
                </w:p>
              </w:tc>
              <w:tc>
                <w:tcPr>
                  <w:tcW w:w="1006" w:type="dxa"/>
                  <w:tcBorders>
                    <w:tl2br w:val="nil"/>
                    <w:tr2bl w:val="nil"/>
                  </w:tcBorders>
                  <w:noWrap w:val="0"/>
                  <w:vAlign w:val="center"/>
                </w:tcPr>
                <w:p w14:paraId="43D33064">
                  <w:pPr>
                    <w:pStyle w:val="106"/>
                    <w:spacing w:before="153" w:line="219"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供电</w:t>
                  </w:r>
                  <w:r>
                    <w:rPr>
                      <w:rFonts w:hint="eastAsia" w:ascii="Times New Roman" w:hAnsi="Times New Roman" w:eastAsia="宋体" w:cs="Times New Roman"/>
                      <w:color w:val="auto"/>
                      <w:sz w:val="21"/>
                      <w:szCs w:val="21"/>
                      <w:lang w:val="en-US" w:eastAsia="zh-CN"/>
                    </w:rPr>
                    <w:t>电源</w:t>
                  </w:r>
                </w:p>
              </w:tc>
              <w:tc>
                <w:tcPr>
                  <w:tcW w:w="6792" w:type="dxa"/>
                  <w:tcBorders>
                    <w:tl2br w:val="nil"/>
                    <w:tr2bl w:val="nil"/>
                  </w:tcBorders>
                  <w:noWrap w:val="0"/>
                  <w:vAlign w:val="center"/>
                </w:tcPr>
                <w:p w14:paraId="4DF344F8">
                  <w:pPr>
                    <w:pStyle w:val="106"/>
                    <w:spacing w:before="33" w:line="219" w:lineRule="auto"/>
                    <w:ind w:left="153"/>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利用前期工程中</w:t>
                  </w:r>
                  <w:r>
                    <w:rPr>
                      <w:rFonts w:hint="eastAsia" w:ascii="Times New Roman" w:hAnsi="Times New Roman" w:cs="Times New Roman"/>
                      <w:color w:val="auto"/>
                      <w:spacing w:val="-1"/>
                      <w:sz w:val="21"/>
                      <w:szCs w:val="21"/>
                      <w:lang w:val="en-US" w:eastAsia="zh-CN"/>
                    </w:rPr>
                    <w:t>已</w:t>
                  </w:r>
                  <w:r>
                    <w:rPr>
                      <w:rFonts w:hint="default" w:ascii="Times New Roman" w:hAnsi="Times New Roman" w:eastAsia="宋体" w:cs="Times New Roman"/>
                      <w:color w:val="auto"/>
                      <w:spacing w:val="-1"/>
                      <w:sz w:val="21"/>
                      <w:szCs w:val="21"/>
                    </w:rPr>
                    <w:t>建设的</w:t>
                  </w:r>
                  <w:r>
                    <w:rPr>
                      <w:rFonts w:hint="default" w:ascii="Times New Roman" w:hAnsi="Times New Roman" w:eastAsia="宋体" w:cs="Times New Roman"/>
                      <w:color w:val="auto"/>
                      <w:sz w:val="21"/>
                      <w:szCs w:val="21"/>
                      <w:lang w:val="en-US" w:eastAsia="zh-CN"/>
                    </w:rPr>
                    <w:t>两台</w:t>
                  </w:r>
                  <w:r>
                    <w:rPr>
                      <w:rFonts w:hint="eastAsia" w:ascii="Times New Roman" w:hAnsi="Times New Roman"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00kVA的站用变提供全站用电负荷。</w:t>
                  </w:r>
                </w:p>
              </w:tc>
            </w:tr>
            <w:tr w14:paraId="18C43B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32" w:type="dxa"/>
                  <w:vMerge w:val="continue"/>
                  <w:tcBorders>
                    <w:tl2br w:val="nil"/>
                    <w:tr2bl w:val="nil"/>
                  </w:tcBorders>
                  <w:noWrap w:val="0"/>
                  <w:vAlign w:val="center"/>
                </w:tcPr>
                <w:p w14:paraId="68FE884C">
                  <w:pPr>
                    <w:jc w:val="center"/>
                    <w:rPr>
                      <w:rFonts w:hint="default" w:ascii="Times New Roman" w:hAnsi="Times New Roman" w:eastAsia="宋体" w:cs="Times New Roman"/>
                      <w:color w:val="auto"/>
                      <w:sz w:val="21"/>
                      <w:szCs w:val="21"/>
                    </w:rPr>
                  </w:pPr>
                </w:p>
              </w:tc>
              <w:tc>
                <w:tcPr>
                  <w:tcW w:w="1006" w:type="dxa"/>
                  <w:tcBorders>
                    <w:tl2br w:val="nil"/>
                    <w:tr2bl w:val="nil"/>
                  </w:tcBorders>
                  <w:noWrap w:val="0"/>
                  <w:vAlign w:val="center"/>
                </w:tcPr>
                <w:p w14:paraId="7908F451">
                  <w:pPr>
                    <w:pStyle w:val="10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生活污水</w:t>
                  </w:r>
                </w:p>
                <w:p w14:paraId="1B273FB2">
                  <w:pPr>
                    <w:pStyle w:val="10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处理装置</w:t>
                  </w:r>
                </w:p>
              </w:tc>
              <w:tc>
                <w:tcPr>
                  <w:tcW w:w="6792" w:type="dxa"/>
                  <w:tcBorders>
                    <w:tl2br w:val="nil"/>
                    <w:tr2bl w:val="nil"/>
                  </w:tcBorders>
                  <w:noWrap w:val="0"/>
                  <w:vAlign w:val="center"/>
                </w:tcPr>
                <w:p w14:paraId="6CE77C05">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变电站内施工人员产生的少量生活污水依托站内已建的</w:t>
                  </w:r>
                  <w:r>
                    <w:rPr>
                      <w:rFonts w:hint="default" w:ascii="Times New Roman" w:hAnsi="Times New Roman" w:eastAsia="宋体" w:cs="Times New Roman"/>
                      <w:color w:val="auto"/>
                      <w:sz w:val="21"/>
                      <w:szCs w:val="21"/>
                      <w:highlight w:val="none"/>
                      <w:lang w:val="en-US" w:eastAsia="zh-CN"/>
                    </w:rPr>
                    <w:t>化粪池</w:t>
                  </w:r>
                  <w:r>
                    <w:rPr>
                      <w:rFonts w:hint="default" w:ascii="Times New Roman" w:hAnsi="Times New Roman" w:eastAsia="宋体" w:cs="Times New Roman"/>
                      <w:color w:val="auto"/>
                      <w:kern w:val="2"/>
                      <w:sz w:val="21"/>
                      <w:szCs w:val="21"/>
                      <w:lang w:val="en-US" w:eastAsia="zh-CN" w:bidi="ar-SA"/>
                    </w:rPr>
                    <w:t>进行处理</w:t>
                  </w:r>
                  <w:r>
                    <w:rPr>
                      <w:rFonts w:hint="eastAsia" w:ascii="Times New Roman" w:hAnsi="Times New Roman" w:eastAsia="宋体" w:cs="Times New Roman"/>
                      <w:color w:val="auto"/>
                      <w:kern w:val="2"/>
                      <w:sz w:val="21"/>
                      <w:szCs w:val="21"/>
                      <w:lang w:val="en-US" w:eastAsia="zh-CN" w:bidi="ar-SA"/>
                    </w:rPr>
                    <w:t>。由于变电站为无人值班有1名门卫值守变电站，日常生活污水排放量极少，站内</w:t>
                  </w:r>
                  <w:r>
                    <w:rPr>
                      <w:rFonts w:hint="default" w:ascii="Times New Roman" w:hAnsi="Times New Roman" w:eastAsia="宋体" w:cs="Times New Roman"/>
                      <w:color w:val="auto"/>
                      <w:kern w:val="2"/>
                      <w:sz w:val="21"/>
                      <w:szCs w:val="21"/>
                      <w:lang w:val="en-US" w:eastAsia="zh-CN" w:bidi="ar-SA"/>
                    </w:rPr>
                    <w:t>已建的</w:t>
                  </w:r>
                  <w:r>
                    <w:rPr>
                      <w:rFonts w:hint="eastAsia" w:ascii="Times New Roman" w:hAnsi="Times New Roman" w:cs="Times New Roman"/>
                      <w:color w:val="auto"/>
                      <w:kern w:val="2"/>
                      <w:sz w:val="21"/>
                      <w:szCs w:val="21"/>
                      <w:lang w:val="en-US" w:eastAsia="zh-CN" w:bidi="ar-SA"/>
                    </w:rPr>
                    <w:t>化粪池</w:t>
                  </w:r>
                  <w:r>
                    <w:rPr>
                      <w:rFonts w:hint="eastAsia" w:ascii="Times New Roman" w:hAnsi="Times New Roman" w:eastAsia="宋体" w:cs="Times New Roman"/>
                      <w:color w:val="auto"/>
                      <w:kern w:val="2"/>
                      <w:sz w:val="21"/>
                      <w:szCs w:val="21"/>
                      <w:lang w:val="en-US" w:eastAsia="zh-CN" w:bidi="ar-SA"/>
                    </w:rPr>
                    <w:t>可以满足本</w:t>
                  </w:r>
                  <w:r>
                    <w:rPr>
                      <w:rFonts w:hint="eastAsia" w:ascii="Times New Roman" w:hAnsi="Times New Roman" w:cs="Times New Roman"/>
                      <w:color w:val="auto"/>
                      <w:kern w:val="2"/>
                      <w:sz w:val="21"/>
                      <w:szCs w:val="21"/>
                      <w:lang w:val="en-US" w:eastAsia="zh-CN" w:bidi="ar-SA"/>
                    </w:rPr>
                    <w:t>期间隔扩建工程</w:t>
                  </w:r>
                  <w:r>
                    <w:rPr>
                      <w:rFonts w:hint="eastAsia" w:ascii="Times New Roman" w:hAnsi="Times New Roman" w:eastAsia="宋体" w:cs="Times New Roman"/>
                      <w:color w:val="auto"/>
                      <w:kern w:val="2"/>
                      <w:sz w:val="21"/>
                      <w:szCs w:val="21"/>
                      <w:lang w:val="en-US" w:eastAsia="zh-CN" w:bidi="ar-SA"/>
                    </w:rPr>
                    <w:t>施工期排水需求。</w:t>
                  </w:r>
                </w:p>
                <w:p w14:paraId="0DEEA45B">
                  <w:pPr>
                    <w:pStyle w:val="106"/>
                    <w:spacing w:before="34" w:line="219" w:lineRule="auto"/>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w:t>
                  </w:r>
                  <w:r>
                    <w:rPr>
                      <w:rFonts w:hint="default" w:ascii="Times New Roman" w:hAnsi="Times New Roman" w:eastAsia="宋体" w:cs="Times New Roman"/>
                      <w:color w:val="auto"/>
                      <w:spacing w:val="-1"/>
                      <w:sz w:val="21"/>
                      <w:szCs w:val="21"/>
                    </w:rPr>
                    <w:t>期</w:t>
                  </w:r>
                  <w:r>
                    <w:rPr>
                      <w:rFonts w:hint="eastAsia" w:ascii="Times New Roman" w:hAnsi="Times New Roman" w:cs="Times New Roman"/>
                      <w:color w:val="auto"/>
                      <w:spacing w:val="-1"/>
                      <w:sz w:val="21"/>
                      <w:szCs w:val="21"/>
                      <w:lang w:val="en-US" w:eastAsia="zh-CN"/>
                    </w:rPr>
                    <w:t>间隔扩建工程运行期</w:t>
                  </w:r>
                  <w:r>
                    <w:rPr>
                      <w:rFonts w:hint="default" w:ascii="Times New Roman" w:hAnsi="Times New Roman" w:eastAsia="宋体" w:cs="Times New Roman"/>
                      <w:color w:val="auto"/>
                      <w:spacing w:val="-1"/>
                      <w:sz w:val="21"/>
                      <w:szCs w:val="21"/>
                    </w:rPr>
                    <w:t>不新增</w:t>
                  </w:r>
                  <w:r>
                    <w:rPr>
                      <w:rFonts w:hint="eastAsia" w:ascii="Times New Roman" w:hAnsi="Times New Roman" w:cs="Times New Roman"/>
                      <w:color w:val="auto"/>
                      <w:spacing w:val="-1"/>
                      <w:sz w:val="21"/>
                      <w:szCs w:val="21"/>
                      <w:lang w:val="en-US" w:eastAsia="zh-CN"/>
                    </w:rPr>
                    <w:t>工作</w:t>
                  </w:r>
                  <w:r>
                    <w:rPr>
                      <w:rFonts w:hint="default" w:ascii="Times New Roman" w:hAnsi="Times New Roman" w:eastAsia="宋体" w:cs="Times New Roman"/>
                      <w:color w:val="auto"/>
                      <w:spacing w:val="-1"/>
                      <w:sz w:val="21"/>
                      <w:szCs w:val="21"/>
                    </w:rPr>
                    <w:t>人员，不</w:t>
                  </w:r>
                  <w:r>
                    <w:rPr>
                      <w:rFonts w:hint="eastAsia" w:ascii="Times New Roman" w:hAnsi="Times New Roman" w:cs="Times New Roman"/>
                      <w:color w:val="auto"/>
                      <w:spacing w:val="-1"/>
                      <w:sz w:val="21"/>
                      <w:szCs w:val="21"/>
                      <w:lang w:val="en-US" w:eastAsia="zh-CN"/>
                    </w:rPr>
                    <w:t>新增</w:t>
                  </w:r>
                  <w:r>
                    <w:rPr>
                      <w:rFonts w:hint="default" w:ascii="Times New Roman" w:hAnsi="Times New Roman" w:eastAsia="宋体" w:cs="Times New Roman"/>
                      <w:color w:val="auto"/>
                      <w:spacing w:val="-1"/>
                      <w:sz w:val="21"/>
                      <w:szCs w:val="21"/>
                    </w:rPr>
                    <w:t>生活污水</w:t>
                  </w:r>
                  <w:r>
                    <w:rPr>
                      <w:rFonts w:hint="eastAsia" w:ascii="Times New Roman" w:hAnsi="Times New Roman" w:cs="Times New Roman"/>
                      <w:color w:val="auto"/>
                      <w:spacing w:val="-1"/>
                      <w:sz w:val="21"/>
                      <w:szCs w:val="21"/>
                      <w:lang w:val="en-US" w:eastAsia="zh-CN"/>
                    </w:rPr>
                    <w:t>产生</w:t>
                  </w:r>
                  <w:r>
                    <w:rPr>
                      <w:rFonts w:hint="default" w:ascii="Times New Roman" w:hAnsi="Times New Roman" w:eastAsia="宋体" w:cs="Times New Roman"/>
                      <w:color w:val="auto"/>
                      <w:spacing w:val="-1"/>
                      <w:sz w:val="21"/>
                      <w:szCs w:val="21"/>
                    </w:rPr>
                    <w:t>量。</w:t>
                  </w:r>
                </w:p>
              </w:tc>
            </w:tr>
            <w:tr w14:paraId="2A1345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32" w:type="dxa"/>
                  <w:vMerge w:val="continue"/>
                  <w:tcBorders>
                    <w:tl2br w:val="nil"/>
                    <w:tr2bl w:val="nil"/>
                  </w:tcBorders>
                  <w:noWrap w:val="0"/>
                  <w:vAlign w:val="center"/>
                </w:tcPr>
                <w:p w14:paraId="29A59B59">
                  <w:pPr>
                    <w:jc w:val="center"/>
                    <w:rPr>
                      <w:rFonts w:hint="default" w:ascii="Times New Roman" w:hAnsi="Times New Roman" w:eastAsia="宋体" w:cs="Times New Roman"/>
                      <w:color w:val="auto"/>
                      <w:sz w:val="21"/>
                      <w:szCs w:val="21"/>
                    </w:rPr>
                  </w:pPr>
                </w:p>
              </w:tc>
              <w:tc>
                <w:tcPr>
                  <w:tcW w:w="1006" w:type="dxa"/>
                  <w:tcBorders>
                    <w:tl2br w:val="nil"/>
                    <w:tr2bl w:val="nil"/>
                  </w:tcBorders>
                  <w:noWrap w:val="0"/>
                  <w:vAlign w:val="center"/>
                </w:tcPr>
                <w:p w14:paraId="4157BC00">
                  <w:pPr>
                    <w:pStyle w:val="10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生活垃圾收集设施</w:t>
                  </w:r>
                </w:p>
              </w:tc>
              <w:tc>
                <w:tcPr>
                  <w:tcW w:w="6792" w:type="dxa"/>
                  <w:tcBorders>
                    <w:tl2br w:val="nil"/>
                    <w:tr2bl w:val="nil"/>
                  </w:tcBorders>
                  <w:noWrap w:val="0"/>
                  <w:vAlign w:val="center"/>
                </w:tcPr>
                <w:p w14:paraId="74326BA0">
                  <w:pPr>
                    <w:pStyle w:val="106"/>
                    <w:spacing w:before="34" w:line="219" w:lineRule="auto"/>
                    <w:jc w:val="both"/>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变电站内施工人员产生的</w:t>
                  </w:r>
                  <w:r>
                    <w:rPr>
                      <w:rFonts w:hint="default" w:ascii="Times New Roman" w:hAnsi="Times New Roman" w:eastAsia="宋体" w:cs="Times New Roman"/>
                      <w:color w:val="auto"/>
                      <w:sz w:val="21"/>
                      <w:szCs w:val="21"/>
                      <w:highlight w:val="none"/>
                      <w:lang w:val="en-US" w:eastAsia="zh-CN"/>
                    </w:rPr>
                    <w:t>生活垃圾</w:t>
                  </w:r>
                  <w:r>
                    <w:rPr>
                      <w:rFonts w:hint="default" w:ascii="Times New Roman" w:hAnsi="Times New Roman" w:cs="Times New Roman"/>
                      <w:color w:val="auto"/>
                      <w:sz w:val="21"/>
                      <w:szCs w:val="21"/>
                      <w:highlight w:val="none"/>
                      <w:lang w:val="en-US" w:eastAsia="zh-CN"/>
                    </w:rPr>
                    <w:t>依托站内</w:t>
                  </w:r>
                  <w:r>
                    <w:rPr>
                      <w:rFonts w:hint="default" w:ascii="Times New Roman" w:hAnsi="Times New Roman" w:eastAsia="宋体" w:cs="Times New Roman"/>
                      <w:color w:val="auto"/>
                      <w:sz w:val="21"/>
                      <w:szCs w:val="21"/>
                      <w:highlight w:val="none"/>
                      <w:lang w:val="en-US" w:eastAsia="zh-CN"/>
                    </w:rPr>
                    <w:t>生活</w:t>
                  </w:r>
                  <w:r>
                    <w:rPr>
                      <w:rFonts w:hint="default" w:ascii="Times New Roman" w:hAnsi="Times New Roman" w:cs="Times New Roman"/>
                      <w:color w:val="auto"/>
                      <w:sz w:val="21"/>
                      <w:szCs w:val="21"/>
                      <w:highlight w:val="none"/>
                      <w:lang w:val="en-US" w:eastAsia="zh-CN"/>
                    </w:rPr>
                    <w:t>垃圾桶分类收集</w:t>
                  </w:r>
                  <w:r>
                    <w:rPr>
                      <w:rFonts w:hint="eastAsia" w:cs="Times New Roman"/>
                      <w:color w:val="auto"/>
                      <w:sz w:val="21"/>
                      <w:szCs w:val="21"/>
                      <w:highlight w:val="none"/>
                      <w:lang w:val="en-US" w:eastAsia="zh-CN"/>
                    </w:rPr>
                    <w:t>后送附近垃圾收集点收集处置</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rPr>
                    <w:t>本</w:t>
                  </w:r>
                  <w:r>
                    <w:rPr>
                      <w:rFonts w:hint="default" w:ascii="Times New Roman" w:hAnsi="Times New Roman" w:eastAsia="宋体" w:cs="Times New Roman"/>
                      <w:color w:val="auto"/>
                      <w:spacing w:val="-1"/>
                      <w:sz w:val="21"/>
                      <w:szCs w:val="21"/>
                    </w:rPr>
                    <w:t>期</w:t>
                  </w:r>
                  <w:r>
                    <w:rPr>
                      <w:rFonts w:hint="eastAsia" w:ascii="Times New Roman" w:hAnsi="Times New Roman" w:cs="Times New Roman"/>
                      <w:color w:val="auto"/>
                      <w:spacing w:val="-1"/>
                      <w:sz w:val="21"/>
                      <w:szCs w:val="21"/>
                      <w:lang w:val="en-US" w:eastAsia="zh-CN"/>
                    </w:rPr>
                    <w:t>间隔扩建工程运行期</w:t>
                  </w:r>
                  <w:r>
                    <w:rPr>
                      <w:rFonts w:hint="default" w:ascii="Times New Roman" w:hAnsi="Times New Roman" w:eastAsia="宋体" w:cs="Times New Roman"/>
                      <w:color w:val="auto"/>
                      <w:spacing w:val="-1"/>
                      <w:sz w:val="21"/>
                      <w:szCs w:val="21"/>
                    </w:rPr>
                    <w:t>不新增</w:t>
                  </w:r>
                  <w:r>
                    <w:rPr>
                      <w:rFonts w:hint="eastAsia" w:ascii="Times New Roman" w:hAnsi="Times New Roman" w:cs="Times New Roman"/>
                      <w:color w:val="auto"/>
                      <w:spacing w:val="-1"/>
                      <w:sz w:val="21"/>
                      <w:szCs w:val="21"/>
                      <w:lang w:val="en-US" w:eastAsia="zh-CN"/>
                    </w:rPr>
                    <w:t>工作</w:t>
                  </w:r>
                  <w:r>
                    <w:rPr>
                      <w:rFonts w:hint="default" w:ascii="Times New Roman" w:hAnsi="Times New Roman" w:eastAsia="宋体" w:cs="Times New Roman"/>
                      <w:color w:val="auto"/>
                      <w:spacing w:val="-1"/>
                      <w:sz w:val="21"/>
                      <w:szCs w:val="21"/>
                    </w:rPr>
                    <w:t>人员，不</w:t>
                  </w:r>
                  <w:r>
                    <w:rPr>
                      <w:rFonts w:hint="eastAsia" w:ascii="Times New Roman" w:hAnsi="Times New Roman" w:cs="Times New Roman"/>
                      <w:color w:val="auto"/>
                      <w:spacing w:val="-1"/>
                      <w:sz w:val="21"/>
                      <w:szCs w:val="21"/>
                      <w:lang w:val="en-US" w:eastAsia="zh-CN"/>
                    </w:rPr>
                    <w:t>新增</w:t>
                  </w:r>
                  <w:r>
                    <w:rPr>
                      <w:rFonts w:hint="default" w:ascii="Times New Roman" w:hAnsi="Times New Roman" w:eastAsia="宋体" w:cs="Times New Roman"/>
                      <w:color w:val="auto"/>
                      <w:spacing w:val="-1"/>
                      <w:sz w:val="21"/>
                      <w:szCs w:val="21"/>
                    </w:rPr>
                    <w:t>生活</w:t>
                  </w:r>
                  <w:r>
                    <w:rPr>
                      <w:rFonts w:hint="eastAsia" w:ascii="Times New Roman" w:hAnsi="Times New Roman" w:cs="Times New Roman"/>
                      <w:color w:val="auto"/>
                      <w:spacing w:val="-1"/>
                      <w:sz w:val="21"/>
                      <w:szCs w:val="21"/>
                      <w:lang w:val="en-US" w:eastAsia="zh-CN"/>
                    </w:rPr>
                    <w:t>垃圾产生</w:t>
                  </w:r>
                  <w:r>
                    <w:rPr>
                      <w:rFonts w:hint="default" w:ascii="Times New Roman" w:hAnsi="Times New Roman" w:eastAsia="宋体" w:cs="Times New Roman"/>
                      <w:color w:val="auto"/>
                      <w:spacing w:val="-1"/>
                      <w:sz w:val="21"/>
                      <w:szCs w:val="21"/>
                    </w:rPr>
                    <w:t>量。</w:t>
                  </w:r>
                </w:p>
              </w:tc>
            </w:tr>
            <w:tr w14:paraId="1C54CA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32" w:type="dxa"/>
                  <w:vMerge w:val="continue"/>
                  <w:tcBorders>
                    <w:tl2br w:val="nil"/>
                    <w:tr2bl w:val="nil"/>
                  </w:tcBorders>
                  <w:noWrap w:val="0"/>
                  <w:vAlign w:val="center"/>
                </w:tcPr>
                <w:p w14:paraId="01175A1F">
                  <w:pPr>
                    <w:jc w:val="center"/>
                    <w:rPr>
                      <w:rFonts w:hint="default" w:ascii="Times New Roman" w:hAnsi="Times New Roman" w:eastAsia="宋体" w:cs="Times New Roman"/>
                      <w:color w:val="auto"/>
                      <w:sz w:val="21"/>
                      <w:szCs w:val="21"/>
                    </w:rPr>
                  </w:pPr>
                </w:p>
              </w:tc>
              <w:tc>
                <w:tcPr>
                  <w:tcW w:w="1006" w:type="dxa"/>
                  <w:tcBorders>
                    <w:tl2br w:val="nil"/>
                    <w:tr2bl w:val="nil"/>
                  </w:tcBorders>
                  <w:noWrap w:val="0"/>
                  <w:vAlign w:val="center"/>
                </w:tcPr>
                <w:p w14:paraId="725B8F65">
                  <w:pPr>
                    <w:pStyle w:val="106"/>
                    <w:spacing w:before="155" w:line="219"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雨水排水</w:t>
                  </w:r>
                </w:p>
              </w:tc>
              <w:tc>
                <w:tcPr>
                  <w:tcW w:w="6792" w:type="dxa"/>
                  <w:tcBorders>
                    <w:tl2br w:val="nil"/>
                    <w:tr2bl w:val="nil"/>
                  </w:tcBorders>
                  <w:noWrap w:val="0"/>
                  <w:vAlign w:val="center"/>
                </w:tcPr>
                <w:p w14:paraId="30302578">
                  <w:pPr>
                    <w:pStyle w:val="106"/>
                    <w:spacing w:before="34" w:line="219" w:lineRule="auto"/>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站区内雨水排水已在</w:t>
                  </w:r>
                  <w:r>
                    <w:rPr>
                      <w:rFonts w:hint="eastAsia" w:ascii="Times New Roman" w:hAnsi="Times New Roman" w:cs="Times New Roman"/>
                      <w:color w:val="auto"/>
                      <w:sz w:val="21"/>
                      <w:szCs w:val="21"/>
                      <w:lang w:val="en-US" w:eastAsia="zh-CN"/>
                    </w:rPr>
                    <w:t>前期工程</w:t>
                  </w:r>
                  <w:r>
                    <w:rPr>
                      <w:rFonts w:hint="default" w:ascii="Times New Roman" w:hAnsi="Times New Roman" w:eastAsia="宋体" w:cs="Times New Roman"/>
                      <w:color w:val="auto"/>
                      <w:sz w:val="21"/>
                      <w:szCs w:val="21"/>
                    </w:rPr>
                    <w:t>中建成。本期扩建场地内的雨</w:t>
                  </w:r>
                  <w:r>
                    <w:rPr>
                      <w:rFonts w:hint="default" w:ascii="Times New Roman" w:hAnsi="Times New Roman" w:eastAsia="宋体" w:cs="Times New Roman"/>
                      <w:color w:val="auto"/>
                      <w:spacing w:val="-1"/>
                      <w:sz w:val="21"/>
                      <w:szCs w:val="21"/>
                    </w:rPr>
                    <w:t>水经敷设在场地内的雨水口收集，通过地下雨水排水管道，排入前期已建排水系统。</w:t>
                  </w:r>
                </w:p>
              </w:tc>
            </w:tr>
            <w:tr w14:paraId="72251C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32" w:type="dxa"/>
                  <w:tcBorders>
                    <w:tl2br w:val="nil"/>
                    <w:tr2bl w:val="nil"/>
                  </w:tcBorders>
                  <w:noWrap w:val="0"/>
                  <w:vAlign w:val="center"/>
                </w:tcPr>
                <w:p w14:paraId="4EDE7BC7">
                  <w:pPr>
                    <w:pStyle w:val="106"/>
                    <w:keepNext w:val="0"/>
                    <w:keepLines w:val="0"/>
                    <w:pageBreakBefore w:val="0"/>
                    <w:widowControl w:val="0"/>
                    <w:kinsoku/>
                    <w:wordWrap/>
                    <w:overflowPunct/>
                    <w:topLinePunct w:val="0"/>
                    <w:autoSpaceDE/>
                    <w:autoSpaceDN/>
                    <w:bidi w:val="0"/>
                    <w:adjustRightInd w:val="0"/>
                    <w:snapToGrid w:val="0"/>
                    <w:spacing w:line="222" w:lineRule="auto"/>
                    <w:ind w:left="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4"/>
                      <w:sz w:val="21"/>
                      <w:szCs w:val="21"/>
                    </w:rPr>
                    <w:t>施工</w:t>
                  </w:r>
                  <w:r>
                    <w:rPr>
                      <w:rFonts w:hint="default" w:ascii="Times New Roman" w:hAnsi="Times New Roman" w:eastAsia="宋体" w:cs="Times New Roman"/>
                      <w:color w:val="auto"/>
                      <w:spacing w:val="-9"/>
                      <w:sz w:val="21"/>
                      <w:szCs w:val="21"/>
                    </w:rPr>
                    <w:t>临</w:t>
                  </w:r>
                </w:p>
                <w:p w14:paraId="572D4F16">
                  <w:pPr>
                    <w:pStyle w:val="106"/>
                    <w:keepNext w:val="0"/>
                    <w:keepLines w:val="0"/>
                    <w:pageBreakBefore w:val="0"/>
                    <w:widowControl w:val="0"/>
                    <w:kinsoku/>
                    <w:wordWrap/>
                    <w:overflowPunct/>
                    <w:topLinePunct w:val="0"/>
                    <w:autoSpaceDE/>
                    <w:autoSpaceDN/>
                    <w:bidi w:val="0"/>
                    <w:adjustRightInd w:val="0"/>
                    <w:snapToGrid w:val="0"/>
                    <w:spacing w:line="222"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时</w:t>
                  </w:r>
                  <w:r>
                    <w:rPr>
                      <w:rFonts w:hint="default" w:ascii="Times New Roman" w:hAnsi="Times New Roman" w:eastAsia="宋体" w:cs="Times New Roman"/>
                      <w:color w:val="auto"/>
                      <w:spacing w:val="-5"/>
                      <w:sz w:val="21"/>
                      <w:szCs w:val="21"/>
                    </w:rPr>
                    <w:t>设施</w:t>
                  </w:r>
                </w:p>
              </w:tc>
              <w:tc>
                <w:tcPr>
                  <w:tcW w:w="1006" w:type="dxa"/>
                  <w:tcBorders>
                    <w:tl2br w:val="nil"/>
                    <w:tr2bl w:val="nil"/>
                  </w:tcBorders>
                  <w:noWrap w:val="0"/>
                  <w:vAlign w:val="center"/>
                </w:tcPr>
                <w:p w14:paraId="617BF8E7">
                  <w:pPr>
                    <w:pStyle w:val="106"/>
                    <w:spacing w:before="35" w:line="205"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施工用电</w:t>
                  </w:r>
                </w:p>
              </w:tc>
              <w:tc>
                <w:tcPr>
                  <w:tcW w:w="6792" w:type="dxa"/>
                  <w:tcBorders>
                    <w:tl2br w:val="nil"/>
                    <w:tr2bl w:val="nil"/>
                  </w:tcBorders>
                  <w:noWrap w:val="0"/>
                  <w:vAlign w:val="center"/>
                </w:tcPr>
                <w:p w14:paraId="68BC7167">
                  <w:pPr>
                    <w:pStyle w:val="106"/>
                    <w:spacing w:before="35" w:line="205" w:lineRule="auto"/>
                    <w:ind w:left="2041"/>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利用站内现有电源。</w:t>
                  </w:r>
                </w:p>
              </w:tc>
            </w:tr>
          </w:tbl>
          <w:p w14:paraId="38D60A11">
            <w:pPr>
              <w:pStyle w:val="13"/>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3.</w:t>
            </w:r>
            <w:r>
              <w:rPr>
                <w:rFonts w:hint="default" w:ascii="Times New Roman" w:hAnsi="Times New Roman" w:cs="Times New Roman"/>
                <w:b/>
                <w:bCs/>
                <w:color w:val="auto"/>
                <w:sz w:val="24"/>
                <w:highlight w:val="none"/>
              </w:rPr>
              <w:t>项目具体情况</w:t>
            </w:r>
          </w:p>
          <w:p w14:paraId="60D8748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3.1</w:t>
            </w:r>
            <w:r>
              <w:rPr>
                <w:rFonts w:hint="default" w:ascii="Times New Roman" w:hAnsi="Times New Roman" w:cs="Times New Roman"/>
                <w:b/>
                <w:bCs/>
                <w:color w:val="auto"/>
                <w:sz w:val="24"/>
                <w:highlight w:val="none"/>
              </w:rPr>
              <w:t>线路工程</w:t>
            </w:r>
          </w:p>
          <w:p w14:paraId="670C1A4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⑴接入系统方案</w:t>
            </w:r>
          </w:p>
          <w:p w14:paraId="402D77D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highlight w:val="none"/>
                <w:lang w:eastAsia="zh-CN"/>
              </w:rPr>
            </w:pPr>
            <w:r>
              <w:rPr>
                <w:rFonts w:hint="default" w:ascii="Times New Roman" w:hAnsi="Times New Roman" w:eastAsia="宋体" w:cs="Times New Roman"/>
                <w:color w:val="auto"/>
                <w:sz w:val="24"/>
                <w:szCs w:val="24"/>
                <w:highlight w:val="none"/>
                <w:lang w:val="en-US" w:eastAsia="zh-CN"/>
              </w:rPr>
              <w:t>根据《国网宁夏电力有限公司关于印发宁夏华电彭阳200兆瓦风电项目接入系统设计评审意见的通知》（宁电发展〔2025〕159号）：宁夏华电彭阳200兆瓦风电项目以1回110千伏线路接入正在建设的云雾山330千伏变电站110千伏侧西起19个出线间隔。新建输电线路长2</w:t>
            </w:r>
            <w:r>
              <w:rPr>
                <w:rFonts w:hint="eastAsia" w:cs="Times New Roman"/>
                <w:color w:val="auto"/>
                <w:sz w:val="24"/>
                <w:szCs w:val="24"/>
                <w:highlight w:val="none"/>
                <w:lang w:val="en-US" w:eastAsia="zh-CN"/>
              </w:rPr>
              <w:t>4.2</w:t>
            </w:r>
            <w:r>
              <w:rPr>
                <w:rFonts w:hint="default" w:ascii="Times New Roman" w:hAnsi="Times New Roman" w:eastAsia="宋体" w:cs="Times New Roman"/>
                <w:color w:val="auto"/>
                <w:sz w:val="24"/>
                <w:szCs w:val="24"/>
                <w:highlight w:val="none"/>
                <w:lang w:val="en-US" w:eastAsia="zh-CN"/>
              </w:rPr>
              <w:t>km。</w:t>
            </w:r>
            <w:r>
              <w:rPr>
                <w:rFonts w:hint="default" w:ascii="Times New Roman" w:hAnsi="Times New Roman" w:cs="Times New Roman"/>
                <w:color w:val="auto"/>
                <w:sz w:val="24"/>
                <w:highlight w:val="none"/>
                <w:lang w:val="en-US" w:eastAsia="zh-CN"/>
              </w:rPr>
              <w:t>330千伏云雾山变电站110千伏出线间隔平面图见附图2-2。</w:t>
            </w:r>
          </w:p>
          <w:p w14:paraId="608B928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⑵</w:t>
            </w:r>
            <w:r>
              <w:rPr>
                <w:rFonts w:hint="default" w:ascii="Times New Roman" w:hAnsi="Times New Roman" w:cs="Times New Roman"/>
                <w:color w:val="auto"/>
                <w:sz w:val="24"/>
                <w:highlight w:val="none"/>
              </w:rPr>
              <w:t>导线和地线选型</w:t>
            </w:r>
          </w:p>
          <w:p w14:paraId="7A3360CC">
            <w:pPr>
              <w:adjustRightInd w:val="0"/>
              <w:snapToGrid w:val="0"/>
              <w:spacing w:line="360" w:lineRule="auto"/>
              <w:ind w:firstLine="480" w:firstLineChars="200"/>
              <w:jc w:val="both"/>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本项目新建输电线路导线采用2×JL3/G1A-240/30-48/7高导电率钢芯铝绞线，每相双分裂，子导线垂直双分裂布置，分裂间距400mm，</w:t>
            </w:r>
            <w:r>
              <w:rPr>
                <w:rFonts w:hint="default" w:ascii="Times New Roman" w:hAnsi="Times New Roman" w:cs="Times New Roman"/>
                <w:color w:val="auto"/>
                <w:sz w:val="24"/>
                <w:szCs w:val="24"/>
                <w:highlight w:val="none"/>
              </w:rPr>
              <w:t>截面</w:t>
            </w:r>
            <w:r>
              <w:rPr>
                <w:rFonts w:hint="default" w:ascii="Times New Roman" w:hAnsi="Times New Roman" w:cs="Times New Roman"/>
                <w:color w:val="auto"/>
                <w:sz w:val="24"/>
                <w:szCs w:val="24"/>
                <w:highlight w:val="none"/>
                <w:lang w:val="en-US" w:eastAsia="zh-CN"/>
              </w:rPr>
              <w:t>240</w:t>
            </w:r>
            <w:r>
              <w:rPr>
                <w:rFonts w:hint="default" w:ascii="Times New Roman" w:hAnsi="Times New Roman" w:cs="Times New Roman"/>
                <w:color w:val="auto"/>
                <w:sz w:val="24"/>
                <w:szCs w:val="24"/>
                <w:highlight w:val="none"/>
              </w:rPr>
              <w:t>mm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地线推荐采用2根24芯OPGW</w:t>
            </w:r>
            <w:r>
              <w:rPr>
                <w:rFonts w:hint="eastAsia" w:cs="Times New Roman"/>
                <w:color w:val="auto"/>
                <w:sz w:val="24"/>
                <w:szCs w:val="24"/>
                <w:highlight w:val="none"/>
                <w:lang w:val="en-US" w:eastAsia="zh-CN"/>
              </w:rPr>
              <w:t>-100光纤</w:t>
            </w:r>
            <w:r>
              <w:rPr>
                <w:rFonts w:hint="default" w:ascii="Times New Roman" w:hAnsi="Times New Roman" w:cs="Times New Roman"/>
                <w:color w:val="auto"/>
                <w:sz w:val="24"/>
                <w:szCs w:val="24"/>
                <w:highlight w:val="none"/>
                <w:lang w:val="en-US" w:eastAsia="zh-CN"/>
              </w:rPr>
              <w:t>复合架空地线。</w:t>
            </w:r>
          </w:p>
          <w:p w14:paraId="4470BED1">
            <w:pPr>
              <w:adjustRightInd w:val="0"/>
              <w:snapToGrid w:val="0"/>
              <w:spacing w:line="360" w:lineRule="auto"/>
              <w:ind w:firstLine="480" w:firstLineChars="2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对110千伏清李Ⅰ线117#、118#直线塔、110千伏至李线96#、97#直线塔进行抬高改造。导线、地线利旧，原110千伏清李</w:t>
            </w:r>
            <w:r>
              <w:rPr>
                <w:rFonts w:hint="eastAsia" w:cs="Times New Roman"/>
                <w:color w:val="auto"/>
                <w:sz w:val="24"/>
                <w:szCs w:val="24"/>
                <w:highlight w:val="none"/>
                <w:lang w:val="en-US" w:eastAsia="zh-CN"/>
              </w:rPr>
              <w:t>I</w:t>
            </w:r>
            <w:r>
              <w:rPr>
                <w:rFonts w:hint="default" w:ascii="Times New Roman" w:hAnsi="Times New Roman" w:cs="Times New Roman"/>
                <w:color w:val="auto"/>
                <w:sz w:val="24"/>
                <w:szCs w:val="24"/>
                <w:highlight w:val="none"/>
                <w:lang w:val="en-US" w:eastAsia="zh-CN"/>
              </w:rPr>
              <w:t>线线路导线为1×JL/G1A-240/40钢芯铝绞线，地线为2根GJ-70镀锌钢绞线。原110千伏至李线线路导线为1×JL/G1A-240/40钢芯铝绞线，地线为1根GJ-70镀锌钢绞线，1根为24芯OPGW光纤复合架空地线。</w:t>
            </w:r>
          </w:p>
          <w:p w14:paraId="4EB8E54A">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highlight w:val="none"/>
              </w:rPr>
              <w:t>⑶</w:t>
            </w:r>
            <w:r>
              <w:rPr>
                <w:rFonts w:hint="default" w:ascii="Times New Roman" w:hAnsi="Times New Roman" w:eastAsia="宋体" w:cs="Times New Roman"/>
                <w:color w:val="auto"/>
                <w:sz w:val="24"/>
                <w:szCs w:val="24"/>
                <w:highlight w:val="none"/>
              </w:rPr>
              <w:t>线</w:t>
            </w:r>
            <w:r>
              <w:rPr>
                <w:rFonts w:hint="default" w:ascii="Times New Roman" w:hAnsi="Times New Roman" w:eastAsia="宋体" w:cs="Times New Roman"/>
                <w:color w:val="auto"/>
                <w:sz w:val="24"/>
                <w:szCs w:val="24"/>
                <w:highlight w:val="none"/>
                <w:lang w:val="en-US" w:eastAsia="zh-CN"/>
              </w:rPr>
              <w:t>路交叉跨越距离</w:t>
            </w:r>
          </w:p>
          <w:p w14:paraId="75BBB17A">
            <w:pPr>
              <w:adjustRightInd w:val="0"/>
              <w:snapToGrid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①</w:t>
            </w:r>
            <w:r>
              <w:rPr>
                <w:rFonts w:hint="default" w:ascii="Times New Roman" w:hAnsi="Times New Roman" w:cs="Times New Roman"/>
                <w:bCs/>
                <w:color w:val="auto"/>
                <w:sz w:val="24"/>
                <w:highlight w:val="none"/>
              </w:rPr>
              <w:t>线路安全距离</w:t>
            </w:r>
          </w:p>
          <w:p w14:paraId="7DDFAC82">
            <w:pPr>
              <w:spacing w:before="3" w:line="379" w:lineRule="auto"/>
              <w:ind w:left="12" w:firstLine="478"/>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根据初步设计文件，</w:t>
            </w:r>
            <w:r>
              <w:rPr>
                <w:rFonts w:hint="default" w:ascii="Times New Roman" w:hAnsi="Times New Roman" w:cs="Times New Roman"/>
                <w:color w:val="auto"/>
                <w:sz w:val="24"/>
                <w:highlight w:val="none"/>
              </w:rPr>
              <w:t>本工程</w:t>
            </w:r>
            <w:r>
              <w:rPr>
                <w:rFonts w:hint="default" w:ascii="Times New Roman" w:hAnsi="Times New Roman" w:cs="Times New Roman"/>
                <w:color w:val="auto"/>
                <w:sz w:val="24"/>
                <w:highlight w:val="none"/>
                <w:lang w:val="en-US" w:eastAsia="zh-CN"/>
              </w:rPr>
              <w:t>110千伏输电线路导线对地距离和交叉跨越距离</w:t>
            </w:r>
            <w:r>
              <w:rPr>
                <w:rFonts w:hint="default" w:ascii="Times New Roman" w:hAnsi="Times New Roman" w:cs="Times New Roman"/>
                <w:color w:val="auto"/>
                <w:sz w:val="24"/>
                <w:highlight w:val="none"/>
              </w:rPr>
              <w:t>以满足《110kV</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750kV架空输电线路设计规范》（GB50545-2010）的要求为标准，具体数值见表2-</w:t>
            </w:r>
            <w:r>
              <w:rPr>
                <w:rFonts w:hint="eastAsia" w:cs="Times New Roman"/>
                <w:color w:val="auto"/>
                <w:sz w:val="24"/>
                <w:highlight w:val="none"/>
                <w:lang w:val="en-US" w:eastAsia="zh-CN"/>
              </w:rPr>
              <w:t>3</w:t>
            </w:r>
            <w:r>
              <w:rPr>
                <w:rFonts w:hint="default" w:ascii="Times New Roman" w:hAnsi="Times New Roman" w:cs="Times New Roman"/>
                <w:color w:val="auto"/>
                <w:sz w:val="24"/>
                <w:highlight w:val="none"/>
              </w:rPr>
              <w:t>。</w:t>
            </w:r>
          </w:p>
          <w:p w14:paraId="25E25B62">
            <w:pPr>
              <w:spacing w:line="240" w:lineRule="auto"/>
              <w:jc w:val="center"/>
              <w:rPr>
                <w:rFonts w:hint="default" w:ascii="Times New Roman" w:hAnsi="Times New Roman" w:eastAsia="宋体" w:cs="Times New Roman"/>
                <w:b/>
                <w:bCs/>
                <w:color w:val="auto"/>
                <w:sz w:val="24"/>
                <w:highlight w:val="none"/>
                <w:lang w:val="en-US"/>
              </w:rPr>
            </w:pPr>
            <w:r>
              <w:rPr>
                <w:rFonts w:hint="default" w:ascii="Times New Roman" w:hAnsi="Times New Roman" w:eastAsia="宋体" w:cs="Times New Roman"/>
                <w:b/>
                <w:bCs/>
                <w:color w:val="auto"/>
                <w:sz w:val="24"/>
                <w:highlight w:val="none"/>
              </w:rPr>
              <w:t>表2-</w:t>
            </w:r>
            <w:r>
              <w:rPr>
                <w:rFonts w:hint="eastAsia"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导线对地面及建筑物、树木的最小距离情况一览表</w:t>
            </w:r>
          </w:p>
          <w:tbl>
            <w:tblPr>
              <w:tblStyle w:val="31"/>
              <w:tblW w:w="86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9"/>
              <w:gridCol w:w="380"/>
              <w:gridCol w:w="2328"/>
              <w:gridCol w:w="1128"/>
              <w:gridCol w:w="2915"/>
              <w:gridCol w:w="1364"/>
            </w:tblGrid>
            <w:tr w14:paraId="224FB7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59" w:type="dxa"/>
                  <w:noWrap w:val="0"/>
                  <w:vAlign w:val="center"/>
                </w:tcPr>
                <w:p w14:paraId="3B3EB657">
                  <w:pPr>
                    <w:pStyle w:val="64"/>
                    <w:spacing w:line="240" w:lineRule="atLeast"/>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2708" w:type="dxa"/>
                  <w:gridSpan w:val="2"/>
                  <w:noWrap w:val="0"/>
                  <w:vAlign w:val="center"/>
                </w:tcPr>
                <w:p w14:paraId="43035F46">
                  <w:pPr>
                    <w:pStyle w:val="64"/>
                    <w:spacing w:line="240" w:lineRule="atLeast"/>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对地和交叉</w:t>
                  </w:r>
                  <w:r>
                    <w:rPr>
                      <w:rFonts w:hint="default" w:ascii="Times New Roman" w:hAnsi="Times New Roman" w:eastAsia="宋体" w:cs="Times New Roman"/>
                      <w:b/>
                      <w:bCs/>
                      <w:color w:val="auto"/>
                      <w:sz w:val="21"/>
                      <w:szCs w:val="21"/>
                      <w:highlight w:val="none"/>
                    </w:rPr>
                    <w:cr/>
                  </w:r>
                  <w:r>
                    <w:rPr>
                      <w:rFonts w:hint="default" w:ascii="Times New Roman" w:hAnsi="Times New Roman" w:eastAsia="宋体" w:cs="Times New Roman"/>
                      <w:b/>
                      <w:bCs/>
                      <w:color w:val="auto"/>
                      <w:sz w:val="21"/>
                      <w:szCs w:val="21"/>
                      <w:highlight w:val="none"/>
                      <w:lang w:val="en-US" w:eastAsia="zh-CN"/>
                    </w:rPr>
                    <w:t>跨越</w:t>
                  </w:r>
                </w:p>
              </w:tc>
              <w:tc>
                <w:tcPr>
                  <w:tcW w:w="1128" w:type="dxa"/>
                  <w:noWrap w:val="0"/>
                  <w:vAlign w:val="center"/>
                </w:tcPr>
                <w:p w14:paraId="213A6ECB">
                  <w:pPr>
                    <w:pStyle w:val="64"/>
                    <w:spacing w:line="240" w:lineRule="atLeast"/>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最小垂直距离（m）</w:t>
                  </w:r>
                </w:p>
              </w:tc>
              <w:tc>
                <w:tcPr>
                  <w:tcW w:w="2915" w:type="dxa"/>
                  <w:noWrap w:val="0"/>
                  <w:vAlign w:val="center"/>
                </w:tcPr>
                <w:p w14:paraId="69083439">
                  <w:pPr>
                    <w:pStyle w:val="64"/>
                    <w:spacing w:line="240" w:lineRule="atLeast"/>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c>
                <w:tcPr>
                  <w:tcW w:w="1364" w:type="dxa"/>
                  <w:noWrap w:val="0"/>
                  <w:vAlign w:val="center"/>
                </w:tcPr>
                <w:p w14:paraId="7BC55948">
                  <w:pPr>
                    <w:pStyle w:val="64"/>
                    <w:spacing w:line="240" w:lineRule="atLeast"/>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本项目情况</w:t>
                  </w:r>
                </w:p>
              </w:tc>
            </w:tr>
            <w:tr w14:paraId="357E5E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559" w:type="dxa"/>
                  <w:noWrap w:val="0"/>
                  <w:vAlign w:val="center"/>
                </w:tcPr>
                <w:p w14:paraId="6A38322E">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708" w:type="dxa"/>
                  <w:gridSpan w:val="2"/>
                  <w:noWrap w:val="0"/>
                  <w:vAlign w:val="center"/>
                </w:tcPr>
                <w:p w14:paraId="3695AA1D">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居民区</w:t>
                  </w:r>
                </w:p>
              </w:tc>
              <w:tc>
                <w:tcPr>
                  <w:tcW w:w="1128" w:type="dxa"/>
                  <w:noWrap w:val="0"/>
                  <w:vAlign w:val="center"/>
                </w:tcPr>
                <w:p w14:paraId="2E89F6D1">
                  <w:pPr>
                    <w:pStyle w:val="64"/>
                    <w:spacing w:line="24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w:t>
                  </w:r>
                  <w:r>
                    <w:rPr>
                      <w:rFonts w:hint="default" w:ascii="Times New Roman" w:hAnsi="Times New Roman" w:eastAsia="宋体" w:cs="Times New Roman"/>
                      <w:color w:val="auto"/>
                      <w:sz w:val="21"/>
                      <w:szCs w:val="21"/>
                      <w:highlight w:val="none"/>
                      <w:lang w:val="en-US" w:eastAsia="zh-CN"/>
                    </w:rPr>
                    <w:t>0</w:t>
                  </w:r>
                </w:p>
              </w:tc>
              <w:tc>
                <w:tcPr>
                  <w:tcW w:w="2915" w:type="dxa"/>
                  <w:noWrap w:val="0"/>
                  <w:vAlign w:val="center"/>
                </w:tcPr>
                <w:p w14:paraId="4386AA63">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64" w:type="dxa"/>
                  <w:noWrap w:val="0"/>
                  <w:vAlign w:val="center"/>
                </w:tcPr>
                <w:p w14:paraId="053660CC">
                  <w:pPr>
                    <w:pStyle w:val="64"/>
                    <w:spacing w:line="240" w:lineRule="atLeast"/>
                    <w:ind w:firstLine="0" w:firstLineChars="0"/>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m</w:t>
                  </w:r>
                </w:p>
              </w:tc>
            </w:tr>
            <w:tr w14:paraId="154155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9" w:type="dxa"/>
                  <w:noWrap w:val="0"/>
                  <w:vAlign w:val="center"/>
                </w:tcPr>
                <w:p w14:paraId="135AADF9">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708" w:type="dxa"/>
                  <w:gridSpan w:val="2"/>
                  <w:noWrap w:val="0"/>
                  <w:vAlign w:val="center"/>
                </w:tcPr>
                <w:p w14:paraId="0E20D515">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非居民区</w:t>
                  </w:r>
                </w:p>
              </w:tc>
              <w:tc>
                <w:tcPr>
                  <w:tcW w:w="1128" w:type="dxa"/>
                  <w:noWrap w:val="0"/>
                  <w:vAlign w:val="center"/>
                </w:tcPr>
                <w:p w14:paraId="1DFD31C5">
                  <w:pPr>
                    <w:pStyle w:val="64"/>
                    <w:spacing w:line="24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6.</w:t>
                  </w:r>
                  <w:r>
                    <w:rPr>
                      <w:rFonts w:hint="default" w:ascii="Times New Roman" w:hAnsi="Times New Roman" w:eastAsia="宋体" w:cs="Times New Roman"/>
                      <w:color w:val="auto"/>
                      <w:sz w:val="21"/>
                      <w:szCs w:val="21"/>
                      <w:highlight w:val="none"/>
                      <w:lang w:val="en-US" w:eastAsia="zh-CN"/>
                    </w:rPr>
                    <w:t>0</w:t>
                  </w:r>
                </w:p>
              </w:tc>
              <w:tc>
                <w:tcPr>
                  <w:tcW w:w="2915" w:type="dxa"/>
                  <w:noWrap w:val="0"/>
                  <w:vAlign w:val="center"/>
                </w:tcPr>
                <w:p w14:paraId="2C1393F5">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64" w:type="dxa"/>
                  <w:noWrap w:val="0"/>
                  <w:vAlign w:val="center"/>
                </w:tcPr>
                <w:p w14:paraId="680E56D2">
                  <w:pPr>
                    <w:pStyle w:val="64"/>
                    <w:spacing w:line="240" w:lineRule="atLeast"/>
                    <w:ind w:firstLine="0" w:firstLineChars="0"/>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m</w:t>
                  </w:r>
                </w:p>
              </w:tc>
            </w:tr>
            <w:tr w14:paraId="2C87F4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dxa"/>
                  <w:noWrap w:val="0"/>
                  <w:vAlign w:val="center"/>
                </w:tcPr>
                <w:p w14:paraId="717A4158">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708" w:type="dxa"/>
                  <w:gridSpan w:val="2"/>
                  <w:noWrap w:val="0"/>
                  <w:vAlign w:val="center"/>
                </w:tcPr>
                <w:p w14:paraId="3F698F66">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交通困难地区</w:t>
                  </w:r>
                </w:p>
              </w:tc>
              <w:tc>
                <w:tcPr>
                  <w:tcW w:w="1128" w:type="dxa"/>
                  <w:noWrap w:val="0"/>
                  <w:vAlign w:val="center"/>
                </w:tcPr>
                <w:p w14:paraId="6A2C91E1">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5.</w:t>
                  </w:r>
                  <w:r>
                    <w:rPr>
                      <w:rFonts w:hint="default" w:ascii="Times New Roman" w:hAnsi="Times New Roman" w:eastAsia="宋体" w:cs="Times New Roman"/>
                      <w:color w:val="auto"/>
                      <w:sz w:val="21"/>
                      <w:szCs w:val="21"/>
                      <w:highlight w:val="none"/>
                      <w:lang w:val="en-US" w:eastAsia="zh-CN"/>
                    </w:rPr>
                    <w:t>0</w:t>
                  </w:r>
                </w:p>
              </w:tc>
              <w:tc>
                <w:tcPr>
                  <w:tcW w:w="2915" w:type="dxa"/>
                  <w:noWrap w:val="0"/>
                  <w:vAlign w:val="center"/>
                </w:tcPr>
                <w:p w14:paraId="067C99BB">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cr/>
                  </w:r>
                </w:p>
              </w:tc>
              <w:tc>
                <w:tcPr>
                  <w:tcW w:w="1364" w:type="dxa"/>
                  <w:noWrap w:val="0"/>
                  <w:vAlign w:val="center"/>
                </w:tcPr>
                <w:p w14:paraId="28838604">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m</w:t>
                  </w:r>
                </w:p>
              </w:tc>
            </w:tr>
            <w:tr w14:paraId="15BE9C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559" w:type="dxa"/>
                  <w:vMerge w:val="restart"/>
                  <w:noWrap w:val="0"/>
                  <w:vAlign w:val="center"/>
                </w:tcPr>
                <w:p w14:paraId="1B8D3329">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380" w:type="dxa"/>
                  <w:vMerge w:val="restart"/>
                  <w:noWrap w:val="0"/>
                  <w:vAlign w:val="center"/>
                </w:tcPr>
                <w:p w14:paraId="666F152C">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建筑物</w:t>
                  </w:r>
                </w:p>
              </w:tc>
              <w:tc>
                <w:tcPr>
                  <w:tcW w:w="2328" w:type="dxa"/>
                  <w:noWrap w:val="0"/>
                  <w:vAlign w:val="center"/>
                </w:tcPr>
                <w:p w14:paraId="769FD45F">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最小</w:t>
                  </w:r>
                  <w:r>
                    <w:rPr>
                      <w:rFonts w:hint="default" w:ascii="Times New Roman" w:hAnsi="Times New Roman" w:eastAsia="宋体" w:cs="Times New Roman"/>
                      <w:color w:val="auto"/>
                      <w:sz w:val="21"/>
                      <w:szCs w:val="21"/>
                      <w:highlight w:val="none"/>
                    </w:rPr>
                    <w:t>垂直距离</w:t>
                  </w:r>
                </w:p>
              </w:tc>
              <w:tc>
                <w:tcPr>
                  <w:tcW w:w="1128" w:type="dxa"/>
                  <w:noWrap w:val="0"/>
                  <w:vAlign w:val="center"/>
                </w:tcPr>
                <w:p w14:paraId="6E9CBFE4">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w:t>
                  </w:r>
                </w:p>
              </w:tc>
              <w:tc>
                <w:tcPr>
                  <w:tcW w:w="2915" w:type="dxa"/>
                  <w:noWrap w:val="0"/>
                  <w:vAlign w:val="center"/>
                </w:tcPr>
                <w:p w14:paraId="5FA1EC2E">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最大</w:t>
                  </w:r>
                  <w:r>
                    <w:rPr>
                      <w:rFonts w:hint="default" w:ascii="Times New Roman" w:hAnsi="Times New Roman" w:eastAsia="宋体" w:cs="Times New Roman"/>
                      <w:color w:val="auto"/>
                      <w:sz w:val="21"/>
                      <w:szCs w:val="21"/>
                      <w:highlight w:val="none"/>
                      <w:lang w:val="en-US" w:eastAsia="zh-CN"/>
                    </w:rPr>
                    <w:t>计算弧垂</w:t>
                  </w:r>
                  <w:r>
                    <w:rPr>
                      <w:rFonts w:hint="default" w:ascii="Times New Roman" w:hAnsi="Times New Roman" w:eastAsia="宋体" w:cs="Times New Roman"/>
                      <w:color w:val="auto"/>
                      <w:sz w:val="21"/>
                      <w:szCs w:val="21"/>
                      <w:highlight w:val="none"/>
                    </w:rPr>
                    <w:t>情况</w:t>
                  </w:r>
                  <w:r>
                    <w:rPr>
                      <w:rFonts w:hint="default" w:ascii="Times New Roman" w:hAnsi="Times New Roman" w:eastAsia="宋体" w:cs="Times New Roman"/>
                      <w:color w:val="auto"/>
                      <w:sz w:val="21"/>
                      <w:szCs w:val="21"/>
                      <w:highlight w:val="none"/>
                      <w:lang w:val="en-US" w:eastAsia="zh-CN"/>
                    </w:rPr>
                    <w:t>下</w:t>
                  </w:r>
                </w:p>
              </w:tc>
              <w:tc>
                <w:tcPr>
                  <w:tcW w:w="1364" w:type="dxa"/>
                  <w:noWrap w:val="0"/>
                  <w:vAlign w:val="center"/>
                </w:tcPr>
                <w:p w14:paraId="7CF4101F">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m.</w:t>
                  </w:r>
                </w:p>
              </w:tc>
            </w:tr>
            <w:tr w14:paraId="1E10A7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dxa"/>
                  <w:vMerge w:val="continue"/>
                  <w:noWrap w:val="0"/>
                  <w:vAlign w:val="center"/>
                </w:tcPr>
                <w:p w14:paraId="1EBDA2C9">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380" w:type="dxa"/>
                  <w:vMerge w:val="continue"/>
                  <w:noWrap w:val="0"/>
                  <w:vAlign w:val="center"/>
                </w:tcPr>
                <w:p w14:paraId="24BF98B6">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328" w:type="dxa"/>
                  <w:noWrap w:val="0"/>
                  <w:vAlign w:val="center"/>
                </w:tcPr>
                <w:p w14:paraId="63A2F84F">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边导线与建筑物</w:t>
                  </w:r>
                  <w:r>
                    <w:rPr>
                      <w:rFonts w:hint="default" w:ascii="Times New Roman" w:hAnsi="Times New Roman" w:eastAsia="宋体" w:cs="Times New Roman"/>
                      <w:color w:val="auto"/>
                      <w:sz w:val="21"/>
                      <w:szCs w:val="21"/>
                      <w:highlight w:val="none"/>
                      <w:lang w:val="en-US" w:eastAsia="zh-CN"/>
                    </w:rPr>
                    <w:t>最小净空距离</w:t>
                  </w:r>
                </w:p>
              </w:tc>
              <w:tc>
                <w:tcPr>
                  <w:tcW w:w="1128" w:type="dxa"/>
                  <w:noWrap w:val="0"/>
                  <w:vAlign w:val="center"/>
                </w:tcPr>
                <w:p w14:paraId="2321EBDA">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w:t>
                  </w:r>
                </w:p>
              </w:tc>
              <w:tc>
                <w:tcPr>
                  <w:tcW w:w="2915" w:type="dxa"/>
                  <w:noWrap w:val="0"/>
                  <w:vAlign w:val="center"/>
                </w:tcPr>
                <w:p w14:paraId="132CC5BD">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最大</w:t>
                  </w:r>
                  <w:r>
                    <w:rPr>
                      <w:rFonts w:hint="default" w:ascii="Times New Roman" w:hAnsi="Times New Roman" w:eastAsia="宋体" w:cs="Times New Roman"/>
                      <w:color w:val="auto"/>
                      <w:sz w:val="21"/>
                      <w:szCs w:val="21"/>
                      <w:highlight w:val="none"/>
                      <w:lang w:val="en-US" w:eastAsia="zh-CN"/>
                    </w:rPr>
                    <w:t>计算</w:t>
                  </w:r>
                  <w:r>
                    <w:rPr>
                      <w:rFonts w:hint="default" w:ascii="Times New Roman" w:hAnsi="Times New Roman" w:eastAsia="宋体" w:cs="Times New Roman"/>
                      <w:color w:val="auto"/>
                      <w:sz w:val="21"/>
                      <w:szCs w:val="21"/>
                      <w:highlight w:val="none"/>
                    </w:rPr>
                    <w:t>风偏情况</w:t>
                  </w:r>
                  <w:r>
                    <w:rPr>
                      <w:rFonts w:hint="default" w:ascii="Times New Roman" w:hAnsi="Times New Roman" w:eastAsia="宋体" w:cs="Times New Roman"/>
                      <w:color w:val="auto"/>
                      <w:sz w:val="21"/>
                      <w:szCs w:val="21"/>
                      <w:highlight w:val="none"/>
                      <w:lang w:val="en-US" w:eastAsia="zh-CN"/>
                    </w:rPr>
                    <w:t>下</w:t>
                  </w:r>
                </w:p>
              </w:tc>
              <w:tc>
                <w:tcPr>
                  <w:tcW w:w="1364" w:type="dxa"/>
                  <w:noWrap w:val="0"/>
                  <w:vAlign w:val="center"/>
                </w:tcPr>
                <w:p w14:paraId="7055B855">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m.</w:t>
                  </w:r>
                </w:p>
              </w:tc>
            </w:tr>
            <w:tr w14:paraId="118DED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dxa"/>
                  <w:vMerge w:val="continue"/>
                  <w:noWrap w:val="0"/>
                  <w:vAlign w:val="center"/>
                </w:tcPr>
                <w:p w14:paraId="51E2BD4D">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380" w:type="dxa"/>
                  <w:vMerge w:val="continue"/>
                  <w:noWrap w:val="0"/>
                  <w:vAlign w:val="center"/>
                </w:tcPr>
                <w:p w14:paraId="462EB7A4">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328" w:type="dxa"/>
                  <w:noWrap w:val="0"/>
                  <w:vAlign w:val="center"/>
                </w:tcPr>
                <w:p w14:paraId="57C529FF">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水平距离</w:t>
                  </w:r>
                </w:p>
              </w:tc>
              <w:tc>
                <w:tcPr>
                  <w:tcW w:w="1128" w:type="dxa"/>
                  <w:noWrap w:val="0"/>
                  <w:vAlign w:val="center"/>
                </w:tcPr>
                <w:p w14:paraId="6EB4D0AF">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2915" w:type="dxa"/>
                  <w:noWrap w:val="0"/>
                  <w:vAlign w:val="center"/>
                </w:tcPr>
                <w:p w14:paraId="05718CD4">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r>
                    <w:rPr>
                      <w:rFonts w:hint="default" w:ascii="Times New Roman" w:hAnsi="Times New Roman" w:eastAsia="宋体" w:cs="Times New Roman"/>
                      <w:color w:val="auto"/>
                      <w:sz w:val="21"/>
                      <w:szCs w:val="21"/>
                      <w:highlight w:val="none"/>
                    </w:rPr>
                    <w:t>风</w:t>
                  </w:r>
                  <w:r>
                    <w:rPr>
                      <w:rFonts w:hint="default" w:ascii="Times New Roman" w:hAnsi="Times New Roman" w:eastAsia="宋体" w:cs="Times New Roman"/>
                      <w:color w:val="auto"/>
                      <w:sz w:val="21"/>
                      <w:szCs w:val="21"/>
                      <w:highlight w:val="none"/>
                      <w:lang w:val="en-US" w:eastAsia="zh-CN"/>
                    </w:rPr>
                    <w:t>情况下</w:t>
                  </w:r>
                </w:p>
              </w:tc>
              <w:tc>
                <w:tcPr>
                  <w:tcW w:w="1364" w:type="dxa"/>
                  <w:noWrap w:val="0"/>
                  <w:vAlign w:val="center"/>
                </w:tcPr>
                <w:p w14:paraId="634D6A62">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＞2.5m.</w:t>
                  </w:r>
                </w:p>
              </w:tc>
            </w:tr>
            <w:tr w14:paraId="389D5D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9" w:type="dxa"/>
                  <w:noWrap w:val="0"/>
                  <w:vAlign w:val="center"/>
                </w:tcPr>
                <w:p w14:paraId="53DD1A3C">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2708" w:type="dxa"/>
                  <w:gridSpan w:val="2"/>
                  <w:noWrap w:val="0"/>
                  <w:vAlign w:val="center"/>
                </w:tcPr>
                <w:p w14:paraId="2F17996C">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导线与树木</w:t>
                  </w:r>
                </w:p>
              </w:tc>
              <w:tc>
                <w:tcPr>
                  <w:tcW w:w="1128" w:type="dxa"/>
                  <w:noWrap w:val="0"/>
                  <w:vAlign w:val="center"/>
                </w:tcPr>
                <w:p w14:paraId="1873D156">
                  <w:pPr>
                    <w:pStyle w:val="64"/>
                    <w:spacing w:line="24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5</w:t>
                  </w:r>
                </w:p>
              </w:tc>
              <w:tc>
                <w:tcPr>
                  <w:tcW w:w="2915" w:type="dxa"/>
                  <w:noWrap w:val="0"/>
                  <w:vAlign w:val="center"/>
                </w:tcPr>
                <w:p w14:paraId="5DF15FD7">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最大风偏情况，净空距离：</w:t>
                  </w:r>
                  <w:r>
                    <w:rPr>
                      <w:rFonts w:hint="default" w:ascii="Times New Roman" w:hAnsi="Times New Roman" w:eastAsia="宋体" w:cs="Times New Roman"/>
                      <w:color w:val="auto"/>
                      <w:sz w:val="21"/>
                      <w:szCs w:val="21"/>
                      <w:highlight w:val="none"/>
                      <w:lang w:val="en-US" w:eastAsia="zh-CN"/>
                    </w:rPr>
                    <w:t>4.0</w:t>
                  </w:r>
                </w:p>
              </w:tc>
              <w:tc>
                <w:tcPr>
                  <w:tcW w:w="1364" w:type="dxa"/>
                  <w:noWrap w:val="0"/>
                  <w:vAlign w:val="center"/>
                </w:tcPr>
                <w:p w14:paraId="1325E30F">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＞4.5m.</w:t>
                  </w:r>
                </w:p>
              </w:tc>
            </w:tr>
            <w:tr w14:paraId="2083E4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dxa"/>
                  <w:noWrap w:val="0"/>
                  <w:vAlign w:val="center"/>
                </w:tcPr>
                <w:p w14:paraId="2C4FB087">
                  <w:pPr>
                    <w:pStyle w:val="64"/>
                    <w:spacing w:line="24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w:t>
                  </w:r>
                </w:p>
              </w:tc>
              <w:tc>
                <w:tcPr>
                  <w:tcW w:w="2708" w:type="dxa"/>
                  <w:gridSpan w:val="2"/>
                  <w:noWrap w:val="0"/>
                  <w:vAlign w:val="center"/>
                </w:tcPr>
                <w:p w14:paraId="7BECD122">
                  <w:pPr>
                    <w:keepNext w:val="0"/>
                    <w:keepLines w:val="0"/>
                    <w:widowControl/>
                    <w:suppressLineNumbers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果树、经济林木</w:t>
                  </w:r>
                </w:p>
              </w:tc>
              <w:tc>
                <w:tcPr>
                  <w:tcW w:w="1128" w:type="dxa"/>
                  <w:noWrap w:val="0"/>
                  <w:vAlign w:val="center"/>
                </w:tcPr>
                <w:p w14:paraId="14DF9A9B">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c>
                <w:tcPr>
                  <w:tcW w:w="2915" w:type="dxa"/>
                  <w:noWrap w:val="0"/>
                  <w:vAlign w:val="center"/>
                </w:tcPr>
                <w:p w14:paraId="29C7311B">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364" w:type="dxa"/>
                  <w:noWrap w:val="0"/>
                  <w:vAlign w:val="center"/>
                </w:tcPr>
                <w:p w14:paraId="34B8B486">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＞3.5m.</w:t>
                  </w:r>
                </w:p>
              </w:tc>
            </w:tr>
            <w:tr w14:paraId="3DADF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9" w:type="dxa"/>
                  <w:noWrap w:val="0"/>
                  <w:vAlign w:val="center"/>
                </w:tcPr>
                <w:p w14:paraId="78DD0BE8">
                  <w:pPr>
                    <w:pStyle w:val="64"/>
                    <w:spacing w:line="24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w:t>
                  </w:r>
                </w:p>
              </w:tc>
              <w:tc>
                <w:tcPr>
                  <w:tcW w:w="2708" w:type="dxa"/>
                  <w:gridSpan w:val="2"/>
                  <w:noWrap w:val="0"/>
                  <w:vAlign w:val="center"/>
                </w:tcPr>
                <w:p w14:paraId="4453DB5E">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高速公路、等级公路</w:t>
                  </w:r>
                  <w:r>
                    <w:rPr>
                      <w:rFonts w:hint="default" w:ascii="Times New Roman" w:hAnsi="Times New Roman" w:eastAsia="宋体" w:cs="Times New Roman"/>
                      <w:color w:val="auto"/>
                      <w:sz w:val="21"/>
                      <w:szCs w:val="21"/>
                      <w:highlight w:val="none"/>
                      <w:lang w:val="en-US" w:eastAsia="zh-CN"/>
                    </w:rPr>
                    <w:t>最小垂直距离</w:t>
                  </w:r>
                </w:p>
              </w:tc>
              <w:tc>
                <w:tcPr>
                  <w:tcW w:w="1128" w:type="dxa"/>
                  <w:noWrap w:val="0"/>
                  <w:vAlign w:val="center"/>
                </w:tcPr>
                <w:p w14:paraId="7D4509B8">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.0</w:t>
                  </w:r>
                </w:p>
              </w:tc>
              <w:tc>
                <w:tcPr>
                  <w:tcW w:w="2915" w:type="dxa"/>
                  <w:noWrap w:val="0"/>
                  <w:vAlign w:val="center"/>
                </w:tcPr>
                <w:p w14:paraId="01C5B774">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70°校验</w:t>
                  </w:r>
                </w:p>
              </w:tc>
              <w:tc>
                <w:tcPr>
                  <w:tcW w:w="1364" w:type="dxa"/>
                  <w:noWrap w:val="0"/>
                  <w:vAlign w:val="center"/>
                </w:tcPr>
                <w:p w14:paraId="528A8019">
                  <w:pPr>
                    <w:pStyle w:val="64"/>
                    <w:spacing w:line="24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＞8m.</w:t>
                  </w:r>
                </w:p>
              </w:tc>
            </w:tr>
            <w:tr w14:paraId="4AAF4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559" w:type="dxa"/>
                  <w:noWrap w:val="0"/>
                  <w:vAlign w:val="center"/>
                </w:tcPr>
                <w:p w14:paraId="69EB1DB7">
                  <w:pPr>
                    <w:pStyle w:val="64"/>
                    <w:spacing w:line="24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w:t>
                  </w:r>
                </w:p>
              </w:tc>
              <w:tc>
                <w:tcPr>
                  <w:tcW w:w="2708" w:type="dxa"/>
                  <w:gridSpan w:val="2"/>
                  <w:noWrap w:val="0"/>
                  <w:vAlign w:val="center"/>
                </w:tcPr>
                <w:p w14:paraId="06300D96">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通信线路</w:t>
                  </w:r>
                </w:p>
              </w:tc>
              <w:tc>
                <w:tcPr>
                  <w:tcW w:w="1128" w:type="dxa"/>
                  <w:noWrap w:val="0"/>
                  <w:vAlign w:val="center"/>
                </w:tcPr>
                <w:p w14:paraId="21744DE6">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2915" w:type="dxa"/>
                  <w:noWrap w:val="0"/>
                  <w:vAlign w:val="center"/>
                </w:tcPr>
                <w:p w14:paraId="0AFAEC63">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水平距离：4.0</w:t>
                  </w:r>
                </w:p>
              </w:tc>
              <w:tc>
                <w:tcPr>
                  <w:tcW w:w="1364" w:type="dxa"/>
                  <w:noWrap w:val="0"/>
                  <w:vAlign w:val="center"/>
                </w:tcPr>
                <w:p w14:paraId="5EFCDCB6">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m.</w:t>
                  </w:r>
                </w:p>
              </w:tc>
            </w:tr>
            <w:tr w14:paraId="13A18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dxa"/>
                  <w:vMerge w:val="restart"/>
                  <w:noWrap w:val="0"/>
                  <w:vAlign w:val="center"/>
                </w:tcPr>
                <w:p w14:paraId="3251AC6B">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2708" w:type="dxa"/>
                  <w:gridSpan w:val="2"/>
                  <w:vMerge w:val="restart"/>
                  <w:noWrap w:val="0"/>
                  <w:vAlign w:val="center"/>
                </w:tcPr>
                <w:p w14:paraId="61D50BF7">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与通信线路的交叉角</w:t>
                  </w:r>
                </w:p>
              </w:tc>
              <w:tc>
                <w:tcPr>
                  <w:tcW w:w="1128" w:type="dxa"/>
                  <w:vMerge w:val="restart"/>
                  <w:noWrap w:val="0"/>
                  <w:vAlign w:val="center"/>
                </w:tcPr>
                <w:p w14:paraId="7E11C33C">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15" w:type="dxa"/>
                  <w:noWrap w:val="0"/>
                  <w:vAlign w:val="center"/>
                </w:tcPr>
                <w:p w14:paraId="3C187187">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一级≥45°</w:t>
                  </w:r>
                </w:p>
              </w:tc>
              <w:tc>
                <w:tcPr>
                  <w:tcW w:w="1364" w:type="dxa"/>
                  <w:noWrap w:val="0"/>
                  <w:vAlign w:val="center"/>
                </w:tcPr>
                <w:p w14:paraId="64F02B25">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3CAF23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9" w:type="dxa"/>
                  <w:vMerge w:val="continue"/>
                  <w:noWrap w:val="0"/>
                  <w:vAlign w:val="center"/>
                </w:tcPr>
                <w:p w14:paraId="1EDEFB38">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08" w:type="dxa"/>
                  <w:gridSpan w:val="2"/>
                  <w:vMerge w:val="continue"/>
                  <w:noWrap w:val="0"/>
                  <w:vAlign w:val="center"/>
                </w:tcPr>
                <w:p w14:paraId="10195A0E">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1128" w:type="dxa"/>
                  <w:vMerge w:val="continue"/>
                  <w:noWrap w:val="0"/>
                  <w:vAlign w:val="center"/>
                </w:tcPr>
                <w:p w14:paraId="689F55A0">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915" w:type="dxa"/>
                  <w:noWrap w:val="0"/>
                  <w:vAlign w:val="center"/>
                </w:tcPr>
                <w:p w14:paraId="216858C1">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二级≥30°</w:t>
                  </w:r>
                </w:p>
              </w:tc>
              <w:tc>
                <w:tcPr>
                  <w:tcW w:w="1364" w:type="dxa"/>
                  <w:noWrap w:val="0"/>
                  <w:vAlign w:val="center"/>
                </w:tcPr>
                <w:p w14:paraId="089A4DF8">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FBC51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559" w:type="dxa"/>
                  <w:vMerge w:val="continue"/>
                  <w:noWrap w:val="0"/>
                  <w:vAlign w:val="center"/>
                </w:tcPr>
                <w:p w14:paraId="2FA1770B">
                  <w:pPr>
                    <w:pStyle w:val="64"/>
                    <w:spacing w:line="24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2708" w:type="dxa"/>
                  <w:gridSpan w:val="2"/>
                  <w:vMerge w:val="continue"/>
                  <w:noWrap w:val="0"/>
                  <w:vAlign w:val="center"/>
                </w:tcPr>
                <w:p w14:paraId="461ADC6C">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1128" w:type="dxa"/>
                  <w:vMerge w:val="continue"/>
                  <w:noWrap w:val="0"/>
                  <w:vAlign w:val="center"/>
                </w:tcPr>
                <w:p w14:paraId="7E19C697">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915" w:type="dxa"/>
                  <w:noWrap w:val="0"/>
                  <w:vAlign w:val="center"/>
                </w:tcPr>
                <w:p w14:paraId="0D8D3CA1">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三级：不限制</w:t>
                  </w:r>
                </w:p>
              </w:tc>
              <w:tc>
                <w:tcPr>
                  <w:tcW w:w="1364" w:type="dxa"/>
                  <w:noWrap w:val="0"/>
                  <w:vAlign w:val="center"/>
                </w:tcPr>
                <w:p w14:paraId="3AE1BBA7">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0F792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25" w:hRule="atLeast"/>
                <w:jc w:val="center"/>
              </w:trPr>
              <w:tc>
                <w:tcPr>
                  <w:tcW w:w="559" w:type="dxa"/>
                  <w:noWrap w:val="0"/>
                  <w:vAlign w:val="center"/>
                </w:tcPr>
                <w:p w14:paraId="2F28B212">
                  <w:pPr>
                    <w:pStyle w:val="64"/>
                    <w:spacing w:line="24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w:t>
                  </w:r>
                </w:p>
              </w:tc>
              <w:tc>
                <w:tcPr>
                  <w:tcW w:w="2708" w:type="dxa"/>
                  <w:gridSpan w:val="2"/>
                  <w:noWrap w:val="0"/>
                  <w:vAlign w:val="center"/>
                </w:tcPr>
                <w:p w14:paraId="2A13D6D8">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电力线路</w:t>
                  </w:r>
                </w:p>
              </w:tc>
              <w:tc>
                <w:tcPr>
                  <w:tcW w:w="1128" w:type="dxa"/>
                  <w:noWrap w:val="0"/>
                  <w:vAlign w:val="center"/>
                </w:tcPr>
                <w:p w14:paraId="432E8A91">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2915" w:type="dxa"/>
                  <w:noWrap w:val="0"/>
                  <w:vAlign w:val="center"/>
                </w:tcPr>
                <w:p w14:paraId="3AF0622A">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w:t>
                  </w:r>
                  <w:r>
                    <w:rPr>
                      <w:rFonts w:hint="default" w:ascii="Times New Roman" w:hAnsi="Times New Roman" w:eastAsia="宋体" w:cs="Times New Roman"/>
                      <w:color w:val="auto"/>
                      <w:sz w:val="21"/>
                      <w:szCs w:val="21"/>
                      <w:highlight w:val="none"/>
                      <w:lang w:val="en-US" w:eastAsia="zh-CN"/>
                    </w:rPr>
                    <w:t>千伏</w:t>
                  </w:r>
                  <w:r>
                    <w:rPr>
                      <w:rFonts w:hint="default" w:ascii="Times New Roman" w:hAnsi="Times New Roman" w:eastAsia="宋体" w:cs="Times New Roman"/>
                      <w:color w:val="auto"/>
                      <w:sz w:val="21"/>
                      <w:szCs w:val="21"/>
                      <w:highlight w:val="none"/>
                    </w:rPr>
                    <w:t>及以下线路</w:t>
                  </w:r>
                </w:p>
              </w:tc>
              <w:tc>
                <w:tcPr>
                  <w:tcW w:w="1364" w:type="dxa"/>
                  <w:noWrap w:val="0"/>
                  <w:vAlign w:val="center"/>
                </w:tcPr>
                <w:p w14:paraId="0E98CE38">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m.</w:t>
                  </w:r>
                </w:p>
              </w:tc>
            </w:tr>
            <w:tr w14:paraId="6BDBE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59" w:type="dxa"/>
                  <w:noWrap w:val="0"/>
                  <w:vAlign w:val="center"/>
                </w:tcPr>
                <w:p w14:paraId="0676EC99">
                  <w:pPr>
                    <w:pStyle w:val="64"/>
                    <w:spacing w:line="24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w:t>
                  </w:r>
                </w:p>
              </w:tc>
              <w:tc>
                <w:tcPr>
                  <w:tcW w:w="2708" w:type="dxa"/>
                  <w:gridSpan w:val="2"/>
                  <w:noWrap w:val="0"/>
                  <w:vAlign w:val="center"/>
                </w:tcPr>
                <w:p w14:paraId="53B64561">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电气化铁路</w:t>
                  </w:r>
                </w:p>
              </w:tc>
              <w:tc>
                <w:tcPr>
                  <w:tcW w:w="1128" w:type="dxa"/>
                  <w:noWrap w:val="0"/>
                  <w:vAlign w:val="center"/>
                </w:tcPr>
                <w:p w14:paraId="0C2D15C4">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.5</w:t>
                  </w:r>
                </w:p>
              </w:tc>
              <w:tc>
                <w:tcPr>
                  <w:tcW w:w="2915" w:type="dxa"/>
                  <w:noWrap w:val="0"/>
                  <w:vAlign w:val="center"/>
                </w:tcPr>
                <w:p w14:paraId="4118E764">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至轨顶70°校验</w:t>
                  </w:r>
                </w:p>
              </w:tc>
              <w:tc>
                <w:tcPr>
                  <w:tcW w:w="1364" w:type="dxa"/>
                  <w:noWrap w:val="0"/>
                  <w:vAlign w:val="center"/>
                </w:tcPr>
                <w:p w14:paraId="5829FF1A">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CBF50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59" w:type="dxa"/>
                  <w:noWrap w:val="0"/>
                  <w:vAlign w:val="center"/>
                </w:tcPr>
                <w:p w14:paraId="7D48121A">
                  <w:pPr>
                    <w:pStyle w:val="64"/>
                    <w:spacing w:line="24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12</w:t>
                  </w:r>
                </w:p>
              </w:tc>
              <w:tc>
                <w:tcPr>
                  <w:tcW w:w="2708" w:type="dxa"/>
                  <w:gridSpan w:val="2"/>
                  <w:noWrap w:val="0"/>
                  <w:vAlign w:val="center"/>
                </w:tcPr>
                <w:p w14:paraId="46479861">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标准轨/窄轨铁路</w:t>
                  </w:r>
                </w:p>
              </w:tc>
              <w:tc>
                <w:tcPr>
                  <w:tcW w:w="1128" w:type="dxa"/>
                  <w:noWrap w:val="0"/>
                  <w:vAlign w:val="center"/>
                </w:tcPr>
                <w:p w14:paraId="49C5207C">
                  <w:pPr>
                    <w:pStyle w:val="64"/>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.5</w:t>
                  </w:r>
                </w:p>
              </w:tc>
              <w:tc>
                <w:tcPr>
                  <w:tcW w:w="2915" w:type="dxa"/>
                  <w:noWrap w:val="0"/>
                  <w:vAlign w:val="center"/>
                </w:tcPr>
                <w:p w14:paraId="029DCF7E">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364" w:type="dxa"/>
                  <w:noWrap w:val="0"/>
                  <w:vAlign w:val="center"/>
                </w:tcPr>
                <w:p w14:paraId="6AFC6D21">
                  <w:pPr>
                    <w:pStyle w:val="64"/>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bl>
          <w:p w14:paraId="2F4765E5">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②主要交叉跨越</w:t>
            </w:r>
          </w:p>
          <w:p w14:paraId="77BC573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w:t>
            </w:r>
            <w:r>
              <w:rPr>
                <w:rFonts w:hint="default" w:ascii="Times New Roman" w:hAnsi="Times New Roman" w:cs="Times New Roman"/>
                <w:color w:val="auto"/>
                <w:sz w:val="24"/>
                <w:highlight w:val="none"/>
                <w:lang w:val="en-US" w:eastAsia="zh-CN"/>
              </w:rPr>
              <w:t>工程</w:t>
            </w:r>
            <w:r>
              <w:rPr>
                <w:rFonts w:hint="default" w:ascii="Times New Roman" w:hAnsi="Times New Roman" w:cs="Times New Roman"/>
                <w:color w:val="auto"/>
                <w:sz w:val="24"/>
                <w:highlight w:val="none"/>
              </w:rPr>
              <w:t>线路主要交叉跨越情况见表</w:t>
            </w:r>
            <w:r>
              <w:rPr>
                <w:rFonts w:hint="default"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rPr>
              <w:t>。</w:t>
            </w:r>
          </w:p>
          <w:p w14:paraId="11027944">
            <w:pPr>
              <w:spacing w:line="24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w:t>
            </w:r>
            <w:r>
              <w:rPr>
                <w:rFonts w:hint="eastAsia"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 xml:space="preserve"> 本</w:t>
            </w:r>
            <w:r>
              <w:rPr>
                <w:rFonts w:hint="default" w:ascii="Times New Roman" w:hAnsi="Times New Roman" w:eastAsia="宋体" w:cs="Times New Roman"/>
                <w:b/>
                <w:bCs/>
                <w:color w:val="auto"/>
                <w:sz w:val="24"/>
                <w:highlight w:val="none"/>
                <w:lang w:val="en-US" w:eastAsia="zh-CN"/>
              </w:rPr>
              <w:t>工程</w:t>
            </w:r>
            <w:r>
              <w:rPr>
                <w:rFonts w:hint="default" w:ascii="Times New Roman" w:hAnsi="Times New Roman" w:eastAsia="宋体" w:cs="Times New Roman"/>
                <w:b/>
                <w:bCs/>
                <w:color w:val="auto"/>
                <w:sz w:val="24"/>
                <w:highlight w:val="none"/>
              </w:rPr>
              <w:t>线路主要交叉跨越情况</w:t>
            </w:r>
          </w:p>
          <w:tbl>
            <w:tblPr>
              <w:tblStyle w:val="31"/>
              <w:tblW w:w="863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17"/>
              <w:gridCol w:w="2782"/>
              <w:gridCol w:w="4939"/>
            </w:tblGrid>
            <w:tr w14:paraId="72FF1E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tblHeader/>
                <w:jc w:val="center"/>
              </w:trPr>
              <w:tc>
                <w:tcPr>
                  <w:tcW w:w="917" w:type="dxa"/>
                  <w:tcBorders>
                    <w:tl2br w:val="nil"/>
                    <w:tr2bl w:val="nil"/>
                  </w:tcBorders>
                  <w:noWrap w:val="0"/>
                  <w:vAlign w:val="center"/>
                </w:tcPr>
                <w:p w14:paraId="1F18F90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序号</w:t>
                  </w:r>
                </w:p>
              </w:tc>
              <w:tc>
                <w:tcPr>
                  <w:tcW w:w="2782" w:type="dxa"/>
                  <w:tcBorders>
                    <w:tl2br w:val="nil"/>
                    <w:tr2bl w:val="nil"/>
                  </w:tcBorders>
                  <w:noWrap w:val="0"/>
                  <w:vAlign w:val="center"/>
                </w:tcPr>
                <w:p w14:paraId="1D81EBB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交叉跨越物名称</w:t>
                  </w:r>
                </w:p>
              </w:tc>
              <w:tc>
                <w:tcPr>
                  <w:tcW w:w="4939" w:type="dxa"/>
                  <w:tcBorders>
                    <w:tl2br w:val="nil"/>
                    <w:tr2bl w:val="nil"/>
                  </w:tcBorders>
                  <w:noWrap w:val="0"/>
                  <w:vAlign w:val="center"/>
                </w:tcPr>
                <w:p w14:paraId="2E1E01F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lang w:eastAsia="zh-CN"/>
                    </w:rPr>
                  </w:pPr>
                  <w:r>
                    <w:rPr>
                      <w:rFonts w:hint="default" w:ascii="Times New Roman" w:hAnsi="Times New Roman" w:eastAsia="宋体" w:cs="Times New Roman"/>
                      <w:b/>
                      <w:bCs w:val="0"/>
                      <w:color w:val="auto"/>
                      <w:sz w:val="21"/>
                      <w:szCs w:val="21"/>
                      <w:highlight w:val="none"/>
                    </w:rPr>
                    <w:t>钻</w:t>
                  </w:r>
                  <w:r>
                    <w:rPr>
                      <w:rFonts w:hint="default" w:ascii="Times New Roman" w:hAnsi="Times New Roman" w:eastAsia="宋体" w:cs="Times New Roman"/>
                      <w:b/>
                      <w:bCs w:val="0"/>
                      <w:color w:val="auto"/>
                      <w:sz w:val="21"/>
                      <w:szCs w:val="21"/>
                      <w:highlight w:val="none"/>
                      <w:lang w:eastAsia="zh-CN"/>
                    </w:rPr>
                    <w:t>（</w:t>
                  </w:r>
                  <w:r>
                    <w:rPr>
                      <w:rFonts w:hint="default" w:ascii="Times New Roman" w:hAnsi="Times New Roman" w:eastAsia="宋体" w:cs="Times New Roman"/>
                      <w:b/>
                      <w:bCs w:val="0"/>
                      <w:color w:val="auto"/>
                      <w:sz w:val="21"/>
                      <w:szCs w:val="21"/>
                      <w:highlight w:val="none"/>
                    </w:rPr>
                    <w:t>跨</w:t>
                  </w:r>
                  <w:r>
                    <w:rPr>
                      <w:rFonts w:hint="default" w:ascii="Times New Roman" w:hAnsi="Times New Roman" w:eastAsia="宋体" w:cs="Times New Roman"/>
                      <w:b/>
                      <w:bCs w:val="0"/>
                      <w:color w:val="auto"/>
                      <w:sz w:val="21"/>
                      <w:szCs w:val="21"/>
                      <w:highlight w:val="none"/>
                      <w:lang w:eastAsia="zh-CN"/>
                    </w:rPr>
                    <w:t>）</w:t>
                  </w:r>
                  <w:r>
                    <w:rPr>
                      <w:rFonts w:hint="default" w:ascii="Times New Roman" w:hAnsi="Times New Roman" w:eastAsia="宋体" w:cs="Times New Roman"/>
                      <w:b/>
                      <w:bCs w:val="0"/>
                      <w:color w:val="auto"/>
                      <w:sz w:val="21"/>
                      <w:szCs w:val="21"/>
                      <w:highlight w:val="none"/>
                    </w:rPr>
                    <w:t>越</w:t>
                  </w:r>
                  <w:r>
                    <w:rPr>
                      <w:rFonts w:hint="default" w:ascii="Times New Roman" w:hAnsi="Times New Roman" w:eastAsia="宋体" w:cs="Times New Roman"/>
                      <w:b/>
                      <w:bCs w:val="0"/>
                      <w:color w:val="auto"/>
                      <w:sz w:val="21"/>
                      <w:szCs w:val="21"/>
                      <w:highlight w:val="none"/>
                      <w:lang w:val="en-US" w:eastAsia="zh-CN"/>
                    </w:rPr>
                    <w:t>方式</w:t>
                  </w:r>
                </w:p>
              </w:tc>
            </w:tr>
            <w:tr w14:paraId="39B976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17" w:type="dxa"/>
                  <w:tcBorders>
                    <w:tl2br w:val="nil"/>
                    <w:tr2bl w:val="nil"/>
                  </w:tcBorders>
                  <w:noWrap w:val="0"/>
                  <w:vAlign w:val="center"/>
                </w:tcPr>
                <w:p w14:paraId="26AA394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sz w:val="21"/>
                      <w:szCs w:val="21"/>
                      <w:highlight w:val="none"/>
                    </w:rPr>
                  </w:pPr>
                  <w:r>
                    <w:rPr>
                      <w:rFonts w:hint="default" w:ascii="Times New Roman" w:hAnsi="Times New Roman" w:eastAsia="宋体" w:cs="Times New Roman"/>
                      <w:b w:val="0"/>
                      <w:bCs/>
                      <w:color w:val="auto"/>
                      <w:spacing w:val="2"/>
                      <w:sz w:val="21"/>
                      <w:szCs w:val="21"/>
                      <w:highlight w:val="none"/>
                    </w:rPr>
                    <w:t>1</w:t>
                  </w:r>
                </w:p>
              </w:tc>
              <w:tc>
                <w:tcPr>
                  <w:tcW w:w="2782" w:type="dxa"/>
                  <w:tcBorders>
                    <w:tl2br w:val="nil"/>
                    <w:tr2bl w:val="nil"/>
                  </w:tcBorders>
                  <w:noWrap w:val="0"/>
                  <w:vAlign w:val="center"/>
                </w:tcPr>
                <w:p w14:paraId="5988DF11">
                  <w:pPr>
                    <w:keepNext w:val="0"/>
                    <w:keepLines w:val="0"/>
                    <w:widowControl/>
                    <w:suppressLineNumbers w:val="0"/>
                    <w:jc w:val="center"/>
                    <w:rPr>
                      <w:rFonts w:hint="default" w:ascii="Times New Roman" w:hAnsi="Times New Roman" w:eastAsia="宋体" w:cs="Times New Roman"/>
                      <w:b w:val="0"/>
                      <w:bCs/>
                      <w:color w:val="auto"/>
                      <w:spacing w:val="2"/>
                      <w:sz w:val="21"/>
                      <w:szCs w:val="21"/>
                      <w:highlight w:val="none"/>
                    </w:rPr>
                  </w:pPr>
                  <w:r>
                    <w:rPr>
                      <w:rFonts w:hint="default" w:ascii="Times New Roman" w:hAnsi="Times New Roman" w:eastAsia="宋体" w:cs="Times New Roman"/>
                      <w:color w:val="auto"/>
                      <w:kern w:val="0"/>
                      <w:sz w:val="21"/>
                      <w:szCs w:val="21"/>
                      <w:lang w:val="en-US" w:eastAsia="zh-CN" w:bidi="ar"/>
                    </w:rPr>
                    <w:t>G8</w:t>
                  </w:r>
                  <w:r>
                    <w:rPr>
                      <w:rFonts w:hint="eastAsia" w:cs="Times New Roman"/>
                      <w:color w:val="auto"/>
                      <w:kern w:val="0"/>
                      <w:sz w:val="21"/>
                      <w:szCs w:val="21"/>
                      <w:lang w:val="en-US" w:eastAsia="zh-CN" w:bidi="ar"/>
                    </w:rPr>
                    <w:t>5</w:t>
                  </w:r>
                  <w:r>
                    <w:rPr>
                      <w:rFonts w:hint="default" w:ascii="Times New Roman" w:hAnsi="Times New Roman" w:eastAsia="宋体" w:cs="Times New Roman"/>
                      <w:color w:val="auto"/>
                      <w:kern w:val="0"/>
                      <w:sz w:val="21"/>
                      <w:szCs w:val="21"/>
                      <w:lang w:val="en-US" w:eastAsia="zh-CN" w:bidi="ar"/>
                    </w:rPr>
                    <w:t>银昆高速</w:t>
                  </w:r>
                </w:p>
              </w:tc>
              <w:tc>
                <w:tcPr>
                  <w:tcW w:w="4939" w:type="dxa"/>
                  <w:tcBorders>
                    <w:tl2br w:val="nil"/>
                    <w:tr2bl w:val="nil"/>
                  </w:tcBorders>
                  <w:noWrap w:val="0"/>
                  <w:vAlign w:val="center"/>
                </w:tcPr>
                <w:p w14:paraId="0CE037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sz w:val="21"/>
                      <w:szCs w:val="21"/>
                      <w:highlight w:val="none"/>
                    </w:rPr>
                  </w:pPr>
                  <w:r>
                    <w:rPr>
                      <w:rFonts w:hint="default" w:ascii="Times New Roman" w:hAnsi="Times New Roman" w:eastAsia="宋体" w:cs="Times New Roman"/>
                      <w:color w:val="auto"/>
                      <w:kern w:val="0"/>
                      <w:sz w:val="21"/>
                      <w:szCs w:val="21"/>
                      <w:highlight w:val="none"/>
                      <w:lang w:val="en-US" w:eastAsia="zh-CN" w:bidi="ar"/>
                    </w:rPr>
                    <w:t>跨越1次</w:t>
                  </w:r>
                </w:p>
              </w:tc>
            </w:tr>
            <w:tr w14:paraId="0C88DA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17" w:type="dxa"/>
                  <w:tcBorders>
                    <w:tl2br w:val="nil"/>
                    <w:tr2bl w:val="nil"/>
                  </w:tcBorders>
                  <w:noWrap w:val="0"/>
                  <w:vAlign w:val="center"/>
                </w:tcPr>
                <w:p w14:paraId="069B529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sz w:val="21"/>
                      <w:szCs w:val="21"/>
                      <w:highlight w:val="none"/>
                    </w:rPr>
                  </w:pPr>
                  <w:r>
                    <w:rPr>
                      <w:rFonts w:hint="default" w:ascii="Times New Roman" w:hAnsi="Times New Roman" w:eastAsia="宋体" w:cs="Times New Roman"/>
                      <w:b w:val="0"/>
                      <w:bCs/>
                      <w:color w:val="auto"/>
                      <w:spacing w:val="2"/>
                      <w:sz w:val="21"/>
                      <w:szCs w:val="21"/>
                      <w:highlight w:val="none"/>
                    </w:rPr>
                    <w:t>2</w:t>
                  </w:r>
                </w:p>
              </w:tc>
              <w:tc>
                <w:tcPr>
                  <w:tcW w:w="2782" w:type="dxa"/>
                  <w:tcBorders>
                    <w:tl2br w:val="nil"/>
                    <w:tr2bl w:val="nil"/>
                  </w:tcBorders>
                  <w:noWrap w:val="0"/>
                  <w:vAlign w:val="center"/>
                </w:tcPr>
                <w:p w14:paraId="0E81983D">
                  <w:pPr>
                    <w:keepNext w:val="0"/>
                    <w:keepLines w:val="0"/>
                    <w:widowControl/>
                    <w:suppressLineNumbers w:val="0"/>
                    <w:jc w:val="center"/>
                    <w:rPr>
                      <w:rFonts w:hint="default" w:ascii="Times New Roman" w:hAnsi="Times New Roman" w:eastAsia="宋体" w:cs="Times New Roman"/>
                      <w:b w:val="0"/>
                      <w:bCs/>
                      <w:color w:val="auto"/>
                      <w:spacing w:val="2"/>
                      <w:sz w:val="21"/>
                      <w:szCs w:val="21"/>
                      <w:highlight w:val="none"/>
                    </w:rPr>
                  </w:pPr>
                  <w:r>
                    <w:rPr>
                      <w:rFonts w:hint="default" w:ascii="Times New Roman" w:hAnsi="Times New Roman" w:eastAsia="宋体" w:cs="Times New Roman"/>
                      <w:color w:val="auto"/>
                      <w:kern w:val="0"/>
                      <w:sz w:val="21"/>
                      <w:szCs w:val="21"/>
                      <w:lang w:val="en-US" w:eastAsia="zh-CN" w:bidi="ar"/>
                    </w:rPr>
                    <w:t>110</w:t>
                  </w:r>
                  <w:r>
                    <w:rPr>
                      <w:rFonts w:hint="default" w:ascii="Times New Roman" w:hAnsi="Times New Roman" w:eastAsia="宋体" w:cs="Times New Roman"/>
                      <w:color w:val="auto"/>
                      <w:kern w:val="0"/>
                      <w:sz w:val="21"/>
                      <w:szCs w:val="21"/>
                      <w:highlight w:val="none"/>
                      <w:lang w:val="en-US" w:eastAsia="zh-CN" w:bidi="ar"/>
                    </w:rPr>
                    <w:t>千伏</w:t>
                  </w:r>
                  <w:r>
                    <w:rPr>
                      <w:rFonts w:hint="default" w:ascii="Times New Roman" w:hAnsi="Times New Roman" w:eastAsia="宋体" w:cs="Times New Roman"/>
                      <w:color w:val="auto"/>
                      <w:kern w:val="0"/>
                      <w:sz w:val="21"/>
                      <w:szCs w:val="21"/>
                      <w:lang w:val="en-US" w:eastAsia="zh-CN" w:bidi="ar"/>
                    </w:rPr>
                    <w:t>清李Ⅰ线</w:t>
                  </w:r>
                </w:p>
              </w:tc>
              <w:tc>
                <w:tcPr>
                  <w:tcW w:w="4939" w:type="dxa"/>
                  <w:tcBorders>
                    <w:tl2br w:val="nil"/>
                    <w:tr2bl w:val="nil"/>
                  </w:tcBorders>
                  <w:noWrap w:val="0"/>
                  <w:vAlign w:val="center"/>
                </w:tcPr>
                <w:p w14:paraId="29ED2C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sz w:val="21"/>
                      <w:szCs w:val="21"/>
                      <w:highlight w:val="none"/>
                    </w:rPr>
                  </w:pPr>
                  <w:r>
                    <w:rPr>
                      <w:rFonts w:hint="eastAsia" w:cs="Times New Roman"/>
                      <w:color w:val="auto"/>
                      <w:kern w:val="0"/>
                      <w:sz w:val="21"/>
                      <w:szCs w:val="21"/>
                      <w:highlight w:val="none"/>
                      <w:lang w:val="en-US" w:eastAsia="zh-CN" w:bidi="ar"/>
                    </w:rPr>
                    <w:t>抬高后</w:t>
                  </w:r>
                  <w:r>
                    <w:rPr>
                      <w:rFonts w:hint="default" w:ascii="Times New Roman" w:hAnsi="Times New Roman" w:eastAsia="宋体" w:cs="Times New Roman"/>
                      <w:color w:val="auto"/>
                      <w:kern w:val="0"/>
                      <w:sz w:val="21"/>
                      <w:szCs w:val="21"/>
                      <w:highlight w:val="none"/>
                      <w:lang w:val="en-US" w:eastAsia="zh-CN" w:bidi="ar"/>
                    </w:rPr>
                    <w:t>钻越1次</w:t>
                  </w:r>
                </w:p>
              </w:tc>
            </w:tr>
            <w:tr w14:paraId="53FCC0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17" w:type="dxa"/>
                  <w:tcBorders>
                    <w:tl2br w:val="nil"/>
                    <w:tr2bl w:val="nil"/>
                  </w:tcBorders>
                  <w:shd w:val="clear" w:color="auto" w:fill="auto"/>
                  <w:noWrap w:val="0"/>
                  <w:vAlign w:val="center"/>
                </w:tcPr>
                <w:p w14:paraId="0781C95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kern w:val="2"/>
                      <w:sz w:val="21"/>
                      <w:szCs w:val="21"/>
                      <w:highlight w:val="none"/>
                      <w:lang w:val="en-US" w:eastAsia="zh-CN" w:bidi="ar-SA"/>
                    </w:rPr>
                  </w:pPr>
                  <w:r>
                    <w:rPr>
                      <w:rFonts w:hint="default" w:ascii="Times New Roman" w:hAnsi="Times New Roman" w:eastAsia="宋体" w:cs="Times New Roman"/>
                      <w:b w:val="0"/>
                      <w:bCs/>
                      <w:color w:val="auto"/>
                      <w:spacing w:val="2"/>
                      <w:sz w:val="21"/>
                      <w:szCs w:val="21"/>
                      <w:highlight w:val="none"/>
                    </w:rPr>
                    <w:t>3</w:t>
                  </w:r>
                </w:p>
              </w:tc>
              <w:tc>
                <w:tcPr>
                  <w:tcW w:w="2782" w:type="dxa"/>
                  <w:tcBorders>
                    <w:tl2br w:val="nil"/>
                    <w:tr2bl w:val="nil"/>
                  </w:tcBorders>
                  <w:noWrap w:val="0"/>
                  <w:vAlign w:val="center"/>
                </w:tcPr>
                <w:p w14:paraId="17DD7143">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110</w:t>
                  </w:r>
                  <w:r>
                    <w:rPr>
                      <w:rFonts w:hint="default" w:ascii="Times New Roman" w:hAnsi="Times New Roman" w:eastAsia="宋体" w:cs="Times New Roman"/>
                      <w:color w:val="auto"/>
                      <w:kern w:val="0"/>
                      <w:sz w:val="21"/>
                      <w:szCs w:val="21"/>
                      <w:highlight w:val="none"/>
                      <w:lang w:val="en-US" w:eastAsia="zh-CN" w:bidi="ar"/>
                    </w:rPr>
                    <w:t>千伏</w:t>
                  </w:r>
                  <w:r>
                    <w:rPr>
                      <w:rFonts w:hint="eastAsia" w:cs="Times New Roman"/>
                      <w:color w:val="auto"/>
                      <w:kern w:val="0"/>
                      <w:sz w:val="21"/>
                      <w:szCs w:val="21"/>
                      <w:lang w:val="en-US" w:eastAsia="zh-CN" w:bidi="ar"/>
                    </w:rPr>
                    <w:t>至</w:t>
                  </w:r>
                  <w:r>
                    <w:rPr>
                      <w:rFonts w:hint="default" w:ascii="Times New Roman" w:hAnsi="Times New Roman" w:eastAsia="宋体" w:cs="Times New Roman"/>
                      <w:color w:val="auto"/>
                      <w:kern w:val="0"/>
                      <w:sz w:val="21"/>
                      <w:szCs w:val="21"/>
                      <w:lang w:val="en-US" w:eastAsia="zh-CN" w:bidi="ar"/>
                    </w:rPr>
                    <w:t>李线</w:t>
                  </w:r>
                </w:p>
              </w:tc>
              <w:tc>
                <w:tcPr>
                  <w:tcW w:w="4939" w:type="dxa"/>
                  <w:tcBorders>
                    <w:tl2br w:val="nil"/>
                    <w:tr2bl w:val="nil"/>
                  </w:tcBorders>
                  <w:noWrap w:val="0"/>
                  <w:vAlign w:val="center"/>
                </w:tcPr>
                <w:p w14:paraId="5A533A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抬高后</w:t>
                  </w:r>
                  <w:r>
                    <w:rPr>
                      <w:rFonts w:hint="default" w:ascii="Times New Roman" w:hAnsi="Times New Roman" w:eastAsia="宋体" w:cs="Times New Roman"/>
                      <w:color w:val="auto"/>
                      <w:kern w:val="0"/>
                      <w:sz w:val="21"/>
                      <w:szCs w:val="21"/>
                      <w:highlight w:val="none"/>
                      <w:lang w:val="en-US" w:eastAsia="zh-CN" w:bidi="ar"/>
                    </w:rPr>
                    <w:t>钻越1次</w:t>
                  </w:r>
                </w:p>
              </w:tc>
            </w:tr>
            <w:tr w14:paraId="3AFEEB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17" w:type="dxa"/>
                  <w:tcBorders>
                    <w:tl2br w:val="nil"/>
                    <w:tr2bl w:val="nil"/>
                  </w:tcBorders>
                  <w:shd w:val="clear" w:color="auto" w:fill="auto"/>
                  <w:noWrap w:val="0"/>
                  <w:vAlign w:val="center"/>
                </w:tcPr>
                <w:p w14:paraId="494EDAE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kern w:val="2"/>
                      <w:sz w:val="21"/>
                      <w:szCs w:val="21"/>
                      <w:highlight w:val="none"/>
                      <w:lang w:val="en-US" w:eastAsia="zh-CN" w:bidi="ar-SA"/>
                    </w:rPr>
                  </w:pPr>
                  <w:r>
                    <w:rPr>
                      <w:rFonts w:hint="default" w:ascii="Times New Roman" w:hAnsi="Times New Roman" w:eastAsia="宋体" w:cs="Times New Roman"/>
                      <w:b w:val="0"/>
                      <w:bCs/>
                      <w:color w:val="auto"/>
                      <w:spacing w:val="2"/>
                      <w:sz w:val="21"/>
                      <w:szCs w:val="21"/>
                      <w:highlight w:val="none"/>
                      <w:lang w:val="en-US" w:eastAsia="zh-CN"/>
                    </w:rPr>
                    <w:t>4</w:t>
                  </w:r>
                </w:p>
              </w:tc>
              <w:tc>
                <w:tcPr>
                  <w:tcW w:w="2782" w:type="dxa"/>
                  <w:tcBorders>
                    <w:tl2br w:val="nil"/>
                    <w:tr2bl w:val="nil"/>
                  </w:tcBorders>
                  <w:noWrap w:val="0"/>
                  <w:vAlign w:val="center"/>
                </w:tcPr>
                <w:p w14:paraId="343EEAEC">
                  <w:pPr>
                    <w:keepNext w:val="0"/>
                    <w:keepLines w:val="0"/>
                    <w:widowControl/>
                    <w:suppressLineNumbers w:val="0"/>
                    <w:jc w:val="center"/>
                    <w:rPr>
                      <w:rFonts w:hint="default" w:ascii="Times New Roman" w:hAnsi="Times New Roman" w:eastAsia="宋体" w:cs="Times New Roman"/>
                      <w:b w:val="0"/>
                      <w:bCs/>
                      <w:color w:val="auto"/>
                      <w:spacing w:val="2"/>
                      <w:sz w:val="21"/>
                      <w:szCs w:val="21"/>
                      <w:highlight w:val="none"/>
                    </w:rPr>
                  </w:pPr>
                  <w:r>
                    <w:rPr>
                      <w:rFonts w:hint="default" w:ascii="Times New Roman" w:hAnsi="Times New Roman" w:eastAsia="宋体" w:cs="Times New Roman"/>
                      <w:color w:val="auto"/>
                      <w:kern w:val="0"/>
                      <w:sz w:val="21"/>
                      <w:szCs w:val="21"/>
                      <w:lang w:val="en-US" w:eastAsia="zh-CN" w:bidi="ar"/>
                    </w:rPr>
                    <w:t>35</w:t>
                  </w:r>
                  <w:r>
                    <w:rPr>
                      <w:rFonts w:hint="default" w:ascii="Times New Roman" w:hAnsi="Times New Roman" w:eastAsia="宋体" w:cs="Times New Roman"/>
                      <w:color w:val="auto"/>
                      <w:kern w:val="0"/>
                      <w:sz w:val="21"/>
                      <w:szCs w:val="21"/>
                      <w:highlight w:val="none"/>
                      <w:lang w:val="en-US" w:eastAsia="zh-CN" w:bidi="ar"/>
                    </w:rPr>
                    <w:t>千伏</w:t>
                  </w:r>
                  <w:r>
                    <w:rPr>
                      <w:rFonts w:hint="default" w:ascii="Times New Roman" w:hAnsi="Times New Roman" w:eastAsia="宋体" w:cs="Times New Roman"/>
                      <w:color w:val="auto"/>
                      <w:kern w:val="0"/>
                      <w:sz w:val="21"/>
                      <w:szCs w:val="21"/>
                      <w:lang w:val="en-US" w:eastAsia="zh-CN" w:bidi="ar"/>
                    </w:rPr>
                    <w:t>官王线</w:t>
                  </w:r>
                </w:p>
              </w:tc>
              <w:tc>
                <w:tcPr>
                  <w:tcW w:w="4939" w:type="dxa"/>
                  <w:tcBorders>
                    <w:tl2br w:val="nil"/>
                    <w:tr2bl w:val="nil"/>
                  </w:tcBorders>
                  <w:noWrap w:val="0"/>
                  <w:vAlign w:val="center"/>
                </w:tcPr>
                <w:p w14:paraId="41378F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sz w:val="21"/>
                      <w:szCs w:val="21"/>
                      <w:highlight w:val="none"/>
                    </w:rPr>
                  </w:pPr>
                  <w:r>
                    <w:rPr>
                      <w:rFonts w:hint="default" w:ascii="Times New Roman" w:hAnsi="Times New Roman" w:eastAsia="宋体" w:cs="Times New Roman"/>
                      <w:color w:val="auto"/>
                      <w:kern w:val="0"/>
                      <w:sz w:val="21"/>
                      <w:szCs w:val="21"/>
                      <w:highlight w:val="none"/>
                      <w:lang w:val="en-US" w:eastAsia="zh-CN" w:bidi="ar"/>
                    </w:rPr>
                    <w:t>跨越1次</w:t>
                  </w:r>
                </w:p>
              </w:tc>
            </w:tr>
            <w:tr w14:paraId="5A5057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17" w:type="dxa"/>
                  <w:tcBorders>
                    <w:tl2br w:val="nil"/>
                    <w:tr2bl w:val="nil"/>
                  </w:tcBorders>
                  <w:shd w:val="clear" w:color="auto" w:fill="auto"/>
                  <w:noWrap w:val="0"/>
                  <w:vAlign w:val="center"/>
                </w:tcPr>
                <w:p w14:paraId="7D56769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kern w:val="2"/>
                      <w:sz w:val="21"/>
                      <w:szCs w:val="21"/>
                      <w:highlight w:val="none"/>
                      <w:lang w:val="en-US" w:eastAsia="zh-CN" w:bidi="ar-SA"/>
                    </w:rPr>
                  </w:pPr>
                  <w:r>
                    <w:rPr>
                      <w:rFonts w:hint="default" w:ascii="Times New Roman" w:hAnsi="Times New Roman" w:eastAsia="宋体" w:cs="Times New Roman"/>
                      <w:b w:val="0"/>
                      <w:bCs/>
                      <w:color w:val="auto"/>
                      <w:spacing w:val="2"/>
                      <w:sz w:val="21"/>
                      <w:szCs w:val="21"/>
                      <w:highlight w:val="none"/>
                      <w:lang w:val="en-US" w:eastAsia="zh-CN"/>
                    </w:rPr>
                    <w:t>5</w:t>
                  </w:r>
                </w:p>
              </w:tc>
              <w:tc>
                <w:tcPr>
                  <w:tcW w:w="2782" w:type="dxa"/>
                  <w:tcBorders>
                    <w:tl2br w:val="nil"/>
                    <w:tr2bl w:val="nil"/>
                  </w:tcBorders>
                  <w:noWrap w:val="0"/>
                  <w:vAlign w:val="center"/>
                </w:tcPr>
                <w:p w14:paraId="29A1FF14">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lang w:val="en-US" w:eastAsia="zh-CN" w:bidi="ar"/>
                    </w:rPr>
                    <w:t>±1100</w:t>
                  </w:r>
                  <w:r>
                    <w:rPr>
                      <w:rFonts w:hint="default" w:ascii="Times New Roman" w:hAnsi="Times New Roman" w:eastAsia="宋体" w:cs="Times New Roman"/>
                      <w:color w:val="auto"/>
                      <w:kern w:val="0"/>
                      <w:sz w:val="21"/>
                      <w:szCs w:val="21"/>
                      <w:highlight w:val="none"/>
                      <w:lang w:val="en-US" w:eastAsia="zh-CN" w:bidi="ar"/>
                    </w:rPr>
                    <w:t>千伏</w:t>
                  </w:r>
                  <w:r>
                    <w:rPr>
                      <w:rFonts w:hint="default" w:ascii="Times New Roman" w:hAnsi="Times New Roman" w:eastAsia="宋体" w:cs="Times New Roman"/>
                      <w:color w:val="auto"/>
                      <w:kern w:val="0"/>
                      <w:sz w:val="21"/>
                      <w:szCs w:val="21"/>
                      <w:lang w:val="en-US" w:eastAsia="zh-CN" w:bidi="ar"/>
                    </w:rPr>
                    <w:t>吉泉线</w:t>
                  </w:r>
                </w:p>
              </w:tc>
              <w:tc>
                <w:tcPr>
                  <w:tcW w:w="4939" w:type="dxa"/>
                  <w:tcBorders>
                    <w:tl2br w:val="nil"/>
                    <w:tr2bl w:val="nil"/>
                  </w:tcBorders>
                  <w:noWrap w:val="0"/>
                  <w:vAlign w:val="center"/>
                </w:tcPr>
                <w:p w14:paraId="11CCF9BD">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钻越1次</w:t>
                  </w:r>
                </w:p>
              </w:tc>
            </w:tr>
            <w:tr w14:paraId="1575A0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17" w:type="dxa"/>
                  <w:tcBorders>
                    <w:tl2br w:val="nil"/>
                    <w:tr2bl w:val="nil"/>
                  </w:tcBorders>
                  <w:shd w:val="clear" w:color="auto" w:fill="auto"/>
                  <w:noWrap w:val="0"/>
                  <w:vAlign w:val="center"/>
                </w:tcPr>
                <w:p w14:paraId="35C899C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kern w:val="2"/>
                      <w:sz w:val="21"/>
                      <w:szCs w:val="21"/>
                      <w:highlight w:val="none"/>
                      <w:lang w:val="en-US" w:eastAsia="zh-CN" w:bidi="ar-SA"/>
                    </w:rPr>
                  </w:pPr>
                  <w:r>
                    <w:rPr>
                      <w:rFonts w:hint="default" w:ascii="Times New Roman" w:hAnsi="Times New Roman" w:eastAsia="宋体" w:cs="Times New Roman"/>
                      <w:b w:val="0"/>
                      <w:bCs/>
                      <w:color w:val="auto"/>
                      <w:spacing w:val="2"/>
                      <w:sz w:val="21"/>
                      <w:szCs w:val="21"/>
                      <w:highlight w:val="none"/>
                      <w:lang w:val="en-US" w:eastAsia="zh-CN"/>
                    </w:rPr>
                    <w:t>6</w:t>
                  </w:r>
                </w:p>
              </w:tc>
              <w:tc>
                <w:tcPr>
                  <w:tcW w:w="2782" w:type="dxa"/>
                  <w:tcBorders>
                    <w:tl2br w:val="nil"/>
                    <w:tr2bl w:val="nil"/>
                  </w:tcBorders>
                  <w:noWrap w:val="0"/>
                  <w:vAlign w:val="center"/>
                </w:tcPr>
                <w:p w14:paraId="41D5EC5B">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lang w:val="en-US" w:eastAsia="zh-CN" w:bidi="ar"/>
                    </w:rPr>
                    <w:t>硬化</w:t>
                  </w:r>
                  <w:r>
                    <w:rPr>
                      <w:rFonts w:hint="default" w:ascii="Times New Roman" w:hAnsi="Times New Roman" w:eastAsia="宋体" w:cs="Times New Roman"/>
                      <w:color w:val="auto"/>
                      <w:kern w:val="0"/>
                      <w:sz w:val="21"/>
                      <w:szCs w:val="21"/>
                      <w:lang w:val="en-US" w:eastAsia="zh-CN" w:bidi="ar"/>
                    </w:rPr>
                    <w:t>公路</w:t>
                  </w:r>
                </w:p>
              </w:tc>
              <w:tc>
                <w:tcPr>
                  <w:tcW w:w="4939" w:type="dxa"/>
                  <w:tcBorders>
                    <w:tl2br w:val="nil"/>
                    <w:tr2bl w:val="nil"/>
                  </w:tcBorders>
                  <w:noWrap w:val="0"/>
                  <w:vAlign w:val="center"/>
                </w:tcPr>
                <w:p w14:paraId="63A38E2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跨越</w:t>
                  </w:r>
                  <w:r>
                    <w:rPr>
                      <w:rFonts w:hint="eastAsia" w:cs="Times New Roman"/>
                      <w:color w:val="auto"/>
                      <w:kern w:val="0"/>
                      <w:sz w:val="21"/>
                      <w:szCs w:val="21"/>
                      <w:highlight w:val="none"/>
                      <w:lang w:val="en-US" w:eastAsia="zh-CN" w:bidi="ar"/>
                    </w:rPr>
                    <w:t>10</w:t>
                  </w:r>
                  <w:r>
                    <w:rPr>
                      <w:rFonts w:hint="default" w:ascii="Times New Roman" w:hAnsi="Times New Roman" w:eastAsia="宋体" w:cs="Times New Roman"/>
                      <w:color w:val="auto"/>
                      <w:kern w:val="0"/>
                      <w:sz w:val="21"/>
                      <w:szCs w:val="21"/>
                      <w:highlight w:val="none"/>
                      <w:lang w:val="en-US" w:eastAsia="zh-CN" w:bidi="ar"/>
                    </w:rPr>
                    <w:t>次</w:t>
                  </w:r>
                </w:p>
              </w:tc>
            </w:tr>
            <w:tr w14:paraId="46F61E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17" w:type="dxa"/>
                  <w:tcBorders>
                    <w:tl2br w:val="nil"/>
                    <w:tr2bl w:val="nil"/>
                  </w:tcBorders>
                  <w:shd w:val="clear" w:color="auto" w:fill="auto"/>
                  <w:noWrap w:val="0"/>
                  <w:vAlign w:val="center"/>
                </w:tcPr>
                <w:p w14:paraId="3C4DA62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kern w:val="2"/>
                      <w:sz w:val="21"/>
                      <w:szCs w:val="21"/>
                      <w:highlight w:val="none"/>
                      <w:lang w:val="en-US" w:eastAsia="zh-CN" w:bidi="ar-SA"/>
                    </w:rPr>
                  </w:pPr>
                  <w:r>
                    <w:rPr>
                      <w:rFonts w:hint="default" w:ascii="Times New Roman" w:hAnsi="Times New Roman" w:eastAsia="宋体" w:cs="Times New Roman"/>
                      <w:b w:val="0"/>
                      <w:bCs/>
                      <w:color w:val="auto"/>
                      <w:spacing w:val="2"/>
                      <w:sz w:val="21"/>
                      <w:szCs w:val="21"/>
                      <w:highlight w:val="none"/>
                      <w:lang w:val="en-US" w:eastAsia="zh-CN"/>
                    </w:rPr>
                    <w:t>7</w:t>
                  </w:r>
                </w:p>
              </w:tc>
              <w:tc>
                <w:tcPr>
                  <w:tcW w:w="2782" w:type="dxa"/>
                  <w:tcBorders>
                    <w:tl2br w:val="nil"/>
                    <w:tr2bl w:val="nil"/>
                  </w:tcBorders>
                  <w:noWrap w:val="0"/>
                  <w:vAlign w:val="center"/>
                </w:tcPr>
                <w:p w14:paraId="0A03136A">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lang w:val="en-US" w:eastAsia="zh-CN" w:bidi="ar"/>
                    </w:rPr>
                    <w:t>10</w:t>
                  </w:r>
                  <w:r>
                    <w:rPr>
                      <w:rFonts w:hint="default" w:ascii="Times New Roman" w:hAnsi="Times New Roman" w:eastAsia="宋体" w:cs="Times New Roman"/>
                      <w:color w:val="auto"/>
                      <w:kern w:val="0"/>
                      <w:sz w:val="21"/>
                      <w:szCs w:val="21"/>
                      <w:highlight w:val="none"/>
                      <w:lang w:val="en-US" w:eastAsia="zh-CN" w:bidi="ar"/>
                    </w:rPr>
                    <w:t>千伏</w:t>
                  </w:r>
                  <w:r>
                    <w:rPr>
                      <w:rFonts w:hint="default" w:ascii="Times New Roman" w:hAnsi="Times New Roman" w:eastAsia="宋体" w:cs="Times New Roman"/>
                      <w:color w:val="auto"/>
                      <w:kern w:val="0"/>
                      <w:sz w:val="21"/>
                      <w:szCs w:val="21"/>
                      <w:lang w:val="en-US" w:eastAsia="zh-CN" w:bidi="ar"/>
                    </w:rPr>
                    <w:t>线路</w:t>
                  </w:r>
                </w:p>
              </w:tc>
              <w:tc>
                <w:tcPr>
                  <w:tcW w:w="4939" w:type="dxa"/>
                  <w:tcBorders>
                    <w:tl2br w:val="nil"/>
                    <w:tr2bl w:val="nil"/>
                  </w:tcBorders>
                  <w:noWrap w:val="0"/>
                  <w:vAlign w:val="center"/>
                </w:tcPr>
                <w:p w14:paraId="045AC1F3">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跨越14次</w:t>
                  </w:r>
                </w:p>
              </w:tc>
            </w:tr>
            <w:tr w14:paraId="686DD0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17" w:type="dxa"/>
                  <w:tcBorders>
                    <w:tl2br w:val="nil"/>
                    <w:tr2bl w:val="nil"/>
                  </w:tcBorders>
                  <w:shd w:val="clear" w:color="auto" w:fill="auto"/>
                  <w:noWrap w:val="0"/>
                  <w:vAlign w:val="center"/>
                </w:tcPr>
                <w:p w14:paraId="1041FD5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kern w:val="2"/>
                      <w:sz w:val="21"/>
                      <w:szCs w:val="21"/>
                      <w:highlight w:val="none"/>
                      <w:lang w:val="en-US" w:eastAsia="zh-CN" w:bidi="ar-SA"/>
                    </w:rPr>
                  </w:pPr>
                  <w:r>
                    <w:rPr>
                      <w:rFonts w:hint="default" w:ascii="Times New Roman" w:hAnsi="Times New Roman" w:eastAsia="宋体" w:cs="Times New Roman"/>
                      <w:b w:val="0"/>
                      <w:bCs/>
                      <w:color w:val="auto"/>
                      <w:spacing w:val="2"/>
                      <w:sz w:val="21"/>
                      <w:szCs w:val="21"/>
                      <w:highlight w:val="none"/>
                      <w:lang w:val="en-US" w:eastAsia="zh-CN"/>
                    </w:rPr>
                    <w:t>8</w:t>
                  </w:r>
                </w:p>
              </w:tc>
              <w:tc>
                <w:tcPr>
                  <w:tcW w:w="2782" w:type="dxa"/>
                  <w:tcBorders>
                    <w:tl2br w:val="nil"/>
                    <w:tr2bl w:val="nil"/>
                  </w:tcBorders>
                  <w:noWrap w:val="0"/>
                  <w:vAlign w:val="center"/>
                </w:tcPr>
                <w:p w14:paraId="003ED4FF">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lang w:val="en-US" w:eastAsia="zh-CN" w:bidi="ar"/>
                    </w:rPr>
                    <w:t>通信线</w:t>
                  </w:r>
                </w:p>
              </w:tc>
              <w:tc>
                <w:tcPr>
                  <w:tcW w:w="4939" w:type="dxa"/>
                  <w:tcBorders>
                    <w:tl2br w:val="nil"/>
                    <w:tr2bl w:val="nil"/>
                  </w:tcBorders>
                  <w:noWrap w:val="0"/>
                  <w:vAlign w:val="center"/>
                </w:tcPr>
                <w:p w14:paraId="1CBD2E4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跨</w:t>
                  </w:r>
                  <w:r>
                    <w:rPr>
                      <w:rFonts w:hint="default" w:ascii="Times New Roman" w:hAnsi="Times New Roman" w:eastAsia="宋体" w:cs="Times New Roman"/>
                      <w:color w:val="auto"/>
                      <w:kern w:val="0"/>
                      <w:sz w:val="21"/>
                      <w:szCs w:val="21"/>
                      <w:highlight w:val="none"/>
                      <w:lang w:val="en-US" w:eastAsia="zh-CN" w:bidi="ar"/>
                    </w:rPr>
                    <w:t>越1</w:t>
                  </w:r>
                  <w:r>
                    <w:rPr>
                      <w:rFonts w:hint="eastAsia" w:cs="Times New Roman"/>
                      <w:color w:val="auto"/>
                      <w:kern w:val="0"/>
                      <w:sz w:val="21"/>
                      <w:szCs w:val="21"/>
                      <w:highlight w:val="none"/>
                      <w:lang w:val="en-US" w:eastAsia="zh-CN" w:bidi="ar"/>
                    </w:rPr>
                    <w:t>1</w:t>
                  </w:r>
                  <w:r>
                    <w:rPr>
                      <w:rFonts w:hint="default" w:ascii="Times New Roman" w:hAnsi="Times New Roman" w:eastAsia="宋体" w:cs="Times New Roman"/>
                      <w:color w:val="auto"/>
                      <w:kern w:val="0"/>
                      <w:sz w:val="21"/>
                      <w:szCs w:val="21"/>
                      <w:highlight w:val="none"/>
                      <w:lang w:val="en-US" w:eastAsia="zh-CN" w:bidi="ar"/>
                    </w:rPr>
                    <w:t>次</w:t>
                  </w:r>
                </w:p>
              </w:tc>
            </w:tr>
            <w:tr w14:paraId="1792EA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17" w:type="dxa"/>
                  <w:tcBorders>
                    <w:tl2br w:val="nil"/>
                    <w:tr2bl w:val="nil"/>
                  </w:tcBorders>
                  <w:noWrap w:val="0"/>
                  <w:vAlign w:val="center"/>
                </w:tcPr>
                <w:p w14:paraId="16B298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2"/>
                      <w:sz w:val="21"/>
                      <w:szCs w:val="21"/>
                      <w:highlight w:val="none"/>
                      <w:lang w:val="en-US" w:eastAsia="zh-CN"/>
                    </w:rPr>
                  </w:pPr>
                  <w:r>
                    <w:rPr>
                      <w:rFonts w:hint="eastAsia" w:cs="Times New Roman"/>
                      <w:b w:val="0"/>
                      <w:bCs/>
                      <w:color w:val="auto"/>
                      <w:spacing w:val="2"/>
                      <w:sz w:val="21"/>
                      <w:szCs w:val="21"/>
                      <w:highlight w:val="none"/>
                      <w:lang w:val="en-US" w:eastAsia="zh-CN"/>
                    </w:rPr>
                    <w:t>9</w:t>
                  </w:r>
                </w:p>
              </w:tc>
              <w:tc>
                <w:tcPr>
                  <w:tcW w:w="2782" w:type="dxa"/>
                  <w:tcBorders>
                    <w:tl2br w:val="nil"/>
                    <w:tr2bl w:val="nil"/>
                  </w:tcBorders>
                  <w:noWrap w:val="0"/>
                  <w:vAlign w:val="center"/>
                </w:tcPr>
                <w:p w14:paraId="5D5C5DD0">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lang w:val="en-US" w:eastAsia="zh-CN" w:bidi="ar"/>
                    </w:rPr>
                    <w:t>380V/220V</w:t>
                  </w:r>
                </w:p>
              </w:tc>
              <w:tc>
                <w:tcPr>
                  <w:tcW w:w="4939" w:type="dxa"/>
                  <w:tcBorders>
                    <w:tl2br w:val="nil"/>
                    <w:tr2bl w:val="nil"/>
                  </w:tcBorders>
                  <w:noWrap w:val="0"/>
                  <w:vAlign w:val="center"/>
                </w:tcPr>
                <w:p w14:paraId="709C6A91">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跨</w:t>
                  </w:r>
                  <w:r>
                    <w:rPr>
                      <w:rFonts w:hint="default" w:ascii="Times New Roman" w:hAnsi="Times New Roman" w:eastAsia="宋体" w:cs="Times New Roman"/>
                      <w:color w:val="auto"/>
                      <w:kern w:val="0"/>
                      <w:sz w:val="21"/>
                      <w:szCs w:val="21"/>
                      <w:highlight w:val="none"/>
                      <w:lang w:val="en-US" w:eastAsia="zh-CN" w:bidi="ar"/>
                    </w:rPr>
                    <w:t>越</w:t>
                  </w:r>
                  <w:r>
                    <w:rPr>
                      <w:rFonts w:hint="eastAsia" w:cs="Times New Roman"/>
                      <w:color w:val="auto"/>
                      <w:kern w:val="0"/>
                      <w:sz w:val="21"/>
                      <w:szCs w:val="21"/>
                      <w:highlight w:val="none"/>
                      <w:lang w:val="en-US" w:eastAsia="zh-CN" w:bidi="ar"/>
                    </w:rPr>
                    <w:t>8</w:t>
                  </w:r>
                  <w:r>
                    <w:rPr>
                      <w:rFonts w:hint="default" w:ascii="Times New Roman" w:hAnsi="Times New Roman" w:eastAsia="宋体" w:cs="Times New Roman"/>
                      <w:color w:val="auto"/>
                      <w:kern w:val="0"/>
                      <w:sz w:val="21"/>
                      <w:szCs w:val="21"/>
                      <w:highlight w:val="none"/>
                      <w:lang w:val="en-US" w:eastAsia="zh-CN" w:bidi="ar"/>
                    </w:rPr>
                    <w:t>次</w:t>
                  </w:r>
                </w:p>
              </w:tc>
            </w:tr>
            <w:tr w14:paraId="344BC7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17" w:type="dxa"/>
                  <w:tcBorders>
                    <w:tl2br w:val="nil"/>
                    <w:tr2bl w:val="nil"/>
                  </w:tcBorders>
                  <w:noWrap w:val="0"/>
                  <w:vAlign w:val="center"/>
                </w:tcPr>
                <w:p w14:paraId="34D7537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pacing w:val="2"/>
                      <w:sz w:val="21"/>
                      <w:szCs w:val="21"/>
                      <w:highlight w:val="none"/>
                      <w:lang w:val="en-US" w:eastAsia="zh-CN"/>
                    </w:rPr>
                  </w:pPr>
                  <w:r>
                    <w:rPr>
                      <w:rFonts w:hint="eastAsia" w:cs="Times New Roman"/>
                      <w:b w:val="0"/>
                      <w:bCs/>
                      <w:color w:val="auto"/>
                      <w:spacing w:val="2"/>
                      <w:sz w:val="21"/>
                      <w:szCs w:val="21"/>
                      <w:highlight w:val="none"/>
                      <w:lang w:val="en-US" w:eastAsia="zh-CN"/>
                    </w:rPr>
                    <w:t>10</w:t>
                  </w:r>
                </w:p>
              </w:tc>
              <w:tc>
                <w:tcPr>
                  <w:tcW w:w="2782" w:type="dxa"/>
                  <w:tcBorders>
                    <w:tl2br w:val="nil"/>
                    <w:tr2bl w:val="nil"/>
                  </w:tcBorders>
                  <w:noWrap w:val="0"/>
                  <w:vAlign w:val="center"/>
                </w:tcPr>
                <w:p w14:paraId="296BC05B">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750</w:t>
                  </w:r>
                  <w:r>
                    <w:rPr>
                      <w:rFonts w:hint="default" w:ascii="Times New Roman" w:hAnsi="Times New Roman" w:eastAsia="宋体" w:cs="Times New Roman"/>
                      <w:color w:val="auto"/>
                      <w:kern w:val="0"/>
                      <w:sz w:val="21"/>
                      <w:szCs w:val="21"/>
                      <w:highlight w:val="none"/>
                      <w:lang w:val="en-US" w:eastAsia="zh-CN" w:bidi="ar"/>
                    </w:rPr>
                    <w:t>千伏</w:t>
                  </w:r>
                  <w:r>
                    <w:rPr>
                      <w:rFonts w:hint="default" w:ascii="Times New Roman" w:hAnsi="Times New Roman" w:eastAsia="宋体" w:cs="Times New Roman"/>
                      <w:color w:val="auto"/>
                      <w:kern w:val="0"/>
                      <w:sz w:val="21"/>
                      <w:szCs w:val="21"/>
                      <w:lang w:val="en-US" w:eastAsia="zh-CN" w:bidi="ar"/>
                    </w:rPr>
                    <w:t>线路</w:t>
                  </w:r>
                </w:p>
              </w:tc>
              <w:tc>
                <w:tcPr>
                  <w:tcW w:w="4939" w:type="dxa"/>
                  <w:tcBorders>
                    <w:tl2br w:val="nil"/>
                    <w:tr2bl w:val="nil"/>
                  </w:tcBorders>
                  <w:noWrap w:val="0"/>
                  <w:vAlign w:val="center"/>
                </w:tcPr>
                <w:p w14:paraId="152D35D3">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钻越规划线路2次</w:t>
                  </w:r>
                </w:p>
              </w:tc>
            </w:tr>
          </w:tbl>
          <w:p w14:paraId="7D0FF67A">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③杆塔型式和基础型式</w:t>
            </w:r>
          </w:p>
          <w:p w14:paraId="0DDE61B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根据初步设计文件，</w:t>
            </w:r>
            <w:r>
              <w:rPr>
                <w:rFonts w:hint="default" w:ascii="Times New Roman" w:hAnsi="Times New Roman" w:cs="Times New Roman"/>
                <w:bCs/>
                <w:color w:val="auto"/>
                <w:sz w:val="24"/>
                <w:szCs w:val="24"/>
                <w:highlight w:val="none"/>
                <w:lang w:val="en-US" w:eastAsia="zh-CN"/>
              </w:rPr>
              <w:t>本项目新建杆塔</w:t>
            </w:r>
            <w:r>
              <w:rPr>
                <w:rFonts w:hint="eastAsia" w:cs="Times New Roman"/>
                <w:bCs/>
                <w:color w:val="auto"/>
                <w:sz w:val="24"/>
                <w:szCs w:val="24"/>
                <w:highlight w:val="none"/>
                <w:lang w:val="en-US" w:eastAsia="zh-CN"/>
              </w:rPr>
              <w:t>共86</w:t>
            </w:r>
            <w:r>
              <w:rPr>
                <w:rFonts w:hint="default" w:ascii="Times New Roman" w:hAnsi="Times New Roman" w:cs="Times New Roman"/>
                <w:bCs/>
                <w:color w:val="auto"/>
                <w:sz w:val="24"/>
                <w:szCs w:val="24"/>
                <w:highlight w:val="none"/>
                <w:lang w:val="en-US" w:eastAsia="zh-CN"/>
              </w:rPr>
              <w:t>基</w:t>
            </w:r>
            <w:r>
              <w:rPr>
                <w:rFonts w:hint="eastAsia" w:cs="Times New Roman"/>
                <w:bCs/>
                <w:color w:val="auto"/>
                <w:sz w:val="24"/>
                <w:szCs w:val="24"/>
                <w:highlight w:val="none"/>
                <w:lang w:val="en-US" w:eastAsia="zh-CN"/>
              </w:rPr>
              <w:t>，本次线路全线采用挖孔桩基础</w:t>
            </w:r>
            <w:r>
              <w:rPr>
                <w:rFonts w:hint="default" w:ascii="Times New Roman" w:hAnsi="Times New Roman" w:cs="Times New Roman"/>
                <w:bCs/>
                <w:color w:val="auto"/>
                <w:sz w:val="24"/>
                <w:szCs w:val="24"/>
                <w:highlight w:val="none"/>
                <w:lang w:val="en-US" w:eastAsia="zh-CN"/>
              </w:rPr>
              <w:t>，全线使用商品混凝土。线路</w:t>
            </w:r>
            <w:r>
              <w:rPr>
                <w:rFonts w:hint="default" w:ascii="Times New Roman" w:hAnsi="Times New Roman" w:cs="Times New Roman"/>
                <w:bCs/>
                <w:color w:val="auto"/>
                <w:sz w:val="24"/>
                <w:szCs w:val="24"/>
                <w:highlight w:val="none"/>
              </w:rPr>
              <w:t>杆塔型式</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lang w:val="en-US" w:eastAsia="zh-CN"/>
              </w:rPr>
              <w:t>数量及使用条件</w:t>
            </w:r>
            <w:r>
              <w:rPr>
                <w:rFonts w:hint="default" w:ascii="Times New Roman" w:hAnsi="Times New Roman" w:cs="Times New Roman"/>
                <w:bCs/>
                <w:color w:val="auto"/>
                <w:sz w:val="24"/>
                <w:szCs w:val="24"/>
                <w:highlight w:val="none"/>
              </w:rPr>
              <w:t>详见表2-</w:t>
            </w:r>
            <w:r>
              <w:rPr>
                <w:rFonts w:hint="default" w:ascii="Times New Roman" w:hAnsi="Times New Roman" w:cs="Times New Roman"/>
                <w:bCs/>
                <w:color w:val="auto"/>
                <w:sz w:val="24"/>
                <w:szCs w:val="24"/>
                <w:highlight w:val="none"/>
                <w:lang w:val="en-US" w:eastAsia="zh-CN"/>
              </w:rPr>
              <w:t>4</w:t>
            </w:r>
            <w:r>
              <w:rPr>
                <w:rFonts w:hint="default" w:ascii="Times New Roman" w:hAnsi="Times New Roman" w:cs="Times New Roman"/>
                <w:bCs/>
                <w:color w:val="auto"/>
                <w:sz w:val="24"/>
                <w:szCs w:val="24"/>
                <w:highlight w:val="none"/>
              </w:rPr>
              <w:t>，杆塔</w:t>
            </w:r>
            <w:r>
              <w:rPr>
                <w:rFonts w:hint="default" w:ascii="Times New Roman" w:hAnsi="Times New Roman" w:cs="Times New Roman"/>
                <w:bCs/>
                <w:color w:val="auto"/>
                <w:sz w:val="24"/>
                <w:szCs w:val="24"/>
                <w:highlight w:val="none"/>
                <w:lang w:val="en-US" w:eastAsia="zh-CN"/>
              </w:rPr>
              <w:t>一览</w:t>
            </w:r>
            <w:r>
              <w:rPr>
                <w:rFonts w:hint="default" w:ascii="Times New Roman" w:hAnsi="Times New Roman" w:cs="Times New Roman"/>
                <w:bCs/>
                <w:color w:val="auto"/>
                <w:sz w:val="24"/>
                <w:szCs w:val="24"/>
                <w:highlight w:val="none"/>
                <w:lang w:eastAsia="zh-CN"/>
              </w:rPr>
              <w:t>图</w:t>
            </w:r>
            <w:r>
              <w:rPr>
                <w:rFonts w:hint="default" w:ascii="Times New Roman" w:hAnsi="Times New Roman" w:cs="Times New Roman"/>
                <w:bCs/>
                <w:color w:val="auto"/>
                <w:sz w:val="24"/>
                <w:szCs w:val="24"/>
                <w:highlight w:val="none"/>
              </w:rPr>
              <w:t>见</w:t>
            </w:r>
            <w:r>
              <w:rPr>
                <w:rFonts w:hint="default" w:ascii="Times New Roman" w:hAnsi="Times New Roman" w:cs="Times New Roman"/>
                <w:bCs/>
                <w:color w:val="auto"/>
                <w:sz w:val="24"/>
                <w:szCs w:val="24"/>
                <w:highlight w:val="none"/>
                <w:lang w:val="en-US" w:eastAsia="zh-CN"/>
              </w:rPr>
              <w:t>附图2-3，</w:t>
            </w:r>
            <w:r>
              <w:rPr>
                <w:rFonts w:hint="default" w:ascii="Times New Roman" w:hAnsi="Times New Roman" w:cs="Times New Roman"/>
                <w:bCs/>
                <w:color w:val="auto"/>
                <w:sz w:val="24"/>
                <w:szCs w:val="24"/>
                <w:highlight w:val="none"/>
                <w:lang w:eastAsia="zh-CN"/>
              </w:rPr>
              <w:t>基础图见</w:t>
            </w:r>
            <w:r>
              <w:rPr>
                <w:rFonts w:hint="default" w:ascii="Times New Roman" w:hAnsi="Times New Roman" w:cs="Times New Roman"/>
                <w:bCs/>
                <w:color w:val="auto"/>
                <w:sz w:val="24"/>
                <w:szCs w:val="24"/>
                <w:highlight w:val="none"/>
                <w:lang w:val="en-US" w:eastAsia="zh-CN"/>
              </w:rPr>
              <w:t>附图2-</w:t>
            </w:r>
            <w:r>
              <w:rPr>
                <w:rFonts w:hint="eastAsia"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rPr>
              <w:t>。</w:t>
            </w:r>
          </w:p>
          <w:p w14:paraId="42A06740">
            <w:pPr>
              <w:spacing w:line="24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w:t>
            </w:r>
            <w:r>
              <w:rPr>
                <w:rFonts w:hint="eastAsia"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 xml:space="preserve">  本项目线路工程</w:t>
            </w:r>
            <w:r>
              <w:rPr>
                <w:rFonts w:hint="default" w:ascii="Times New Roman" w:hAnsi="Times New Roman" w:eastAsia="宋体" w:cs="Times New Roman"/>
                <w:b/>
                <w:bCs/>
                <w:color w:val="auto"/>
                <w:sz w:val="24"/>
                <w:highlight w:val="none"/>
              </w:rPr>
              <w:t>杆塔型式</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数量</w:t>
            </w:r>
            <w:r>
              <w:rPr>
                <w:rFonts w:hint="default" w:ascii="Times New Roman" w:hAnsi="Times New Roman" w:eastAsia="宋体" w:cs="Times New Roman"/>
                <w:b/>
                <w:bCs/>
                <w:color w:val="auto"/>
                <w:sz w:val="24"/>
                <w:highlight w:val="none"/>
              </w:rPr>
              <w:t>及使用条件</w:t>
            </w:r>
          </w:p>
          <w:tbl>
            <w:tblPr>
              <w:tblStyle w:val="83"/>
              <w:tblW w:w="845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10"/>
              <w:gridCol w:w="1767"/>
              <w:gridCol w:w="850"/>
              <w:gridCol w:w="1050"/>
              <w:gridCol w:w="1060"/>
              <w:gridCol w:w="1010"/>
              <w:gridCol w:w="1060"/>
              <w:gridCol w:w="1043"/>
            </w:tblGrid>
            <w:tr w14:paraId="29096B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0" w:hRule="atLeast"/>
                <w:jc w:val="center"/>
              </w:trPr>
              <w:tc>
                <w:tcPr>
                  <w:tcW w:w="610" w:type="dxa"/>
                  <w:tcBorders>
                    <w:tl2br w:val="nil"/>
                    <w:tr2bl w:val="nil"/>
                  </w:tcBorders>
                  <w:noWrap w:val="0"/>
                  <w:vAlign w:val="center"/>
                </w:tcPr>
                <w:p w14:paraId="21D9539D">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序号</w:t>
                  </w:r>
                </w:p>
              </w:tc>
              <w:tc>
                <w:tcPr>
                  <w:tcW w:w="1767" w:type="dxa"/>
                  <w:tcBorders>
                    <w:tl2br w:val="nil"/>
                    <w:tr2bl w:val="nil"/>
                  </w:tcBorders>
                  <w:noWrap w:val="0"/>
                  <w:vAlign w:val="center"/>
                </w:tcPr>
                <w:p w14:paraId="3E4530A4">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
                      <w:sz w:val="21"/>
                      <w:szCs w:val="21"/>
                    </w:rPr>
                    <w:t>模块编号</w:t>
                  </w:r>
                </w:p>
              </w:tc>
              <w:tc>
                <w:tcPr>
                  <w:tcW w:w="850" w:type="dxa"/>
                  <w:tcBorders>
                    <w:tl2br w:val="nil"/>
                    <w:tr2bl w:val="nil"/>
                  </w:tcBorders>
                  <w:noWrap w:val="0"/>
                  <w:vAlign w:val="center"/>
                </w:tcPr>
                <w:p w14:paraId="35560F14">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pacing w:val="-1"/>
                      <w:sz w:val="21"/>
                      <w:szCs w:val="21"/>
                    </w:rPr>
                  </w:pPr>
                  <w:r>
                    <w:rPr>
                      <w:rFonts w:hint="default" w:ascii="Times New Roman" w:hAnsi="Times New Roman" w:eastAsia="宋体" w:cs="Times New Roman"/>
                      <w:b/>
                      <w:bCs/>
                      <w:color w:val="auto"/>
                      <w:spacing w:val="-1"/>
                      <w:sz w:val="21"/>
                      <w:szCs w:val="21"/>
                    </w:rPr>
                    <w:t>塔型呼高</w:t>
                  </w:r>
                </w:p>
                <w:p w14:paraId="73F3B967">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lang w:eastAsia="zh-CN"/>
                    </w:rPr>
                    <w:t>（</w:t>
                  </w:r>
                  <w:r>
                    <w:rPr>
                      <w:rFonts w:hint="default" w:ascii="Times New Roman" w:hAnsi="Times New Roman" w:eastAsia="宋体" w:cs="Times New Roman"/>
                      <w:b/>
                      <w:bCs/>
                      <w:color w:val="auto"/>
                      <w:spacing w:val="-2"/>
                      <w:sz w:val="21"/>
                      <w:szCs w:val="21"/>
                      <w:lang w:val="en-US" w:eastAsia="zh-CN"/>
                    </w:rPr>
                    <w:t>m</w:t>
                  </w:r>
                  <w:r>
                    <w:rPr>
                      <w:rFonts w:hint="default" w:ascii="Times New Roman" w:hAnsi="Times New Roman" w:eastAsia="宋体" w:cs="Times New Roman"/>
                      <w:b/>
                      <w:bCs/>
                      <w:color w:val="auto"/>
                      <w:spacing w:val="-2"/>
                      <w:sz w:val="21"/>
                      <w:szCs w:val="21"/>
                      <w:lang w:eastAsia="zh-CN"/>
                    </w:rPr>
                    <w:t>）</w:t>
                  </w:r>
                </w:p>
              </w:tc>
              <w:tc>
                <w:tcPr>
                  <w:tcW w:w="1050" w:type="dxa"/>
                  <w:tcBorders>
                    <w:tl2br w:val="nil"/>
                    <w:tr2bl w:val="nil"/>
                  </w:tcBorders>
                  <w:noWrap w:val="0"/>
                  <w:vAlign w:val="center"/>
                </w:tcPr>
                <w:p w14:paraId="6180AD4A">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pacing w:val="-1"/>
                      <w:sz w:val="21"/>
                      <w:szCs w:val="21"/>
                    </w:rPr>
                  </w:pPr>
                  <w:r>
                    <w:rPr>
                      <w:rFonts w:hint="default" w:ascii="Times New Roman" w:hAnsi="Times New Roman" w:eastAsia="宋体" w:cs="Times New Roman"/>
                      <w:b/>
                      <w:bCs/>
                      <w:color w:val="auto"/>
                      <w:spacing w:val="-1"/>
                      <w:sz w:val="21"/>
                      <w:szCs w:val="21"/>
                    </w:rPr>
                    <w:t>铁塔数量</w:t>
                  </w:r>
                </w:p>
                <w:p w14:paraId="12D9EBD8">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lang w:eastAsia="zh-CN"/>
                    </w:rPr>
                    <w:t>（</w:t>
                  </w:r>
                  <w:r>
                    <w:rPr>
                      <w:rFonts w:hint="default" w:ascii="Times New Roman" w:hAnsi="Times New Roman" w:eastAsia="宋体" w:cs="Times New Roman"/>
                      <w:b/>
                      <w:bCs/>
                      <w:color w:val="auto"/>
                      <w:spacing w:val="-2"/>
                      <w:sz w:val="21"/>
                      <w:szCs w:val="21"/>
                      <w:lang w:val="en-US" w:eastAsia="zh-CN"/>
                    </w:rPr>
                    <w:t>个</w:t>
                  </w:r>
                  <w:r>
                    <w:rPr>
                      <w:rFonts w:hint="default" w:ascii="Times New Roman" w:hAnsi="Times New Roman" w:eastAsia="宋体" w:cs="Times New Roman"/>
                      <w:b/>
                      <w:bCs/>
                      <w:color w:val="auto"/>
                      <w:spacing w:val="-2"/>
                      <w:sz w:val="21"/>
                      <w:szCs w:val="21"/>
                      <w:lang w:eastAsia="zh-CN"/>
                    </w:rPr>
                    <w:t>）</w:t>
                  </w:r>
                </w:p>
              </w:tc>
              <w:tc>
                <w:tcPr>
                  <w:tcW w:w="1060" w:type="dxa"/>
                  <w:tcBorders>
                    <w:tl2br w:val="nil"/>
                    <w:tr2bl w:val="nil"/>
                  </w:tcBorders>
                  <w:noWrap w:val="0"/>
                  <w:vAlign w:val="center"/>
                </w:tcPr>
                <w:p w14:paraId="0B148414">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pacing w:val="-1"/>
                      <w:sz w:val="21"/>
                      <w:szCs w:val="21"/>
                    </w:rPr>
                  </w:pPr>
                  <w:r>
                    <w:rPr>
                      <w:rFonts w:hint="default" w:ascii="Times New Roman" w:hAnsi="Times New Roman" w:eastAsia="宋体" w:cs="Times New Roman"/>
                      <w:b/>
                      <w:bCs/>
                      <w:color w:val="auto"/>
                      <w:spacing w:val="-1"/>
                      <w:sz w:val="21"/>
                      <w:szCs w:val="21"/>
                    </w:rPr>
                    <w:t>水平档距</w:t>
                  </w:r>
                </w:p>
                <w:p w14:paraId="663FAFA1">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lang w:eastAsia="zh-CN"/>
                    </w:rPr>
                    <w:t>（</w:t>
                  </w:r>
                  <w:r>
                    <w:rPr>
                      <w:rFonts w:hint="default" w:ascii="Times New Roman" w:hAnsi="Times New Roman" w:eastAsia="宋体" w:cs="Times New Roman"/>
                      <w:b/>
                      <w:bCs/>
                      <w:color w:val="auto"/>
                      <w:spacing w:val="-2"/>
                      <w:sz w:val="21"/>
                      <w:szCs w:val="21"/>
                      <w:lang w:val="en-US" w:eastAsia="zh-CN"/>
                    </w:rPr>
                    <w:t>m</w:t>
                  </w:r>
                  <w:r>
                    <w:rPr>
                      <w:rFonts w:hint="default" w:ascii="Times New Roman" w:hAnsi="Times New Roman" w:eastAsia="宋体" w:cs="Times New Roman"/>
                      <w:b/>
                      <w:bCs/>
                      <w:color w:val="auto"/>
                      <w:spacing w:val="-2"/>
                      <w:sz w:val="21"/>
                      <w:szCs w:val="21"/>
                      <w:lang w:eastAsia="zh-CN"/>
                    </w:rPr>
                    <w:t>）</w:t>
                  </w:r>
                </w:p>
              </w:tc>
              <w:tc>
                <w:tcPr>
                  <w:tcW w:w="1010" w:type="dxa"/>
                  <w:tcBorders>
                    <w:tl2br w:val="nil"/>
                    <w:tr2bl w:val="nil"/>
                  </w:tcBorders>
                  <w:noWrap w:val="0"/>
                  <w:vAlign w:val="center"/>
                </w:tcPr>
                <w:p w14:paraId="0720FB11">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pacing w:val="-1"/>
                      <w:sz w:val="21"/>
                      <w:szCs w:val="21"/>
                    </w:rPr>
                  </w:pPr>
                  <w:r>
                    <w:rPr>
                      <w:rFonts w:hint="default" w:ascii="Times New Roman" w:hAnsi="Times New Roman" w:eastAsia="宋体" w:cs="Times New Roman"/>
                      <w:b/>
                      <w:bCs/>
                      <w:color w:val="auto"/>
                      <w:spacing w:val="-1"/>
                      <w:sz w:val="21"/>
                      <w:szCs w:val="21"/>
                    </w:rPr>
                    <w:t>垂直档距</w:t>
                  </w:r>
                </w:p>
                <w:p w14:paraId="464A055C">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lang w:eastAsia="zh-CN"/>
                    </w:rPr>
                    <w:t>（</w:t>
                  </w:r>
                  <w:r>
                    <w:rPr>
                      <w:rFonts w:hint="default" w:ascii="Times New Roman" w:hAnsi="Times New Roman" w:eastAsia="宋体" w:cs="Times New Roman"/>
                      <w:b/>
                      <w:bCs/>
                      <w:color w:val="auto"/>
                      <w:spacing w:val="-2"/>
                      <w:sz w:val="21"/>
                      <w:szCs w:val="21"/>
                      <w:lang w:val="en-US" w:eastAsia="zh-CN"/>
                    </w:rPr>
                    <w:t>m</w:t>
                  </w:r>
                  <w:r>
                    <w:rPr>
                      <w:rFonts w:hint="default" w:ascii="Times New Roman" w:hAnsi="Times New Roman" w:eastAsia="宋体" w:cs="Times New Roman"/>
                      <w:b/>
                      <w:bCs/>
                      <w:color w:val="auto"/>
                      <w:spacing w:val="-2"/>
                      <w:sz w:val="21"/>
                      <w:szCs w:val="21"/>
                      <w:lang w:eastAsia="zh-CN"/>
                    </w:rPr>
                    <w:t>）</w:t>
                  </w:r>
                </w:p>
              </w:tc>
              <w:tc>
                <w:tcPr>
                  <w:tcW w:w="1060" w:type="dxa"/>
                  <w:tcBorders>
                    <w:tl2br w:val="nil"/>
                    <w:tr2bl w:val="nil"/>
                  </w:tcBorders>
                  <w:noWrap w:val="0"/>
                  <w:vAlign w:val="center"/>
                </w:tcPr>
                <w:p w14:paraId="54E5D521">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b/>
                      <w:bCs/>
                      <w:color w:val="auto"/>
                      <w:spacing w:val="-2"/>
                      <w:sz w:val="21"/>
                      <w:szCs w:val="21"/>
                    </w:rPr>
                    <w:t>呼高范围</w:t>
                  </w:r>
                </w:p>
                <w:p w14:paraId="63591026">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pacing w:val="-2"/>
                      <w:sz w:val="21"/>
                      <w:szCs w:val="21"/>
                      <w:lang w:eastAsia="zh-CN"/>
                    </w:rPr>
                    <w:t>（</w:t>
                  </w:r>
                  <w:r>
                    <w:rPr>
                      <w:rFonts w:hint="default" w:ascii="Times New Roman" w:hAnsi="Times New Roman" w:eastAsia="宋体" w:cs="Times New Roman"/>
                      <w:b/>
                      <w:bCs/>
                      <w:color w:val="auto"/>
                      <w:spacing w:val="-2"/>
                      <w:sz w:val="21"/>
                      <w:szCs w:val="21"/>
                      <w:lang w:val="en-US" w:eastAsia="zh-CN"/>
                    </w:rPr>
                    <w:t>m</w:t>
                  </w:r>
                  <w:r>
                    <w:rPr>
                      <w:rFonts w:hint="default" w:ascii="Times New Roman" w:hAnsi="Times New Roman" w:eastAsia="宋体" w:cs="Times New Roman"/>
                      <w:b/>
                      <w:bCs/>
                      <w:color w:val="auto"/>
                      <w:spacing w:val="-2"/>
                      <w:sz w:val="21"/>
                      <w:szCs w:val="21"/>
                      <w:lang w:eastAsia="zh-CN"/>
                    </w:rPr>
                    <w:t>）</w:t>
                  </w:r>
                </w:p>
              </w:tc>
              <w:tc>
                <w:tcPr>
                  <w:tcW w:w="1043" w:type="dxa"/>
                  <w:tcBorders>
                    <w:tl2br w:val="nil"/>
                    <w:tr2bl w:val="nil"/>
                  </w:tcBorders>
                  <w:noWrap w:val="0"/>
                  <w:vAlign w:val="center"/>
                </w:tcPr>
                <w:p w14:paraId="00DD27B6">
                  <w:pPr>
                    <w:pStyle w:val="106"/>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pacing w:val="-3"/>
                      <w:sz w:val="21"/>
                      <w:szCs w:val="21"/>
                    </w:rPr>
                    <w:t>转角度数</w:t>
                  </w:r>
                  <w:r>
                    <w:rPr>
                      <w:rFonts w:hint="default" w:ascii="Times New Roman" w:hAnsi="Times New Roman" w:cs="Times New Roman"/>
                      <w:b/>
                      <w:bCs/>
                      <w:color w:val="auto"/>
                      <w:spacing w:val="-3"/>
                      <w:sz w:val="21"/>
                      <w:szCs w:val="21"/>
                      <w:lang w:val="en-US" w:eastAsia="zh-CN"/>
                    </w:rPr>
                    <w:t>/°</w:t>
                  </w:r>
                </w:p>
              </w:tc>
            </w:tr>
            <w:tr w14:paraId="5FA0C0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restart"/>
                  <w:tcBorders>
                    <w:tl2br w:val="nil"/>
                    <w:tr2bl w:val="nil"/>
                  </w:tcBorders>
                  <w:noWrap w:val="0"/>
                  <w:vAlign w:val="center"/>
                </w:tcPr>
                <w:p w14:paraId="266E18C4">
                  <w:pPr>
                    <w:pStyle w:val="106"/>
                    <w:keepNext w:val="0"/>
                    <w:keepLines w:val="0"/>
                    <w:pageBreakBefore w:val="0"/>
                    <w:widowControl w:val="0"/>
                    <w:kinsoku/>
                    <w:wordWrap/>
                    <w:overflowPunct/>
                    <w:topLinePunct w:val="0"/>
                    <w:autoSpaceDE/>
                    <w:autoSpaceDN/>
                    <w:bidi w:val="0"/>
                    <w:adjustRightInd w:val="0"/>
                    <w:snapToGrid w:val="0"/>
                    <w:spacing w:line="241"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767" w:type="dxa"/>
                  <w:vMerge w:val="restart"/>
                  <w:tcBorders>
                    <w:tl2br w:val="nil"/>
                    <w:tr2bl w:val="nil"/>
                  </w:tcBorders>
                  <w:noWrap w:val="0"/>
                  <w:vAlign w:val="center"/>
                </w:tcPr>
                <w:p w14:paraId="21C69FCE">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110-</w:t>
                  </w:r>
                  <w:r>
                    <w:rPr>
                      <w:rFonts w:hint="eastAsia" w:ascii="Times New Roman" w:hAnsi="Times New Roman" w:cs="Times New Roman"/>
                      <w:color w:val="auto"/>
                      <w:spacing w:val="-2"/>
                      <w:sz w:val="21"/>
                      <w:szCs w:val="21"/>
                      <w:lang w:val="en-US" w:eastAsia="zh-CN"/>
                    </w:rPr>
                    <w:t>D</w:t>
                  </w:r>
                  <w:r>
                    <w:rPr>
                      <w:rFonts w:hint="default" w:ascii="Times New Roman" w:hAnsi="Times New Roman" w:eastAsia="宋体" w:cs="Times New Roman"/>
                      <w:color w:val="auto"/>
                      <w:spacing w:val="-2"/>
                      <w:sz w:val="21"/>
                      <w:szCs w:val="21"/>
                    </w:rPr>
                    <w:t>C</w:t>
                  </w:r>
                  <w:r>
                    <w:rPr>
                      <w:rFonts w:hint="eastAsia" w:ascii="Times New Roman" w:hAnsi="Times New Roman" w:cs="Times New Roman"/>
                      <w:color w:val="auto"/>
                      <w:spacing w:val="-2"/>
                      <w:sz w:val="21"/>
                      <w:szCs w:val="21"/>
                      <w:lang w:val="en-US" w:eastAsia="zh-CN"/>
                    </w:rPr>
                    <w:t>42</w:t>
                  </w:r>
                  <w:r>
                    <w:rPr>
                      <w:rFonts w:hint="default" w:ascii="Times New Roman" w:hAnsi="Times New Roman" w:eastAsia="宋体" w:cs="Times New Roman"/>
                      <w:color w:val="auto"/>
                      <w:spacing w:val="-2"/>
                      <w:sz w:val="21"/>
                      <w:szCs w:val="21"/>
                    </w:rPr>
                    <w:t>D-Z</w:t>
                  </w:r>
                  <w:r>
                    <w:rPr>
                      <w:rFonts w:hint="eastAsia" w:ascii="Times New Roman" w:hAnsi="Times New Roman" w:cs="Times New Roman"/>
                      <w:color w:val="auto"/>
                      <w:spacing w:val="-2"/>
                      <w:sz w:val="21"/>
                      <w:szCs w:val="21"/>
                      <w:lang w:val="en-US" w:eastAsia="zh-CN"/>
                    </w:rPr>
                    <w:t>BC2</w:t>
                  </w:r>
                </w:p>
              </w:tc>
              <w:tc>
                <w:tcPr>
                  <w:tcW w:w="850" w:type="dxa"/>
                  <w:tcBorders>
                    <w:tl2br w:val="nil"/>
                    <w:tr2bl w:val="nil"/>
                  </w:tcBorders>
                  <w:noWrap w:val="0"/>
                  <w:vAlign w:val="center"/>
                </w:tcPr>
                <w:p w14:paraId="6FBA4F4A">
                  <w:pPr>
                    <w:pStyle w:val="106"/>
                    <w:keepNext w:val="0"/>
                    <w:keepLines w:val="0"/>
                    <w:pageBreakBefore w:val="0"/>
                    <w:widowControl w:val="0"/>
                    <w:kinsoku/>
                    <w:wordWrap/>
                    <w:overflowPunct/>
                    <w:topLinePunct w:val="0"/>
                    <w:autoSpaceDE/>
                    <w:autoSpaceDN/>
                    <w:bidi w:val="0"/>
                    <w:adjustRightInd w:val="0"/>
                    <w:snapToGrid w:val="0"/>
                    <w:spacing w:line="216"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2"/>
                      <w:sz w:val="21"/>
                      <w:szCs w:val="21"/>
                      <w:lang w:val="en-US" w:eastAsia="zh-CN"/>
                    </w:rPr>
                    <w:t>24</w:t>
                  </w:r>
                </w:p>
              </w:tc>
              <w:tc>
                <w:tcPr>
                  <w:tcW w:w="1050" w:type="dxa"/>
                  <w:tcBorders>
                    <w:tl2br w:val="nil"/>
                    <w:tr2bl w:val="nil"/>
                  </w:tcBorders>
                  <w:noWrap w:val="0"/>
                  <w:vAlign w:val="center"/>
                </w:tcPr>
                <w:p w14:paraId="7AD1FDC1">
                  <w:pPr>
                    <w:pStyle w:val="106"/>
                    <w:keepNext w:val="0"/>
                    <w:keepLines w:val="0"/>
                    <w:pageBreakBefore w:val="0"/>
                    <w:widowControl w:val="0"/>
                    <w:kinsoku/>
                    <w:wordWrap/>
                    <w:overflowPunct/>
                    <w:topLinePunct w:val="0"/>
                    <w:autoSpaceDE/>
                    <w:autoSpaceDN/>
                    <w:bidi w:val="0"/>
                    <w:adjustRightInd w:val="0"/>
                    <w:snapToGrid w:val="0"/>
                    <w:spacing w:line="216" w:lineRule="auto"/>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w:t>
                  </w:r>
                </w:p>
              </w:tc>
              <w:tc>
                <w:tcPr>
                  <w:tcW w:w="1060" w:type="dxa"/>
                  <w:vMerge w:val="restart"/>
                  <w:tcBorders>
                    <w:tl2br w:val="nil"/>
                    <w:tr2bl w:val="nil"/>
                  </w:tcBorders>
                  <w:noWrap w:val="0"/>
                  <w:vAlign w:val="center"/>
                </w:tcPr>
                <w:p w14:paraId="578808BA">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480</w:t>
                  </w:r>
                </w:p>
              </w:tc>
              <w:tc>
                <w:tcPr>
                  <w:tcW w:w="1010" w:type="dxa"/>
                  <w:vMerge w:val="restart"/>
                  <w:tcBorders>
                    <w:tl2br w:val="nil"/>
                    <w:tr2bl w:val="nil"/>
                  </w:tcBorders>
                  <w:noWrap w:val="0"/>
                  <w:vAlign w:val="center"/>
                </w:tcPr>
                <w:p w14:paraId="32AD66A0">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pacing w:val="-1"/>
                      <w:sz w:val="21"/>
                      <w:szCs w:val="21"/>
                      <w:lang w:val="en-US" w:eastAsia="zh-CN"/>
                    </w:rPr>
                    <w:t>600</w:t>
                  </w:r>
                </w:p>
              </w:tc>
              <w:tc>
                <w:tcPr>
                  <w:tcW w:w="1060" w:type="dxa"/>
                  <w:vMerge w:val="restart"/>
                  <w:tcBorders>
                    <w:tl2br w:val="nil"/>
                    <w:tr2bl w:val="nil"/>
                  </w:tcBorders>
                  <w:noWrap w:val="0"/>
                  <w:vAlign w:val="center"/>
                </w:tcPr>
                <w:p w14:paraId="281093C5">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rPr>
                    <w:t>15~</w:t>
                  </w:r>
                  <w:r>
                    <w:rPr>
                      <w:rFonts w:hint="eastAsia" w:ascii="Times New Roman" w:hAnsi="Times New Roman" w:cs="Times New Roman"/>
                      <w:color w:val="auto"/>
                      <w:spacing w:val="-3"/>
                      <w:sz w:val="21"/>
                      <w:szCs w:val="21"/>
                      <w:lang w:val="en-US" w:eastAsia="zh-CN"/>
                    </w:rPr>
                    <w:t>33</w:t>
                  </w:r>
                </w:p>
              </w:tc>
              <w:tc>
                <w:tcPr>
                  <w:tcW w:w="1043" w:type="dxa"/>
                  <w:vMerge w:val="restart"/>
                  <w:tcBorders>
                    <w:tl2br w:val="nil"/>
                    <w:tr2bl w:val="nil"/>
                  </w:tcBorders>
                  <w:noWrap w:val="0"/>
                  <w:vAlign w:val="center"/>
                </w:tcPr>
                <w:p w14:paraId="22650CAD">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default" w:ascii="Times New Roman" w:hAnsi="Times New Roman" w:cs="Times New Roman"/>
                      <w:b/>
                      <w:bCs/>
                      <w:color w:val="auto"/>
                      <w:spacing w:val="-3"/>
                      <w:sz w:val="21"/>
                      <w:szCs w:val="21"/>
                      <w:lang w:val="en-US" w:eastAsia="zh-CN"/>
                    </w:rPr>
                    <w:t>°</w:t>
                  </w:r>
                </w:p>
              </w:tc>
            </w:tr>
            <w:tr w14:paraId="25B268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6389E79A">
                  <w:pPr>
                    <w:pStyle w:val="106"/>
                    <w:keepNext w:val="0"/>
                    <w:keepLines w:val="0"/>
                    <w:pageBreakBefore w:val="0"/>
                    <w:widowControl w:val="0"/>
                    <w:kinsoku/>
                    <w:wordWrap/>
                    <w:overflowPunct/>
                    <w:topLinePunct w:val="0"/>
                    <w:autoSpaceDE/>
                    <w:autoSpaceDN/>
                    <w:bidi w:val="0"/>
                    <w:adjustRightInd w:val="0"/>
                    <w:snapToGrid w:val="0"/>
                    <w:spacing w:line="241" w:lineRule="auto"/>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2F8B120D">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850" w:type="dxa"/>
                  <w:tcBorders>
                    <w:tl2br w:val="nil"/>
                    <w:tr2bl w:val="nil"/>
                  </w:tcBorders>
                  <w:noWrap w:val="0"/>
                  <w:vAlign w:val="center"/>
                </w:tcPr>
                <w:p w14:paraId="716D4A14">
                  <w:pPr>
                    <w:pStyle w:val="106"/>
                    <w:keepNext w:val="0"/>
                    <w:keepLines w:val="0"/>
                    <w:pageBreakBefore w:val="0"/>
                    <w:widowControl w:val="0"/>
                    <w:kinsoku/>
                    <w:wordWrap/>
                    <w:overflowPunct/>
                    <w:topLinePunct w:val="0"/>
                    <w:autoSpaceDE/>
                    <w:autoSpaceDN/>
                    <w:bidi w:val="0"/>
                    <w:adjustRightInd w:val="0"/>
                    <w:snapToGrid w:val="0"/>
                    <w:spacing w:line="216" w:lineRule="auto"/>
                    <w:ind w:left="0"/>
                    <w:jc w:val="center"/>
                    <w:textAlignment w:val="auto"/>
                    <w:rPr>
                      <w:rFonts w:hint="default" w:ascii="Times New Roman" w:hAnsi="Times New Roman"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33</w:t>
                  </w:r>
                </w:p>
              </w:tc>
              <w:tc>
                <w:tcPr>
                  <w:tcW w:w="1050" w:type="dxa"/>
                  <w:tcBorders>
                    <w:tl2br w:val="nil"/>
                    <w:tr2bl w:val="nil"/>
                  </w:tcBorders>
                  <w:noWrap w:val="0"/>
                  <w:vAlign w:val="center"/>
                </w:tcPr>
                <w:p w14:paraId="1B3EFF0B">
                  <w:pPr>
                    <w:pStyle w:val="106"/>
                    <w:keepNext w:val="0"/>
                    <w:keepLines w:val="0"/>
                    <w:pageBreakBefore w:val="0"/>
                    <w:widowControl w:val="0"/>
                    <w:kinsoku/>
                    <w:wordWrap/>
                    <w:overflowPunct/>
                    <w:topLinePunct w:val="0"/>
                    <w:autoSpaceDE/>
                    <w:autoSpaceDN/>
                    <w:bidi w:val="0"/>
                    <w:adjustRightInd w:val="0"/>
                    <w:snapToGrid w:val="0"/>
                    <w:spacing w:line="216" w:lineRule="auto"/>
                    <w:ind w:lef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060" w:type="dxa"/>
                  <w:vMerge w:val="continue"/>
                  <w:tcBorders>
                    <w:tl2br w:val="nil"/>
                    <w:tr2bl w:val="nil"/>
                  </w:tcBorders>
                  <w:noWrap w:val="0"/>
                  <w:vAlign w:val="center"/>
                </w:tcPr>
                <w:p w14:paraId="6D38615F">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1010" w:type="dxa"/>
                  <w:vMerge w:val="continue"/>
                  <w:tcBorders>
                    <w:tl2br w:val="nil"/>
                    <w:tr2bl w:val="nil"/>
                  </w:tcBorders>
                  <w:noWrap w:val="0"/>
                  <w:vAlign w:val="center"/>
                </w:tcPr>
                <w:p w14:paraId="39B14530">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1"/>
                      <w:sz w:val="21"/>
                      <w:szCs w:val="21"/>
                    </w:rPr>
                  </w:pPr>
                </w:p>
              </w:tc>
              <w:tc>
                <w:tcPr>
                  <w:tcW w:w="1060" w:type="dxa"/>
                  <w:vMerge w:val="continue"/>
                  <w:tcBorders>
                    <w:tl2br w:val="nil"/>
                    <w:tr2bl w:val="nil"/>
                  </w:tcBorders>
                  <w:noWrap w:val="0"/>
                  <w:vAlign w:val="center"/>
                </w:tcPr>
                <w:p w14:paraId="5F4225E0">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3"/>
                      <w:sz w:val="21"/>
                      <w:szCs w:val="21"/>
                    </w:rPr>
                  </w:pPr>
                </w:p>
              </w:tc>
              <w:tc>
                <w:tcPr>
                  <w:tcW w:w="1043" w:type="dxa"/>
                  <w:vMerge w:val="continue"/>
                  <w:tcBorders>
                    <w:tl2br w:val="nil"/>
                    <w:tr2bl w:val="nil"/>
                  </w:tcBorders>
                  <w:noWrap w:val="0"/>
                  <w:vAlign w:val="center"/>
                </w:tcPr>
                <w:p w14:paraId="3ACAA914">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21EE68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restart"/>
                  <w:tcBorders>
                    <w:tl2br w:val="nil"/>
                    <w:tr2bl w:val="nil"/>
                  </w:tcBorders>
                  <w:noWrap w:val="0"/>
                  <w:vAlign w:val="center"/>
                </w:tcPr>
                <w:p w14:paraId="3297543E">
                  <w:pPr>
                    <w:pStyle w:val="106"/>
                    <w:keepNext w:val="0"/>
                    <w:keepLines w:val="0"/>
                    <w:pageBreakBefore w:val="0"/>
                    <w:widowControl w:val="0"/>
                    <w:kinsoku/>
                    <w:wordWrap/>
                    <w:overflowPunct/>
                    <w:topLinePunct w:val="0"/>
                    <w:autoSpaceDE/>
                    <w:autoSpaceDN/>
                    <w:bidi w:val="0"/>
                    <w:adjustRightInd w:val="0"/>
                    <w:snapToGrid w:val="0"/>
                    <w:spacing w:line="241"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767" w:type="dxa"/>
                  <w:vMerge w:val="restart"/>
                  <w:tcBorders>
                    <w:tl2br w:val="nil"/>
                    <w:tr2bl w:val="nil"/>
                  </w:tcBorders>
                  <w:noWrap w:val="0"/>
                  <w:vAlign w:val="center"/>
                </w:tcPr>
                <w:p w14:paraId="77776E6F">
                  <w:pPr>
                    <w:keepNext w:val="0"/>
                    <w:keepLines w:val="0"/>
                    <w:pageBreakBefore w:val="0"/>
                    <w:widowControl w:val="0"/>
                    <w:kinsoku/>
                    <w:wordWrap/>
                    <w:overflowPunct/>
                    <w:topLinePunct w:val="0"/>
                    <w:autoSpaceDE/>
                    <w:autoSpaceDN/>
                    <w:bidi w:val="0"/>
                    <w:adjustRightInd w:val="0"/>
                    <w:snapToGrid w:val="0"/>
                    <w:spacing w:line="319"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2"/>
                      <w:sz w:val="21"/>
                      <w:szCs w:val="21"/>
                    </w:rPr>
                    <w:t>110-</w:t>
                  </w:r>
                  <w:r>
                    <w:rPr>
                      <w:rFonts w:hint="eastAsia" w:cs="Times New Roman"/>
                      <w:color w:val="auto"/>
                      <w:spacing w:val="-2"/>
                      <w:sz w:val="21"/>
                      <w:szCs w:val="21"/>
                      <w:lang w:val="en-US" w:eastAsia="zh-CN"/>
                    </w:rPr>
                    <w:t>D</w:t>
                  </w:r>
                  <w:r>
                    <w:rPr>
                      <w:rFonts w:hint="default" w:ascii="Times New Roman" w:hAnsi="Times New Roman" w:eastAsia="宋体" w:cs="Times New Roman"/>
                      <w:color w:val="auto"/>
                      <w:spacing w:val="-2"/>
                      <w:sz w:val="21"/>
                      <w:szCs w:val="21"/>
                    </w:rPr>
                    <w:t>C</w:t>
                  </w:r>
                  <w:r>
                    <w:rPr>
                      <w:rFonts w:hint="eastAsia" w:cs="Times New Roman"/>
                      <w:color w:val="auto"/>
                      <w:spacing w:val="-2"/>
                      <w:sz w:val="21"/>
                      <w:szCs w:val="21"/>
                      <w:lang w:val="en-US" w:eastAsia="zh-CN"/>
                    </w:rPr>
                    <w:t>42D</w:t>
                  </w:r>
                  <w:r>
                    <w:rPr>
                      <w:rFonts w:hint="default" w:ascii="Times New Roman" w:hAnsi="Times New Roman" w:eastAsia="宋体" w:cs="Times New Roman"/>
                      <w:color w:val="auto"/>
                      <w:spacing w:val="-2"/>
                      <w:sz w:val="21"/>
                      <w:szCs w:val="21"/>
                    </w:rPr>
                    <w:t>-Z</w:t>
                  </w:r>
                  <w:r>
                    <w:rPr>
                      <w:rFonts w:hint="eastAsia" w:cs="Times New Roman"/>
                      <w:color w:val="auto"/>
                      <w:spacing w:val="-2"/>
                      <w:sz w:val="21"/>
                      <w:szCs w:val="21"/>
                      <w:lang w:val="en-US" w:eastAsia="zh-CN"/>
                    </w:rPr>
                    <w:t>BCK</w:t>
                  </w:r>
                </w:p>
              </w:tc>
              <w:tc>
                <w:tcPr>
                  <w:tcW w:w="850" w:type="dxa"/>
                  <w:tcBorders>
                    <w:tl2br w:val="nil"/>
                    <w:tr2bl w:val="nil"/>
                  </w:tcBorders>
                  <w:noWrap w:val="0"/>
                  <w:vAlign w:val="center"/>
                </w:tcPr>
                <w:p w14:paraId="32E444D2">
                  <w:pPr>
                    <w:pStyle w:val="106"/>
                    <w:keepNext w:val="0"/>
                    <w:keepLines w:val="0"/>
                    <w:pageBreakBefore w:val="0"/>
                    <w:widowControl w:val="0"/>
                    <w:kinsoku/>
                    <w:wordWrap/>
                    <w:overflowPunct/>
                    <w:topLinePunct w:val="0"/>
                    <w:autoSpaceDE/>
                    <w:autoSpaceDN/>
                    <w:bidi w:val="0"/>
                    <w:adjustRightInd w:val="0"/>
                    <w:snapToGrid w:val="0"/>
                    <w:spacing w:line="199"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4"/>
                      <w:sz w:val="21"/>
                      <w:szCs w:val="21"/>
                      <w:lang w:val="en-US" w:eastAsia="zh-CN"/>
                    </w:rPr>
                    <w:t>42</w:t>
                  </w:r>
                </w:p>
              </w:tc>
              <w:tc>
                <w:tcPr>
                  <w:tcW w:w="1050" w:type="dxa"/>
                  <w:tcBorders>
                    <w:tl2br w:val="nil"/>
                    <w:tr2bl w:val="nil"/>
                  </w:tcBorders>
                  <w:noWrap w:val="0"/>
                  <w:vAlign w:val="center"/>
                </w:tcPr>
                <w:p w14:paraId="32F2662D">
                  <w:pPr>
                    <w:pStyle w:val="106"/>
                    <w:keepNext w:val="0"/>
                    <w:keepLines w:val="0"/>
                    <w:pageBreakBefore w:val="0"/>
                    <w:widowControl w:val="0"/>
                    <w:kinsoku/>
                    <w:wordWrap/>
                    <w:overflowPunct/>
                    <w:topLinePunct w:val="0"/>
                    <w:autoSpaceDE/>
                    <w:autoSpaceDN/>
                    <w:bidi w:val="0"/>
                    <w:adjustRightInd w:val="0"/>
                    <w:snapToGrid w:val="0"/>
                    <w:spacing w:line="199"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60" w:type="dxa"/>
                  <w:vMerge w:val="restart"/>
                  <w:tcBorders>
                    <w:tl2br w:val="nil"/>
                    <w:tr2bl w:val="nil"/>
                  </w:tcBorders>
                  <w:noWrap w:val="0"/>
                  <w:vAlign w:val="center"/>
                </w:tcPr>
                <w:p w14:paraId="313983D2">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4</w:t>
                  </w:r>
                  <w:r>
                    <w:rPr>
                      <w:rFonts w:hint="eastAsia" w:ascii="Times New Roman" w:hAnsi="Times New Roman" w:cs="Times New Roman"/>
                      <w:color w:val="auto"/>
                      <w:spacing w:val="-1"/>
                      <w:sz w:val="21"/>
                      <w:szCs w:val="21"/>
                      <w:lang w:val="en-US" w:eastAsia="zh-CN"/>
                    </w:rPr>
                    <w:t>8</w:t>
                  </w:r>
                  <w:r>
                    <w:rPr>
                      <w:rFonts w:hint="default" w:ascii="Times New Roman" w:hAnsi="Times New Roman" w:eastAsia="宋体" w:cs="Times New Roman"/>
                      <w:color w:val="auto"/>
                      <w:spacing w:val="-1"/>
                      <w:sz w:val="21"/>
                      <w:szCs w:val="21"/>
                    </w:rPr>
                    <w:t>0</w:t>
                  </w:r>
                </w:p>
              </w:tc>
              <w:tc>
                <w:tcPr>
                  <w:tcW w:w="1010" w:type="dxa"/>
                  <w:vMerge w:val="restart"/>
                  <w:tcBorders>
                    <w:tl2br w:val="nil"/>
                    <w:tr2bl w:val="nil"/>
                  </w:tcBorders>
                  <w:noWrap w:val="0"/>
                  <w:vAlign w:val="center"/>
                </w:tcPr>
                <w:p w14:paraId="1BDB746E">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600</w:t>
                  </w:r>
                </w:p>
              </w:tc>
              <w:tc>
                <w:tcPr>
                  <w:tcW w:w="1060" w:type="dxa"/>
                  <w:vMerge w:val="restart"/>
                  <w:tcBorders>
                    <w:tl2br w:val="nil"/>
                    <w:tr2bl w:val="nil"/>
                  </w:tcBorders>
                  <w:noWrap w:val="0"/>
                  <w:vAlign w:val="center"/>
                </w:tcPr>
                <w:p w14:paraId="71AD7A8B">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3"/>
                      <w:sz w:val="21"/>
                      <w:szCs w:val="21"/>
                      <w:lang w:val="en-US" w:eastAsia="zh-CN"/>
                    </w:rPr>
                    <w:t>33</w:t>
                  </w:r>
                  <w:r>
                    <w:rPr>
                      <w:rFonts w:hint="default" w:ascii="Times New Roman" w:hAnsi="Times New Roman" w:eastAsia="宋体" w:cs="Times New Roman"/>
                      <w:color w:val="auto"/>
                      <w:spacing w:val="-3"/>
                      <w:sz w:val="21"/>
                      <w:szCs w:val="21"/>
                    </w:rPr>
                    <w:t>~</w:t>
                  </w:r>
                  <w:r>
                    <w:rPr>
                      <w:rFonts w:hint="eastAsia" w:ascii="Times New Roman" w:hAnsi="Times New Roman" w:cs="Times New Roman"/>
                      <w:color w:val="auto"/>
                      <w:spacing w:val="-3"/>
                      <w:sz w:val="21"/>
                      <w:szCs w:val="21"/>
                      <w:lang w:val="en-US" w:eastAsia="zh-CN"/>
                    </w:rPr>
                    <w:t>51</w:t>
                  </w:r>
                </w:p>
              </w:tc>
              <w:tc>
                <w:tcPr>
                  <w:tcW w:w="1043" w:type="dxa"/>
                  <w:vMerge w:val="restart"/>
                  <w:tcBorders>
                    <w:tl2br w:val="nil"/>
                    <w:tr2bl w:val="nil"/>
                  </w:tcBorders>
                  <w:noWrap w:val="0"/>
                  <w:vAlign w:val="center"/>
                </w:tcPr>
                <w:p w14:paraId="114E589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default" w:ascii="Times New Roman" w:hAnsi="Times New Roman" w:cs="Times New Roman"/>
                      <w:b/>
                      <w:bCs/>
                      <w:color w:val="auto"/>
                      <w:spacing w:val="-3"/>
                      <w:sz w:val="21"/>
                      <w:szCs w:val="21"/>
                      <w:lang w:val="en-US" w:eastAsia="zh-CN"/>
                    </w:rPr>
                    <w:t>°</w:t>
                  </w:r>
                </w:p>
              </w:tc>
            </w:tr>
            <w:tr w14:paraId="57246D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551E6A14">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60AF1F5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14E65654">
                  <w:pPr>
                    <w:pStyle w:val="106"/>
                    <w:keepNext w:val="0"/>
                    <w:keepLines w:val="0"/>
                    <w:pageBreakBefore w:val="0"/>
                    <w:widowControl w:val="0"/>
                    <w:kinsoku/>
                    <w:wordWrap/>
                    <w:overflowPunct/>
                    <w:topLinePunct w:val="0"/>
                    <w:autoSpaceDE/>
                    <w:autoSpaceDN/>
                    <w:bidi w:val="0"/>
                    <w:adjustRightInd w:val="0"/>
                    <w:snapToGrid w:val="0"/>
                    <w:spacing w:line="212"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48</w:t>
                  </w:r>
                </w:p>
              </w:tc>
              <w:tc>
                <w:tcPr>
                  <w:tcW w:w="1050" w:type="dxa"/>
                  <w:tcBorders>
                    <w:tl2br w:val="nil"/>
                    <w:tr2bl w:val="nil"/>
                  </w:tcBorders>
                  <w:noWrap w:val="0"/>
                  <w:vAlign w:val="center"/>
                </w:tcPr>
                <w:p w14:paraId="4C0C2DD8">
                  <w:pPr>
                    <w:pStyle w:val="106"/>
                    <w:keepNext w:val="0"/>
                    <w:keepLines w:val="0"/>
                    <w:pageBreakBefore w:val="0"/>
                    <w:widowControl w:val="0"/>
                    <w:kinsoku/>
                    <w:wordWrap/>
                    <w:overflowPunct/>
                    <w:topLinePunct w:val="0"/>
                    <w:autoSpaceDE/>
                    <w:autoSpaceDN/>
                    <w:bidi w:val="0"/>
                    <w:adjustRightInd w:val="0"/>
                    <w:snapToGrid w:val="0"/>
                    <w:spacing w:line="212"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060" w:type="dxa"/>
                  <w:vMerge w:val="continue"/>
                  <w:tcBorders>
                    <w:tl2br w:val="nil"/>
                    <w:tr2bl w:val="nil"/>
                  </w:tcBorders>
                  <w:noWrap w:val="0"/>
                  <w:vAlign w:val="center"/>
                </w:tcPr>
                <w:p w14:paraId="752364ED">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6EA21DD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36EDDAD7">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62E67E7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28267F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restart"/>
                  <w:tcBorders>
                    <w:tl2br w:val="nil"/>
                    <w:tr2bl w:val="nil"/>
                  </w:tcBorders>
                  <w:noWrap w:val="0"/>
                  <w:vAlign w:val="center"/>
                </w:tcPr>
                <w:p w14:paraId="7220624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c>
                <w:tcPr>
                  <w:tcW w:w="1767" w:type="dxa"/>
                  <w:vMerge w:val="restart"/>
                  <w:tcBorders>
                    <w:tl2br w:val="nil"/>
                    <w:tr2bl w:val="nil"/>
                  </w:tcBorders>
                  <w:noWrap w:val="0"/>
                  <w:vAlign w:val="center"/>
                </w:tcPr>
                <w:p w14:paraId="1F1D3B7E">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110-</w:t>
                  </w:r>
                  <w:r>
                    <w:rPr>
                      <w:rFonts w:hint="eastAsia" w:cs="Times New Roman"/>
                      <w:color w:val="auto"/>
                      <w:spacing w:val="-2"/>
                      <w:sz w:val="21"/>
                      <w:szCs w:val="21"/>
                      <w:lang w:val="en-US" w:eastAsia="zh-CN"/>
                    </w:rPr>
                    <w:t>E</w:t>
                  </w:r>
                  <w:r>
                    <w:rPr>
                      <w:rFonts w:hint="default" w:ascii="Times New Roman" w:hAnsi="Times New Roman" w:eastAsia="宋体" w:cs="Times New Roman"/>
                      <w:color w:val="auto"/>
                      <w:spacing w:val="-2"/>
                      <w:sz w:val="21"/>
                      <w:szCs w:val="21"/>
                    </w:rPr>
                    <w:t>C</w:t>
                  </w:r>
                  <w:r>
                    <w:rPr>
                      <w:rFonts w:hint="eastAsia" w:cs="Times New Roman"/>
                      <w:color w:val="auto"/>
                      <w:spacing w:val="-2"/>
                      <w:sz w:val="21"/>
                      <w:szCs w:val="21"/>
                      <w:lang w:val="en-US" w:eastAsia="zh-CN"/>
                    </w:rPr>
                    <w:t>41D</w:t>
                  </w:r>
                  <w:r>
                    <w:rPr>
                      <w:rFonts w:hint="default" w:ascii="Times New Roman" w:hAnsi="Times New Roman" w:eastAsia="宋体" w:cs="Times New Roman"/>
                      <w:color w:val="auto"/>
                      <w:spacing w:val="-2"/>
                      <w:sz w:val="21"/>
                      <w:szCs w:val="21"/>
                    </w:rPr>
                    <w:t>-Z</w:t>
                  </w:r>
                  <w:r>
                    <w:rPr>
                      <w:rFonts w:hint="eastAsia" w:cs="Times New Roman"/>
                      <w:color w:val="auto"/>
                      <w:spacing w:val="-2"/>
                      <w:sz w:val="21"/>
                      <w:szCs w:val="21"/>
                      <w:lang w:val="en-US" w:eastAsia="zh-CN"/>
                    </w:rPr>
                    <w:t>BC1</w:t>
                  </w:r>
                </w:p>
              </w:tc>
              <w:tc>
                <w:tcPr>
                  <w:tcW w:w="850" w:type="dxa"/>
                  <w:tcBorders>
                    <w:tl2br w:val="nil"/>
                    <w:tr2bl w:val="nil"/>
                  </w:tcBorders>
                  <w:noWrap w:val="0"/>
                  <w:vAlign w:val="center"/>
                </w:tcPr>
                <w:p w14:paraId="0B109CCF">
                  <w:pPr>
                    <w:pStyle w:val="106"/>
                    <w:keepNext w:val="0"/>
                    <w:keepLines w:val="0"/>
                    <w:pageBreakBefore w:val="0"/>
                    <w:widowControl w:val="0"/>
                    <w:kinsoku/>
                    <w:wordWrap/>
                    <w:overflowPunct/>
                    <w:topLinePunct w:val="0"/>
                    <w:autoSpaceDE/>
                    <w:autoSpaceDN/>
                    <w:bidi w:val="0"/>
                    <w:adjustRightInd w:val="0"/>
                    <w:snapToGrid w:val="0"/>
                    <w:spacing w:line="212"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21</w:t>
                  </w:r>
                </w:p>
              </w:tc>
              <w:tc>
                <w:tcPr>
                  <w:tcW w:w="1050" w:type="dxa"/>
                  <w:tcBorders>
                    <w:tl2br w:val="nil"/>
                    <w:tr2bl w:val="nil"/>
                  </w:tcBorders>
                  <w:noWrap w:val="0"/>
                  <w:vAlign w:val="center"/>
                </w:tcPr>
                <w:p w14:paraId="7A3ED702">
                  <w:pPr>
                    <w:pStyle w:val="106"/>
                    <w:keepNext w:val="0"/>
                    <w:keepLines w:val="0"/>
                    <w:pageBreakBefore w:val="0"/>
                    <w:widowControl w:val="0"/>
                    <w:kinsoku/>
                    <w:wordWrap/>
                    <w:overflowPunct/>
                    <w:topLinePunct w:val="0"/>
                    <w:autoSpaceDE/>
                    <w:autoSpaceDN/>
                    <w:bidi w:val="0"/>
                    <w:adjustRightInd w:val="0"/>
                    <w:snapToGrid w:val="0"/>
                    <w:spacing w:line="212"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060" w:type="dxa"/>
                  <w:vMerge w:val="restart"/>
                  <w:tcBorders>
                    <w:tl2br w:val="nil"/>
                    <w:tr2bl w:val="nil"/>
                  </w:tcBorders>
                  <w:noWrap w:val="0"/>
                  <w:vAlign w:val="center"/>
                </w:tcPr>
                <w:p w14:paraId="7CB7684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380</w:t>
                  </w:r>
                </w:p>
              </w:tc>
              <w:tc>
                <w:tcPr>
                  <w:tcW w:w="1010" w:type="dxa"/>
                  <w:vMerge w:val="restart"/>
                  <w:tcBorders>
                    <w:tl2br w:val="nil"/>
                    <w:tr2bl w:val="nil"/>
                  </w:tcBorders>
                  <w:noWrap w:val="0"/>
                  <w:vAlign w:val="center"/>
                </w:tcPr>
                <w:p w14:paraId="218AF6D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450</w:t>
                  </w:r>
                </w:p>
              </w:tc>
              <w:tc>
                <w:tcPr>
                  <w:tcW w:w="1060" w:type="dxa"/>
                  <w:vMerge w:val="restart"/>
                  <w:tcBorders>
                    <w:tl2br w:val="nil"/>
                    <w:tr2bl w:val="nil"/>
                  </w:tcBorders>
                  <w:noWrap w:val="0"/>
                  <w:vAlign w:val="center"/>
                </w:tcPr>
                <w:p w14:paraId="2B8F547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rPr>
                  </w:pPr>
                  <w:r>
                    <w:rPr>
                      <w:rFonts w:hint="eastAsia" w:cs="Times New Roman"/>
                      <w:color w:val="auto"/>
                      <w:spacing w:val="-3"/>
                      <w:sz w:val="21"/>
                      <w:szCs w:val="21"/>
                      <w:lang w:val="en-US" w:eastAsia="zh-CN"/>
                    </w:rPr>
                    <w:t>15</w:t>
                  </w:r>
                  <w:r>
                    <w:rPr>
                      <w:rFonts w:hint="default" w:ascii="Times New Roman" w:hAnsi="Times New Roman" w:eastAsia="宋体" w:cs="Times New Roman"/>
                      <w:color w:val="auto"/>
                      <w:spacing w:val="-3"/>
                      <w:sz w:val="21"/>
                      <w:szCs w:val="21"/>
                    </w:rPr>
                    <w:t>~</w:t>
                  </w:r>
                  <w:r>
                    <w:rPr>
                      <w:rFonts w:hint="eastAsia" w:cs="Times New Roman"/>
                      <w:color w:val="auto"/>
                      <w:spacing w:val="-3"/>
                      <w:sz w:val="21"/>
                      <w:szCs w:val="21"/>
                      <w:lang w:val="en-US" w:eastAsia="zh-CN"/>
                    </w:rPr>
                    <w:t>27</w:t>
                  </w:r>
                </w:p>
              </w:tc>
              <w:tc>
                <w:tcPr>
                  <w:tcW w:w="1043" w:type="dxa"/>
                  <w:vMerge w:val="restart"/>
                  <w:tcBorders>
                    <w:tl2br w:val="nil"/>
                    <w:tr2bl w:val="nil"/>
                  </w:tcBorders>
                  <w:noWrap w:val="0"/>
                  <w:vAlign w:val="center"/>
                </w:tcPr>
                <w:p w14:paraId="3510B52D">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default" w:ascii="Times New Roman" w:hAnsi="Times New Roman" w:cs="Times New Roman"/>
                      <w:b/>
                      <w:bCs/>
                      <w:color w:val="auto"/>
                      <w:spacing w:val="-3"/>
                      <w:sz w:val="21"/>
                      <w:szCs w:val="21"/>
                      <w:lang w:val="en-US" w:eastAsia="zh-CN"/>
                    </w:rPr>
                    <w:t>°</w:t>
                  </w:r>
                </w:p>
              </w:tc>
            </w:tr>
            <w:tr w14:paraId="7EEE70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178CA6AD">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600E0852">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0"/>
                  <w:vAlign w:val="center"/>
                </w:tcPr>
                <w:p w14:paraId="3FC05FB2">
                  <w:pPr>
                    <w:pStyle w:val="106"/>
                    <w:keepNext w:val="0"/>
                    <w:keepLines w:val="0"/>
                    <w:pageBreakBefore w:val="0"/>
                    <w:widowControl w:val="0"/>
                    <w:kinsoku/>
                    <w:wordWrap/>
                    <w:overflowPunct/>
                    <w:topLinePunct w:val="0"/>
                    <w:autoSpaceDE/>
                    <w:autoSpaceDN/>
                    <w:bidi w:val="0"/>
                    <w:adjustRightInd w:val="0"/>
                    <w:snapToGrid w:val="0"/>
                    <w:spacing w:line="212" w:lineRule="auto"/>
                    <w:ind w:left="0" w:leftChars="0"/>
                    <w:jc w:val="center"/>
                    <w:textAlignment w:val="auto"/>
                    <w:rPr>
                      <w:rFonts w:hint="default" w:ascii="Times New Roman" w:hAnsi="Times New Roman" w:eastAsia="宋体" w:cs="Times New Roman"/>
                      <w:color w:val="auto"/>
                      <w:spacing w:val="-2"/>
                      <w:kern w:val="2"/>
                      <w:sz w:val="21"/>
                      <w:szCs w:val="21"/>
                      <w:lang w:val="en-US" w:eastAsia="zh-CN" w:bidi="ar-SA"/>
                    </w:rPr>
                  </w:pPr>
                  <w:r>
                    <w:rPr>
                      <w:rFonts w:hint="default" w:ascii="Times New Roman" w:hAnsi="Times New Roman" w:cs="Times New Roman"/>
                      <w:color w:val="auto"/>
                      <w:spacing w:val="-2"/>
                      <w:sz w:val="21"/>
                      <w:szCs w:val="21"/>
                      <w:lang w:val="en-US" w:eastAsia="zh-CN"/>
                    </w:rPr>
                    <w:t>24</w:t>
                  </w:r>
                </w:p>
              </w:tc>
              <w:tc>
                <w:tcPr>
                  <w:tcW w:w="1050" w:type="dxa"/>
                  <w:tcBorders>
                    <w:tl2br w:val="nil"/>
                    <w:tr2bl w:val="nil"/>
                  </w:tcBorders>
                  <w:noWrap w:val="0"/>
                  <w:vAlign w:val="center"/>
                </w:tcPr>
                <w:p w14:paraId="2B1CA008">
                  <w:pPr>
                    <w:pStyle w:val="106"/>
                    <w:keepNext w:val="0"/>
                    <w:keepLines w:val="0"/>
                    <w:pageBreakBefore w:val="0"/>
                    <w:widowControl w:val="0"/>
                    <w:kinsoku/>
                    <w:wordWrap/>
                    <w:overflowPunct/>
                    <w:topLinePunct w:val="0"/>
                    <w:autoSpaceDE/>
                    <w:autoSpaceDN/>
                    <w:bidi w:val="0"/>
                    <w:adjustRightInd w:val="0"/>
                    <w:snapToGrid w:val="0"/>
                    <w:spacing w:line="212" w:lineRule="auto"/>
                    <w:ind w:left="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2</w:t>
                  </w:r>
                </w:p>
              </w:tc>
              <w:tc>
                <w:tcPr>
                  <w:tcW w:w="1060" w:type="dxa"/>
                  <w:vMerge w:val="continue"/>
                  <w:tcBorders>
                    <w:tl2br w:val="nil"/>
                    <w:tr2bl w:val="nil"/>
                  </w:tcBorders>
                  <w:noWrap w:val="0"/>
                  <w:vAlign w:val="center"/>
                </w:tcPr>
                <w:p w14:paraId="53ED509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6B9BD82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07177D09">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5C098144">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1534AE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60D26C1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2C9EDC64">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0"/>
                  <w:vAlign w:val="center"/>
                </w:tcPr>
                <w:p w14:paraId="2C09C7AD">
                  <w:pPr>
                    <w:pStyle w:val="106"/>
                    <w:keepNext w:val="0"/>
                    <w:keepLines w:val="0"/>
                    <w:pageBreakBefore w:val="0"/>
                    <w:widowControl w:val="0"/>
                    <w:kinsoku/>
                    <w:wordWrap/>
                    <w:overflowPunct/>
                    <w:topLinePunct w:val="0"/>
                    <w:autoSpaceDE/>
                    <w:autoSpaceDN/>
                    <w:bidi w:val="0"/>
                    <w:adjustRightInd w:val="0"/>
                    <w:snapToGrid w:val="0"/>
                    <w:spacing w:line="212" w:lineRule="auto"/>
                    <w:ind w:left="0" w:lef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27</w:t>
                  </w:r>
                </w:p>
              </w:tc>
              <w:tc>
                <w:tcPr>
                  <w:tcW w:w="1050" w:type="dxa"/>
                  <w:tcBorders>
                    <w:tl2br w:val="nil"/>
                    <w:tr2bl w:val="nil"/>
                  </w:tcBorders>
                  <w:noWrap w:val="0"/>
                  <w:vAlign w:val="center"/>
                </w:tcPr>
                <w:p w14:paraId="5982EA42">
                  <w:pPr>
                    <w:pStyle w:val="106"/>
                    <w:keepNext w:val="0"/>
                    <w:keepLines w:val="0"/>
                    <w:pageBreakBefore w:val="0"/>
                    <w:widowControl w:val="0"/>
                    <w:kinsoku/>
                    <w:wordWrap/>
                    <w:overflowPunct/>
                    <w:topLinePunct w:val="0"/>
                    <w:autoSpaceDE/>
                    <w:autoSpaceDN/>
                    <w:bidi w:val="0"/>
                    <w:adjustRightInd w:val="0"/>
                    <w:snapToGrid w:val="0"/>
                    <w:spacing w:line="197" w:lineRule="auto"/>
                    <w:ind w:left="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pacing w:val="-4"/>
                      <w:sz w:val="21"/>
                      <w:szCs w:val="21"/>
                      <w:lang w:val="en-US" w:eastAsia="zh-CN"/>
                    </w:rPr>
                    <w:t>1</w:t>
                  </w:r>
                </w:p>
              </w:tc>
              <w:tc>
                <w:tcPr>
                  <w:tcW w:w="1060" w:type="dxa"/>
                  <w:vMerge w:val="continue"/>
                  <w:tcBorders>
                    <w:tl2br w:val="nil"/>
                    <w:tr2bl w:val="nil"/>
                  </w:tcBorders>
                  <w:noWrap w:val="0"/>
                  <w:vAlign w:val="center"/>
                </w:tcPr>
                <w:p w14:paraId="506AACD8">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1139E708">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01722D77">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0FF119C7">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22B1F4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restart"/>
                  <w:tcBorders>
                    <w:tl2br w:val="nil"/>
                    <w:tr2bl w:val="nil"/>
                  </w:tcBorders>
                  <w:noWrap w:val="0"/>
                  <w:vAlign w:val="center"/>
                </w:tcPr>
                <w:p w14:paraId="69CFF217">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4</w:t>
                  </w:r>
                </w:p>
              </w:tc>
              <w:tc>
                <w:tcPr>
                  <w:tcW w:w="1767" w:type="dxa"/>
                  <w:vMerge w:val="restart"/>
                  <w:tcBorders>
                    <w:tl2br w:val="nil"/>
                    <w:tr2bl w:val="nil"/>
                  </w:tcBorders>
                  <w:noWrap w:val="0"/>
                  <w:vAlign w:val="center"/>
                </w:tcPr>
                <w:p w14:paraId="535521A3">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pacing w:val="-2"/>
                      <w:sz w:val="21"/>
                      <w:szCs w:val="21"/>
                    </w:rPr>
                    <w:t>110-E</w:t>
                  </w:r>
                  <w:r>
                    <w:rPr>
                      <w:rFonts w:hint="eastAsia" w:ascii="Times New Roman" w:hAnsi="Times New Roman" w:cs="Times New Roman"/>
                      <w:color w:val="auto"/>
                      <w:spacing w:val="-2"/>
                      <w:sz w:val="21"/>
                      <w:szCs w:val="21"/>
                      <w:lang w:val="en-US" w:eastAsia="zh-CN"/>
                    </w:rPr>
                    <w:t>C</w:t>
                  </w:r>
                  <w:r>
                    <w:rPr>
                      <w:rFonts w:hint="default" w:ascii="Times New Roman" w:hAnsi="Times New Roman" w:eastAsia="宋体" w:cs="Times New Roman"/>
                      <w:color w:val="auto"/>
                      <w:spacing w:val="-2"/>
                      <w:sz w:val="21"/>
                      <w:szCs w:val="21"/>
                    </w:rPr>
                    <w:t>31D-Z</w:t>
                  </w:r>
                  <w:r>
                    <w:rPr>
                      <w:rFonts w:hint="eastAsia" w:ascii="Times New Roman" w:hAnsi="Times New Roman" w:cs="Times New Roman"/>
                      <w:color w:val="auto"/>
                      <w:spacing w:val="-2"/>
                      <w:sz w:val="21"/>
                      <w:szCs w:val="21"/>
                      <w:lang w:val="en-US" w:eastAsia="zh-CN"/>
                    </w:rPr>
                    <w:t>BC2</w:t>
                  </w:r>
                </w:p>
              </w:tc>
              <w:tc>
                <w:tcPr>
                  <w:tcW w:w="850" w:type="dxa"/>
                  <w:tcBorders>
                    <w:tl2br w:val="nil"/>
                    <w:tr2bl w:val="nil"/>
                  </w:tcBorders>
                  <w:noWrap w:val="0"/>
                  <w:vAlign w:val="center"/>
                </w:tcPr>
                <w:p w14:paraId="29BE8103">
                  <w:pPr>
                    <w:pStyle w:val="106"/>
                    <w:keepNext w:val="0"/>
                    <w:keepLines w:val="0"/>
                    <w:pageBreakBefore w:val="0"/>
                    <w:widowControl w:val="0"/>
                    <w:kinsoku/>
                    <w:wordWrap/>
                    <w:overflowPunct/>
                    <w:topLinePunct w:val="0"/>
                    <w:autoSpaceDE/>
                    <w:autoSpaceDN/>
                    <w:bidi w:val="0"/>
                    <w:adjustRightInd w:val="0"/>
                    <w:snapToGrid w:val="0"/>
                    <w:spacing w:line="196"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18</w:t>
                  </w:r>
                </w:p>
              </w:tc>
              <w:tc>
                <w:tcPr>
                  <w:tcW w:w="1050" w:type="dxa"/>
                  <w:tcBorders>
                    <w:tl2br w:val="nil"/>
                    <w:tr2bl w:val="nil"/>
                  </w:tcBorders>
                  <w:noWrap w:val="0"/>
                  <w:vAlign w:val="center"/>
                </w:tcPr>
                <w:p w14:paraId="06F28984">
                  <w:pPr>
                    <w:pStyle w:val="106"/>
                    <w:keepNext w:val="0"/>
                    <w:keepLines w:val="0"/>
                    <w:pageBreakBefore w:val="0"/>
                    <w:widowControl w:val="0"/>
                    <w:kinsoku/>
                    <w:wordWrap/>
                    <w:overflowPunct/>
                    <w:topLinePunct w:val="0"/>
                    <w:autoSpaceDE/>
                    <w:autoSpaceDN/>
                    <w:bidi w:val="0"/>
                    <w:adjustRightInd w:val="0"/>
                    <w:snapToGrid w:val="0"/>
                    <w:spacing w:line="196"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060" w:type="dxa"/>
                  <w:vMerge w:val="restart"/>
                  <w:tcBorders>
                    <w:tl2br w:val="nil"/>
                    <w:tr2bl w:val="nil"/>
                  </w:tcBorders>
                  <w:noWrap w:val="0"/>
                  <w:vAlign w:val="center"/>
                </w:tcPr>
                <w:p w14:paraId="64E3521A">
                  <w:pPr>
                    <w:keepNext w:val="0"/>
                    <w:keepLines w:val="0"/>
                    <w:pageBreakBefore w:val="0"/>
                    <w:widowControl w:val="0"/>
                    <w:kinsoku/>
                    <w:wordWrap/>
                    <w:overflowPunct/>
                    <w:topLinePunct w:val="0"/>
                    <w:autoSpaceDE/>
                    <w:autoSpaceDN/>
                    <w:bidi w:val="0"/>
                    <w:adjustRightInd w:val="0"/>
                    <w:snapToGrid w:val="0"/>
                    <w:spacing w:line="321" w:lineRule="auto"/>
                    <w:ind w:left="0"/>
                    <w:jc w:val="center"/>
                    <w:textAlignment w:val="auto"/>
                    <w:rPr>
                      <w:rFonts w:hint="default" w:ascii="Times New Roman" w:hAnsi="Times New Roman" w:eastAsia="宋体" w:cs="Times New Roman"/>
                      <w:color w:val="auto"/>
                      <w:sz w:val="21"/>
                      <w:szCs w:val="21"/>
                    </w:rPr>
                  </w:pPr>
                </w:p>
                <w:p w14:paraId="6A368008">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500</w:t>
                  </w:r>
                </w:p>
              </w:tc>
              <w:tc>
                <w:tcPr>
                  <w:tcW w:w="1010" w:type="dxa"/>
                  <w:vMerge w:val="restart"/>
                  <w:tcBorders>
                    <w:tl2br w:val="nil"/>
                    <w:tr2bl w:val="nil"/>
                  </w:tcBorders>
                  <w:noWrap w:val="0"/>
                  <w:vAlign w:val="center"/>
                </w:tcPr>
                <w:p w14:paraId="15748538">
                  <w:pPr>
                    <w:keepNext w:val="0"/>
                    <w:keepLines w:val="0"/>
                    <w:pageBreakBefore w:val="0"/>
                    <w:widowControl w:val="0"/>
                    <w:kinsoku/>
                    <w:wordWrap/>
                    <w:overflowPunct/>
                    <w:topLinePunct w:val="0"/>
                    <w:autoSpaceDE/>
                    <w:autoSpaceDN/>
                    <w:bidi w:val="0"/>
                    <w:adjustRightInd w:val="0"/>
                    <w:snapToGrid w:val="0"/>
                    <w:spacing w:line="321" w:lineRule="auto"/>
                    <w:ind w:left="0"/>
                    <w:jc w:val="center"/>
                    <w:textAlignment w:val="auto"/>
                    <w:rPr>
                      <w:rFonts w:hint="default" w:ascii="Times New Roman" w:hAnsi="Times New Roman" w:eastAsia="宋体" w:cs="Times New Roman"/>
                      <w:color w:val="auto"/>
                      <w:sz w:val="21"/>
                      <w:szCs w:val="21"/>
                    </w:rPr>
                  </w:pPr>
                </w:p>
                <w:p w14:paraId="7B9C2DED">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700</w:t>
                  </w:r>
                </w:p>
              </w:tc>
              <w:tc>
                <w:tcPr>
                  <w:tcW w:w="1060" w:type="dxa"/>
                  <w:vMerge w:val="restart"/>
                  <w:tcBorders>
                    <w:tl2br w:val="nil"/>
                    <w:tr2bl w:val="nil"/>
                  </w:tcBorders>
                  <w:noWrap w:val="0"/>
                  <w:vAlign w:val="center"/>
                </w:tcPr>
                <w:p w14:paraId="4F3EE4F9">
                  <w:pPr>
                    <w:keepNext w:val="0"/>
                    <w:keepLines w:val="0"/>
                    <w:pageBreakBefore w:val="0"/>
                    <w:widowControl w:val="0"/>
                    <w:kinsoku/>
                    <w:wordWrap/>
                    <w:overflowPunct/>
                    <w:topLinePunct w:val="0"/>
                    <w:autoSpaceDE/>
                    <w:autoSpaceDN/>
                    <w:bidi w:val="0"/>
                    <w:adjustRightInd w:val="0"/>
                    <w:snapToGrid w:val="0"/>
                    <w:spacing w:line="321" w:lineRule="auto"/>
                    <w:ind w:left="0"/>
                    <w:jc w:val="center"/>
                    <w:textAlignment w:val="auto"/>
                    <w:rPr>
                      <w:rFonts w:hint="default" w:ascii="Times New Roman" w:hAnsi="Times New Roman" w:eastAsia="宋体" w:cs="Times New Roman"/>
                      <w:color w:val="auto"/>
                      <w:sz w:val="21"/>
                      <w:szCs w:val="21"/>
                    </w:rPr>
                  </w:pPr>
                </w:p>
                <w:p w14:paraId="32E229FE">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15~36</w:t>
                  </w:r>
                </w:p>
              </w:tc>
              <w:tc>
                <w:tcPr>
                  <w:tcW w:w="1043" w:type="dxa"/>
                  <w:vMerge w:val="restart"/>
                  <w:tcBorders>
                    <w:tl2br w:val="nil"/>
                    <w:tr2bl w:val="nil"/>
                  </w:tcBorders>
                  <w:noWrap w:val="0"/>
                  <w:vAlign w:val="center"/>
                </w:tcPr>
                <w:p w14:paraId="3D6B4EBA">
                  <w:pPr>
                    <w:keepNext w:val="0"/>
                    <w:keepLines w:val="0"/>
                    <w:pageBreakBefore w:val="0"/>
                    <w:widowControl w:val="0"/>
                    <w:kinsoku/>
                    <w:wordWrap/>
                    <w:overflowPunct/>
                    <w:topLinePunct w:val="0"/>
                    <w:autoSpaceDE/>
                    <w:autoSpaceDN/>
                    <w:bidi w:val="0"/>
                    <w:adjustRightInd w:val="0"/>
                    <w:snapToGrid w:val="0"/>
                    <w:spacing w:line="292" w:lineRule="auto"/>
                    <w:ind w:left="0"/>
                    <w:jc w:val="center"/>
                    <w:textAlignment w:val="auto"/>
                    <w:rPr>
                      <w:rFonts w:hint="default" w:ascii="Times New Roman" w:hAnsi="Times New Roman" w:eastAsia="宋体" w:cs="Times New Roman"/>
                      <w:color w:val="auto"/>
                      <w:sz w:val="21"/>
                      <w:szCs w:val="21"/>
                    </w:rPr>
                  </w:pPr>
                </w:p>
                <w:p w14:paraId="35CC2C68">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default" w:ascii="Times New Roman" w:hAnsi="Times New Roman" w:cs="Times New Roman"/>
                      <w:b/>
                      <w:bCs/>
                      <w:color w:val="auto"/>
                      <w:spacing w:val="-3"/>
                      <w:sz w:val="21"/>
                      <w:szCs w:val="21"/>
                      <w:lang w:val="en-US" w:eastAsia="zh-CN"/>
                    </w:rPr>
                    <w:t>°</w:t>
                  </w:r>
                </w:p>
              </w:tc>
            </w:tr>
            <w:tr w14:paraId="30F595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37248418">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6AF22B61">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850" w:type="dxa"/>
                  <w:tcBorders>
                    <w:tl2br w:val="nil"/>
                    <w:tr2bl w:val="nil"/>
                  </w:tcBorders>
                  <w:noWrap w:val="0"/>
                  <w:vAlign w:val="center"/>
                </w:tcPr>
                <w:p w14:paraId="1D52D9EB">
                  <w:pPr>
                    <w:pStyle w:val="106"/>
                    <w:keepNext w:val="0"/>
                    <w:keepLines w:val="0"/>
                    <w:pageBreakBefore w:val="0"/>
                    <w:widowControl w:val="0"/>
                    <w:kinsoku/>
                    <w:wordWrap/>
                    <w:overflowPunct/>
                    <w:topLinePunct w:val="0"/>
                    <w:autoSpaceDE/>
                    <w:autoSpaceDN/>
                    <w:bidi w:val="0"/>
                    <w:adjustRightInd w:val="0"/>
                    <w:snapToGrid w:val="0"/>
                    <w:spacing w:line="196" w:lineRule="auto"/>
                    <w:ind w:left="0" w:leftChars="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lang w:val="en-US" w:eastAsia="zh-CN"/>
                    </w:rPr>
                    <w:t>21</w:t>
                  </w:r>
                </w:p>
              </w:tc>
              <w:tc>
                <w:tcPr>
                  <w:tcW w:w="1050" w:type="dxa"/>
                  <w:tcBorders>
                    <w:tl2br w:val="nil"/>
                    <w:tr2bl w:val="nil"/>
                  </w:tcBorders>
                  <w:noWrap w:val="0"/>
                  <w:vAlign w:val="center"/>
                </w:tcPr>
                <w:p w14:paraId="4CB08EF5">
                  <w:pPr>
                    <w:pStyle w:val="106"/>
                    <w:keepNext w:val="0"/>
                    <w:keepLines w:val="0"/>
                    <w:pageBreakBefore w:val="0"/>
                    <w:widowControl w:val="0"/>
                    <w:kinsoku/>
                    <w:wordWrap/>
                    <w:overflowPunct/>
                    <w:topLinePunct w:val="0"/>
                    <w:autoSpaceDE/>
                    <w:autoSpaceDN/>
                    <w:bidi w:val="0"/>
                    <w:adjustRightInd w:val="0"/>
                    <w:snapToGrid w:val="0"/>
                    <w:spacing w:line="196"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060" w:type="dxa"/>
                  <w:vMerge w:val="continue"/>
                  <w:tcBorders>
                    <w:tl2br w:val="nil"/>
                    <w:tr2bl w:val="nil"/>
                  </w:tcBorders>
                  <w:noWrap w:val="0"/>
                  <w:vAlign w:val="center"/>
                </w:tcPr>
                <w:p w14:paraId="21256293">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1010" w:type="dxa"/>
                  <w:vMerge w:val="continue"/>
                  <w:tcBorders>
                    <w:tl2br w:val="nil"/>
                    <w:tr2bl w:val="nil"/>
                  </w:tcBorders>
                  <w:noWrap w:val="0"/>
                  <w:vAlign w:val="center"/>
                </w:tcPr>
                <w:p w14:paraId="376093B1">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1060" w:type="dxa"/>
                  <w:vMerge w:val="continue"/>
                  <w:tcBorders>
                    <w:tl2br w:val="nil"/>
                    <w:tr2bl w:val="nil"/>
                  </w:tcBorders>
                  <w:noWrap w:val="0"/>
                  <w:vAlign w:val="center"/>
                </w:tcPr>
                <w:p w14:paraId="7DCC9A71">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3"/>
                      <w:sz w:val="21"/>
                      <w:szCs w:val="21"/>
                    </w:rPr>
                  </w:pPr>
                </w:p>
              </w:tc>
              <w:tc>
                <w:tcPr>
                  <w:tcW w:w="1043" w:type="dxa"/>
                  <w:vMerge w:val="continue"/>
                  <w:tcBorders>
                    <w:tl2br w:val="nil"/>
                    <w:tr2bl w:val="nil"/>
                  </w:tcBorders>
                  <w:noWrap w:val="0"/>
                  <w:vAlign w:val="center"/>
                </w:tcPr>
                <w:p w14:paraId="3210322D">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7E4356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6362EB62">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76AA99AB">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850" w:type="dxa"/>
                  <w:tcBorders>
                    <w:tl2br w:val="nil"/>
                    <w:tr2bl w:val="nil"/>
                  </w:tcBorders>
                  <w:noWrap w:val="0"/>
                  <w:vAlign w:val="center"/>
                </w:tcPr>
                <w:p w14:paraId="7D15BE97">
                  <w:pPr>
                    <w:pStyle w:val="106"/>
                    <w:keepNext w:val="0"/>
                    <w:keepLines w:val="0"/>
                    <w:pageBreakBefore w:val="0"/>
                    <w:widowControl w:val="0"/>
                    <w:kinsoku/>
                    <w:wordWrap/>
                    <w:overflowPunct/>
                    <w:topLinePunct w:val="0"/>
                    <w:autoSpaceDE/>
                    <w:autoSpaceDN/>
                    <w:bidi w:val="0"/>
                    <w:adjustRightInd w:val="0"/>
                    <w:snapToGrid w:val="0"/>
                    <w:spacing w:line="196" w:lineRule="auto"/>
                    <w:ind w:left="0" w:leftChars="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lang w:val="en-US" w:eastAsia="zh-CN"/>
                    </w:rPr>
                    <w:t>24</w:t>
                  </w:r>
                </w:p>
              </w:tc>
              <w:tc>
                <w:tcPr>
                  <w:tcW w:w="1050" w:type="dxa"/>
                  <w:tcBorders>
                    <w:tl2br w:val="nil"/>
                    <w:tr2bl w:val="nil"/>
                  </w:tcBorders>
                  <w:noWrap w:val="0"/>
                  <w:vAlign w:val="center"/>
                </w:tcPr>
                <w:p w14:paraId="487BEE7E">
                  <w:pPr>
                    <w:pStyle w:val="106"/>
                    <w:keepNext w:val="0"/>
                    <w:keepLines w:val="0"/>
                    <w:pageBreakBefore w:val="0"/>
                    <w:widowControl w:val="0"/>
                    <w:kinsoku/>
                    <w:wordWrap/>
                    <w:overflowPunct/>
                    <w:topLinePunct w:val="0"/>
                    <w:autoSpaceDE/>
                    <w:autoSpaceDN/>
                    <w:bidi w:val="0"/>
                    <w:adjustRightInd w:val="0"/>
                    <w:snapToGrid w:val="0"/>
                    <w:spacing w:line="196"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060" w:type="dxa"/>
                  <w:vMerge w:val="continue"/>
                  <w:tcBorders>
                    <w:tl2br w:val="nil"/>
                    <w:tr2bl w:val="nil"/>
                  </w:tcBorders>
                  <w:noWrap w:val="0"/>
                  <w:vAlign w:val="center"/>
                </w:tcPr>
                <w:p w14:paraId="3C087FE3">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1010" w:type="dxa"/>
                  <w:vMerge w:val="continue"/>
                  <w:tcBorders>
                    <w:tl2br w:val="nil"/>
                    <w:tr2bl w:val="nil"/>
                  </w:tcBorders>
                  <w:noWrap w:val="0"/>
                  <w:vAlign w:val="center"/>
                </w:tcPr>
                <w:p w14:paraId="71EF1B55">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1060" w:type="dxa"/>
                  <w:vMerge w:val="continue"/>
                  <w:tcBorders>
                    <w:tl2br w:val="nil"/>
                    <w:tr2bl w:val="nil"/>
                  </w:tcBorders>
                  <w:noWrap w:val="0"/>
                  <w:vAlign w:val="center"/>
                </w:tcPr>
                <w:p w14:paraId="70EC6594">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3"/>
                      <w:sz w:val="21"/>
                      <w:szCs w:val="21"/>
                    </w:rPr>
                  </w:pPr>
                </w:p>
              </w:tc>
              <w:tc>
                <w:tcPr>
                  <w:tcW w:w="1043" w:type="dxa"/>
                  <w:vMerge w:val="continue"/>
                  <w:tcBorders>
                    <w:tl2br w:val="nil"/>
                    <w:tr2bl w:val="nil"/>
                  </w:tcBorders>
                  <w:noWrap w:val="0"/>
                  <w:vAlign w:val="center"/>
                </w:tcPr>
                <w:p w14:paraId="4128B478">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075FA6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701AA014">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4FC8EA51">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850" w:type="dxa"/>
                  <w:tcBorders>
                    <w:tl2br w:val="nil"/>
                    <w:tr2bl w:val="nil"/>
                  </w:tcBorders>
                  <w:noWrap w:val="0"/>
                  <w:vAlign w:val="center"/>
                </w:tcPr>
                <w:p w14:paraId="204CDE23">
                  <w:pPr>
                    <w:pStyle w:val="106"/>
                    <w:keepNext w:val="0"/>
                    <w:keepLines w:val="0"/>
                    <w:pageBreakBefore w:val="0"/>
                    <w:widowControl w:val="0"/>
                    <w:kinsoku/>
                    <w:wordWrap/>
                    <w:overflowPunct/>
                    <w:topLinePunct w:val="0"/>
                    <w:autoSpaceDE/>
                    <w:autoSpaceDN/>
                    <w:bidi w:val="0"/>
                    <w:adjustRightInd w:val="0"/>
                    <w:snapToGrid w:val="0"/>
                    <w:spacing w:line="196" w:lineRule="auto"/>
                    <w:ind w:left="0" w:lef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27</w:t>
                  </w:r>
                </w:p>
              </w:tc>
              <w:tc>
                <w:tcPr>
                  <w:tcW w:w="1050" w:type="dxa"/>
                  <w:tcBorders>
                    <w:tl2br w:val="nil"/>
                    <w:tr2bl w:val="nil"/>
                  </w:tcBorders>
                  <w:noWrap w:val="0"/>
                  <w:vAlign w:val="center"/>
                </w:tcPr>
                <w:p w14:paraId="6F8885AC">
                  <w:pPr>
                    <w:pStyle w:val="106"/>
                    <w:keepNext w:val="0"/>
                    <w:keepLines w:val="0"/>
                    <w:pageBreakBefore w:val="0"/>
                    <w:widowControl w:val="0"/>
                    <w:kinsoku/>
                    <w:wordWrap/>
                    <w:overflowPunct/>
                    <w:topLinePunct w:val="0"/>
                    <w:autoSpaceDE/>
                    <w:autoSpaceDN/>
                    <w:bidi w:val="0"/>
                    <w:adjustRightInd w:val="0"/>
                    <w:snapToGrid w:val="0"/>
                    <w:spacing w:line="196"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w:t>
                  </w:r>
                </w:p>
              </w:tc>
              <w:tc>
                <w:tcPr>
                  <w:tcW w:w="1060" w:type="dxa"/>
                  <w:vMerge w:val="continue"/>
                  <w:tcBorders>
                    <w:tl2br w:val="nil"/>
                    <w:tr2bl w:val="nil"/>
                  </w:tcBorders>
                  <w:noWrap w:val="0"/>
                  <w:vAlign w:val="center"/>
                </w:tcPr>
                <w:p w14:paraId="2F03C213">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1010" w:type="dxa"/>
                  <w:vMerge w:val="continue"/>
                  <w:tcBorders>
                    <w:tl2br w:val="nil"/>
                    <w:tr2bl w:val="nil"/>
                  </w:tcBorders>
                  <w:noWrap w:val="0"/>
                  <w:vAlign w:val="center"/>
                </w:tcPr>
                <w:p w14:paraId="29DB9B8D">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1060" w:type="dxa"/>
                  <w:vMerge w:val="continue"/>
                  <w:tcBorders>
                    <w:tl2br w:val="nil"/>
                    <w:tr2bl w:val="nil"/>
                  </w:tcBorders>
                  <w:noWrap w:val="0"/>
                  <w:vAlign w:val="center"/>
                </w:tcPr>
                <w:p w14:paraId="4C8D3C52">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3"/>
                      <w:sz w:val="21"/>
                      <w:szCs w:val="21"/>
                    </w:rPr>
                  </w:pPr>
                </w:p>
              </w:tc>
              <w:tc>
                <w:tcPr>
                  <w:tcW w:w="1043" w:type="dxa"/>
                  <w:vMerge w:val="continue"/>
                  <w:tcBorders>
                    <w:tl2br w:val="nil"/>
                    <w:tr2bl w:val="nil"/>
                  </w:tcBorders>
                  <w:noWrap w:val="0"/>
                  <w:vAlign w:val="center"/>
                </w:tcPr>
                <w:p w14:paraId="0AE57E40">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24F4EB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4" w:hRule="atLeast"/>
                <w:jc w:val="center"/>
              </w:trPr>
              <w:tc>
                <w:tcPr>
                  <w:tcW w:w="610" w:type="dxa"/>
                  <w:vMerge w:val="continue"/>
                  <w:tcBorders>
                    <w:tl2br w:val="nil"/>
                    <w:tr2bl w:val="nil"/>
                  </w:tcBorders>
                  <w:noWrap w:val="0"/>
                  <w:vAlign w:val="center"/>
                </w:tcPr>
                <w:p w14:paraId="619D1582">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29A48D8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5DC5FFD6">
                  <w:pPr>
                    <w:pStyle w:val="106"/>
                    <w:keepNext w:val="0"/>
                    <w:keepLines w:val="0"/>
                    <w:pageBreakBefore w:val="0"/>
                    <w:widowControl w:val="0"/>
                    <w:kinsoku/>
                    <w:wordWrap/>
                    <w:overflowPunct/>
                    <w:topLinePunct w:val="0"/>
                    <w:autoSpaceDE/>
                    <w:autoSpaceDN/>
                    <w:bidi w:val="0"/>
                    <w:adjustRightInd w:val="0"/>
                    <w:snapToGrid w:val="0"/>
                    <w:spacing w:line="209"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30</w:t>
                  </w:r>
                </w:p>
              </w:tc>
              <w:tc>
                <w:tcPr>
                  <w:tcW w:w="1050" w:type="dxa"/>
                  <w:tcBorders>
                    <w:tl2br w:val="nil"/>
                    <w:tr2bl w:val="nil"/>
                  </w:tcBorders>
                  <w:noWrap w:val="0"/>
                  <w:vAlign w:val="center"/>
                </w:tcPr>
                <w:p w14:paraId="207CEA71">
                  <w:pPr>
                    <w:pStyle w:val="106"/>
                    <w:keepNext w:val="0"/>
                    <w:keepLines w:val="0"/>
                    <w:pageBreakBefore w:val="0"/>
                    <w:widowControl w:val="0"/>
                    <w:kinsoku/>
                    <w:wordWrap/>
                    <w:overflowPunct/>
                    <w:topLinePunct w:val="0"/>
                    <w:autoSpaceDE/>
                    <w:autoSpaceDN/>
                    <w:bidi w:val="0"/>
                    <w:adjustRightInd w:val="0"/>
                    <w:snapToGrid w:val="0"/>
                    <w:spacing w:line="209" w:lineRule="auto"/>
                    <w:ind w:left="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4</w:t>
                  </w:r>
                </w:p>
              </w:tc>
              <w:tc>
                <w:tcPr>
                  <w:tcW w:w="1060" w:type="dxa"/>
                  <w:vMerge w:val="continue"/>
                  <w:tcBorders>
                    <w:tl2br w:val="nil"/>
                    <w:tr2bl w:val="nil"/>
                  </w:tcBorders>
                  <w:noWrap w:val="0"/>
                  <w:vAlign w:val="center"/>
                </w:tcPr>
                <w:p w14:paraId="3A3D9455">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7F2DD30E">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6560D2E7">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2E44479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121867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12F99488">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5AF700E2">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18703C34">
                  <w:pPr>
                    <w:pStyle w:val="106"/>
                    <w:keepNext w:val="0"/>
                    <w:keepLines w:val="0"/>
                    <w:pageBreakBefore w:val="0"/>
                    <w:widowControl w:val="0"/>
                    <w:kinsoku/>
                    <w:wordWrap/>
                    <w:overflowPunct/>
                    <w:topLinePunct w:val="0"/>
                    <w:autoSpaceDE/>
                    <w:autoSpaceDN/>
                    <w:bidi w:val="0"/>
                    <w:adjustRightInd w:val="0"/>
                    <w:snapToGrid w:val="0"/>
                    <w:spacing w:line="194"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33</w:t>
                  </w:r>
                </w:p>
              </w:tc>
              <w:tc>
                <w:tcPr>
                  <w:tcW w:w="1050" w:type="dxa"/>
                  <w:tcBorders>
                    <w:tl2br w:val="nil"/>
                    <w:tr2bl w:val="nil"/>
                  </w:tcBorders>
                  <w:noWrap w:val="0"/>
                  <w:vAlign w:val="center"/>
                </w:tcPr>
                <w:p w14:paraId="34579205">
                  <w:pPr>
                    <w:pStyle w:val="106"/>
                    <w:keepNext w:val="0"/>
                    <w:keepLines w:val="0"/>
                    <w:pageBreakBefore w:val="0"/>
                    <w:widowControl w:val="0"/>
                    <w:kinsoku/>
                    <w:wordWrap/>
                    <w:overflowPunct/>
                    <w:topLinePunct w:val="0"/>
                    <w:autoSpaceDE/>
                    <w:autoSpaceDN/>
                    <w:bidi w:val="0"/>
                    <w:adjustRightInd w:val="0"/>
                    <w:snapToGrid w:val="0"/>
                    <w:spacing w:line="194" w:lineRule="auto"/>
                    <w:ind w:left="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pacing w:val="-4"/>
                      <w:sz w:val="21"/>
                      <w:szCs w:val="21"/>
                      <w:lang w:val="en-US" w:eastAsia="zh-CN"/>
                    </w:rPr>
                    <w:t>6</w:t>
                  </w:r>
                </w:p>
              </w:tc>
              <w:tc>
                <w:tcPr>
                  <w:tcW w:w="1060" w:type="dxa"/>
                  <w:vMerge w:val="continue"/>
                  <w:tcBorders>
                    <w:tl2br w:val="nil"/>
                    <w:tr2bl w:val="nil"/>
                  </w:tcBorders>
                  <w:noWrap w:val="0"/>
                  <w:vAlign w:val="center"/>
                </w:tcPr>
                <w:p w14:paraId="5617BD7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1F518118">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106B6A0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759F5AB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114A29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restart"/>
                  <w:tcBorders>
                    <w:tl2br w:val="nil"/>
                    <w:tr2bl w:val="nil"/>
                  </w:tcBorders>
                  <w:noWrap w:val="0"/>
                  <w:vAlign w:val="center"/>
                </w:tcPr>
                <w:p w14:paraId="291B51CE">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5</w:t>
                  </w:r>
                </w:p>
              </w:tc>
              <w:tc>
                <w:tcPr>
                  <w:tcW w:w="1767" w:type="dxa"/>
                  <w:vMerge w:val="restart"/>
                  <w:tcBorders>
                    <w:tl2br w:val="nil"/>
                    <w:tr2bl w:val="nil"/>
                  </w:tcBorders>
                  <w:noWrap w:val="0"/>
                  <w:vAlign w:val="center"/>
                </w:tcPr>
                <w:p w14:paraId="0388FEDA">
                  <w:pPr>
                    <w:pStyle w:val="106"/>
                    <w:keepNext w:val="0"/>
                    <w:keepLines w:val="0"/>
                    <w:pageBreakBefore w:val="0"/>
                    <w:widowControl w:val="0"/>
                    <w:kinsoku/>
                    <w:wordWrap/>
                    <w:overflowPunct/>
                    <w:topLinePunct w:val="0"/>
                    <w:autoSpaceDE/>
                    <w:autoSpaceDN/>
                    <w:bidi w:val="0"/>
                    <w:adjustRightInd w:val="0"/>
                    <w:snapToGrid w:val="0"/>
                    <w:spacing w:line="218"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110-EC31D-Z</w:t>
                  </w:r>
                  <w:r>
                    <w:rPr>
                      <w:rFonts w:hint="eastAsia" w:ascii="Times New Roman" w:hAnsi="Times New Roman" w:cs="Times New Roman"/>
                      <w:color w:val="auto"/>
                      <w:spacing w:val="-2"/>
                      <w:sz w:val="21"/>
                      <w:szCs w:val="21"/>
                      <w:lang w:val="en-US" w:eastAsia="zh-CN"/>
                    </w:rPr>
                    <w:t>BC3</w:t>
                  </w:r>
                </w:p>
              </w:tc>
              <w:tc>
                <w:tcPr>
                  <w:tcW w:w="850" w:type="dxa"/>
                  <w:tcBorders>
                    <w:tl2br w:val="nil"/>
                    <w:tr2bl w:val="nil"/>
                  </w:tcBorders>
                  <w:noWrap w:val="0"/>
                  <w:vAlign w:val="center"/>
                </w:tcPr>
                <w:p w14:paraId="74AE59AA">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18</w:t>
                  </w:r>
                </w:p>
              </w:tc>
              <w:tc>
                <w:tcPr>
                  <w:tcW w:w="1050" w:type="dxa"/>
                  <w:tcBorders>
                    <w:tl2br w:val="nil"/>
                    <w:tr2bl w:val="nil"/>
                  </w:tcBorders>
                  <w:noWrap w:val="0"/>
                  <w:vAlign w:val="center"/>
                </w:tcPr>
                <w:p w14:paraId="3E260184">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1</w:t>
                  </w:r>
                </w:p>
              </w:tc>
              <w:tc>
                <w:tcPr>
                  <w:tcW w:w="1060" w:type="dxa"/>
                  <w:vMerge w:val="restart"/>
                  <w:tcBorders>
                    <w:tl2br w:val="nil"/>
                    <w:tr2bl w:val="nil"/>
                  </w:tcBorders>
                  <w:noWrap w:val="0"/>
                  <w:vAlign w:val="center"/>
                </w:tcPr>
                <w:p w14:paraId="1B6C4A4F">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1"/>
                      <w:sz w:val="21"/>
                      <w:szCs w:val="21"/>
                      <w:lang w:val="en-US" w:eastAsia="zh-CN"/>
                    </w:rPr>
                    <w:t>600</w:t>
                  </w:r>
                </w:p>
              </w:tc>
              <w:tc>
                <w:tcPr>
                  <w:tcW w:w="1010" w:type="dxa"/>
                  <w:vMerge w:val="restart"/>
                  <w:tcBorders>
                    <w:tl2br w:val="nil"/>
                    <w:tr2bl w:val="nil"/>
                  </w:tcBorders>
                  <w:noWrap w:val="0"/>
                  <w:vAlign w:val="center"/>
                </w:tcPr>
                <w:p w14:paraId="5D87BDB8">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700</w:t>
                  </w:r>
                </w:p>
              </w:tc>
              <w:tc>
                <w:tcPr>
                  <w:tcW w:w="1060" w:type="dxa"/>
                  <w:vMerge w:val="restart"/>
                  <w:tcBorders>
                    <w:tl2br w:val="nil"/>
                    <w:tr2bl w:val="nil"/>
                  </w:tcBorders>
                  <w:noWrap w:val="0"/>
                  <w:vAlign w:val="center"/>
                </w:tcPr>
                <w:p w14:paraId="2AF0E871">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rPr>
                    <w:t>15~</w:t>
                  </w:r>
                  <w:r>
                    <w:rPr>
                      <w:rFonts w:hint="eastAsia" w:ascii="Times New Roman" w:hAnsi="Times New Roman" w:cs="Times New Roman"/>
                      <w:color w:val="auto"/>
                      <w:spacing w:val="-3"/>
                      <w:sz w:val="21"/>
                      <w:szCs w:val="21"/>
                      <w:lang w:val="en-US" w:eastAsia="zh-CN"/>
                    </w:rPr>
                    <w:t>36</w:t>
                  </w:r>
                </w:p>
              </w:tc>
              <w:tc>
                <w:tcPr>
                  <w:tcW w:w="1043" w:type="dxa"/>
                  <w:vMerge w:val="restart"/>
                  <w:tcBorders>
                    <w:tl2br w:val="nil"/>
                    <w:tr2bl w:val="nil"/>
                  </w:tcBorders>
                  <w:noWrap w:val="0"/>
                  <w:vAlign w:val="center"/>
                </w:tcPr>
                <w:p w14:paraId="15A93674">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0</w:t>
                  </w:r>
                  <w:r>
                    <w:rPr>
                      <w:rFonts w:hint="default" w:ascii="Times New Roman" w:hAnsi="Times New Roman" w:cs="Times New Roman"/>
                      <w:b/>
                      <w:bCs/>
                      <w:color w:val="auto"/>
                      <w:spacing w:val="-3"/>
                      <w:sz w:val="21"/>
                      <w:szCs w:val="21"/>
                      <w:lang w:val="en-US" w:eastAsia="zh-CN"/>
                    </w:rPr>
                    <w:t>°</w:t>
                  </w:r>
                </w:p>
              </w:tc>
            </w:tr>
            <w:tr w14:paraId="01C8D4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6895F5E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071514F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4718835B">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21</w:t>
                  </w:r>
                </w:p>
              </w:tc>
              <w:tc>
                <w:tcPr>
                  <w:tcW w:w="1050" w:type="dxa"/>
                  <w:tcBorders>
                    <w:tl2br w:val="nil"/>
                    <w:tr2bl w:val="nil"/>
                  </w:tcBorders>
                  <w:noWrap w:val="0"/>
                  <w:vAlign w:val="center"/>
                </w:tcPr>
                <w:p w14:paraId="2D991E8C">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1060" w:type="dxa"/>
                  <w:vMerge w:val="continue"/>
                  <w:tcBorders>
                    <w:tl2br w:val="nil"/>
                    <w:tr2bl w:val="nil"/>
                  </w:tcBorders>
                  <w:noWrap w:val="0"/>
                  <w:vAlign w:val="center"/>
                </w:tcPr>
                <w:p w14:paraId="7D17C21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3CC56728">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433C66A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7A750EE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4B3A3B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36F53490">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4440DE6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370995E7">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2"/>
                      <w:sz w:val="21"/>
                      <w:szCs w:val="21"/>
                    </w:rPr>
                    <w:t>24</w:t>
                  </w:r>
                </w:p>
              </w:tc>
              <w:tc>
                <w:tcPr>
                  <w:tcW w:w="1050" w:type="dxa"/>
                  <w:tcBorders>
                    <w:tl2br w:val="nil"/>
                    <w:tr2bl w:val="nil"/>
                  </w:tcBorders>
                  <w:noWrap w:val="0"/>
                  <w:vAlign w:val="center"/>
                </w:tcPr>
                <w:p w14:paraId="20C980A8">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1060" w:type="dxa"/>
                  <w:vMerge w:val="continue"/>
                  <w:tcBorders>
                    <w:tl2br w:val="nil"/>
                    <w:tr2bl w:val="nil"/>
                  </w:tcBorders>
                  <w:noWrap w:val="0"/>
                  <w:vAlign w:val="center"/>
                </w:tcPr>
                <w:p w14:paraId="56EDF946">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1248E5D6">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7514C14E">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34FEC460">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3FEF69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682B103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607A6819">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5D630BBF">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27</w:t>
                  </w:r>
                </w:p>
              </w:tc>
              <w:tc>
                <w:tcPr>
                  <w:tcW w:w="1050" w:type="dxa"/>
                  <w:tcBorders>
                    <w:tl2br w:val="nil"/>
                    <w:tr2bl w:val="nil"/>
                  </w:tcBorders>
                  <w:noWrap w:val="0"/>
                  <w:vAlign w:val="center"/>
                </w:tcPr>
                <w:p w14:paraId="45061782">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1060" w:type="dxa"/>
                  <w:vMerge w:val="continue"/>
                  <w:tcBorders>
                    <w:tl2br w:val="nil"/>
                    <w:tr2bl w:val="nil"/>
                  </w:tcBorders>
                  <w:noWrap w:val="0"/>
                  <w:vAlign w:val="center"/>
                </w:tcPr>
                <w:p w14:paraId="78E8EE5B">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1193C536">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639492F4">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6D2531B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07804D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0E22793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06EBC322">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0C5ACE34">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30</w:t>
                  </w:r>
                </w:p>
              </w:tc>
              <w:tc>
                <w:tcPr>
                  <w:tcW w:w="1050" w:type="dxa"/>
                  <w:tcBorders>
                    <w:tl2br w:val="nil"/>
                    <w:tr2bl w:val="nil"/>
                  </w:tcBorders>
                  <w:noWrap w:val="0"/>
                  <w:vAlign w:val="center"/>
                </w:tcPr>
                <w:p w14:paraId="3D19219C">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060" w:type="dxa"/>
                  <w:vMerge w:val="continue"/>
                  <w:tcBorders>
                    <w:tl2br w:val="nil"/>
                    <w:tr2bl w:val="nil"/>
                  </w:tcBorders>
                  <w:noWrap w:val="0"/>
                  <w:vAlign w:val="center"/>
                </w:tcPr>
                <w:p w14:paraId="78A358C8">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38C142C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725969A0">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0ED83A1D">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3F07A7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5ABCF83E">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6247902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74F9590D">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33</w:t>
                  </w:r>
                </w:p>
              </w:tc>
              <w:tc>
                <w:tcPr>
                  <w:tcW w:w="1050" w:type="dxa"/>
                  <w:tcBorders>
                    <w:tl2br w:val="nil"/>
                    <w:tr2bl w:val="nil"/>
                  </w:tcBorders>
                  <w:noWrap w:val="0"/>
                  <w:vAlign w:val="center"/>
                </w:tcPr>
                <w:p w14:paraId="1A7CD82D">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1060" w:type="dxa"/>
                  <w:vMerge w:val="continue"/>
                  <w:tcBorders>
                    <w:tl2br w:val="nil"/>
                    <w:tr2bl w:val="nil"/>
                  </w:tcBorders>
                  <w:noWrap w:val="0"/>
                  <w:vAlign w:val="center"/>
                </w:tcPr>
                <w:p w14:paraId="5699AB94">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16F92CE2">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049B3C64">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0B3D9240">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60EB6B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549BB99D">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767" w:type="dxa"/>
                  <w:vMerge w:val="continue"/>
                  <w:tcBorders>
                    <w:tl2br w:val="nil"/>
                    <w:tr2bl w:val="nil"/>
                  </w:tcBorders>
                  <w:noWrap w:val="0"/>
                  <w:vAlign w:val="center"/>
                </w:tcPr>
                <w:p w14:paraId="7028561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7B40AB9D">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36</w:t>
                  </w:r>
                </w:p>
              </w:tc>
              <w:tc>
                <w:tcPr>
                  <w:tcW w:w="1050" w:type="dxa"/>
                  <w:tcBorders>
                    <w:tl2br w:val="nil"/>
                    <w:tr2bl w:val="nil"/>
                  </w:tcBorders>
                  <w:noWrap w:val="0"/>
                  <w:vAlign w:val="center"/>
                </w:tcPr>
                <w:p w14:paraId="73CDA81C">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w:t>
                  </w:r>
                </w:p>
              </w:tc>
              <w:tc>
                <w:tcPr>
                  <w:tcW w:w="1060" w:type="dxa"/>
                  <w:vMerge w:val="continue"/>
                  <w:tcBorders>
                    <w:tl2br w:val="nil"/>
                    <w:tr2bl w:val="nil"/>
                  </w:tcBorders>
                  <w:noWrap w:val="0"/>
                  <w:vAlign w:val="center"/>
                </w:tcPr>
                <w:p w14:paraId="77012AEB">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4AC11BA5">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62A0AF9B">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24F1476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07D240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restart"/>
                  <w:tcBorders>
                    <w:tl2br w:val="nil"/>
                    <w:tr2bl w:val="nil"/>
                  </w:tcBorders>
                  <w:noWrap w:val="0"/>
                  <w:vAlign w:val="center"/>
                </w:tcPr>
                <w:p w14:paraId="0A371618">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6</w:t>
                  </w:r>
                </w:p>
              </w:tc>
              <w:tc>
                <w:tcPr>
                  <w:tcW w:w="1767" w:type="dxa"/>
                  <w:vMerge w:val="restart"/>
                  <w:tcBorders>
                    <w:tl2br w:val="nil"/>
                    <w:tr2bl w:val="nil"/>
                  </w:tcBorders>
                  <w:noWrap w:val="0"/>
                  <w:vAlign w:val="center"/>
                </w:tcPr>
                <w:p w14:paraId="0094313B">
                  <w:pPr>
                    <w:pStyle w:val="106"/>
                    <w:keepNext w:val="0"/>
                    <w:keepLines w:val="0"/>
                    <w:pageBreakBefore w:val="0"/>
                    <w:widowControl w:val="0"/>
                    <w:kinsoku/>
                    <w:wordWrap/>
                    <w:overflowPunct/>
                    <w:topLinePunct w:val="0"/>
                    <w:autoSpaceDE/>
                    <w:autoSpaceDN/>
                    <w:bidi w:val="0"/>
                    <w:adjustRightInd w:val="0"/>
                    <w:snapToGrid w:val="0"/>
                    <w:spacing w:line="211"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2"/>
                      <w:sz w:val="21"/>
                      <w:szCs w:val="21"/>
                    </w:rPr>
                    <w:t>110-EC31D-</w:t>
                  </w:r>
                  <w:r>
                    <w:rPr>
                      <w:rFonts w:hint="eastAsia" w:ascii="Times New Roman" w:hAnsi="Times New Roman" w:cs="Times New Roman"/>
                      <w:color w:val="auto"/>
                      <w:spacing w:val="-2"/>
                      <w:sz w:val="21"/>
                      <w:szCs w:val="21"/>
                      <w:lang w:val="en-US" w:eastAsia="zh-CN"/>
                    </w:rPr>
                    <w:t>ZBCK</w:t>
                  </w:r>
                </w:p>
              </w:tc>
              <w:tc>
                <w:tcPr>
                  <w:tcW w:w="850" w:type="dxa"/>
                  <w:tcBorders>
                    <w:tl2br w:val="nil"/>
                    <w:tr2bl w:val="nil"/>
                  </w:tcBorders>
                  <w:noWrap w:val="0"/>
                  <w:vAlign w:val="center"/>
                </w:tcPr>
                <w:p w14:paraId="19D3D612">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42</w:t>
                  </w:r>
                </w:p>
              </w:tc>
              <w:tc>
                <w:tcPr>
                  <w:tcW w:w="1050" w:type="dxa"/>
                  <w:tcBorders>
                    <w:tl2br w:val="nil"/>
                    <w:tr2bl w:val="nil"/>
                  </w:tcBorders>
                  <w:noWrap w:val="0"/>
                  <w:vAlign w:val="center"/>
                </w:tcPr>
                <w:p w14:paraId="73F5C1B5">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060" w:type="dxa"/>
                  <w:vMerge w:val="restart"/>
                  <w:tcBorders>
                    <w:tl2br w:val="nil"/>
                    <w:tr2bl w:val="nil"/>
                  </w:tcBorders>
                  <w:noWrap w:val="0"/>
                  <w:vAlign w:val="center"/>
                </w:tcPr>
                <w:p w14:paraId="1CB125CA">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4</w:t>
                  </w:r>
                  <w:r>
                    <w:rPr>
                      <w:rFonts w:hint="eastAsia" w:ascii="Times New Roman" w:hAnsi="Times New Roman" w:cs="Times New Roman"/>
                      <w:color w:val="auto"/>
                      <w:spacing w:val="-1"/>
                      <w:sz w:val="21"/>
                      <w:szCs w:val="21"/>
                      <w:lang w:val="en-US" w:eastAsia="zh-CN"/>
                    </w:rPr>
                    <w:t>8</w:t>
                  </w:r>
                  <w:r>
                    <w:rPr>
                      <w:rFonts w:hint="default" w:ascii="Times New Roman" w:hAnsi="Times New Roman" w:eastAsia="宋体" w:cs="Times New Roman"/>
                      <w:color w:val="auto"/>
                      <w:spacing w:val="-1"/>
                      <w:sz w:val="21"/>
                      <w:szCs w:val="21"/>
                    </w:rPr>
                    <w:t>0</w:t>
                  </w:r>
                </w:p>
              </w:tc>
              <w:tc>
                <w:tcPr>
                  <w:tcW w:w="1010" w:type="dxa"/>
                  <w:vMerge w:val="restart"/>
                  <w:tcBorders>
                    <w:tl2br w:val="nil"/>
                    <w:tr2bl w:val="nil"/>
                  </w:tcBorders>
                  <w:noWrap w:val="0"/>
                  <w:vAlign w:val="center"/>
                </w:tcPr>
                <w:p w14:paraId="7F407AB8">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pacing w:val="-2"/>
                      <w:sz w:val="21"/>
                      <w:szCs w:val="21"/>
                      <w:lang w:val="en-US" w:eastAsia="zh-CN"/>
                    </w:rPr>
                    <w:t>6</w:t>
                  </w:r>
                  <w:r>
                    <w:rPr>
                      <w:rFonts w:hint="default" w:ascii="Times New Roman" w:hAnsi="Times New Roman" w:eastAsia="宋体" w:cs="Times New Roman"/>
                      <w:color w:val="auto"/>
                      <w:spacing w:val="-2"/>
                      <w:sz w:val="21"/>
                      <w:szCs w:val="21"/>
                    </w:rPr>
                    <w:t>00</w:t>
                  </w:r>
                </w:p>
              </w:tc>
              <w:tc>
                <w:tcPr>
                  <w:tcW w:w="1060" w:type="dxa"/>
                  <w:vMerge w:val="restart"/>
                  <w:tcBorders>
                    <w:tl2br w:val="nil"/>
                    <w:tr2bl w:val="nil"/>
                  </w:tcBorders>
                  <w:noWrap w:val="0"/>
                  <w:vAlign w:val="center"/>
                </w:tcPr>
                <w:p w14:paraId="7E1DA439">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3"/>
                      <w:sz w:val="21"/>
                      <w:szCs w:val="21"/>
                      <w:lang w:val="en-US" w:eastAsia="zh-CN"/>
                    </w:rPr>
                    <w:t>33</w:t>
                  </w:r>
                  <w:r>
                    <w:rPr>
                      <w:rFonts w:hint="default" w:ascii="Times New Roman" w:hAnsi="Times New Roman" w:eastAsia="宋体" w:cs="Times New Roman"/>
                      <w:color w:val="auto"/>
                      <w:spacing w:val="-3"/>
                      <w:sz w:val="21"/>
                      <w:szCs w:val="21"/>
                    </w:rPr>
                    <w:t>~</w:t>
                  </w:r>
                  <w:r>
                    <w:rPr>
                      <w:rFonts w:hint="eastAsia" w:ascii="Times New Roman" w:hAnsi="Times New Roman" w:cs="Times New Roman"/>
                      <w:color w:val="auto"/>
                      <w:spacing w:val="-3"/>
                      <w:sz w:val="21"/>
                      <w:szCs w:val="21"/>
                      <w:lang w:val="en-US" w:eastAsia="zh-CN"/>
                    </w:rPr>
                    <w:t>51</w:t>
                  </w:r>
                </w:p>
              </w:tc>
              <w:tc>
                <w:tcPr>
                  <w:tcW w:w="1043" w:type="dxa"/>
                  <w:vMerge w:val="restart"/>
                  <w:tcBorders>
                    <w:tl2br w:val="nil"/>
                    <w:tr2bl w:val="nil"/>
                  </w:tcBorders>
                  <w:noWrap w:val="0"/>
                  <w:vAlign w:val="center"/>
                </w:tcPr>
                <w:p w14:paraId="6E2C0C9E">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pacing w:val="-1"/>
                      <w:sz w:val="21"/>
                      <w:szCs w:val="21"/>
                      <w:lang w:val="en-US" w:eastAsia="zh-CN"/>
                    </w:rPr>
                    <w:t>0</w:t>
                  </w:r>
                  <w:r>
                    <w:rPr>
                      <w:rFonts w:hint="default" w:ascii="Times New Roman" w:hAnsi="Times New Roman" w:cs="Times New Roman"/>
                      <w:b/>
                      <w:bCs/>
                      <w:color w:val="auto"/>
                      <w:spacing w:val="-3"/>
                      <w:sz w:val="21"/>
                      <w:szCs w:val="21"/>
                      <w:lang w:val="en-US" w:eastAsia="zh-CN"/>
                    </w:rPr>
                    <w:t>°</w:t>
                  </w:r>
                </w:p>
              </w:tc>
            </w:tr>
            <w:tr w14:paraId="647954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635167FB">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z w:val="21"/>
                      <w:szCs w:val="21"/>
                      <w:lang w:val="en-US" w:eastAsia="zh-CN"/>
                    </w:rPr>
                  </w:pPr>
                </w:p>
              </w:tc>
              <w:tc>
                <w:tcPr>
                  <w:tcW w:w="1767" w:type="dxa"/>
                  <w:vMerge w:val="continue"/>
                  <w:tcBorders>
                    <w:tl2br w:val="nil"/>
                    <w:tr2bl w:val="nil"/>
                  </w:tcBorders>
                  <w:noWrap w:val="0"/>
                  <w:vAlign w:val="center"/>
                </w:tcPr>
                <w:p w14:paraId="10220479">
                  <w:pPr>
                    <w:pStyle w:val="106"/>
                    <w:keepNext w:val="0"/>
                    <w:keepLines w:val="0"/>
                    <w:pageBreakBefore w:val="0"/>
                    <w:widowControl w:val="0"/>
                    <w:kinsoku/>
                    <w:wordWrap/>
                    <w:overflowPunct/>
                    <w:topLinePunct w:val="0"/>
                    <w:autoSpaceDE/>
                    <w:autoSpaceDN/>
                    <w:bidi w:val="0"/>
                    <w:adjustRightInd w:val="0"/>
                    <w:snapToGrid w:val="0"/>
                    <w:spacing w:line="211" w:lineRule="auto"/>
                    <w:ind w:left="0"/>
                    <w:jc w:val="center"/>
                    <w:textAlignment w:val="auto"/>
                    <w:rPr>
                      <w:rFonts w:hint="default" w:ascii="Times New Roman" w:hAnsi="Times New Roman" w:eastAsia="宋体" w:cs="Times New Roman"/>
                      <w:color w:val="auto"/>
                      <w:spacing w:val="-2"/>
                      <w:sz w:val="21"/>
                      <w:szCs w:val="21"/>
                    </w:rPr>
                  </w:pPr>
                </w:p>
              </w:tc>
              <w:tc>
                <w:tcPr>
                  <w:tcW w:w="850" w:type="dxa"/>
                  <w:tcBorders>
                    <w:tl2br w:val="nil"/>
                    <w:tr2bl w:val="nil"/>
                  </w:tcBorders>
                  <w:noWrap w:val="0"/>
                  <w:vAlign w:val="center"/>
                </w:tcPr>
                <w:p w14:paraId="4003F603">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51</w:t>
                  </w:r>
                </w:p>
              </w:tc>
              <w:tc>
                <w:tcPr>
                  <w:tcW w:w="1050" w:type="dxa"/>
                  <w:tcBorders>
                    <w:tl2br w:val="nil"/>
                    <w:tr2bl w:val="nil"/>
                  </w:tcBorders>
                  <w:noWrap w:val="0"/>
                  <w:vAlign w:val="center"/>
                </w:tcPr>
                <w:p w14:paraId="42EA26E1">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060" w:type="dxa"/>
                  <w:vMerge w:val="continue"/>
                  <w:tcBorders>
                    <w:tl2br w:val="nil"/>
                    <w:tr2bl w:val="nil"/>
                  </w:tcBorders>
                  <w:noWrap w:val="0"/>
                  <w:vAlign w:val="center"/>
                </w:tcPr>
                <w:p w14:paraId="75FFBA32">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pacing w:val="-1"/>
                      <w:sz w:val="21"/>
                      <w:szCs w:val="21"/>
                    </w:rPr>
                  </w:pPr>
                </w:p>
              </w:tc>
              <w:tc>
                <w:tcPr>
                  <w:tcW w:w="1010" w:type="dxa"/>
                  <w:vMerge w:val="continue"/>
                  <w:tcBorders>
                    <w:tl2br w:val="nil"/>
                    <w:tr2bl w:val="nil"/>
                  </w:tcBorders>
                  <w:noWrap w:val="0"/>
                  <w:vAlign w:val="center"/>
                </w:tcPr>
                <w:p w14:paraId="7F6313FE">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pacing w:val="-2"/>
                      <w:sz w:val="21"/>
                      <w:szCs w:val="21"/>
                    </w:rPr>
                  </w:pPr>
                </w:p>
              </w:tc>
              <w:tc>
                <w:tcPr>
                  <w:tcW w:w="1060" w:type="dxa"/>
                  <w:vMerge w:val="continue"/>
                  <w:tcBorders>
                    <w:tl2br w:val="nil"/>
                    <w:tr2bl w:val="nil"/>
                  </w:tcBorders>
                  <w:noWrap w:val="0"/>
                  <w:vAlign w:val="center"/>
                </w:tcPr>
                <w:p w14:paraId="6ED80E76">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pacing w:val="-3"/>
                      <w:sz w:val="21"/>
                      <w:szCs w:val="21"/>
                    </w:rPr>
                  </w:pPr>
                </w:p>
              </w:tc>
              <w:tc>
                <w:tcPr>
                  <w:tcW w:w="1043" w:type="dxa"/>
                  <w:vMerge w:val="continue"/>
                  <w:tcBorders>
                    <w:tl2br w:val="nil"/>
                    <w:tr2bl w:val="nil"/>
                  </w:tcBorders>
                  <w:noWrap w:val="0"/>
                  <w:vAlign w:val="center"/>
                </w:tcPr>
                <w:p w14:paraId="52D9EDD9">
                  <w:pPr>
                    <w:pStyle w:val="106"/>
                    <w:keepNext w:val="0"/>
                    <w:keepLines w:val="0"/>
                    <w:pageBreakBefore w:val="0"/>
                    <w:widowControl w:val="0"/>
                    <w:kinsoku/>
                    <w:wordWrap/>
                    <w:overflowPunct/>
                    <w:topLinePunct w:val="0"/>
                    <w:autoSpaceDE/>
                    <w:autoSpaceDN/>
                    <w:bidi w:val="0"/>
                    <w:adjustRightInd w:val="0"/>
                    <w:snapToGrid w:val="0"/>
                    <w:spacing w:line="191" w:lineRule="auto"/>
                    <w:ind w:left="0"/>
                    <w:jc w:val="center"/>
                    <w:textAlignment w:val="auto"/>
                    <w:rPr>
                      <w:rFonts w:hint="default" w:ascii="Times New Roman" w:hAnsi="Times New Roman" w:eastAsia="宋体" w:cs="Times New Roman"/>
                      <w:color w:val="auto"/>
                      <w:spacing w:val="-1"/>
                      <w:sz w:val="21"/>
                      <w:szCs w:val="21"/>
                    </w:rPr>
                  </w:pPr>
                </w:p>
              </w:tc>
            </w:tr>
            <w:tr w14:paraId="282294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restart"/>
                  <w:tcBorders>
                    <w:tl2br w:val="nil"/>
                    <w:tr2bl w:val="nil"/>
                  </w:tcBorders>
                  <w:noWrap w:val="0"/>
                  <w:vAlign w:val="center"/>
                </w:tcPr>
                <w:p w14:paraId="029CFC1E">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1767" w:type="dxa"/>
                  <w:vMerge w:val="restart"/>
                  <w:tcBorders>
                    <w:tl2br w:val="nil"/>
                    <w:tr2bl w:val="nil"/>
                  </w:tcBorders>
                  <w:noWrap w:val="0"/>
                  <w:vAlign w:val="center"/>
                </w:tcPr>
                <w:p w14:paraId="517CD91A">
                  <w:pPr>
                    <w:pStyle w:val="106"/>
                    <w:keepNext w:val="0"/>
                    <w:keepLines w:val="0"/>
                    <w:pageBreakBefore w:val="0"/>
                    <w:widowControl w:val="0"/>
                    <w:kinsoku/>
                    <w:wordWrap/>
                    <w:overflowPunct/>
                    <w:topLinePunct w:val="0"/>
                    <w:autoSpaceDE/>
                    <w:autoSpaceDN/>
                    <w:bidi w:val="0"/>
                    <w:adjustRightInd w:val="0"/>
                    <w:snapToGrid w:val="0"/>
                    <w:spacing w:line="218" w:lineRule="auto"/>
                    <w:ind w:left="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2"/>
                      <w:sz w:val="21"/>
                      <w:szCs w:val="21"/>
                    </w:rPr>
                    <w:t>110-E</w:t>
                  </w:r>
                  <w:r>
                    <w:rPr>
                      <w:rFonts w:hint="default" w:ascii="Times New Roman" w:hAnsi="Times New Roman" w:cs="Times New Roman"/>
                      <w:color w:val="auto"/>
                      <w:spacing w:val="-2"/>
                      <w:sz w:val="21"/>
                      <w:szCs w:val="21"/>
                      <w:lang w:val="en-US" w:eastAsia="zh-CN"/>
                    </w:rPr>
                    <w:t>C</w:t>
                  </w:r>
                  <w:r>
                    <w:rPr>
                      <w:rFonts w:hint="default" w:ascii="Times New Roman" w:hAnsi="Times New Roman" w:eastAsia="宋体" w:cs="Times New Roman"/>
                      <w:color w:val="auto"/>
                      <w:spacing w:val="-2"/>
                      <w:sz w:val="21"/>
                      <w:szCs w:val="21"/>
                    </w:rPr>
                    <w:t>31D-J</w:t>
                  </w:r>
                  <w:r>
                    <w:rPr>
                      <w:rFonts w:hint="eastAsia" w:ascii="Times New Roman" w:hAnsi="Times New Roman" w:cs="Times New Roman"/>
                      <w:color w:val="auto"/>
                      <w:spacing w:val="-2"/>
                      <w:sz w:val="21"/>
                      <w:szCs w:val="21"/>
                      <w:lang w:val="en-US" w:eastAsia="zh-CN"/>
                    </w:rPr>
                    <w:t>1</w:t>
                  </w:r>
                </w:p>
              </w:tc>
              <w:tc>
                <w:tcPr>
                  <w:tcW w:w="850" w:type="dxa"/>
                  <w:tcBorders>
                    <w:tl2br w:val="nil"/>
                    <w:tr2bl w:val="nil"/>
                  </w:tcBorders>
                  <w:noWrap w:val="0"/>
                  <w:vAlign w:val="center"/>
                </w:tcPr>
                <w:p w14:paraId="54FDBDC3">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4"/>
                      <w:sz w:val="21"/>
                      <w:szCs w:val="21"/>
                    </w:rPr>
                    <w:t>1</w:t>
                  </w:r>
                  <w:r>
                    <w:rPr>
                      <w:rFonts w:hint="default" w:ascii="Times New Roman" w:hAnsi="Times New Roman" w:cs="Times New Roman"/>
                      <w:color w:val="auto"/>
                      <w:spacing w:val="-4"/>
                      <w:sz w:val="21"/>
                      <w:szCs w:val="21"/>
                      <w:lang w:val="en-US" w:eastAsia="zh-CN"/>
                    </w:rPr>
                    <w:t>5</w:t>
                  </w:r>
                </w:p>
              </w:tc>
              <w:tc>
                <w:tcPr>
                  <w:tcW w:w="1050" w:type="dxa"/>
                  <w:tcBorders>
                    <w:tl2br w:val="nil"/>
                    <w:tr2bl w:val="nil"/>
                  </w:tcBorders>
                  <w:noWrap w:val="0"/>
                  <w:vAlign w:val="center"/>
                </w:tcPr>
                <w:p w14:paraId="17D14CA9">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2</w:t>
                  </w:r>
                </w:p>
              </w:tc>
              <w:tc>
                <w:tcPr>
                  <w:tcW w:w="1060" w:type="dxa"/>
                  <w:vMerge w:val="restart"/>
                  <w:tcBorders>
                    <w:tl2br w:val="nil"/>
                    <w:tr2bl w:val="nil"/>
                  </w:tcBorders>
                  <w:noWrap w:val="0"/>
                  <w:vAlign w:val="center"/>
                </w:tcPr>
                <w:p w14:paraId="2BCC7C83">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450</w:t>
                  </w:r>
                </w:p>
              </w:tc>
              <w:tc>
                <w:tcPr>
                  <w:tcW w:w="1010" w:type="dxa"/>
                  <w:vMerge w:val="restart"/>
                  <w:tcBorders>
                    <w:tl2br w:val="nil"/>
                    <w:tr2bl w:val="nil"/>
                  </w:tcBorders>
                  <w:noWrap w:val="0"/>
                  <w:vAlign w:val="center"/>
                </w:tcPr>
                <w:p w14:paraId="1776BC42">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700</w:t>
                  </w:r>
                </w:p>
              </w:tc>
              <w:tc>
                <w:tcPr>
                  <w:tcW w:w="1060" w:type="dxa"/>
                  <w:vMerge w:val="restart"/>
                  <w:tcBorders>
                    <w:tl2br w:val="nil"/>
                    <w:tr2bl w:val="nil"/>
                  </w:tcBorders>
                  <w:noWrap w:val="0"/>
                  <w:vAlign w:val="center"/>
                </w:tcPr>
                <w:p w14:paraId="53C2D7B3">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15~24</w:t>
                  </w:r>
                </w:p>
              </w:tc>
              <w:tc>
                <w:tcPr>
                  <w:tcW w:w="1043" w:type="dxa"/>
                  <w:vMerge w:val="restart"/>
                  <w:tcBorders>
                    <w:tl2br w:val="nil"/>
                    <w:tr2bl w:val="nil"/>
                  </w:tcBorders>
                  <w:noWrap w:val="0"/>
                  <w:vAlign w:val="center"/>
                </w:tcPr>
                <w:p w14:paraId="36A60CCF">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pacing w:val="-1"/>
                      <w:sz w:val="21"/>
                      <w:szCs w:val="21"/>
                      <w:lang w:val="en-US" w:eastAsia="zh-CN"/>
                    </w:rPr>
                    <w:t>0</w:t>
                  </w:r>
                  <w:r>
                    <w:rPr>
                      <w:rFonts w:hint="default" w:ascii="Times New Roman" w:hAnsi="Times New Roman" w:cs="Times New Roman"/>
                      <w:b/>
                      <w:bCs/>
                      <w:color w:val="auto"/>
                      <w:spacing w:val="-3"/>
                      <w:sz w:val="21"/>
                      <w:szCs w:val="21"/>
                      <w:lang w:val="en-US" w:eastAsia="zh-CN"/>
                    </w:rPr>
                    <w:t>°</w:t>
                  </w:r>
                  <w:r>
                    <w:rPr>
                      <w:rFonts w:hint="default" w:ascii="Times New Roman" w:hAnsi="Times New Roman" w:eastAsia="宋体" w:cs="Times New Roman"/>
                      <w:color w:val="auto"/>
                      <w:spacing w:val="-1"/>
                      <w:sz w:val="21"/>
                      <w:szCs w:val="21"/>
                    </w:rPr>
                    <w:t>~</w:t>
                  </w:r>
                  <w:r>
                    <w:rPr>
                      <w:rFonts w:hint="eastAsia" w:ascii="Times New Roman" w:hAnsi="Times New Roman" w:cs="Times New Roman"/>
                      <w:color w:val="auto"/>
                      <w:spacing w:val="-1"/>
                      <w:sz w:val="21"/>
                      <w:szCs w:val="21"/>
                      <w:lang w:val="en-US" w:eastAsia="zh-CN"/>
                    </w:rPr>
                    <w:t>2</w:t>
                  </w:r>
                  <w:r>
                    <w:rPr>
                      <w:rFonts w:hint="default" w:ascii="Times New Roman" w:hAnsi="Times New Roman" w:eastAsia="宋体" w:cs="Times New Roman"/>
                      <w:color w:val="auto"/>
                      <w:spacing w:val="-1"/>
                      <w:sz w:val="21"/>
                      <w:szCs w:val="21"/>
                    </w:rPr>
                    <w:t>0</w:t>
                  </w:r>
                  <w:r>
                    <w:rPr>
                      <w:rFonts w:hint="default" w:ascii="Times New Roman" w:hAnsi="Times New Roman" w:cs="Times New Roman"/>
                      <w:b/>
                      <w:bCs/>
                      <w:color w:val="auto"/>
                      <w:spacing w:val="-3"/>
                      <w:sz w:val="21"/>
                      <w:szCs w:val="21"/>
                      <w:lang w:val="en-US" w:eastAsia="zh-CN"/>
                    </w:rPr>
                    <w:t>°</w:t>
                  </w:r>
                </w:p>
              </w:tc>
            </w:tr>
            <w:tr w14:paraId="454FDF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33B359FE">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p>
              </w:tc>
              <w:tc>
                <w:tcPr>
                  <w:tcW w:w="1767" w:type="dxa"/>
                  <w:vMerge w:val="continue"/>
                  <w:tcBorders>
                    <w:tl2br w:val="nil"/>
                    <w:tr2bl w:val="nil"/>
                  </w:tcBorders>
                  <w:noWrap w:val="0"/>
                  <w:vAlign w:val="center"/>
                </w:tcPr>
                <w:p w14:paraId="579E6819">
                  <w:pPr>
                    <w:pStyle w:val="106"/>
                    <w:keepNext w:val="0"/>
                    <w:keepLines w:val="0"/>
                    <w:pageBreakBefore w:val="0"/>
                    <w:widowControl w:val="0"/>
                    <w:kinsoku/>
                    <w:wordWrap/>
                    <w:overflowPunct/>
                    <w:topLinePunct w:val="0"/>
                    <w:autoSpaceDE/>
                    <w:autoSpaceDN/>
                    <w:bidi w:val="0"/>
                    <w:adjustRightInd w:val="0"/>
                    <w:snapToGrid w:val="0"/>
                    <w:spacing w:line="218" w:lineRule="auto"/>
                    <w:ind w:left="0"/>
                    <w:jc w:val="center"/>
                    <w:textAlignment w:val="auto"/>
                    <w:rPr>
                      <w:rFonts w:hint="default" w:ascii="Times New Roman" w:hAnsi="Times New Roman" w:eastAsia="宋体" w:cs="Times New Roman"/>
                      <w:color w:val="auto"/>
                      <w:spacing w:val="-2"/>
                      <w:sz w:val="21"/>
                      <w:szCs w:val="21"/>
                    </w:rPr>
                  </w:pPr>
                </w:p>
              </w:tc>
              <w:tc>
                <w:tcPr>
                  <w:tcW w:w="850" w:type="dxa"/>
                  <w:tcBorders>
                    <w:tl2br w:val="nil"/>
                    <w:tr2bl w:val="nil"/>
                  </w:tcBorders>
                  <w:noWrap w:val="0"/>
                  <w:vAlign w:val="center"/>
                </w:tcPr>
                <w:p w14:paraId="69C4AD80">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eastAsia="宋体"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18</w:t>
                  </w:r>
                </w:p>
              </w:tc>
              <w:tc>
                <w:tcPr>
                  <w:tcW w:w="1050" w:type="dxa"/>
                  <w:tcBorders>
                    <w:tl2br w:val="nil"/>
                    <w:tr2bl w:val="nil"/>
                  </w:tcBorders>
                  <w:noWrap w:val="0"/>
                  <w:vAlign w:val="center"/>
                </w:tcPr>
                <w:p w14:paraId="5A075440">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1060" w:type="dxa"/>
                  <w:vMerge w:val="continue"/>
                  <w:tcBorders>
                    <w:tl2br w:val="nil"/>
                    <w:tr2bl w:val="nil"/>
                  </w:tcBorders>
                  <w:noWrap w:val="0"/>
                  <w:vAlign w:val="center"/>
                </w:tcPr>
                <w:p w14:paraId="35ACDD4B">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1"/>
                      <w:sz w:val="21"/>
                      <w:szCs w:val="21"/>
                    </w:rPr>
                  </w:pPr>
                </w:p>
              </w:tc>
              <w:tc>
                <w:tcPr>
                  <w:tcW w:w="1010" w:type="dxa"/>
                  <w:vMerge w:val="continue"/>
                  <w:tcBorders>
                    <w:tl2br w:val="nil"/>
                    <w:tr2bl w:val="nil"/>
                  </w:tcBorders>
                  <w:noWrap w:val="0"/>
                  <w:vAlign w:val="center"/>
                </w:tcPr>
                <w:p w14:paraId="1B734C9F">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1060" w:type="dxa"/>
                  <w:vMerge w:val="continue"/>
                  <w:tcBorders>
                    <w:tl2br w:val="nil"/>
                    <w:tr2bl w:val="nil"/>
                  </w:tcBorders>
                  <w:noWrap w:val="0"/>
                  <w:vAlign w:val="center"/>
                </w:tcPr>
                <w:p w14:paraId="578E9429">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3"/>
                      <w:sz w:val="21"/>
                      <w:szCs w:val="21"/>
                    </w:rPr>
                  </w:pPr>
                </w:p>
              </w:tc>
              <w:tc>
                <w:tcPr>
                  <w:tcW w:w="1043" w:type="dxa"/>
                  <w:vMerge w:val="continue"/>
                  <w:tcBorders>
                    <w:tl2br w:val="nil"/>
                    <w:tr2bl w:val="nil"/>
                  </w:tcBorders>
                  <w:noWrap w:val="0"/>
                  <w:vAlign w:val="center"/>
                </w:tcPr>
                <w:p w14:paraId="63558EED">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1"/>
                      <w:sz w:val="21"/>
                      <w:szCs w:val="21"/>
                    </w:rPr>
                  </w:pPr>
                </w:p>
              </w:tc>
            </w:tr>
            <w:tr w14:paraId="16E193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24891B4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p>
              </w:tc>
              <w:tc>
                <w:tcPr>
                  <w:tcW w:w="1767" w:type="dxa"/>
                  <w:vMerge w:val="continue"/>
                  <w:tcBorders>
                    <w:tl2br w:val="nil"/>
                    <w:tr2bl w:val="nil"/>
                  </w:tcBorders>
                  <w:noWrap w:val="0"/>
                  <w:vAlign w:val="center"/>
                </w:tcPr>
                <w:p w14:paraId="23666A7D">
                  <w:pPr>
                    <w:pStyle w:val="106"/>
                    <w:keepNext w:val="0"/>
                    <w:keepLines w:val="0"/>
                    <w:pageBreakBefore w:val="0"/>
                    <w:widowControl w:val="0"/>
                    <w:kinsoku/>
                    <w:wordWrap/>
                    <w:overflowPunct/>
                    <w:topLinePunct w:val="0"/>
                    <w:autoSpaceDE/>
                    <w:autoSpaceDN/>
                    <w:bidi w:val="0"/>
                    <w:adjustRightInd w:val="0"/>
                    <w:snapToGrid w:val="0"/>
                    <w:spacing w:line="218" w:lineRule="auto"/>
                    <w:ind w:left="0"/>
                    <w:jc w:val="center"/>
                    <w:textAlignment w:val="auto"/>
                    <w:rPr>
                      <w:rFonts w:hint="default" w:ascii="Times New Roman" w:hAnsi="Times New Roman" w:eastAsia="宋体" w:cs="Times New Roman"/>
                      <w:color w:val="auto"/>
                      <w:spacing w:val="-2"/>
                      <w:sz w:val="21"/>
                      <w:szCs w:val="21"/>
                    </w:rPr>
                  </w:pPr>
                </w:p>
              </w:tc>
              <w:tc>
                <w:tcPr>
                  <w:tcW w:w="850" w:type="dxa"/>
                  <w:tcBorders>
                    <w:tl2br w:val="nil"/>
                    <w:tr2bl w:val="nil"/>
                  </w:tcBorders>
                  <w:noWrap w:val="0"/>
                  <w:vAlign w:val="center"/>
                </w:tcPr>
                <w:p w14:paraId="4058B612">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21</w:t>
                  </w:r>
                </w:p>
              </w:tc>
              <w:tc>
                <w:tcPr>
                  <w:tcW w:w="1050" w:type="dxa"/>
                  <w:tcBorders>
                    <w:tl2br w:val="nil"/>
                    <w:tr2bl w:val="nil"/>
                  </w:tcBorders>
                  <w:noWrap w:val="0"/>
                  <w:vAlign w:val="center"/>
                </w:tcPr>
                <w:p w14:paraId="09C332DD">
                  <w:pPr>
                    <w:pStyle w:val="106"/>
                    <w:keepNext w:val="0"/>
                    <w:keepLines w:val="0"/>
                    <w:pageBreakBefore w:val="0"/>
                    <w:widowControl w:val="0"/>
                    <w:kinsoku/>
                    <w:wordWrap/>
                    <w:overflowPunct/>
                    <w:topLinePunct w:val="0"/>
                    <w:autoSpaceDE/>
                    <w:autoSpaceDN/>
                    <w:bidi w:val="0"/>
                    <w:adjustRightInd w:val="0"/>
                    <w:snapToGrid w:val="0"/>
                    <w:spacing w:line="206" w:lineRule="auto"/>
                    <w:ind w:lef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1060" w:type="dxa"/>
                  <w:vMerge w:val="continue"/>
                  <w:tcBorders>
                    <w:tl2br w:val="nil"/>
                    <w:tr2bl w:val="nil"/>
                  </w:tcBorders>
                  <w:noWrap w:val="0"/>
                  <w:vAlign w:val="center"/>
                </w:tcPr>
                <w:p w14:paraId="4994CE10">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1"/>
                      <w:sz w:val="21"/>
                      <w:szCs w:val="21"/>
                    </w:rPr>
                  </w:pPr>
                </w:p>
              </w:tc>
              <w:tc>
                <w:tcPr>
                  <w:tcW w:w="1010" w:type="dxa"/>
                  <w:vMerge w:val="continue"/>
                  <w:tcBorders>
                    <w:tl2br w:val="nil"/>
                    <w:tr2bl w:val="nil"/>
                  </w:tcBorders>
                  <w:noWrap w:val="0"/>
                  <w:vAlign w:val="center"/>
                </w:tcPr>
                <w:p w14:paraId="3B464F26">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2"/>
                      <w:sz w:val="21"/>
                      <w:szCs w:val="21"/>
                    </w:rPr>
                  </w:pPr>
                </w:p>
              </w:tc>
              <w:tc>
                <w:tcPr>
                  <w:tcW w:w="1060" w:type="dxa"/>
                  <w:vMerge w:val="continue"/>
                  <w:tcBorders>
                    <w:tl2br w:val="nil"/>
                    <w:tr2bl w:val="nil"/>
                  </w:tcBorders>
                  <w:noWrap w:val="0"/>
                  <w:vAlign w:val="center"/>
                </w:tcPr>
                <w:p w14:paraId="52C92057">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3"/>
                      <w:sz w:val="21"/>
                      <w:szCs w:val="21"/>
                    </w:rPr>
                  </w:pPr>
                </w:p>
              </w:tc>
              <w:tc>
                <w:tcPr>
                  <w:tcW w:w="1043" w:type="dxa"/>
                  <w:vMerge w:val="continue"/>
                  <w:tcBorders>
                    <w:tl2br w:val="nil"/>
                    <w:tr2bl w:val="nil"/>
                  </w:tcBorders>
                  <w:noWrap w:val="0"/>
                  <w:vAlign w:val="center"/>
                </w:tcPr>
                <w:p w14:paraId="7E4A7FBB">
                  <w:pPr>
                    <w:pStyle w:val="106"/>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1"/>
                      <w:sz w:val="21"/>
                      <w:szCs w:val="21"/>
                    </w:rPr>
                  </w:pPr>
                </w:p>
              </w:tc>
            </w:tr>
            <w:tr w14:paraId="371124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2735EAD7">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p>
              </w:tc>
              <w:tc>
                <w:tcPr>
                  <w:tcW w:w="1767" w:type="dxa"/>
                  <w:vMerge w:val="continue"/>
                  <w:tcBorders>
                    <w:tl2br w:val="nil"/>
                    <w:tr2bl w:val="nil"/>
                  </w:tcBorders>
                  <w:noWrap w:val="0"/>
                  <w:vAlign w:val="center"/>
                </w:tcPr>
                <w:p w14:paraId="0970515D">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850" w:type="dxa"/>
                  <w:tcBorders>
                    <w:tl2br w:val="nil"/>
                    <w:tr2bl w:val="nil"/>
                  </w:tcBorders>
                  <w:noWrap w:val="0"/>
                  <w:vAlign w:val="center"/>
                </w:tcPr>
                <w:p w14:paraId="67B03FF7">
                  <w:pPr>
                    <w:pStyle w:val="106"/>
                    <w:keepNext w:val="0"/>
                    <w:keepLines w:val="0"/>
                    <w:pageBreakBefore w:val="0"/>
                    <w:widowControl w:val="0"/>
                    <w:kinsoku/>
                    <w:wordWrap/>
                    <w:overflowPunct/>
                    <w:topLinePunct w:val="0"/>
                    <w:autoSpaceDE/>
                    <w:autoSpaceDN/>
                    <w:bidi w:val="0"/>
                    <w:adjustRightInd w:val="0"/>
                    <w:snapToGrid w:val="0"/>
                    <w:spacing w:line="189"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24</w:t>
                  </w:r>
                </w:p>
              </w:tc>
              <w:tc>
                <w:tcPr>
                  <w:tcW w:w="1050" w:type="dxa"/>
                  <w:tcBorders>
                    <w:tl2br w:val="nil"/>
                    <w:tr2bl w:val="nil"/>
                  </w:tcBorders>
                  <w:noWrap w:val="0"/>
                  <w:vAlign w:val="center"/>
                </w:tcPr>
                <w:p w14:paraId="2A5B328F">
                  <w:pPr>
                    <w:pStyle w:val="106"/>
                    <w:keepNext w:val="0"/>
                    <w:keepLines w:val="0"/>
                    <w:pageBreakBefore w:val="0"/>
                    <w:widowControl w:val="0"/>
                    <w:kinsoku/>
                    <w:wordWrap/>
                    <w:overflowPunct/>
                    <w:topLinePunct w:val="0"/>
                    <w:autoSpaceDE/>
                    <w:autoSpaceDN/>
                    <w:bidi w:val="0"/>
                    <w:adjustRightInd w:val="0"/>
                    <w:snapToGrid w:val="0"/>
                    <w:spacing w:line="189"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060" w:type="dxa"/>
                  <w:vMerge w:val="continue"/>
                  <w:tcBorders>
                    <w:tl2br w:val="nil"/>
                    <w:tr2bl w:val="nil"/>
                  </w:tcBorders>
                  <w:noWrap w:val="0"/>
                  <w:vAlign w:val="center"/>
                </w:tcPr>
                <w:p w14:paraId="41479087">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10" w:type="dxa"/>
                  <w:vMerge w:val="continue"/>
                  <w:tcBorders>
                    <w:tl2br w:val="nil"/>
                    <w:tr2bl w:val="nil"/>
                  </w:tcBorders>
                  <w:noWrap w:val="0"/>
                  <w:vAlign w:val="center"/>
                </w:tcPr>
                <w:p w14:paraId="5E98B2A0">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60" w:type="dxa"/>
                  <w:vMerge w:val="continue"/>
                  <w:tcBorders>
                    <w:tl2br w:val="nil"/>
                    <w:tr2bl w:val="nil"/>
                  </w:tcBorders>
                  <w:noWrap w:val="0"/>
                  <w:vAlign w:val="center"/>
                </w:tcPr>
                <w:p w14:paraId="0A556AD5">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043" w:type="dxa"/>
                  <w:vMerge w:val="continue"/>
                  <w:tcBorders>
                    <w:tl2br w:val="nil"/>
                    <w:tr2bl w:val="nil"/>
                  </w:tcBorders>
                  <w:noWrap w:val="0"/>
                  <w:vAlign w:val="center"/>
                </w:tcPr>
                <w:p w14:paraId="0312184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r>
            <w:tr w14:paraId="138563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restart"/>
                  <w:tcBorders>
                    <w:tl2br w:val="nil"/>
                    <w:tr2bl w:val="nil"/>
                  </w:tcBorders>
                  <w:noWrap w:val="0"/>
                  <w:vAlign w:val="center"/>
                </w:tcPr>
                <w:p w14:paraId="7DDB89E9">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8</w:t>
                  </w:r>
                </w:p>
              </w:tc>
              <w:tc>
                <w:tcPr>
                  <w:tcW w:w="1767" w:type="dxa"/>
                  <w:vMerge w:val="restart"/>
                  <w:tcBorders>
                    <w:tl2br w:val="nil"/>
                    <w:tr2bl w:val="nil"/>
                  </w:tcBorders>
                  <w:noWrap w:val="0"/>
                  <w:vAlign w:val="center"/>
                </w:tcPr>
                <w:p w14:paraId="576EF960">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110-E</w:t>
                  </w:r>
                  <w:r>
                    <w:rPr>
                      <w:rFonts w:hint="default" w:ascii="Times New Roman" w:hAnsi="Times New Roman" w:cs="Times New Roman"/>
                      <w:color w:val="auto"/>
                      <w:spacing w:val="-2"/>
                      <w:sz w:val="21"/>
                      <w:szCs w:val="21"/>
                      <w:lang w:val="en-US" w:eastAsia="zh-CN"/>
                    </w:rPr>
                    <w:t>C</w:t>
                  </w:r>
                  <w:r>
                    <w:rPr>
                      <w:rFonts w:hint="default" w:ascii="Times New Roman" w:hAnsi="Times New Roman" w:eastAsia="宋体" w:cs="Times New Roman"/>
                      <w:color w:val="auto"/>
                      <w:spacing w:val="-2"/>
                      <w:sz w:val="21"/>
                      <w:szCs w:val="21"/>
                    </w:rPr>
                    <w:t>31D-J</w:t>
                  </w:r>
                  <w:r>
                    <w:rPr>
                      <w:rFonts w:hint="eastAsia" w:ascii="Times New Roman" w:hAnsi="Times New Roman" w:cs="Times New Roman"/>
                      <w:color w:val="auto"/>
                      <w:spacing w:val="-2"/>
                      <w:sz w:val="21"/>
                      <w:szCs w:val="21"/>
                      <w:lang w:val="en-US" w:eastAsia="zh-CN"/>
                    </w:rPr>
                    <w:t>2</w:t>
                  </w:r>
                </w:p>
              </w:tc>
              <w:tc>
                <w:tcPr>
                  <w:tcW w:w="850" w:type="dxa"/>
                  <w:tcBorders>
                    <w:tl2br w:val="nil"/>
                    <w:tr2bl w:val="nil"/>
                  </w:tcBorders>
                  <w:noWrap w:val="0"/>
                  <w:vAlign w:val="center"/>
                </w:tcPr>
                <w:p w14:paraId="273340AD">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4"/>
                      <w:sz w:val="21"/>
                      <w:szCs w:val="21"/>
                      <w:lang w:val="en-US" w:eastAsia="zh-CN"/>
                    </w:rPr>
                    <w:t>21</w:t>
                  </w:r>
                </w:p>
              </w:tc>
              <w:tc>
                <w:tcPr>
                  <w:tcW w:w="1050" w:type="dxa"/>
                  <w:tcBorders>
                    <w:tl2br w:val="nil"/>
                    <w:tr2bl w:val="nil"/>
                  </w:tcBorders>
                  <w:noWrap w:val="0"/>
                  <w:vAlign w:val="center"/>
                </w:tcPr>
                <w:p w14:paraId="6F2EDA5B">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60" w:type="dxa"/>
                  <w:vMerge w:val="restart"/>
                  <w:tcBorders>
                    <w:tl2br w:val="nil"/>
                    <w:tr2bl w:val="nil"/>
                  </w:tcBorders>
                  <w:noWrap w:val="0"/>
                  <w:vAlign w:val="center"/>
                </w:tcPr>
                <w:p w14:paraId="5E40DBD5">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450</w:t>
                  </w:r>
                </w:p>
              </w:tc>
              <w:tc>
                <w:tcPr>
                  <w:tcW w:w="1010" w:type="dxa"/>
                  <w:vMerge w:val="restart"/>
                  <w:tcBorders>
                    <w:tl2br w:val="nil"/>
                    <w:tr2bl w:val="nil"/>
                  </w:tcBorders>
                  <w:noWrap w:val="0"/>
                  <w:vAlign w:val="center"/>
                </w:tcPr>
                <w:p w14:paraId="62E0A80A">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700</w:t>
                  </w:r>
                </w:p>
              </w:tc>
              <w:tc>
                <w:tcPr>
                  <w:tcW w:w="1060" w:type="dxa"/>
                  <w:vMerge w:val="restart"/>
                  <w:tcBorders>
                    <w:tl2br w:val="nil"/>
                    <w:tr2bl w:val="nil"/>
                  </w:tcBorders>
                  <w:noWrap w:val="0"/>
                  <w:vAlign w:val="center"/>
                </w:tcPr>
                <w:p w14:paraId="765BBFA5">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15~24</w:t>
                  </w:r>
                </w:p>
              </w:tc>
              <w:tc>
                <w:tcPr>
                  <w:tcW w:w="1043" w:type="dxa"/>
                  <w:vMerge w:val="restart"/>
                  <w:tcBorders>
                    <w:tl2br w:val="nil"/>
                    <w:tr2bl w:val="nil"/>
                  </w:tcBorders>
                  <w:noWrap w:val="0"/>
                  <w:vAlign w:val="center"/>
                </w:tcPr>
                <w:p w14:paraId="2387E60A">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pacing w:val="-1"/>
                      <w:sz w:val="21"/>
                      <w:szCs w:val="21"/>
                      <w:lang w:val="en-US" w:eastAsia="zh-CN"/>
                    </w:rPr>
                    <w:t>2</w:t>
                  </w:r>
                  <w:r>
                    <w:rPr>
                      <w:rFonts w:hint="default" w:ascii="Times New Roman" w:hAnsi="Times New Roman" w:eastAsia="宋体" w:cs="Times New Roman"/>
                      <w:color w:val="auto"/>
                      <w:spacing w:val="-1"/>
                      <w:sz w:val="21"/>
                      <w:szCs w:val="21"/>
                    </w:rPr>
                    <w:t>0</w:t>
                  </w:r>
                  <w:r>
                    <w:rPr>
                      <w:rFonts w:hint="default" w:ascii="Times New Roman" w:hAnsi="Times New Roman" w:cs="Times New Roman"/>
                      <w:b/>
                      <w:bCs/>
                      <w:color w:val="auto"/>
                      <w:spacing w:val="-3"/>
                      <w:sz w:val="21"/>
                      <w:szCs w:val="21"/>
                      <w:lang w:val="en-US" w:eastAsia="zh-CN"/>
                    </w:rPr>
                    <w:t>°</w:t>
                  </w:r>
                  <w:r>
                    <w:rPr>
                      <w:rFonts w:hint="default" w:ascii="Times New Roman" w:hAnsi="Times New Roman" w:eastAsia="宋体" w:cs="Times New Roman"/>
                      <w:color w:val="auto"/>
                      <w:spacing w:val="-1"/>
                      <w:sz w:val="21"/>
                      <w:szCs w:val="21"/>
                    </w:rPr>
                    <w:t>~40</w:t>
                  </w:r>
                  <w:r>
                    <w:rPr>
                      <w:rFonts w:hint="default" w:ascii="Times New Roman" w:hAnsi="Times New Roman" w:cs="Times New Roman"/>
                      <w:b/>
                      <w:bCs/>
                      <w:color w:val="auto"/>
                      <w:spacing w:val="-3"/>
                      <w:sz w:val="21"/>
                      <w:szCs w:val="21"/>
                      <w:lang w:val="en-US" w:eastAsia="zh-CN"/>
                    </w:rPr>
                    <w:t>°</w:t>
                  </w:r>
                </w:p>
              </w:tc>
            </w:tr>
            <w:tr w14:paraId="256BD4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5F40D7B1">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cs="Times New Roman"/>
                      <w:color w:val="auto"/>
                      <w:sz w:val="21"/>
                      <w:szCs w:val="21"/>
                      <w:lang w:val="en-US" w:eastAsia="zh-CN"/>
                    </w:rPr>
                  </w:pPr>
                </w:p>
              </w:tc>
              <w:tc>
                <w:tcPr>
                  <w:tcW w:w="1767" w:type="dxa"/>
                  <w:vMerge w:val="continue"/>
                  <w:tcBorders>
                    <w:tl2br w:val="nil"/>
                    <w:tr2bl w:val="nil"/>
                  </w:tcBorders>
                  <w:noWrap w:val="0"/>
                  <w:vAlign w:val="center"/>
                </w:tcPr>
                <w:p w14:paraId="2AE5F6A2">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2"/>
                      <w:sz w:val="21"/>
                      <w:szCs w:val="21"/>
                    </w:rPr>
                  </w:pPr>
                </w:p>
              </w:tc>
              <w:tc>
                <w:tcPr>
                  <w:tcW w:w="850" w:type="dxa"/>
                  <w:tcBorders>
                    <w:tl2br w:val="nil"/>
                    <w:tr2bl w:val="nil"/>
                  </w:tcBorders>
                  <w:noWrap w:val="0"/>
                  <w:vAlign w:val="center"/>
                </w:tcPr>
                <w:p w14:paraId="691D1692">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24</w:t>
                  </w:r>
                </w:p>
              </w:tc>
              <w:tc>
                <w:tcPr>
                  <w:tcW w:w="1050" w:type="dxa"/>
                  <w:tcBorders>
                    <w:tl2br w:val="nil"/>
                    <w:tr2bl w:val="nil"/>
                  </w:tcBorders>
                  <w:noWrap w:val="0"/>
                  <w:vAlign w:val="center"/>
                </w:tcPr>
                <w:p w14:paraId="7122DB32">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060" w:type="dxa"/>
                  <w:vMerge w:val="continue"/>
                  <w:tcBorders>
                    <w:tl2br w:val="nil"/>
                    <w:tr2bl w:val="nil"/>
                  </w:tcBorders>
                  <w:noWrap w:val="0"/>
                  <w:vAlign w:val="center"/>
                </w:tcPr>
                <w:p w14:paraId="28B2C4A9">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1"/>
                      <w:sz w:val="21"/>
                      <w:szCs w:val="21"/>
                    </w:rPr>
                  </w:pPr>
                </w:p>
              </w:tc>
              <w:tc>
                <w:tcPr>
                  <w:tcW w:w="1010" w:type="dxa"/>
                  <w:vMerge w:val="continue"/>
                  <w:tcBorders>
                    <w:tl2br w:val="nil"/>
                    <w:tr2bl w:val="nil"/>
                  </w:tcBorders>
                  <w:noWrap w:val="0"/>
                  <w:vAlign w:val="center"/>
                </w:tcPr>
                <w:p w14:paraId="03E26D65">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2"/>
                      <w:sz w:val="21"/>
                      <w:szCs w:val="21"/>
                    </w:rPr>
                  </w:pPr>
                </w:p>
              </w:tc>
              <w:tc>
                <w:tcPr>
                  <w:tcW w:w="1060" w:type="dxa"/>
                  <w:vMerge w:val="continue"/>
                  <w:tcBorders>
                    <w:tl2br w:val="nil"/>
                    <w:tr2bl w:val="nil"/>
                  </w:tcBorders>
                  <w:noWrap w:val="0"/>
                  <w:vAlign w:val="center"/>
                </w:tcPr>
                <w:p w14:paraId="21875FC9">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3"/>
                      <w:sz w:val="21"/>
                      <w:szCs w:val="21"/>
                    </w:rPr>
                  </w:pPr>
                </w:p>
              </w:tc>
              <w:tc>
                <w:tcPr>
                  <w:tcW w:w="1043" w:type="dxa"/>
                  <w:vMerge w:val="continue"/>
                  <w:tcBorders>
                    <w:tl2br w:val="nil"/>
                    <w:tr2bl w:val="nil"/>
                  </w:tcBorders>
                  <w:noWrap w:val="0"/>
                  <w:vAlign w:val="center"/>
                </w:tcPr>
                <w:p w14:paraId="6D4F0B19">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1"/>
                      <w:sz w:val="21"/>
                      <w:szCs w:val="21"/>
                    </w:rPr>
                  </w:pPr>
                </w:p>
              </w:tc>
            </w:tr>
            <w:tr w14:paraId="387CE1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0" w:hRule="atLeast"/>
                <w:jc w:val="center"/>
              </w:trPr>
              <w:tc>
                <w:tcPr>
                  <w:tcW w:w="610" w:type="dxa"/>
                  <w:tcBorders>
                    <w:tl2br w:val="nil"/>
                    <w:tr2bl w:val="nil"/>
                  </w:tcBorders>
                  <w:noWrap w:val="0"/>
                  <w:vAlign w:val="center"/>
                </w:tcPr>
                <w:p w14:paraId="10B78FA9">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w:t>
                  </w:r>
                </w:p>
              </w:tc>
              <w:tc>
                <w:tcPr>
                  <w:tcW w:w="1767" w:type="dxa"/>
                  <w:tcBorders>
                    <w:tl2br w:val="nil"/>
                    <w:tr2bl w:val="nil"/>
                  </w:tcBorders>
                  <w:noWrap w:val="0"/>
                  <w:vAlign w:val="center"/>
                </w:tcPr>
                <w:p w14:paraId="68A06303">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rPr>
                    <w:t>110-E</w:t>
                  </w:r>
                  <w:r>
                    <w:rPr>
                      <w:rFonts w:hint="default" w:ascii="Times New Roman" w:hAnsi="Times New Roman" w:cs="Times New Roman"/>
                      <w:color w:val="auto"/>
                      <w:spacing w:val="-2"/>
                      <w:sz w:val="21"/>
                      <w:szCs w:val="21"/>
                      <w:lang w:val="en-US" w:eastAsia="zh-CN"/>
                    </w:rPr>
                    <w:t>C</w:t>
                  </w:r>
                  <w:r>
                    <w:rPr>
                      <w:rFonts w:hint="default" w:ascii="Times New Roman" w:hAnsi="Times New Roman" w:eastAsia="宋体" w:cs="Times New Roman"/>
                      <w:color w:val="auto"/>
                      <w:spacing w:val="-2"/>
                      <w:sz w:val="21"/>
                      <w:szCs w:val="21"/>
                    </w:rPr>
                    <w:t>31D-J</w:t>
                  </w:r>
                  <w:r>
                    <w:rPr>
                      <w:rFonts w:hint="eastAsia" w:ascii="Times New Roman" w:hAnsi="Times New Roman" w:cs="Times New Roman"/>
                      <w:color w:val="auto"/>
                      <w:spacing w:val="-2"/>
                      <w:sz w:val="21"/>
                      <w:szCs w:val="21"/>
                      <w:lang w:val="en-US" w:eastAsia="zh-CN"/>
                    </w:rPr>
                    <w:t>3</w:t>
                  </w:r>
                </w:p>
              </w:tc>
              <w:tc>
                <w:tcPr>
                  <w:tcW w:w="850" w:type="dxa"/>
                  <w:tcBorders>
                    <w:tl2br w:val="nil"/>
                    <w:tr2bl w:val="nil"/>
                  </w:tcBorders>
                  <w:noWrap w:val="0"/>
                  <w:vAlign w:val="center"/>
                </w:tcPr>
                <w:p w14:paraId="6E30C4EE">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24</w:t>
                  </w:r>
                </w:p>
              </w:tc>
              <w:tc>
                <w:tcPr>
                  <w:tcW w:w="1050" w:type="dxa"/>
                  <w:tcBorders>
                    <w:tl2br w:val="nil"/>
                    <w:tr2bl w:val="nil"/>
                  </w:tcBorders>
                  <w:noWrap w:val="0"/>
                  <w:vAlign w:val="center"/>
                </w:tcPr>
                <w:p w14:paraId="0BE76437">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060" w:type="dxa"/>
                  <w:tcBorders>
                    <w:tl2br w:val="nil"/>
                    <w:tr2bl w:val="nil"/>
                  </w:tcBorders>
                  <w:noWrap w:val="0"/>
                  <w:vAlign w:val="center"/>
                </w:tcPr>
                <w:p w14:paraId="38834651">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4</w:t>
                  </w:r>
                  <w:r>
                    <w:rPr>
                      <w:rFonts w:hint="eastAsia" w:ascii="Times New Roman" w:hAnsi="Times New Roman" w:cs="Times New Roman"/>
                      <w:color w:val="auto"/>
                      <w:spacing w:val="-1"/>
                      <w:sz w:val="21"/>
                      <w:szCs w:val="21"/>
                      <w:lang w:val="en-US" w:eastAsia="zh-CN"/>
                    </w:rPr>
                    <w:t>5</w:t>
                  </w:r>
                  <w:r>
                    <w:rPr>
                      <w:rFonts w:hint="default" w:ascii="Times New Roman" w:hAnsi="Times New Roman" w:cs="Times New Roman"/>
                      <w:color w:val="auto"/>
                      <w:spacing w:val="-1"/>
                      <w:sz w:val="21"/>
                      <w:szCs w:val="21"/>
                      <w:lang w:val="en-US" w:eastAsia="zh-CN"/>
                    </w:rPr>
                    <w:t>0</w:t>
                  </w:r>
                </w:p>
              </w:tc>
              <w:tc>
                <w:tcPr>
                  <w:tcW w:w="1010" w:type="dxa"/>
                  <w:tcBorders>
                    <w:tl2br w:val="nil"/>
                    <w:tr2bl w:val="nil"/>
                  </w:tcBorders>
                  <w:noWrap w:val="0"/>
                  <w:vAlign w:val="center"/>
                </w:tcPr>
                <w:p w14:paraId="3CDD3836">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cs="Times New Roman"/>
                      <w:color w:val="auto"/>
                      <w:spacing w:val="-2"/>
                      <w:sz w:val="21"/>
                      <w:szCs w:val="21"/>
                      <w:lang w:val="en-US" w:eastAsia="zh-CN"/>
                    </w:rPr>
                    <w:t>700</w:t>
                  </w:r>
                </w:p>
              </w:tc>
              <w:tc>
                <w:tcPr>
                  <w:tcW w:w="1060" w:type="dxa"/>
                  <w:tcBorders>
                    <w:tl2br w:val="nil"/>
                    <w:tr2bl w:val="nil"/>
                  </w:tcBorders>
                  <w:noWrap w:val="0"/>
                  <w:vAlign w:val="center"/>
                </w:tcPr>
                <w:p w14:paraId="73DD3D54">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15</w:t>
                  </w:r>
                  <w:r>
                    <w:rPr>
                      <w:rFonts w:hint="default" w:ascii="Times New Roman" w:hAnsi="Times New Roman" w:eastAsia="宋体" w:cs="Times New Roman"/>
                      <w:color w:val="auto"/>
                      <w:spacing w:val="-3"/>
                      <w:sz w:val="21"/>
                      <w:szCs w:val="21"/>
                    </w:rPr>
                    <w:t>~</w:t>
                  </w:r>
                  <w:r>
                    <w:rPr>
                      <w:rFonts w:hint="eastAsia" w:ascii="Times New Roman" w:hAnsi="Times New Roman" w:cs="Times New Roman"/>
                      <w:color w:val="auto"/>
                      <w:spacing w:val="-3"/>
                      <w:sz w:val="21"/>
                      <w:szCs w:val="21"/>
                      <w:lang w:val="en-US" w:eastAsia="zh-CN"/>
                    </w:rPr>
                    <w:t>24</w:t>
                  </w:r>
                </w:p>
              </w:tc>
              <w:tc>
                <w:tcPr>
                  <w:tcW w:w="1043" w:type="dxa"/>
                  <w:tcBorders>
                    <w:tl2br w:val="nil"/>
                    <w:tr2bl w:val="nil"/>
                  </w:tcBorders>
                  <w:noWrap w:val="0"/>
                  <w:vAlign w:val="center"/>
                </w:tcPr>
                <w:p w14:paraId="250CE4AB">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1"/>
                      <w:sz w:val="21"/>
                      <w:szCs w:val="21"/>
                    </w:rPr>
                  </w:pPr>
                  <w:r>
                    <w:rPr>
                      <w:rFonts w:hint="eastAsia" w:ascii="Times New Roman" w:hAnsi="Times New Roman" w:cs="Times New Roman"/>
                      <w:color w:val="auto"/>
                      <w:spacing w:val="-1"/>
                      <w:sz w:val="21"/>
                      <w:szCs w:val="21"/>
                      <w:lang w:val="en-US" w:eastAsia="zh-CN"/>
                    </w:rPr>
                    <w:t>4</w:t>
                  </w:r>
                  <w:r>
                    <w:rPr>
                      <w:rFonts w:hint="default" w:ascii="Times New Roman" w:hAnsi="Times New Roman" w:eastAsia="宋体" w:cs="Times New Roman"/>
                      <w:color w:val="auto"/>
                      <w:spacing w:val="-1"/>
                      <w:sz w:val="21"/>
                      <w:szCs w:val="21"/>
                    </w:rPr>
                    <w:t>0</w:t>
                  </w:r>
                  <w:r>
                    <w:rPr>
                      <w:rFonts w:hint="default" w:ascii="Times New Roman" w:hAnsi="Times New Roman" w:cs="Times New Roman"/>
                      <w:b/>
                      <w:bCs/>
                      <w:color w:val="auto"/>
                      <w:spacing w:val="-3"/>
                      <w:sz w:val="21"/>
                      <w:szCs w:val="21"/>
                      <w:lang w:val="en-US" w:eastAsia="zh-CN"/>
                    </w:rPr>
                    <w:t>°</w:t>
                  </w:r>
                  <w:r>
                    <w:rPr>
                      <w:rFonts w:hint="default" w:ascii="Times New Roman" w:hAnsi="Times New Roman" w:eastAsia="宋体" w:cs="Times New Roman"/>
                      <w:color w:val="auto"/>
                      <w:spacing w:val="-1"/>
                      <w:sz w:val="21"/>
                      <w:szCs w:val="21"/>
                    </w:rPr>
                    <w:t>~</w:t>
                  </w:r>
                  <w:r>
                    <w:rPr>
                      <w:rFonts w:hint="eastAsia" w:ascii="Times New Roman" w:hAnsi="Times New Roman" w:cs="Times New Roman"/>
                      <w:color w:val="auto"/>
                      <w:spacing w:val="-1"/>
                      <w:sz w:val="21"/>
                      <w:szCs w:val="21"/>
                      <w:lang w:val="en-US" w:eastAsia="zh-CN"/>
                    </w:rPr>
                    <w:t>6</w:t>
                  </w:r>
                  <w:r>
                    <w:rPr>
                      <w:rFonts w:hint="default" w:ascii="Times New Roman" w:hAnsi="Times New Roman" w:eastAsia="宋体" w:cs="Times New Roman"/>
                      <w:color w:val="auto"/>
                      <w:spacing w:val="-1"/>
                      <w:sz w:val="21"/>
                      <w:szCs w:val="21"/>
                    </w:rPr>
                    <w:t>0</w:t>
                  </w:r>
                  <w:r>
                    <w:rPr>
                      <w:rFonts w:hint="default" w:ascii="Times New Roman" w:hAnsi="Times New Roman" w:cs="Times New Roman"/>
                      <w:b/>
                      <w:bCs/>
                      <w:color w:val="auto"/>
                      <w:spacing w:val="-3"/>
                      <w:sz w:val="21"/>
                      <w:szCs w:val="21"/>
                      <w:lang w:val="en-US" w:eastAsia="zh-CN"/>
                    </w:rPr>
                    <w:t>°</w:t>
                  </w:r>
                </w:p>
              </w:tc>
            </w:tr>
            <w:tr w14:paraId="1227F0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restart"/>
                  <w:tcBorders>
                    <w:tl2br w:val="nil"/>
                    <w:tr2bl w:val="nil"/>
                  </w:tcBorders>
                  <w:noWrap w:val="0"/>
                  <w:vAlign w:val="center"/>
                </w:tcPr>
                <w:p w14:paraId="74AE0C3F">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767" w:type="dxa"/>
                  <w:vMerge w:val="restart"/>
                  <w:tcBorders>
                    <w:tl2br w:val="nil"/>
                    <w:tr2bl w:val="nil"/>
                  </w:tcBorders>
                  <w:noWrap w:val="0"/>
                  <w:vAlign w:val="center"/>
                </w:tcPr>
                <w:p w14:paraId="6A3694CE">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110-E</w:t>
                  </w:r>
                  <w:r>
                    <w:rPr>
                      <w:rFonts w:hint="default" w:ascii="Times New Roman" w:hAnsi="Times New Roman" w:cs="Times New Roman"/>
                      <w:color w:val="auto"/>
                      <w:spacing w:val="-2"/>
                      <w:sz w:val="21"/>
                      <w:szCs w:val="21"/>
                      <w:lang w:val="en-US" w:eastAsia="zh-CN"/>
                    </w:rPr>
                    <w:t>C</w:t>
                  </w:r>
                  <w:r>
                    <w:rPr>
                      <w:rFonts w:hint="eastAsia" w:ascii="Times New Roman" w:hAnsi="Times New Roman" w:cs="Times New Roman"/>
                      <w:color w:val="auto"/>
                      <w:spacing w:val="-2"/>
                      <w:sz w:val="21"/>
                      <w:szCs w:val="21"/>
                      <w:lang w:val="en-US" w:eastAsia="zh-CN"/>
                    </w:rPr>
                    <w:t>4</w:t>
                  </w:r>
                  <w:r>
                    <w:rPr>
                      <w:rFonts w:hint="default" w:ascii="Times New Roman" w:hAnsi="Times New Roman" w:eastAsia="宋体" w:cs="Times New Roman"/>
                      <w:color w:val="auto"/>
                      <w:spacing w:val="-2"/>
                      <w:sz w:val="21"/>
                      <w:szCs w:val="21"/>
                    </w:rPr>
                    <w:t>1D-</w:t>
                  </w:r>
                  <w:r>
                    <w:rPr>
                      <w:rFonts w:hint="eastAsia" w:ascii="Times New Roman" w:hAnsi="Times New Roman" w:cs="Times New Roman"/>
                      <w:color w:val="auto"/>
                      <w:spacing w:val="-2"/>
                      <w:sz w:val="21"/>
                      <w:szCs w:val="21"/>
                      <w:lang w:val="en-US" w:eastAsia="zh-CN"/>
                    </w:rPr>
                    <w:t>D</w:t>
                  </w:r>
                  <w:r>
                    <w:rPr>
                      <w:rFonts w:hint="default" w:ascii="Times New Roman" w:hAnsi="Times New Roman" w:eastAsia="宋体" w:cs="Times New Roman"/>
                      <w:color w:val="auto"/>
                      <w:spacing w:val="-2"/>
                      <w:sz w:val="21"/>
                      <w:szCs w:val="21"/>
                    </w:rPr>
                    <w:t>J</w:t>
                  </w:r>
                </w:p>
              </w:tc>
              <w:tc>
                <w:tcPr>
                  <w:tcW w:w="850" w:type="dxa"/>
                  <w:tcBorders>
                    <w:tl2br w:val="nil"/>
                    <w:tr2bl w:val="nil"/>
                  </w:tcBorders>
                  <w:noWrap w:val="0"/>
                  <w:vAlign w:val="center"/>
                </w:tcPr>
                <w:p w14:paraId="0844076E">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18</w:t>
                  </w:r>
                </w:p>
              </w:tc>
              <w:tc>
                <w:tcPr>
                  <w:tcW w:w="1050" w:type="dxa"/>
                  <w:tcBorders>
                    <w:tl2br w:val="nil"/>
                    <w:tr2bl w:val="nil"/>
                  </w:tcBorders>
                  <w:noWrap w:val="0"/>
                  <w:vAlign w:val="center"/>
                </w:tcPr>
                <w:p w14:paraId="4E8FCA1B">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060" w:type="dxa"/>
                  <w:vMerge w:val="restart"/>
                  <w:tcBorders>
                    <w:tl2br w:val="nil"/>
                    <w:tr2bl w:val="nil"/>
                  </w:tcBorders>
                  <w:noWrap w:val="0"/>
                  <w:vAlign w:val="center"/>
                </w:tcPr>
                <w:p w14:paraId="042C5AA5">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450</w:t>
                  </w:r>
                </w:p>
              </w:tc>
              <w:tc>
                <w:tcPr>
                  <w:tcW w:w="1010" w:type="dxa"/>
                  <w:vMerge w:val="restart"/>
                  <w:tcBorders>
                    <w:tl2br w:val="nil"/>
                    <w:tr2bl w:val="nil"/>
                  </w:tcBorders>
                  <w:noWrap w:val="0"/>
                  <w:vAlign w:val="center"/>
                </w:tcPr>
                <w:p w14:paraId="59646A1F">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cs="Times New Roman"/>
                      <w:color w:val="auto"/>
                      <w:spacing w:val="-2"/>
                      <w:sz w:val="21"/>
                      <w:szCs w:val="21"/>
                      <w:lang w:val="en-US" w:eastAsia="zh-CN"/>
                    </w:rPr>
                    <w:t>700</w:t>
                  </w:r>
                </w:p>
              </w:tc>
              <w:tc>
                <w:tcPr>
                  <w:tcW w:w="1060" w:type="dxa"/>
                  <w:vMerge w:val="restart"/>
                  <w:tcBorders>
                    <w:tl2br w:val="nil"/>
                    <w:tr2bl w:val="nil"/>
                  </w:tcBorders>
                  <w:noWrap w:val="0"/>
                  <w:vAlign w:val="center"/>
                </w:tcPr>
                <w:p w14:paraId="74AC3481">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15~24</w:t>
                  </w:r>
                </w:p>
              </w:tc>
              <w:tc>
                <w:tcPr>
                  <w:tcW w:w="1043" w:type="dxa"/>
                  <w:vMerge w:val="restart"/>
                  <w:tcBorders>
                    <w:tl2br w:val="nil"/>
                    <w:tr2bl w:val="nil"/>
                  </w:tcBorders>
                  <w:noWrap w:val="0"/>
                  <w:vAlign w:val="center"/>
                </w:tcPr>
                <w:p w14:paraId="3E733666">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b/>
                      <w:bCs/>
                      <w:color w:val="auto"/>
                      <w:spacing w:val="-1"/>
                      <w:sz w:val="21"/>
                      <w:szCs w:val="21"/>
                    </w:rPr>
                  </w:pPr>
                  <w:r>
                    <w:rPr>
                      <w:rFonts w:hint="eastAsia" w:ascii="Times New Roman" w:hAnsi="Times New Roman" w:cs="Times New Roman"/>
                      <w:color w:val="auto"/>
                      <w:spacing w:val="-1"/>
                      <w:sz w:val="21"/>
                      <w:szCs w:val="21"/>
                      <w:lang w:val="en-US" w:eastAsia="zh-CN"/>
                    </w:rPr>
                    <w:t>6</w:t>
                  </w:r>
                  <w:r>
                    <w:rPr>
                      <w:rFonts w:hint="default" w:ascii="Times New Roman" w:hAnsi="Times New Roman" w:eastAsia="宋体" w:cs="Times New Roman"/>
                      <w:color w:val="auto"/>
                      <w:spacing w:val="-1"/>
                      <w:sz w:val="21"/>
                      <w:szCs w:val="21"/>
                    </w:rPr>
                    <w:t>0</w:t>
                  </w:r>
                  <w:r>
                    <w:rPr>
                      <w:rFonts w:hint="default" w:ascii="Times New Roman" w:hAnsi="Times New Roman" w:cs="Times New Roman"/>
                      <w:b/>
                      <w:bCs/>
                      <w:color w:val="auto"/>
                      <w:spacing w:val="-3"/>
                      <w:sz w:val="21"/>
                      <w:szCs w:val="21"/>
                      <w:lang w:val="en-US" w:eastAsia="zh-CN"/>
                    </w:rPr>
                    <w:t>°</w:t>
                  </w:r>
                  <w:r>
                    <w:rPr>
                      <w:rFonts w:hint="default" w:ascii="Times New Roman" w:hAnsi="Times New Roman" w:eastAsia="宋体" w:cs="Times New Roman"/>
                      <w:color w:val="auto"/>
                      <w:spacing w:val="-1"/>
                      <w:sz w:val="21"/>
                      <w:szCs w:val="21"/>
                    </w:rPr>
                    <w:t>~</w:t>
                  </w:r>
                  <w:r>
                    <w:rPr>
                      <w:rFonts w:hint="eastAsia" w:ascii="Times New Roman" w:hAnsi="Times New Roman" w:cs="Times New Roman"/>
                      <w:color w:val="auto"/>
                      <w:spacing w:val="-1"/>
                      <w:sz w:val="21"/>
                      <w:szCs w:val="21"/>
                      <w:lang w:val="en-US" w:eastAsia="zh-CN"/>
                    </w:rPr>
                    <w:t>9</w:t>
                  </w:r>
                  <w:r>
                    <w:rPr>
                      <w:rFonts w:hint="default" w:ascii="Times New Roman" w:hAnsi="Times New Roman" w:eastAsia="宋体" w:cs="Times New Roman"/>
                      <w:color w:val="auto"/>
                      <w:spacing w:val="-1"/>
                      <w:sz w:val="21"/>
                      <w:szCs w:val="21"/>
                    </w:rPr>
                    <w:t>0</w:t>
                  </w:r>
                  <w:r>
                    <w:rPr>
                      <w:rFonts w:hint="default" w:ascii="Times New Roman" w:hAnsi="Times New Roman" w:cs="Times New Roman"/>
                      <w:b/>
                      <w:bCs/>
                      <w:color w:val="auto"/>
                      <w:spacing w:val="-3"/>
                      <w:sz w:val="21"/>
                      <w:szCs w:val="21"/>
                      <w:lang w:val="en-US" w:eastAsia="zh-CN"/>
                    </w:rPr>
                    <w:t>°</w:t>
                  </w:r>
                </w:p>
              </w:tc>
            </w:tr>
            <w:tr w14:paraId="17FBC7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vMerge w:val="continue"/>
                  <w:tcBorders>
                    <w:tl2br w:val="nil"/>
                    <w:tr2bl w:val="nil"/>
                  </w:tcBorders>
                  <w:noWrap w:val="0"/>
                  <w:vAlign w:val="center"/>
                </w:tcPr>
                <w:p w14:paraId="15F89F05">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cs="Times New Roman"/>
                      <w:color w:val="auto"/>
                      <w:sz w:val="21"/>
                      <w:szCs w:val="21"/>
                      <w:lang w:val="en-US" w:eastAsia="zh-CN"/>
                    </w:rPr>
                  </w:pPr>
                </w:p>
              </w:tc>
              <w:tc>
                <w:tcPr>
                  <w:tcW w:w="1767" w:type="dxa"/>
                  <w:vMerge w:val="continue"/>
                  <w:tcBorders>
                    <w:tl2br w:val="nil"/>
                    <w:tr2bl w:val="nil"/>
                  </w:tcBorders>
                  <w:noWrap w:val="0"/>
                  <w:vAlign w:val="center"/>
                </w:tcPr>
                <w:p w14:paraId="37FD8AA2">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2"/>
                      <w:sz w:val="21"/>
                      <w:szCs w:val="21"/>
                    </w:rPr>
                  </w:pPr>
                </w:p>
              </w:tc>
              <w:tc>
                <w:tcPr>
                  <w:tcW w:w="850" w:type="dxa"/>
                  <w:tcBorders>
                    <w:tl2br w:val="nil"/>
                    <w:tr2bl w:val="nil"/>
                  </w:tcBorders>
                  <w:noWrap w:val="0"/>
                  <w:vAlign w:val="center"/>
                </w:tcPr>
                <w:p w14:paraId="240D09C8">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24</w:t>
                  </w:r>
                </w:p>
              </w:tc>
              <w:tc>
                <w:tcPr>
                  <w:tcW w:w="1050" w:type="dxa"/>
                  <w:tcBorders>
                    <w:tl2br w:val="nil"/>
                    <w:tr2bl w:val="nil"/>
                  </w:tcBorders>
                  <w:noWrap w:val="0"/>
                  <w:vAlign w:val="center"/>
                </w:tcPr>
                <w:p w14:paraId="4C8D4220">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1060" w:type="dxa"/>
                  <w:vMerge w:val="continue"/>
                  <w:tcBorders>
                    <w:tl2br w:val="nil"/>
                    <w:tr2bl w:val="nil"/>
                  </w:tcBorders>
                  <w:noWrap w:val="0"/>
                  <w:vAlign w:val="center"/>
                </w:tcPr>
                <w:p w14:paraId="7FEA91DB">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1"/>
                      <w:sz w:val="21"/>
                      <w:szCs w:val="21"/>
                      <w:lang w:val="en-US" w:eastAsia="zh-CN"/>
                    </w:rPr>
                  </w:pPr>
                </w:p>
              </w:tc>
              <w:tc>
                <w:tcPr>
                  <w:tcW w:w="1010" w:type="dxa"/>
                  <w:vMerge w:val="continue"/>
                  <w:tcBorders>
                    <w:tl2br w:val="nil"/>
                    <w:tr2bl w:val="nil"/>
                  </w:tcBorders>
                  <w:noWrap w:val="0"/>
                  <w:vAlign w:val="center"/>
                </w:tcPr>
                <w:p w14:paraId="42047B18">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2"/>
                      <w:sz w:val="21"/>
                      <w:szCs w:val="21"/>
                      <w:lang w:val="en-US" w:eastAsia="zh-CN"/>
                    </w:rPr>
                  </w:pPr>
                </w:p>
              </w:tc>
              <w:tc>
                <w:tcPr>
                  <w:tcW w:w="1060" w:type="dxa"/>
                  <w:vMerge w:val="continue"/>
                  <w:tcBorders>
                    <w:tl2br w:val="nil"/>
                    <w:tr2bl w:val="nil"/>
                  </w:tcBorders>
                  <w:noWrap w:val="0"/>
                  <w:vAlign w:val="center"/>
                </w:tcPr>
                <w:p w14:paraId="29133E64">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3"/>
                      <w:sz w:val="21"/>
                      <w:szCs w:val="21"/>
                    </w:rPr>
                  </w:pPr>
                </w:p>
              </w:tc>
              <w:tc>
                <w:tcPr>
                  <w:tcW w:w="1043" w:type="dxa"/>
                  <w:vMerge w:val="continue"/>
                  <w:tcBorders>
                    <w:tl2br w:val="nil"/>
                    <w:tr2bl w:val="nil"/>
                  </w:tcBorders>
                  <w:noWrap w:val="0"/>
                  <w:vAlign w:val="center"/>
                </w:tcPr>
                <w:p w14:paraId="3CE9CCE2">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1"/>
                      <w:sz w:val="21"/>
                      <w:szCs w:val="21"/>
                    </w:rPr>
                  </w:pPr>
                </w:p>
              </w:tc>
            </w:tr>
            <w:tr w14:paraId="01BB57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610" w:type="dxa"/>
                  <w:tcBorders>
                    <w:tl2br w:val="nil"/>
                    <w:tr2bl w:val="nil"/>
                  </w:tcBorders>
                  <w:noWrap w:val="0"/>
                  <w:vAlign w:val="center"/>
                </w:tcPr>
                <w:p w14:paraId="4E81DF94">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11</w:t>
                  </w:r>
                </w:p>
              </w:tc>
              <w:tc>
                <w:tcPr>
                  <w:tcW w:w="1767" w:type="dxa"/>
                  <w:tcBorders>
                    <w:tl2br w:val="nil"/>
                    <w:tr2bl w:val="nil"/>
                  </w:tcBorders>
                  <w:noWrap w:val="0"/>
                  <w:vAlign w:val="center"/>
                </w:tcPr>
                <w:p w14:paraId="61436769">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eastAsia"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rPr>
                    <w:t>110-E</w:t>
                  </w:r>
                  <w:r>
                    <w:rPr>
                      <w:rFonts w:hint="default" w:ascii="Times New Roman" w:hAnsi="Times New Roman" w:cs="Times New Roman"/>
                      <w:color w:val="auto"/>
                      <w:spacing w:val="-2"/>
                      <w:sz w:val="21"/>
                      <w:szCs w:val="21"/>
                      <w:lang w:val="en-US" w:eastAsia="zh-CN"/>
                    </w:rPr>
                    <w:t>C</w:t>
                  </w:r>
                  <w:r>
                    <w:rPr>
                      <w:rFonts w:hint="eastAsia" w:ascii="Times New Roman" w:hAnsi="Times New Roman" w:cs="Times New Roman"/>
                      <w:color w:val="auto"/>
                      <w:spacing w:val="-2"/>
                      <w:sz w:val="21"/>
                      <w:szCs w:val="21"/>
                      <w:lang w:val="en-US" w:eastAsia="zh-CN"/>
                    </w:rPr>
                    <w:t>3</w:t>
                  </w:r>
                  <w:r>
                    <w:rPr>
                      <w:rFonts w:hint="default" w:ascii="Times New Roman" w:hAnsi="Times New Roman" w:eastAsia="宋体" w:cs="Times New Roman"/>
                      <w:color w:val="auto"/>
                      <w:spacing w:val="-2"/>
                      <w:sz w:val="21"/>
                      <w:szCs w:val="21"/>
                    </w:rPr>
                    <w:t>1</w:t>
                  </w:r>
                  <w:r>
                    <w:rPr>
                      <w:rFonts w:hint="eastAsia" w:ascii="Times New Roman" w:hAnsi="Times New Roman" w:cs="Times New Roman"/>
                      <w:color w:val="auto"/>
                      <w:spacing w:val="-2"/>
                      <w:sz w:val="21"/>
                      <w:szCs w:val="21"/>
                      <w:lang w:val="en-US" w:eastAsia="zh-CN"/>
                    </w:rPr>
                    <w:t>S</w:t>
                  </w:r>
                  <w:r>
                    <w:rPr>
                      <w:rFonts w:hint="default" w:ascii="Times New Roman" w:hAnsi="Times New Roman" w:eastAsia="宋体" w:cs="Times New Roman"/>
                      <w:color w:val="auto"/>
                      <w:spacing w:val="-2"/>
                      <w:sz w:val="21"/>
                      <w:szCs w:val="21"/>
                    </w:rPr>
                    <w:t>-</w:t>
                  </w:r>
                  <w:r>
                    <w:rPr>
                      <w:rFonts w:hint="eastAsia" w:ascii="Times New Roman" w:hAnsi="Times New Roman" w:cs="Times New Roman"/>
                      <w:color w:val="auto"/>
                      <w:spacing w:val="-2"/>
                      <w:sz w:val="21"/>
                      <w:szCs w:val="21"/>
                      <w:lang w:val="en-US" w:eastAsia="zh-CN"/>
                    </w:rPr>
                    <w:t>D</w:t>
                  </w:r>
                  <w:r>
                    <w:rPr>
                      <w:rFonts w:hint="default" w:ascii="Times New Roman" w:hAnsi="Times New Roman" w:eastAsia="宋体" w:cs="Times New Roman"/>
                      <w:color w:val="auto"/>
                      <w:spacing w:val="-2"/>
                      <w:sz w:val="21"/>
                      <w:szCs w:val="21"/>
                    </w:rPr>
                    <w:t>J</w:t>
                  </w:r>
                  <w:r>
                    <w:rPr>
                      <w:rFonts w:hint="eastAsia" w:ascii="Times New Roman" w:hAnsi="Times New Roman" w:cs="Times New Roman"/>
                      <w:color w:val="auto"/>
                      <w:spacing w:val="-2"/>
                      <w:sz w:val="21"/>
                      <w:szCs w:val="21"/>
                      <w:lang w:val="en-US" w:eastAsia="zh-CN"/>
                    </w:rPr>
                    <w:t>C</w:t>
                  </w:r>
                </w:p>
              </w:tc>
              <w:tc>
                <w:tcPr>
                  <w:tcW w:w="850" w:type="dxa"/>
                  <w:tcBorders>
                    <w:tl2br w:val="nil"/>
                    <w:tr2bl w:val="nil"/>
                  </w:tcBorders>
                  <w:noWrap w:val="0"/>
                  <w:vAlign w:val="center"/>
                </w:tcPr>
                <w:p w14:paraId="6249B7BE">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18</w:t>
                  </w:r>
                </w:p>
              </w:tc>
              <w:tc>
                <w:tcPr>
                  <w:tcW w:w="1050" w:type="dxa"/>
                  <w:tcBorders>
                    <w:tl2br w:val="nil"/>
                    <w:tr2bl w:val="nil"/>
                  </w:tcBorders>
                  <w:noWrap w:val="0"/>
                  <w:vAlign w:val="center"/>
                </w:tcPr>
                <w:p w14:paraId="61E3C06C">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060" w:type="dxa"/>
                  <w:tcBorders>
                    <w:tl2br w:val="nil"/>
                    <w:tr2bl w:val="nil"/>
                  </w:tcBorders>
                  <w:noWrap w:val="0"/>
                  <w:vAlign w:val="center"/>
                </w:tcPr>
                <w:p w14:paraId="6600E11D">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450</w:t>
                  </w:r>
                </w:p>
              </w:tc>
              <w:tc>
                <w:tcPr>
                  <w:tcW w:w="1010" w:type="dxa"/>
                  <w:tcBorders>
                    <w:tl2br w:val="nil"/>
                    <w:tr2bl w:val="nil"/>
                  </w:tcBorders>
                  <w:noWrap w:val="0"/>
                  <w:vAlign w:val="center"/>
                </w:tcPr>
                <w:p w14:paraId="130A2794">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700</w:t>
                  </w:r>
                </w:p>
              </w:tc>
              <w:tc>
                <w:tcPr>
                  <w:tcW w:w="1060" w:type="dxa"/>
                  <w:tcBorders>
                    <w:tl2br w:val="nil"/>
                    <w:tr2bl w:val="nil"/>
                  </w:tcBorders>
                  <w:noWrap w:val="0"/>
                  <w:vAlign w:val="center"/>
                </w:tcPr>
                <w:p w14:paraId="1CFFB519">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15~24</w:t>
                  </w:r>
                </w:p>
              </w:tc>
              <w:tc>
                <w:tcPr>
                  <w:tcW w:w="1043" w:type="dxa"/>
                  <w:tcBorders>
                    <w:tl2br w:val="nil"/>
                    <w:tr2bl w:val="nil"/>
                  </w:tcBorders>
                  <w:noWrap w:val="0"/>
                  <w:vAlign w:val="center"/>
                </w:tcPr>
                <w:p w14:paraId="2298866F">
                  <w:pPr>
                    <w:pStyle w:val="106"/>
                    <w:keepNext w:val="0"/>
                    <w:keepLines w:val="0"/>
                    <w:pageBreakBefore w:val="0"/>
                    <w:widowControl w:val="0"/>
                    <w:kinsoku/>
                    <w:wordWrap/>
                    <w:overflowPunct/>
                    <w:topLinePunct w:val="0"/>
                    <w:autoSpaceDE/>
                    <w:autoSpaceDN/>
                    <w:bidi w:val="0"/>
                    <w:adjustRightInd w:val="0"/>
                    <w:snapToGrid w:val="0"/>
                    <w:spacing w:line="205" w:lineRule="auto"/>
                    <w:ind w:left="0"/>
                    <w:jc w:val="center"/>
                    <w:textAlignment w:val="auto"/>
                    <w:rPr>
                      <w:rFonts w:hint="default" w:ascii="Times New Roman" w:hAnsi="Times New Roman" w:eastAsia="宋体" w:cs="Times New Roman"/>
                      <w:color w:val="auto"/>
                      <w:spacing w:val="-1"/>
                      <w:sz w:val="21"/>
                      <w:szCs w:val="21"/>
                    </w:rPr>
                  </w:pPr>
                  <w:r>
                    <w:rPr>
                      <w:rFonts w:hint="eastAsia" w:ascii="Times New Roman" w:hAnsi="Times New Roman" w:cs="Times New Roman"/>
                      <w:color w:val="auto"/>
                      <w:spacing w:val="-1"/>
                      <w:sz w:val="21"/>
                      <w:szCs w:val="21"/>
                      <w:lang w:val="en-US" w:eastAsia="zh-CN"/>
                    </w:rPr>
                    <w:t>4</w:t>
                  </w:r>
                  <w:r>
                    <w:rPr>
                      <w:rFonts w:hint="default" w:ascii="Times New Roman" w:hAnsi="Times New Roman" w:eastAsia="宋体" w:cs="Times New Roman"/>
                      <w:color w:val="auto"/>
                      <w:spacing w:val="-1"/>
                      <w:sz w:val="21"/>
                      <w:szCs w:val="21"/>
                    </w:rPr>
                    <w:t>0</w:t>
                  </w:r>
                  <w:r>
                    <w:rPr>
                      <w:rFonts w:hint="default" w:ascii="Times New Roman" w:hAnsi="Times New Roman" w:cs="Times New Roman"/>
                      <w:b/>
                      <w:bCs/>
                      <w:color w:val="auto"/>
                      <w:spacing w:val="-3"/>
                      <w:sz w:val="21"/>
                      <w:szCs w:val="21"/>
                      <w:lang w:val="en-US" w:eastAsia="zh-CN"/>
                    </w:rPr>
                    <w:t>°</w:t>
                  </w:r>
                  <w:r>
                    <w:rPr>
                      <w:rFonts w:hint="default" w:ascii="Times New Roman" w:hAnsi="Times New Roman" w:eastAsia="宋体" w:cs="Times New Roman"/>
                      <w:color w:val="auto"/>
                      <w:spacing w:val="-1"/>
                      <w:sz w:val="21"/>
                      <w:szCs w:val="21"/>
                    </w:rPr>
                    <w:t>~</w:t>
                  </w:r>
                  <w:r>
                    <w:rPr>
                      <w:rFonts w:hint="eastAsia" w:ascii="Times New Roman" w:hAnsi="Times New Roman" w:cs="Times New Roman"/>
                      <w:color w:val="auto"/>
                      <w:spacing w:val="-1"/>
                      <w:sz w:val="21"/>
                      <w:szCs w:val="21"/>
                      <w:lang w:val="en-US" w:eastAsia="zh-CN"/>
                    </w:rPr>
                    <w:t>9</w:t>
                  </w:r>
                  <w:r>
                    <w:rPr>
                      <w:rFonts w:hint="default" w:ascii="Times New Roman" w:hAnsi="Times New Roman" w:eastAsia="宋体" w:cs="Times New Roman"/>
                      <w:color w:val="auto"/>
                      <w:spacing w:val="-1"/>
                      <w:sz w:val="21"/>
                      <w:szCs w:val="21"/>
                    </w:rPr>
                    <w:t>0</w:t>
                  </w:r>
                  <w:r>
                    <w:rPr>
                      <w:rFonts w:hint="default" w:ascii="Times New Roman" w:hAnsi="Times New Roman" w:cs="Times New Roman"/>
                      <w:b/>
                      <w:bCs/>
                      <w:color w:val="auto"/>
                      <w:spacing w:val="-3"/>
                      <w:sz w:val="21"/>
                      <w:szCs w:val="21"/>
                      <w:lang w:val="en-US" w:eastAsia="zh-CN"/>
                    </w:rPr>
                    <w:t>°</w:t>
                  </w:r>
                </w:p>
              </w:tc>
            </w:tr>
            <w:tr w14:paraId="32606C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377" w:type="dxa"/>
                  <w:gridSpan w:val="2"/>
                  <w:tcBorders>
                    <w:tl2br w:val="nil"/>
                    <w:tr2bl w:val="nil"/>
                  </w:tcBorders>
                  <w:noWrap w:val="0"/>
                  <w:vAlign w:val="center"/>
                </w:tcPr>
                <w:p w14:paraId="427BBAD8">
                  <w:pPr>
                    <w:pStyle w:val="106"/>
                    <w:keepNext w:val="0"/>
                    <w:keepLines w:val="0"/>
                    <w:pageBreakBefore w:val="0"/>
                    <w:widowControl w:val="0"/>
                    <w:kinsoku/>
                    <w:wordWrap/>
                    <w:overflowPunct/>
                    <w:topLinePunct w:val="0"/>
                    <w:autoSpaceDE/>
                    <w:autoSpaceDN/>
                    <w:bidi w:val="0"/>
                    <w:adjustRightInd w:val="0"/>
                    <w:snapToGrid w:val="0"/>
                    <w:spacing w:line="213"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合计</w:t>
                  </w:r>
                </w:p>
              </w:tc>
              <w:tc>
                <w:tcPr>
                  <w:tcW w:w="850" w:type="dxa"/>
                  <w:tcBorders>
                    <w:tl2br w:val="nil"/>
                    <w:tr2bl w:val="nil"/>
                  </w:tcBorders>
                  <w:noWrap w:val="0"/>
                  <w:vAlign w:val="center"/>
                </w:tcPr>
                <w:p w14:paraId="58E039CE">
                  <w:pPr>
                    <w:keepNext w:val="0"/>
                    <w:keepLines w:val="0"/>
                    <w:pageBreakBefore w:val="0"/>
                    <w:widowControl w:val="0"/>
                    <w:kinsoku/>
                    <w:wordWrap/>
                    <w:overflowPunct/>
                    <w:topLinePunct w:val="0"/>
                    <w:autoSpaceDE/>
                    <w:autoSpaceDN/>
                    <w:bidi w:val="0"/>
                    <w:adjustRightInd w:val="0"/>
                    <w:snapToGrid w:val="0"/>
                    <w:spacing w:line="184" w:lineRule="exact"/>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050" w:type="dxa"/>
                  <w:tcBorders>
                    <w:tl2br w:val="nil"/>
                    <w:tr2bl w:val="nil"/>
                  </w:tcBorders>
                  <w:noWrap w:val="0"/>
                  <w:vAlign w:val="center"/>
                </w:tcPr>
                <w:p w14:paraId="4CF9D415">
                  <w:pPr>
                    <w:pStyle w:val="106"/>
                    <w:keepNext w:val="0"/>
                    <w:keepLines w:val="0"/>
                    <w:pageBreakBefore w:val="0"/>
                    <w:widowControl w:val="0"/>
                    <w:kinsoku/>
                    <w:wordWrap/>
                    <w:overflowPunct/>
                    <w:topLinePunct w:val="0"/>
                    <w:autoSpaceDE/>
                    <w:autoSpaceDN/>
                    <w:bidi w:val="0"/>
                    <w:adjustRightInd w:val="0"/>
                    <w:snapToGrid w:val="0"/>
                    <w:spacing w:line="195"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2"/>
                      <w:sz w:val="21"/>
                      <w:szCs w:val="21"/>
                      <w:lang w:val="en-US" w:eastAsia="zh-CN"/>
                    </w:rPr>
                    <w:t>86</w:t>
                  </w:r>
                </w:p>
              </w:tc>
              <w:tc>
                <w:tcPr>
                  <w:tcW w:w="1060" w:type="dxa"/>
                  <w:tcBorders>
                    <w:tl2br w:val="nil"/>
                    <w:tr2bl w:val="nil"/>
                  </w:tcBorders>
                  <w:noWrap w:val="0"/>
                  <w:vAlign w:val="center"/>
                </w:tcPr>
                <w:p w14:paraId="4886E845">
                  <w:pPr>
                    <w:keepNext w:val="0"/>
                    <w:keepLines w:val="0"/>
                    <w:pageBreakBefore w:val="0"/>
                    <w:widowControl w:val="0"/>
                    <w:kinsoku/>
                    <w:wordWrap/>
                    <w:overflowPunct/>
                    <w:topLinePunct w:val="0"/>
                    <w:autoSpaceDE/>
                    <w:autoSpaceDN/>
                    <w:bidi w:val="0"/>
                    <w:adjustRightInd w:val="0"/>
                    <w:snapToGrid w:val="0"/>
                    <w:spacing w:line="184" w:lineRule="exact"/>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010" w:type="dxa"/>
                  <w:tcBorders>
                    <w:tl2br w:val="nil"/>
                    <w:tr2bl w:val="nil"/>
                  </w:tcBorders>
                  <w:noWrap w:val="0"/>
                  <w:vAlign w:val="center"/>
                </w:tcPr>
                <w:p w14:paraId="6C07188B">
                  <w:pPr>
                    <w:keepNext w:val="0"/>
                    <w:keepLines w:val="0"/>
                    <w:pageBreakBefore w:val="0"/>
                    <w:widowControl w:val="0"/>
                    <w:kinsoku/>
                    <w:wordWrap/>
                    <w:overflowPunct/>
                    <w:topLinePunct w:val="0"/>
                    <w:autoSpaceDE/>
                    <w:autoSpaceDN/>
                    <w:bidi w:val="0"/>
                    <w:adjustRightInd w:val="0"/>
                    <w:snapToGrid w:val="0"/>
                    <w:spacing w:line="184" w:lineRule="exact"/>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060" w:type="dxa"/>
                  <w:tcBorders>
                    <w:tl2br w:val="nil"/>
                    <w:tr2bl w:val="nil"/>
                  </w:tcBorders>
                  <w:noWrap w:val="0"/>
                  <w:vAlign w:val="center"/>
                </w:tcPr>
                <w:p w14:paraId="1CC3EE30">
                  <w:pPr>
                    <w:keepNext w:val="0"/>
                    <w:keepLines w:val="0"/>
                    <w:pageBreakBefore w:val="0"/>
                    <w:widowControl w:val="0"/>
                    <w:kinsoku/>
                    <w:wordWrap/>
                    <w:overflowPunct/>
                    <w:topLinePunct w:val="0"/>
                    <w:autoSpaceDE/>
                    <w:autoSpaceDN/>
                    <w:bidi w:val="0"/>
                    <w:adjustRightInd w:val="0"/>
                    <w:snapToGrid w:val="0"/>
                    <w:spacing w:line="184" w:lineRule="exact"/>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043" w:type="dxa"/>
                  <w:tcBorders>
                    <w:tl2br w:val="nil"/>
                    <w:tr2bl w:val="nil"/>
                  </w:tcBorders>
                  <w:noWrap w:val="0"/>
                  <w:vAlign w:val="center"/>
                </w:tcPr>
                <w:p w14:paraId="7A209D4F">
                  <w:pPr>
                    <w:keepNext w:val="0"/>
                    <w:keepLines w:val="0"/>
                    <w:pageBreakBefore w:val="0"/>
                    <w:widowControl w:val="0"/>
                    <w:kinsoku/>
                    <w:wordWrap/>
                    <w:overflowPunct/>
                    <w:topLinePunct w:val="0"/>
                    <w:autoSpaceDE/>
                    <w:autoSpaceDN/>
                    <w:bidi w:val="0"/>
                    <w:adjustRightInd w:val="0"/>
                    <w:snapToGrid w:val="0"/>
                    <w:spacing w:line="184" w:lineRule="exact"/>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14:paraId="4A6D59FF">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b/>
                <w:bCs/>
                <w:color w:val="auto"/>
                <w:sz w:val="24"/>
                <w:highlight w:val="none"/>
                <w:lang w:eastAsia="zh-CN"/>
              </w:rPr>
              <w:t>4.</w:t>
            </w:r>
            <w:r>
              <w:rPr>
                <w:rFonts w:hint="default" w:ascii="Times New Roman" w:hAnsi="Times New Roman" w:cs="Times New Roman"/>
                <w:b/>
                <w:bCs/>
                <w:color w:val="auto"/>
                <w:sz w:val="24"/>
                <w:highlight w:val="none"/>
              </w:rPr>
              <w:t>项目占地</w:t>
            </w:r>
          </w:p>
          <w:p w14:paraId="6F98C647">
            <w:pPr>
              <w:spacing w:line="360" w:lineRule="auto"/>
              <w:ind w:firstLine="480" w:firstLineChars="200"/>
              <w:rPr>
                <w:rFonts w:hint="default" w:ascii="Times New Roman" w:hAnsi="Times New Roman" w:cs="Times New Roman"/>
                <w:color w:val="auto"/>
                <w:highlight w:val="none"/>
              </w:rPr>
            </w:pPr>
            <w:bookmarkStart w:id="41" w:name="_Toc32402"/>
            <w:r>
              <w:rPr>
                <w:rFonts w:hint="default" w:ascii="Times New Roman" w:hAnsi="Times New Roman" w:cs="Times New Roman"/>
                <w:color w:val="auto"/>
                <w:sz w:val="24"/>
                <w:highlight w:val="none"/>
              </w:rPr>
              <w:t>项目占地包括永久占地</w:t>
            </w:r>
            <w:r>
              <w:rPr>
                <w:rFonts w:hint="default" w:ascii="Times New Roman" w:hAnsi="Times New Roman" w:cs="Times New Roman"/>
                <w:color w:val="auto"/>
                <w:sz w:val="24"/>
                <w:highlight w:val="none"/>
                <w:lang w:val="en-US" w:eastAsia="zh-CN"/>
              </w:rPr>
              <w:t>和</w:t>
            </w:r>
            <w:r>
              <w:rPr>
                <w:rFonts w:hint="default" w:ascii="Times New Roman" w:hAnsi="Times New Roman" w:cs="Times New Roman"/>
                <w:color w:val="auto"/>
                <w:sz w:val="24"/>
                <w:highlight w:val="none"/>
              </w:rPr>
              <w:t>临时占地，</w:t>
            </w:r>
            <w:r>
              <w:rPr>
                <w:rFonts w:hint="default" w:ascii="Times New Roman" w:hAnsi="Times New Roman" w:cs="Times New Roman"/>
                <w:color w:val="auto"/>
                <w:sz w:val="24"/>
                <w:highlight w:val="none"/>
                <w:lang w:val="en-US" w:eastAsia="zh-CN"/>
              </w:rPr>
              <w:t>根据土地复垦报告，</w:t>
            </w:r>
            <w:r>
              <w:rPr>
                <w:rFonts w:hint="default" w:ascii="Times New Roman" w:hAnsi="Times New Roman" w:cs="Times New Roman"/>
                <w:color w:val="auto"/>
                <w:sz w:val="24"/>
                <w:highlight w:val="none"/>
              </w:rPr>
              <w:t>总占地面积为</w:t>
            </w:r>
            <w:r>
              <w:rPr>
                <w:rFonts w:hint="default" w:ascii="Times New Roman" w:hAnsi="Times New Roman" w:cs="Times New Roman"/>
                <w:color w:val="auto"/>
                <w:sz w:val="24"/>
                <w:highlight w:val="none"/>
                <w:lang w:val="en-US" w:eastAsia="zh-CN"/>
              </w:rPr>
              <w:t>7.5510</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，其中永久占地为</w:t>
            </w:r>
            <w:r>
              <w:rPr>
                <w:rFonts w:hint="default" w:ascii="Times New Roman" w:hAnsi="Times New Roman" w:cs="Times New Roman"/>
                <w:color w:val="auto"/>
                <w:sz w:val="24"/>
                <w:highlight w:val="none"/>
                <w:lang w:val="en-US" w:eastAsia="zh-CN"/>
              </w:rPr>
              <w:t>0.3003</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，主要为塔基占地</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含线路抬高改造工程</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；临时占地为</w:t>
            </w:r>
            <w:r>
              <w:rPr>
                <w:rFonts w:hint="default" w:ascii="Times New Roman" w:hAnsi="Times New Roman" w:cs="Times New Roman"/>
                <w:color w:val="auto"/>
                <w:sz w:val="24"/>
                <w:highlight w:val="none"/>
                <w:lang w:val="en-US" w:eastAsia="zh-CN"/>
              </w:rPr>
              <w:t>7.2507</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，临时占地包括</w:t>
            </w:r>
            <w:r>
              <w:rPr>
                <w:rFonts w:hint="default" w:ascii="Times New Roman" w:hAnsi="Times New Roman" w:cs="Times New Roman"/>
                <w:color w:val="auto"/>
                <w:sz w:val="24"/>
                <w:highlight w:val="none"/>
                <w:lang w:val="en-US" w:eastAsia="zh-CN"/>
              </w:rPr>
              <w:t>跨越架</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农用地表土剥离堆放场</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z w:val="24"/>
                <w:highlight w:val="none"/>
                <w:lang w:val="en-US" w:eastAsia="zh-CN"/>
              </w:rPr>
              <w:t>牵张场、</w:t>
            </w:r>
            <w:r>
              <w:rPr>
                <w:rFonts w:hint="default" w:ascii="Times New Roman" w:hAnsi="Times New Roman" w:cs="Times New Roman"/>
                <w:color w:val="auto"/>
                <w:sz w:val="24"/>
                <w:highlight w:val="none"/>
              </w:rPr>
              <w:t>施工便道</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拓宽道路和</w:t>
            </w:r>
            <w:r>
              <w:rPr>
                <w:rFonts w:hint="default" w:ascii="Times New Roman" w:hAnsi="Times New Roman" w:eastAsia="宋体" w:cs="Times New Roman"/>
                <w:color w:val="auto"/>
                <w:sz w:val="24"/>
                <w:highlight w:val="none"/>
                <w:lang w:val="en-US" w:eastAsia="zh-CN"/>
              </w:rPr>
              <w:t>塔基施工作业区（含线路抬高改造工程塔基施工作业区）</w:t>
            </w:r>
            <w:r>
              <w:rPr>
                <w:rFonts w:hint="default" w:ascii="Times New Roman" w:hAnsi="Times New Roman" w:cs="Times New Roman"/>
                <w:color w:val="auto"/>
                <w:sz w:val="24"/>
                <w:highlight w:val="none"/>
              </w:rPr>
              <w:t>。</w:t>
            </w:r>
            <w:r>
              <w:rPr>
                <w:rFonts w:hint="default" w:ascii="Times New Roman" w:hAnsi="Times New Roman" w:cs="Times New Roman"/>
                <w:bCs/>
                <w:color w:val="auto"/>
                <w:sz w:val="24"/>
                <w:highlight w:val="none"/>
              </w:rPr>
              <w:t>本项目占地类型现状为</w:t>
            </w:r>
            <w:r>
              <w:rPr>
                <w:rFonts w:hint="default" w:ascii="Times New Roman" w:hAnsi="Times New Roman" w:cs="Times New Roman"/>
                <w:bCs/>
                <w:color w:val="auto"/>
                <w:sz w:val="24"/>
                <w:highlight w:val="none"/>
                <w:lang w:val="en-US" w:eastAsia="zh-CN"/>
              </w:rPr>
              <w:t>旱地、水浇地、灌木林地、乔木林地、其他</w:t>
            </w:r>
            <w:r>
              <w:rPr>
                <w:rFonts w:hint="default" w:ascii="Times New Roman" w:hAnsi="Times New Roman" w:eastAsia="宋体" w:cs="Times New Roman"/>
                <w:color w:val="auto"/>
                <w:sz w:val="24"/>
                <w:highlight w:val="none"/>
                <w:lang w:val="en-US" w:eastAsia="zh-CN"/>
              </w:rPr>
              <w:t>林地</w:t>
            </w:r>
            <w:bookmarkStart w:id="42" w:name="_Toc152582973"/>
            <w:bookmarkStart w:id="43" w:name="_Toc12026"/>
            <w:bookmarkStart w:id="44" w:name="_Toc7347"/>
            <w:r>
              <w:rPr>
                <w:rFonts w:hint="default" w:ascii="Times New Roman" w:hAnsi="Times New Roman" w:eastAsia="宋体" w:cs="Times New Roman"/>
                <w:color w:val="auto"/>
                <w:sz w:val="24"/>
                <w:highlight w:val="none"/>
                <w:lang w:val="en-US" w:eastAsia="zh-CN"/>
              </w:rPr>
              <w:t>、人工牧草地、天然牧草地、其他草地、果园和农村道路</w:t>
            </w:r>
            <w:r>
              <w:rPr>
                <w:rFonts w:hint="default" w:ascii="Times New Roman" w:hAnsi="Times New Roman" w:eastAsia="宋体" w:cs="Times New Roman"/>
                <w:bCs/>
                <w:color w:val="auto"/>
                <w:sz w:val="24"/>
                <w:highlight w:val="none"/>
                <w:lang w:eastAsia="zh-CN"/>
              </w:rPr>
              <w:t>，</w:t>
            </w:r>
            <w:r>
              <w:rPr>
                <w:rFonts w:hint="default" w:ascii="Times New Roman" w:hAnsi="Times New Roman" w:cs="Times New Roman"/>
                <w:color w:val="auto"/>
                <w:sz w:val="24"/>
                <w:highlight w:val="none"/>
              </w:rPr>
              <w:t>占地情况见表2-</w:t>
            </w:r>
            <w:r>
              <w:rPr>
                <w:rFonts w:hint="eastAsia" w:cs="Times New Roman"/>
                <w:color w:val="auto"/>
                <w:sz w:val="24"/>
                <w:highlight w:val="none"/>
                <w:lang w:val="en-US" w:eastAsia="zh-CN"/>
              </w:rPr>
              <w:t>6</w:t>
            </w:r>
            <w:r>
              <w:rPr>
                <w:rFonts w:hint="default" w:ascii="Times New Roman" w:hAnsi="Times New Roman" w:cs="Times New Roman"/>
                <w:color w:val="auto"/>
                <w:highlight w:val="none"/>
              </w:rPr>
              <w:t>。</w:t>
            </w:r>
            <w:bookmarkEnd w:id="41"/>
            <w:bookmarkEnd w:id="42"/>
            <w:bookmarkEnd w:id="43"/>
            <w:bookmarkEnd w:id="44"/>
          </w:p>
          <w:p w14:paraId="6CD632CF">
            <w:pPr>
              <w:spacing w:line="240" w:lineRule="auto"/>
              <w:jc w:val="center"/>
              <w:rPr>
                <w:rFonts w:hint="default" w:ascii="Times New Roman" w:hAnsi="Times New Roman" w:eastAsia="宋体" w:cs="Times New Roman"/>
                <w:b/>
                <w:bCs/>
                <w:color w:val="auto"/>
                <w:sz w:val="24"/>
                <w:highlight w:val="none"/>
              </w:rPr>
            </w:pPr>
            <w:bookmarkStart w:id="45" w:name="_Toc25021"/>
            <w:bookmarkStart w:id="46" w:name="_Toc12032"/>
            <w:bookmarkStart w:id="47" w:name="_Toc22993"/>
            <w:bookmarkStart w:id="48" w:name="_Toc152582974"/>
            <w:bookmarkStart w:id="49" w:name="_Toc17490"/>
            <w:r>
              <w:rPr>
                <w:rFonts w:hint="default" w:ascii="Times New Roman" w:hAnsi="Times New Roman" w:eastAsia="宋体" w:cs="Times New Roman"/>
                <w:b/>
                <w:bCs/>
                <w:color w:val="auto"/>
                <w:sz w:val="24"/>
                <w:highlight w:val="none"/>
              </w:rPr>
              <w:t>表2-</w:t>
            </w:r>
            <w:r>
              <w:rPr>
                <w:rFonts w:hint="eastAsia"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 xml:space="preserve"> 本项目占地情况一览表 </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单位：hm</w:t>
            </w:r>
            <w:r>
              <w:rPr>
                <w:rFonts w:hint="default" w:ascii="Times New Roman" w:hAnsi="Times New Roman" w:eastAsia="宋体" w:cs="Times New Roman"/>
                <w:b/>
                <w:bCs/>
                <w:color w:val="auto"/>
                <w:sz w:val="24"/>
                <w:highlight w:val="none"/>
                <w:vertAlign w:val="superscript"/>
              </w:rPr>
              <w:t>2</w:t>
            </w:r>
            <w:bookmarkEnd w:id="45"/>
            <w:bookmarkEnd w:id="46"/>
            <w:bookmarkEnd w:id="47"/>
            <w:bookmarkEnd w:id="48"/>
            <w:bookmarkEnd w:id="49"/>
          </w:p>
          <w:tbl>
            <w:tblPr>
              <w:tblStyle w:val="31"/>
              <w:tblW w:w="84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6"/>
              <w:gridCol w:w="1090"/>
              <w:gridCol w:w="805"/>
              <w:gridCol w:w="625"/>
              <w:gridCol w:w="663"/>
              <w:gridCol w:w="643"/>
              <w:gridCol w:w="759"/>
              <w:gridCol w:w="594"/>
              <w:gridCol w:w="632"/>
              <w:gridCol w:w="618"/>
              <w:gridCol w:w="491"/>
              <w:gridCol w:w="580"/>
              <w:gridCol w:w="580"/>
            </w:tblGrid>
            <w:tr w14:paraId="6514B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1" w:hRule="atLeast"/>
                <w:jc w:val="center"/>
              </w:trPr>
              <w:tc>
                <w:tcPr>
                  <w:tcW w:w="416" w:type="dxa"/>
                  <w:vMerge w:val="restart"/>
                  <w:tcBorders>
                    <w:top w:val="single" w:color="auto" w:sz="12" w:space="0"/>
                    <w:right w:val="nil"/>
                  </w:tcBorders>
                  <w:noWrap/>
                  <w:vAlign w:val="center"/>
                </w:tcPr>
                <w:p w14:paraId="0B3CAF2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占地</w:t>
                  </w:r>
                </w:p>
                <w:p w14:paraId="33A4E525">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sz w:val="18"/>
                      <w:szCs w:val="18"/>
                      <w:highlight w:val="none"/>
                      <w:u w:val="none"/>
                    </w:rPr>
                  </w:pPr>
                  <w:r>
                    <w:rPr>
                      <w:rFonts w:hint="default" w:ascii="Times New Roman" w:hAnsi="Times New Roman" w:eastAsia="宋体" w:cs="Times New Roman"/>
                      <w:b/>
                      <w:bCs/>
                      <w:i w:val="0"/>
                      <w:iCs w:val="0"/>
                      <w:color w:val="auto"/>
                      <w:kern w:val="0"/>
                      <w:sz w:val="18"/>
                      <w:szCs w:val="18"/>
                      <w:highlight w:val="none"/>
                      <w:u w:val="none"/>
                      <w:lang w:val="en-US" w:eastAsia="zh-CN" w:bidi="ar"/>
                    </w:rPr>
                    <w:t>类型</w:t>
                  </w:r>
                </w:p>
              </w:tc>
              <w:tc>
                <w:tcPr>
                  <w:tcW w:w="1090" w:type="dxa"/>
                  <w:vMerge w:val="restart"/>
                  <w:tcBorders>
                    <w:top w:val="single" w:color="auto" w:sz="12" w:space="0"/>
                    <w:left w:val="nil"/>
                  </w:tcBorders>
                  <w:noWrap/>
                  <w:vAlign w:val="center"/>
                </w:tcPr>
                <w:p w14:paraId="118960D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sz w:val="18"/>
                      <w:szCs w:val="18"/>
                      <w:highlight w:val="none"/>
                      <w:u w:val="none"/>
                    </w:rPr>
                  </w:pPr>
                  <w:r>
                    <w:rPr>
                      <w:rFonts w:hint="default" w:ascii="Times New Roman" w:hAnsi="Times New Roman" w:eastAsia="宋体" w:cs="Times New Roman"/>
                      <w:b/>
                      <w:bCs/>
                      <w:i w:val="0"/>
                      <w:iCs w:val="0"/>
                      <w:color w:val="auto"/>
                      <w:kern w:val="0"/>
                      <w:sz w:val="18"/>
                      <w:szCs w:val="18"/>
                      <w:highlight w:val="none"/>
                      <w:u w:val="none"/>
                      <w:lang w:val="en-US" w:eastAsia="zh-CN" w:bidi="ar"/>
                    </w:rPr>
                    <w:t>项目</w:t>
                  </w:r>
                </w:p>
              </w:tc>
              <w:tc>
                <w:tcPr>
                  <w:tcW w:w="1430" w:type="dxa"/>
                  <w:gridSpan w:val="2"/>
                  <w:tcBorders>
                    <w:top w:val="single" w:color="auto" w:sz="12" w:space="0"/>
                  </w:tcBorders>
                  <w:noWrap/>
                  <w:vAlign w:val="center"/>
                </w:tcPr>
                <w:p w14:paraId="2E5077B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耕地</w:t>
                  </w:r>
                </w:p>
              </w:tc>
              <w:tc>
                <w:tcPr>
                  <w:tcW w:w="2065" w:type="dxa"/>
                  <w:gridSpan w:val="3"/>
                  <w:tcBorders>
                    <w:top w:val="single" w:color="auto" w:sz="12" w:space="0"/>
                  </w:tcBorders>
                  <w:noWrap/>
                  <w:vAlign w:val="center"/>
                </w:tcPr>
                <w:p w14:paraId="5A90A23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林地</w:t>
                  </w:r>
                </w:p>
              </w:tc>
              <w:tc>
                <w:tcPr>
                  <w:tcW w:w="1844" w:type="dxa"/>
                  <w:gridSpan w:val="3"/>
                  <w:tcBorders>
                    <w:top w:val="single" w:color="auto" w:sz="12" w:space="0"/>
                  </w:tcBorders>
                  <w:noWrap/>
                  <w:vAlign w:val="center"/>
                </w:tcPr>
                <w:p w14:paraId="52BDB28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草地</w:t>
                  </w:r>
                </w:p>
              </w:tc>
              <w:tc>
                <w:tcPr>
                  <w:tcW w:w="491" w:type="dxa"/>
                  <w:tcBorders>
                    <w:top w:val="single" w:color="auto" w:sz="12" w:space="0"/>
                  </w:tcBorders>
                  <w:noWrap/>
                  <w:vAlign w:val="center"/>
                </w:tcPr>
                <w:p w14:paraId="00483955">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园地</w:t>
                  </w:r>
                </w:p>
              </w:tc>
              <w:tc>
                <w:tcPr>
                  <w:tcW w:w="580" w:type="dxa"/>
                  <w:tcBorders>
                    <w:top w:val="single" w:color="auto" w:sz="12" w:space="0"/>
                    <w:right w:val="nil"/>
                  </w:tcBorders>
                  <w:noWrap/>
                  <w:vAlign w:val="center"/>
                </w:tcPr>
                <w:p w14:paraId="0D59177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交通运输用地</w:t>
                  </w:r>
                </w:p>
              </w:tc>
              <w:tc>
                <w:tcPr>
                  <w:tcW w:w="580" w:type="dxa"/>
                  <w:vMerge w:val="restart"/>
                  <w:tcBorders>
                    <w:top w:val="single" w:color="auto" w:sz="12" w:space="0"/>
                    <w:right w:val="nil"/>
                  </w:tcBorders>
                  <w:noWrap/>
                  <w:vAlign w:val="center"/>
                </w:tcPr>
                <w:p w14:paraId="495150F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小计</w:t>
                  </w:r>
                </w:p>
              </w:tc>
            </w:tr>
            <w:tr w14:paraId="70815F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416" w:type="dxa"/>
                  <w:vMerge w:val="continue"/>
                  <w:tcBorders>
                    <w:right w:val="nil"/>
                  </w:tcBorders>
                  <w:noWrap/>
                  <w:vAlign w:val="center"/>
                </w:tcPr>
                <w:p w14:paraId="189274F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p>
              </w:tc>
              <w:tc>
                <w:tcPr>
                  <w:tcW w:w="1090" w:type="dxa"/>
                  <w:vMerge w:val="continue"/>
                  <w:tcBorders>
                    <w:left w:val="nil"/>
                  </w:tcBorders>
                  <w:noWrap/>
                  <w:vAlign w:val="center"/>
                </w:tcPr>
                <w:p w14:paraId="4587D42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sz w:val="18"/>
                      <w:szCs w:val="18"/>
                      <w:highlight w:val="none"/>
                      <w:u w:val="none"/>
                    </w:rPr>
                  </w:pPr>
                </w:p>
              </w:tc>
              <w:tc>
                <w:tcPr>
                  <w:tcW w:w="805" w:type="dxa"/>
                  <w:noWrap/>
                  <w:vAlign w:val="center"/>
                </w:tcPr>
                <w:p w14:paraId="0A1F156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color w:val="auto"/>
                      <w:sz w:val="18"/>
                      <w:szCs w:val="18"/>
                      <w:highlight w:val="none"/>
                      <w:lang w:val="en-US" w:eastAsia="zh-CN"/>
                    </w:rPr>
                    <w:t>旱地</w:t>
                  </w:r>
                </w:p>
              </w:tc>
              <w:tc>
                <w:tcPr>
                  <w:tcW w:w="625" w:type="dxa"/>
                  <w:noWrap/>
                  <w:vAlign w:val="center"/>
                </w:tcPr>
                <w:p w14:paraId="0C3FB44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color w:val="auto"/>
                      <w:sz w:val="18"/>
                      <w:szCs w:val="18"/>
                      <w:highlight w:val="none"/>
                      <w:lang w:val="en-US" w:eastAsia="zh-CN"/>
                    </w:rPr>
                    <w:t>水浇地</w:t>
                  </w:r>
                </w:p>
              </w:tc>
              <w:tc>
                <w:tcPr>
                  <w:tcW w:w="663" w:type="dxa"/>
                  <w:noWrap/>
                  <w:vAlign w:val="center"/>
                </w:tcPr>
                <w:p w14:paraId="282F690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color w:val="auto"/>
                      <w:sz w:val="18"/>
                      <w:szCs w:val="18"/>
                      <w:highlight w:val="none"/>
                      <w:lang w:val="en-US" w:eastAsia="zh-CN"/>
                    </w:rPr>
                    <w:t>灌木林地</w:t>
                  </w:r>
                </w:p>
              </w:tc>
              <w:tc>
                <w:tcPr>
                  <w:tcW w:w="643" w:type="dxa"/>
                  <w:noWrap/>
                  <w:vAlign w:val="center"/>
                </w:tcPr>
                <w:p w14:paraId="5990C5B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color w:val="auto"/>
                      <w:sz w:val="18"/>
                      <w:szCs w:val="18"/>
                      <w:highlight w:val="none"/>
                      <w:lang w:val="en-US" w:eastAsia="zh-CN"/>
                    </w:rPr>
                    <w:t>乔木林地</w:t>
                  </w:r>
                </w:p>
              </w:tc>
              <w:tc>
                <w:tcPr>
                  <w:tcW w:w="759" w:type="dxa"/>
                  <w:noWrap/>
                  <w:vAlign w:val="center"/>
                </w:tcPr>
                <w:p w14:paraId="07937D8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其他</w:t>
                  </w:r>
                </w:p>
                <w:p w14:paraId="041E54F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color w:val="auto"/>
                      <w:sz w:val="18"/>
                      <w:szCs w:val="18"/>
                      <w:highlight w:val="none"/>
                      <w:lang w:val="en-US" w:eastAsia="zh-CN"/>
                    </w:rPr>
                    <w:t>林地</w:t>
                  </w:r>
                </w:p>
              </w:tc>
              <w:tc>
                <w:tcPr>
                  <w:tcW w:w="594" w:type="dxa"/>
                  <w:noWrap/>
                  <w:vAlign w:val="center"/>
                </w:tcPr>
                <w:p w14:paraId="6C9BEAB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color w:val="auto"/>
                      <w:sz w:val="18"/>
                      <w:szCs w:val="18"/>
                      <w:highlight w:val="none"/>
                      <w:lang w:val="en-US" w:eastAsia="zh-CN"/>
                    </w:rPr>
                    <w:t>人工牧草地</w:t>
                  </w:r>
                </w:p>
              </w:tc>
              <w:tc>
                <w:tcPr>
                  <w:tcW w:w="632" w:type="dxa"/>
                  <w:noWrap/>
                  <w:vAlign w:val="center"/>
                </w:tcPr>
                <w:p w14:paraId="1C243E95">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color w:val="auto"/>
                      <w:sz w:val="18"/>
                      <w:szCs w:val="18"/>
                      <w:highlight w:val="none"/>
                      <w:lang w:val="en-US" w:eastAsia="zh-CN"/>
                    </w:rPr>
                    <w:t>天然牧草地</w:t>
                  </w:r>
                </w:p>
              </w:tc>
              <w:tc>
                <w:tcPr>
                  <w:tcW w:w="618" w:type="dxa"/>
                  <w:noWrap/>
                  <w:vAlign w:val="center"/>
                </w:tcPr>
                <w:p w14:paraId="01FA7F2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其他</w:t>
                  </w:r>
                </w:p>
                <w:p w14:paraId="32F9942F">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草地</w:t>
                  </w:r>
                </w:p>
              </w:tc>
              <w:tc>
                <w:tcPr>
                  <w:tcW w:w="491" w:type="dxa"/>
                  <w:noWrap/>
                  <w:vAlign w:val="center"/>
                </w:tcPr>
                <w:p w14:paraId="13434F6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color w:val="auto"/>
                      <w:sz w:val="18"/>
                      <w:szCs w:val="18"/>
                      <w:highlight w:val="none"/>
                      <w:lang w:val="en-US" w:eastAsia="zh-CN"/>
                    </w:rPr>
                    <w:t>果园</w:t>
                  </w:r>
                </w:p>
              </w:tc>
              <w:tc>
                <w:tcPr>
                  <w:tcW w:w="580" w:type="dxa"/>
                  <w:tcBorders>
                    <w:right w:val="nil"/>
                  </w:tcBorders>
                  <w:noWrap/>
                  <w:vAlign w:val="center"/>
                </w:tcPr>
                <w:p w14:paraId="23F7743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农村</w:t>
                  </w:r>
                </w:p>
                <w:p w14:paraId="7358EA3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highlight w:val="none"/>
                      <w:u w:val="none"/>
                      <w:lang w:val="en-US" w:eastAsia="zh-CN" w:bidi="ar"/>
                    </w:rPr>
                    <w:t>道路</w:t>
                  </w:r>
                </w:p>
              </w:tc>
              <w:tc>
                <w:tcPr>
                  <w:tcW w:w="580" w:type="dxa"/>
                  <w:vMerge w:val="continue"/>
                  <w:tcBorders>
                    <w:right w:val="nil"/>
                  </w:tcBorders>
                  <w:noWrap/>
                  <w:vAlign w:val="center"/>
                </w:tcPr>
                <w:p w14:paraId="74B9F13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p>
              </w:tc>
            </w:tr>
            <w:tr w14:paraId="53DA84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16" w:type="dxa"/>
                  <w:vMerge w:val="restart"/>
                  <w:tcBorders>
                    <w:right w:val="nil"/>
                  </w:tcBorders>
                  <w:noWrap/>
                  <w:vAlign w:val="center"/>
                </w:tcPr>
                <w:p w14:paraId="739FB4C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永久</w:t>
                  </w:r>
                </w:p>
                <w:p w14:paraId="22D69DA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占地</w:t>
                  </w:r>
                </w:p>
              </w:tc>
              <w:tc>
                <w:tcPr>
                  <w:tcW w:w="1090" w:type="dxa"/>
                  <w:tcBorders>
                    <w:left w:val="nil"/>
                  </w:tcBorders>
                  <w:noWrap/>
                  <w:vAlign w:val="center"/>
                </w:tcPr>
                <w:p w14:paraId="689B638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eastAsia"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塔基占地</w:t>
                  </w:r>
                  <w:r>
                    <w:rPr>
                      <w:rFonts w:hint="eastAsia" w:cs="Times New Roman"/>
                      <w:i w:val="0"/>
                      <w:iCs w:val="0"/>
                      <w:color w:val="auto"/>
                      <w:kern w:val="0"/>
                      <w:sz w:val="18"/>
                      <w:szCs w:val="18"/>
                      <w:highlight w:val="none"/>
                      <w:u w:val="none"/>
                      <w:lang w:val="en-US" w:eastAsia="zh-CN" w:bidi="ar"/>
                    </w:rPr>
                    <w:t>（含线路抬高改造工程）</w:t>
                  </w:r>
                </w:p>
              </w:tc>
              <w:tc>
                <w:tcPr>
                  <w:tcW w:w="805" w:type="dxa"/>
                  <w:noWrap/>
                  <w:vAlign w:val="center"/>
                </w:tcPr>
                <w:p w14:paraId="5E868DF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0.0853</w:t>
                  </w:r>
                </w:p>
              </w:tc>
              <w:tc>
                <w:tcPr>
                  <w:tcW w:w="625" w:type="dxa"/>
                  <w:noWrap/>
                  <w:vAlign w:val="center"/>
                </w:tcPr>
                <w:p w14:paraId="034B340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0.0048</w:t>
                  </w:r>
                </w:p>
              </w:tc>
              <w:tc>
                <w:tcPr>
                  <w:tcW w:w="663" w:type="dxa"/>
                  <w:noWrap/>
                  <w:vAlign w:val="center"/>
                </w:tcPr>
                <w:p w14:paraId="1B274E1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0.1188</w:t>
                  </w:r>
                </w:p>
              </w:tc>
              <w:tc>
                <w:tcPr>
                  <w:tcW w:w="643" w:type="dxa"/>
                  <w:noWrap/>
                  <w:vAlign w:val="center"/>
                </w:tcPr>
                <w:p w14:paraId="299C60E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0.0348</w:t>
                  </w:r>
                </w:p>
              </w:tc>
              <w:tc>
                <w:tcPr>
                  <w:tcW w:w="759" w:type="dxa"/>
                  <w:noWrap/>
                  <w:vAlign w:val="center"/>
                </w:tcPr>
                <w:p w14:paraId="5AB73AA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0.0273</w:t>
                  </w:r>
                </w:p>
              </w:tc>
              <w:tc>
                <w:tcPr>
                  <w:tcW w:w="594" w:type="dxa"/>
                  <w:noWrap/>
                  <w:vAlign w:val="center"/>
                </w:tcPr>
                <w:p w14:paraId="495ED72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0.0031</w:t>
                  </w:r>
                </w:p>
              </w:tc>
              <w:tc>
                <w:tcPr>
                  <w:tcW w:w="632" w:type="dxa"/>
                  <w:noWrap/>
                  <w:vAlign w:val="center"/>
                </w:tcPr>
                <w:p w14:paraId="64E6E02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0.022</w:t>
                  </w:r>
                </w:p>
              </w:tc>
              <w:tc>
                <w:tcPr>
                  <w:tcW w:w="618" w:type="dxa"/>
                  <w:noWrap/>
                  <w:vAlign w:val="center"/>
                </w:tcPr>
                <w:p w14:paraId="044B8B8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491" w:type="dxa"/>
                  <w:noWrap/>
                  <w:vAlign w:val="center"/>
                </w:tcPr>
                <w:p w14:paraId="1AC1593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0.0031</w:t>
                  </w:r>
                </w:p>
              </w:tc>
              <w:tc>
                <w:tcPr>
                  <w:tcW w:w="580" w:type="dxa"/>
                  <w:tcBorders>
                    <w:right w:val="nil"/>
                  </w:tcBorders>
                  <w:noWrap/>
                  <w:vAlign w:val="center"/>
                </w:tcPr>
                <w:p w14:paraId="1EA307A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0.0011</w:t>
                  </w:r>
                </w:p>
              </w:tc>
              <w:tc>
                <w:tcPr>
                  <w:tcW w:w="580" w:type="dxa"/>
                  <w:tcBorders>
                    <w:right w:val="nil"/>
                  </w:tcBorders>
                  <w:noWrap/>
                  <w:vAlign w:val="center"/>
                </w:tcPr>
                <w:p w14:paraId="0A56CD0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0.3003</w:t>
                  </w:r>
                </w:p>
              </w:tc>
            </w:tr>
            <w:tr w14:paraId="62678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16" w:type="dxa"/>
                  <w:vMerge w:val="continue"/>
                  <w:tcBorders>
                    <w:right w:val="nil"/>
                  </w:tcBorders>
                  <w:noWrap/>
                  <w:vAlign w:val="center"/>
                </w:tcPr>
                <w:p w14:paraId="52E6D11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1090" w:type="dxa"/>
                  <w:tcBorders>
                    <w:left w:val="nil"/>
                  </w:tcBorders>
                  <w:noWrap/>
                  <w:vAlign w:val="center"/>
                </w:tcPr>
                <w:p w14:paraId="35A3A10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eastAsia" w:cs="Times New Roman"/>
                      <w:color w:val="auto"/>
                      <w:sz w:val="18"/>
                      <w:szCs w:val="18"/>
                      <w:highlight w:val="none"/>
                      <w:lang w:val="en-US" w:eastAsia="zh-CN"/>
                    </w:rPr>
                  </w:pPr>
                  <w:r>
                    <w:rPr>
                      <w:rFonts w:hint="default" w:ascii="Times New Roman" w:hAnsi="Times New Roman" w:eastAsia="宋体" w:cs="Times New Roman"/>
                      <w:b/>
                      <w:bCs/>
                      <w:i w:val="0"/>
                      <w:iCs w:val="0"/>
                      <w:color w:val="auto"/>
                      <w:kern w:val="0"/>
                      <w:sz w:val="18"/>
                      <w:szCs w:val="18"/>
                      <w:highlight w:val="none"/>
                      <w:u w:val="none"/>
                      <w:lang w:val="en-US" w:eastAsia="zh-CN" w:bidi="ar"/>
                    </w:rPr>
                    <w:t>小计</w:t>
                  </w:r>
                </w:p>
              </w:tc>
              <w:tc>
                <w:tcPr>
                  <w:tcW w:w="805" w:type="dxa"/>
                  <w:noWrap/>
                  <w:vAlign w:val="center"/>
                </w:tcPr>
                <w:p w14:paraId="5F56E2E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0.0853</w:t>
                  </w:r>
                </w:p>
              </w:tc>
              <w:tc>
                <w:tcPr>
                  <w:tcW w:w="625" w:type="dxa"/>
                  <w:noWrap/>
                  <w:vAlign w:val="center"/>
                </w:tcPr>
                <w:p w14:paraId="0AB5D81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0.0048</w:t>
                  </w:r>
                </w:p>
              </w:tc>
              <w:tc>
                <w:tcPr>
                  <w:tcW w:w="663" w:type="dxa"/>
                  <w:noWrap/>
                  <w:vAlign w:val="center"/>
                </w:tcPr>
                <w:p w14:paraId="386021C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0.1188</w:t>
                  </w:r>
                </w:p>
              </w:tc>
              <w:tc>
                <w:tcPr>
                  <w:tcW w:w="643" w:type="dxa"/>
                  <w:noWrap/>
                  <w:vAlign w:val="center"/>
                </w:tcPr>
                <w:p w14:paraId="6D78AD6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0.0348</w:t>
                  </w:r>
                </w:p>
              </w:tc>
              <w:tc>
                <w:tcPr>
                  <w:tcW w:w="759" w:type="dxa"/>
                  <w:noWrap/>
                  <w:vAlign w:val="center"/>
                </w:tcPr>
                <w:p w14:paraId="717F294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0.0273</w:t>
                  </w:r>
                </w:p>
              </w:tc>
              <w:tc>
                <w:tcPr>
                  <w:tcW w:w="594" w:type="dxa"/>
                  <w:noWrap/>
                  <w:vAlign w:val="center"/>
                </w:tcPr>
                <w:p w14:paraId="12B33B4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0.0031</w:t>
                  </w:r>
                </w:p>
              </w:tc>
              <w:tc>
                <w:tcPr>
                  <w:tcW w:w="632" w:type="dxa"/>
                  <w:noWrap/>
                  <w:vAlign w:val="center"/>
                </w:tcPr>
                <w:p w14:paraId="5286DF7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0.022</w:t>
                  </w:r>
                </w:p>
              </w:tc>
              <w:tc>
                <w:tcPr>
                  <w:tcW w:w="618" w:type="dxa"/>
                  <w:noWrap/>
                  <w:vAlign w:val="center"/>
                </w:tcPr>
                <w:p w14:paraId="3875967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491" w:type="dxa"/>
                  <w:noWrap/>
                  <w:vAlign w:val="center"/>
                </w:tcPr>
                <w:p w14:paraId="3131F06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0.0031</w:t>
                  </w:r>
                </w:p>
              </w:tc>
              <w:tc>
                <w:tcPr>
                  <w:tcW w:w="580" w:type="dxa"/>
                  <w:tcBorders>
                    <w:right w:val="nil"/>
                  </w:tcBorders>
                  <w:noWrap/>
                  <w:vAlign w:val="center"/>
                </w:tcPr>
                <w:p w14:paraId="7F90D3A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0.0011</w:t>
                  </w:r>
                </w:p>
              </w:tc>
              <w:tc>
                <w:tcPr>
                  <w:tcW w:w="580" w:type="dxa"/>
                  <w:tcBorders>
                    <w:right w:val="nil"/>
                  </w:tcBorders>
                  <w:noWrap/>
                  <w:vAlign w:val="center"/>
                </w:tcPr>
                <w:p w14:paraId="5DB3A88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0.3003</w:t>
                  </w:r>
                </w:p>
              </w:tc>
            </w:tr>
            <w:tr w14:paraId="46AA5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16" w:type="dxa"/>
                  <w:vMerge w:val="restart"/>
                  <w:tcBorders>
                    <w:right w:val="nil"/>
                  </w:tcBorders>
                  <w:noWrap/>
                  <w:vAlign w:val="center"/>
                </w:tcPr>
                <w:p w14:paraId="6266898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临时</w:t>
                  </w:r>
                </w:p>
                <w:p w14:paraId="77B78F8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占地</w:t>
                  </w:r>
                </w:p>
              </w:tc>
              <w:tc>
                <w:tcPr>
                  <w:tcW w:w="1090" w:type="dxa"/>
                  <w:tcBorders>
                    <w:left w:val="nil"/>
                  </w:tcBorders>
                  <w:noWrap/>
                  <w:vAlign w:val="center"/>
                </w:tcPr>
                <w:p w14:paraId="775F596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跨越架</w:t>
                  </w:r>
                </w:p>
                <w:p w14:paraId="60794B4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eastAsia" w:cs="Times New Roman"/>
                      <w:color w:val="auto"/>
                      <w:sz w:val="18"/>
                      <w:szCs w:val="18"/>
                      <w:highlight w:val="none"/>
                      <w:lang w:val="en-US" w:eastAsia="zh-CN"/>
                    </w:rPr>
                    <w:t>（11处）</w:t>
                  </w:r>
                </w:p>
              </w:tc>
              <w:tc>
                <w:tcPr>
                  <w:tcW w:w="805" w:type="dxa"/>
                  <w:noWrap/>
                  <w:vAlign w:val="center"/>
                </w:tcPr>
                <w:p w14:paraId="68304CD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0.0325</w:t>
                  </w:r>
                </w:p>
              </w:tc>
              <w:tc>
                <w:tcPr>
                  <w:tcW w:w="625" w:type="dxa"/>
                  <w:noWrap/>
                  <w:vAlign w:val="center"/>
                </w:tcPr>
                <w:p w14:paraId="5DF109D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w:t>
                  </w:r>
                </w:p>
              </w:tc>
              <w:tc>
                <w:tcPr>
                  <w:tcW w:w="663" w:type="dxa"/>
                  <w:noWrap/>
                  <w:vAlign w:val="center"/>
                </w:tcPr>
                <w:p w14:paraId="0185AD8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0.036</w:t>
                  </w:r>
                </w:p>
              </w:tc>
              <w:tc>
                <w:tcPr>
                  <w:tcW w:w="643" w:type="dxa"/>
                  <w:noWrap/>
                  <w:vAlign w:val="center"/>
                </w:tcPr>
                <w:p w14:paraId="3F4B86A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w:t>
                  </w:r>
                </w:p>
              </w:tc>
              <w:tc>
                <w:tcPr>
                  <w:tcW w:w="759" w:type="dxa"/>
                  <w:noWrap/>
                  <w:vAlign w:val="center"/>
                </w:tcPr>
                <w:p w14:paraId="7C71B59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0.0072</w:t>
                  </w:r>
                </w:p>
              </w:tc>
              <w:tc>
                <w:tcPr>
                  <w:tcW w:w="594" w:type="dxa"/>
                  <w:noWrap/>
                  <w:vAlign w:val="center"/>
                </w:tcPr>
                <w:p w14:paraId="3B911EC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w:t>
                  </w:r>
                </w:p>
              </w:tc>
              <w:tc>
                <w:tcPr>
                  <w:tcW w:w="632" w:type="dxa"/>
                  <w:noWrap/>
                  <w:vAlign w:val="center"/>
                </w:tcPr>
                <w:p w14:paraId="32A0D88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0.0032</w:t>
                  </w:r>
                </w:p>
              </w:tc>
              <w:tc>
                <w:tcPr>
                  <w:tcW w:w="618" w:type="dxa"/>
                  <w:noWrap/>
                  <w:vAlign w:val="center"/>
                </w:tcPr>
                <w:p w14:paraId="5ABA076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w:t>
                  </w:r>
                </w:p>
              </w:tc>
              <w:tc>
                <w:tcPr>
                  <w:tcW w:w="491" w:type="dxa"/>
                  <w:noWrap/>
                  <w:vAlign w:val="center"/>
                </w:tcPr>
                <w:p w14:paraId="61A686F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w:t>
                  </w:r>
                </w:p>
              </w:tc>
              <w:tc>
                <w:tcPr>
                  <w:tcW w:w="580" w:type="dxa"/>
                  <w:tcBorders>
                    <w:right w:val="nil"/>
                  </w:tcBorders>
                  <w:noWrap/>
                  <w:vAlign w:val="center"/>
                </w:tcPr>
                <w:p w14:paraId="537013B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0.0003</w:t>
                  </w:r>
                </w:p>
              </w:tc>
              <w:tc>
                <w:tcPr>
                  <w:tcW w:w="580" w:type="dxa"/>
                  <w:tcBorders>
                    <w:right w:val="nil"/>
                  </w:tcBorders>
                  <w:noWrap/>
                  <w:vAlign w:val="center"/>
                </w:tcPr>
                <w:p w14:paraId="16A199D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0.0792</w:t>
                  </w:r>
                </w:p>
              </w:tc>
            </w:tr>
            <w:tr w14:paraId="455740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16" w:type="dxa"/>
                  <w:vMerge w:val="continue"/>
                  <w:tcBorders>
                    <w:right w:val="nil"/>
                  </w:tcBorders>
                  <w:noWrap/>
                  <w:vAlign w:val="center"/>
                </w:tcPr>
                <w:p w14:paraId="1AE6F2C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p>
              </w:tc>
              <w:tc>
                <w:tcPr>
                  <w:tcW w:w="1090" w:type="dxa"/>
                  <w:tcBorders>
                    <w:left w:val="nil"/>
                  </w:tcBorders>
                  <w:noWrap/>
                  <w:vAlign w:val="center"/>
                </w:tcPr>
                <w:p w14:paraId="39D4E81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cs="Times New Roman"/>
                      <w:color w:val="auto"/>
                      <w:sz w:val="18"/>
                      <w:szCs w:val="18"/>
                      <w:highlight w:val="none"/>
                      <w:lang w:val="en-US" w:eastAsia="zh-CN"/>
                    </w:rPr>
                    <w:t>农用地表土剥离堆放场</w:t>
                  </w:r>
                </w:p>
              </w:tc>
              <w:tc>
                <w:tcPr>
                  <w:tcW w:w="805" w:type="dxa"/>
                  <w:noWrap/>
                  <w:vAlign w:val="center"/>
                </w:tcPr>
                <w:p w14:paraId="590F914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0.2558</w:t>
                  </w:r>
                </w:p>
              </w:tc>
              <w:tc>
                <w:tcPr>
                  <w:tcW w:w="625" w:type="dxa"/>
                  <w:noWrap/>
                  <w:vAlign w:val="center"/>
                </w:tcPr>
                <w:p w14:paraId="1AC0555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0.0035</w:t>
                  </w:r>
                </w:p>
              </w:tc>
              <w:tc>
                <w:tcPr>
                  <w:tcW w:w="663" w:type="dxa"/>
                  <w:noWrap/>
                  <w:vAlign w:val="center"/>
                </w:tcPr>
                <w:p w14:paraId="7165D33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0.3738</w:t>
                  </w:r>
                </w:p>
              </w:tc>
              <w:tc>
                <w:tcPr>
                  <w:tcW w:w="643" w:type="dxa"/>
                  <w:noWrap/>
                  <w:vAlign w:val="center"/>
                </w:tcPr>
                <w:p w14:paraId="521B4CD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0.1022</w:t>
                  </w:r>
                </w:p>
              </w:tc>
              <w:tc>
                <w:tcPr>
                  <w:tcW w:w="759" w:type="dxa"/>
                  <w:noWrap/>
                  <w:vAlign w:val="center"/>
                </w:tcPr>
                <w:p w14:paraId="4CAF4D2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0.1299</w:t>
                  </w:r>
                </w:p>
              </w:tc>
              <w:tc>
                <w:tcPr>
                  <w:tcW w:w="594" w:type="dxa"/>
                  <w:noWrap/>
                  <w:vAlign w:val="center"/>
                </w:tcPr>
                <w:p w14:paraId="075024D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0.0047</w:t>
                  </w:r>
                </w:p>
              </w:tc>
              <w:tc>
                <w:tcPr>
                  <w:tcW w:w="632" w:type="dxa"/>
                  <w:noWrap/>
                  <w:vAlign w:val="center"/>
                </w:tcPr>
                <w:p w14:paraId="3168727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0.0877</w:t>
                  </w:r>
                </w:p>
              </w:tc>
              <w:tc>
                <w:tcPr>
                  <w:tcW w:w="618" w:type="dxa"/>
                  <w:noWrap/>
                  <w:vAlign w:val="center"/>
                </w:tcPr>
                <w:p w14:paraId="69033A6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0.0036</w:t>
                  </w:r>
                </w:p>
              </w:tc>
              <w:tc>
                <w:tcPr>
                  <w:tcW w:w="491" w:type="dxa"/>
                  <w:noWrap/>
                  <w:vAlign w:val="center"/>
                </w:tcPr>
                <w:p w14:paraId="5D60BDF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0.0079</w:t>
                  </w:r>
                </w:p>
              </w:tc>
              <w:tc>
                <w:tcPr>
                  <w:tcW w:w="580" w:type="dxa"/>
                  <w:tcBorders>
                    <w:right w:val="nil"/>
                  </w:tcBorders>
                  <w:noWrap/>
                  <w:vAlign w:val="center"/>
                </w:tcPr>
                <w:p w14:paraId="31A3CFE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0.0013</w:t>
                  </w:r>
                </w:p>
              </w:tc>
              <w:tc>
                <w:tcPr>
                  <w:tcW w:w="580" w:type="dxa"/>
                  <w:tcBorders>
                    <w:right w:val="nil"/>
                  </w:tcBorders>
                  <w:noWrap/>
                  <w:vAlign w:val="center"/>
                </w:tcPr>
                <w:p w14:paraId="0F19334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2"/>
                      <w:sz w:val="18"/>
                      <w:szCs w:val="18"/>
                      <w:highlight w:val="none"/>
                      <w:u w:val="none"/>
                      <w:lang w:val="en-US" w:eastAsia="zh-CN" w:bidi="ar-SA"/>
                    </w:rPr>
                    <w:t>0.9704</w:t>
                  </w:r>
                </w:p>
              </w:tc>
            </w:tr>
            <w:tr w14:paraId="777BAC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16" w:type="dxa"/>
                  <w:vMerge w:val="continue"/>
                  <w:tcBorders>
                    <w:right w:val="nil"/>
                  </w:tcBorders>
                  <w:noWrap/>
                  <w:vAlign w:val="center"/>
                </w:tcPr>
                <w:p w14:paraId="68E7284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p>
              </w:tc>
              <w:tc>
                <w:tcPr>
                  <w:tcW w:w="1090" w:type="dxa"/>
                  <w:tcBorders>
                    <w:left w:val="nil"/>
                  </w:tcBorders>
                  <w:noWrap/>
                  <w:vAlign w:val="center"/>
                </w:tcPr>
                <w:p w14:paraId="1698EAE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牵张场</w:t>
                  </w:r>
                </w:p>
                <w:p w14:paraId="7E48693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color w:val="auto"/>
                      <w:sz w:val="18"/>
                      <w:szCs w:val="18"/>
                      <w:highlight w:val="none"/>
                      <w:lang w:val="en-US" w:eastAsia="zh-CN"/>
                    </w:rPr>
                    <w:t>（6处）</w:t>
                  </w:r>
                </w:p>
              </w:tc>
              <w:tc>
                <w:tcPr>
                  <w:tcW w:w="805" w:type="dxa"/>
                  <w:noWrap/>
                  <w:vAlign w:val="center"/>
                </w:tcPr>
                <w:p w14:paraId="747313F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0.2721</w:t>
                  </w:r>
                </w:p>
              </w:tc>
              <w:tc>
                <w:tcPr>
                  <w:tcW w:w="625" w:type="dxa"/>
                  <w:noWrap/>
                  <w:vAlign w:val="center"/>
                </w:tcPr>
                <w:p w14:paraId="4C7394F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663" w:type="dxa"/>
                  <w:noWrap/>
                  <w:vAlign w:val="center"/>
                </w:tcPr>
                <w:p w14:paraId="6CCE55F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0.1481</w:t>
                  </w:r>
                </w:p>
              </w:tc>
              <w:tc>
                <w:tcPr>
                  <w:tcW w:w="643" w:type="dxa"/>
                  <w:noWrap/>
                  <w:vAlign w:val="center"/>
                </w:tcPr>
                <w:p w14:paraId="2A85924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759" w:type="dxa"/>
                  <w:noWrap/>
                  <w:vAlign w:val="center"/>
                </w:tcPr>
                <w:p w14:paraId="28A4569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594" w:type="dxa"/>
                  <w:noWrap/>
                  <w:vAlign w:val="center"/>
                </w:tcPr>
                <w:p w14:paraId="4F0E853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632" w:type="dxa"/>
                  <w:noWrap/>
                  <w:vAlign w:val="center"/>
                </w:tcPr>
                <w:p w14:paraId="173E8D2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618" w:type="dxa"/>
                  <w:noWrap/>
                  <w:vAlign w:val="center"/>
                </w:tcPr>
                <w:p w14:paraId="440CA8E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491" w:type="dxa"/>
                  <w:noWrap/>
                  <w:vAlign w:val="center"/>
                </w:tcPr>
                <w:p w14:paraId="38C7DED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580" w:type="dxa"/>
                  <w:tcBorders>
                    <w:right w:val="nil"/>
                  </w:tcBorders>
                  <w:noWrap/>
                  <w:vAlign w:val="center"/>
                </w:tcPr>
                <w:p w14:paraId="506A577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580" w:type="dxa"/>
                  <w:tcBorders>
                    <w:right w:val="nil"/>
                  </w:tcBorders>
                  <w:noWrap/>
                  <w:vAlign w:val="center"/>
                </w:tcPr>
                <w:p w14:paraId="0FE47EA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0.4202</w:t>
                  </w:r>
                </w:p>
              </w:tc>
            </w:tr>
            <w:tr w14:paraId="73A52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16" w:type="dxa"/>
                  <w:vMerge w:val="continue"/>
                  <w:tcBorders>
                    <w:right w:val="nil"/>
                  </w:tcBorders>
                  <w:noWrap/>
                  <w:vAlign w:val="center"/>
                </w:tcPr>
                <w:p w14:paraId="399D71F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p>
              </w:tc>
              <w:tc>
                <w:tcPr>
                  <w:tcW w:w="1090" w:type="dxa"/>
                  <w:tcBorders>
                    <w:left w:val="nil"/>
                  </w:tcBorders>
                  <w:noWrap/>
                  <w:vAlign w:val="center"/>
                </w:tcPr>
                <w:p w14:paraId="6AB7E0D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cs="Times New Roman"/>
                      <w:color w:val="auto"/>
                      <w:sz w:val="18"/>
                      <w:szCs w:val="18"/>
                      <w:highlight w:val="none"/>
                    </w:rPr>
                    <w:t>施工便道</w:t>
                  </w:r>
                </w:p>
              </w:tc>
              <w:tc>
                <w:tcPr>
                  <w:tcW w:w="805" w:type="dxa"/>
                  <w:noWrap/>
                  <w:vAlign w:val="center"/>
                </w:tcPr>
                <w:p w14:paraId="77EEEED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0.8822</w:t>
                  </w:r>
                </w:p>
              </w:tc>
              <w:tc>
                <w:tcPr>
                  <w:tcW w:w="625" w:type="dxa"/>
                  <w:noWrap/>
                  <w:vAlign w:val="center"/>
                </w:tcPr>
                <w:p w14:paraId="0739A91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663" w:type="dxa"/>
                  <w:noWrap/>
                  <w:vAlign w:val="center"/>
                </w:tcPr>
                <w:p w14:paraId="57D7BE1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1.4198</w:t>
                  </w:r>
                </w:p>
              </w:tc>
              <w:tc>
                <w:tcPr>
                  <w:tcW w:w="643" w:type="dxa"/>
                  <w:noWrap/>
                  <w:vAlign w:val="center"/>
                </w:tcPr>
                <w:p w14:paraId="4B18FA0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0.3605</w:t>
                  </w:r>
                </w:p>
              </w:tc>
              <w:tc>
                <w:tcPr>
                  <w:tcW w:w="759" w:type="dxa"/>
                  <w:noWrap/>
                  <w:vAlign w:val="center"/>
                </w:tcPr>
                <w:p w14:paraId="5C1EEEC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0.7451</w:t>
                  </w:r>
                </w:p>
              </w:tc>
              <w:tc>
                <w:tcPr>
                  <w:tcW w:w="594" w:type="dxa"/>
                  <w:noWrap/>
                  <w:vAlign w:val="center"/>
                </w:tcPr>
                <w:p w14:paraId="51F9A08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0.0018</w:t>
                  </w:r>
                </w:p>
              </w:tc>
              <w:tc>
                <w:tcPr>
                  <w:tcW w:w="632" w:type="dxa"/>
                  <w:noWrap/>
                  <w:vAlign w:val="center"/>
                </w:tcPr>
                <w:p w14:paraId="508F1FE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0.3276</w:t>
                  </w:r>
                </w:p>
              </w:tc>
              <w:tc>
                <w:tcPr>
                  <w:tcW w:w="618" w:type="dxa"/>
                  <w:noWrap/>
                  <w:vAlign w:val="center"/>
                </w:tcPr>
                <w:p w14:paraId="4D0EF2E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0.0239</w:t>
                  </w:r>
                </w:p>
              </w:tc>
              <w:tc>
                <w:tcPr>
                  <w:tcW w:w="491" w:type="dxa"/>
                  <w:noWrap/>
                  <w:vAlign w:val="center"/>
                </w:tcPr>
                <w:p w14:paraId="1D4FB67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0.0205</w:t>
                  </w:r>
                </w:p>
              </w:tc>
              <w:tc>
                <w:tcPr>
                  <w:tcW w:w="580" w:type="dxa"/>
                  <w:tcBorders>
                    <w:right w:val="nil"/>
                  </w:tcBorders>
                  <w:noWrap/>
                  <w:vAlign w:val="center"/>
                </w:tcPr>
                <w:p w14:paraId="33BB544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0.0046</w:t>
                  </w:r>
                </w:p>
              </w:tc>
              <w:tc>
                <w:tcPr>
                  <w:tcW w:w="580" w:type="dxa"/>
                  <w:tcBorders>
                    <w:right w:val="nil"/>
                  </w:tcBorders>
                  <w:noWrap/>
                  <w:vAlign w:val="center"/>
                </w:tcPr>
                <w:p w14:paraId="0019A7C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3.7860</w:t>
                  </w:r>
                </w:p>
              </w:tc>
            </w:tr>
            <w:tr w14:paraId="1D61E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16" w:type="dxa"/>
                  <w:vMerge w:val="continue"/>
                  <w:tcBorders>
                    <w:right w:val="nil"/>
                  </w:tcBorders>
                  <w:noWrap/>
                  <w:vAlign w:val="center"/>
                </w:tcPr>
                <w:p w14:paraId="73CA602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p>
              </w:tc>
              <w:tc>
                <w:tcPr>
                  <w:tcW w:w="1090" w:type="dxa"/>
                  <w:tcBorders>
                    <w:left w:val="nil"/>
                  </w:tcBorders>
                  <w:noWrap/>
                  <w:vAlign w:val="center"/>
                </w:tcPr>
                <w:p w14:paraId="745C090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cs="Times New Roman"/>
                      <w:color w:val="auto"/>
                      <w:sz w:val="18"/>
                      <w:szCs w:val="18"/>
                      <w:highlight w:val="none"/>
                      <w:lang w:val="en-US" w:eastAsia="zh-CN"/>
                    </w:rPr>
                    <w:t>拓宽道路</w:t>
                  </w:r>
                </w:p>
              </w:tc>
              <w:tc>
                <w:tcPr>
                  <w:tcW w:w="805" w:type="dxa"/>
                  <w:noWrap/>
                  <w:vAlign w:val="center"/>
                </w:tcPr>
                <w:p w14:paraId="15E026E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0.0593</w:t>
                  </w:r>
                </w:p>
              </w:tc>
              <w:tc>
                <w:tcPr>
                  <w:tcW w:w="625" w:type="dxa"/>
                  <w:noWrap/>
                  <w:vAlign w:val="center"/>
                </w:tcPr>
                <w:p w14:paraId="0591FE9F">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663" w:type="dxa"/>
                  <w:noWrap/>
                  <w:vAlign w:val="center"/>
                </w:tcPr>
                <w:p w14:paraId="6188FB0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643" w:type="dxa"/>
                  <w:noWrap/>
                  <w:vAlign w:val="center"/>
                </w:tcPr>
                <w:p w14:paraId="36C99B1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759" w:type="dxa"/>
                  <w:noWrap/>
                  <w:vAlign w:val="center"/>
                </w:tcPr>
                <w:p w14:paraId="3C85F10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594" w:type="dxa"/>
                  <w:noWrap/>
                  <w:vAlign w:val="center"/>
                </w:tcPr>
                <w:p w14:paraId="6666714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632" w:type="dxa"/>
                  <w:noWrap/>
                  <w:vAlign w:val="center"/>
                </w:tcPr>
                <w:p w14:paraId="43F981C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0.0102</w:t>
                  </w:r>
                </w:p>
              </w:tc>
              <w:tc>
                <w:tcPr>
                  <w:tcW w:w="618" w:type="dxa"/>
                  <w:noWrap/>
                  <w:vAlign w:val="center"/>
                </w:tcPr>
                <w:p w14:paraId="25A9060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0.0014</w:t>
                  </w:r>
                </w:p>
              </w:tc>
              <w:tc>
                <w:tcPr>
                  <w:tcW w:w="491" w:type="dxa"/>
                  <w:noWrap/>
                  <w:vAlign w:val="center"/>
                </w:tcPr>
                <w:p w14:paraId="5FE0982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580" w:type="dxa"/>
                  <w:tcBorders>
                    <w:right w:val="nil"/>
                  </w:tcBorders>
                  <w:noWrap/>
                  <w:vAlign w:val="center"/>
                </w:tcPr>
                <w:p w14:paraId="73A7A34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580" w:type="dxa"/>
                  <w:tcBorders>
                    <w:right w:val="nil"/>
                  </w:tcBorders>
                  <w:noWrap/>
                  <w:vAlign w:val="center"/>
                </w:tcPr>
                <w:p w14:paraId="0025B77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0.0709</w:t>
                  </w:r>
                </w:p>
              </w:tc>
            </w:tr>
            <w:tr w14:paraId="4FF39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1" w:hRule="atLeast"/>
                <w:jc w:val="center"/>
              </w:trPr>
              <w:tc>
                <w:tcPr>
                  <w:tcW w:w="416" w:type="dxa"/>
                  <w:vMerge w:val="continue"/>
                  <w:tcBorders>
                    <w:right w:val="nil"/>
                  </w:tcBorders>
                  <w:noWrap/>
                  <w:vAlign w:val="center"/>
                </w:tcPr>
                <w:p w14:paraId="02ED0EAF">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p>
              </w:tc>
              <w:tc>
                <w:tcPr>
                  <w:tcW w:w="1090" w:type="dxa"/>
                  <w:tcBorders>
                    <w:left w:val="nil"/>
                  </w:tcBorders>
                  <w:noWrap/>
                  <w:vAlign w:val="center"/>
                </w:tcPr>
                <w:p w14:paraId="1EC8DA9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塔基施工作业区</w:t>
                  </w:r>
                  <w:r>
                    <w:rPr>
                      <w:rFonts w:hint="eastAsia" w:cs="Times New Roman"/>
                      <w:color w:val="auto"/>
                      <w:sz w:val="18"/>
                      <w:szCs w:val="18"/>
                      <w:highlight w:val="none"/>
                      <w:lang w:val="en-US" w:eastAsia="zh-CN"/>
                    </w:rPr>
                    <w:t>（含线路抬高改造工程塔基施工作业区）</w:t>
                  </w:r>
                </w:p>
              </w:tc>
              <w:tc>
                <w:tcPr>
                  <w:tcW w:w="805" w:type="dxa"/>
                  <w:noWrap/>
                  <w:vAlign w:val="center"/>
                </w:tcPr>
                <w:p w14:paraId="608926C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0.5831</w:t>
                  </w:r>
                </w:p>
              </w:tc>
              <w:tc>
                <w:tcPr>
                  <w:tcW w:w="625" w:type="dxa"/>
                  <w:noWrap/>
                  <w:vAlign w:val="center"/>
                </w:tcPr>
                <w:p w14:paraId="777D4C9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0.0142</w:t>
                  </w:r>
                </w:p>
              </w:tc>
              <w:tc>
                <w:tcPr>
                  <w:tcW w:w="663" w:type="dxa"/>
                  <w:noWrap/>
                  <w:vAlign w:val="center"/>
                </w:tcPr>
                <w:p w14:paraId="558F3DC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0.7596</w:t>
                  </w:r>
                </w:p>
              </w:tc>
              <w:tc>
                <w:tcPr>
                  <w:tcW w:w="643" w:type="dxa"/>
                  <w:noWrap/>
                  <w:vAlign w:val="center"/>
                </w:tcPr>
                <w:p w14:paraId="3E706AC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0.2457</w:t>
                  </w:r>
                </w:p>
              </w:tc>
              <w:tc>
                <w:tcPr>
                  <w:tcW w:w="759" w:type="dxa"/>
                  <w:noWrap/>
                  <w:vAlign w:val="center"/>
                </w:tcPr>
                <w:p w14:paraId="5857858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0.1257</w:t>
                  </w:r>
                </w:p>
              </w:tc>
              <w:tc>
                <w:tcPr>
                  <w:tcW w:w="594" w:type="dxa"/>
                  <w:noWrap/>
                  <w:vAlign w:val="center"/>
                </w:tcPr>
                <w:p w14:paraId="0B4A5115">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0.022</w:t>
                  </w:r>
                </w:p>
              </w:tc>
              <w:tc>
                <w:tcPr>
                  <w:tcW w:w="632" w:type="dxa"/>
                  <w:noWrap/>
                  <w:vAlign w:val="center"/>
                </w:tcPr>
                <w:p w14:paraId="49412E5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0.1340</w:t>
                  </w:r>
                </w:p>
              </w:tc>
              <w:tc>
                <w:tcPr>
                  <w:tcW w:w="618" w:type="dxa"/>
                  <w:noWrap/>
                  <w:vAlign w:val="center"/>
                </w:tcPr>
                <w:p w14:paraId="2D3D392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w:t>
                  </w:r>
                </w:p>
              </w:tc>
              <w:tc>
                <w:tcPr>
                  <w:tcW w:w="491" w:type="dxa"/>
                  <w:noWrap/>
                  <w:vAlign w:val="center"/>
                </w:tcPr>
                <w:p w14:paraId="6130320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0.0336</w:t>
                  </w:r>
                </w:p>
              </w:tc>
              <w:tc>
                <w:tcPr>
                  <w:tcW w:w="580" w:type="dxa"/>
                  <w:tcBorders>
                    <w:right w:val="nil"/>
                  </w:tcBorders>
                  <w:noWrap/>
                  <w:vAlign w:val="center"/>
                </w:tcPr>
                <w:p w14:paraId="22969DF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0.0061</w:t>
                  </w:r>
                </w:p>
              </w:tc>
              <w:tc>
                <w:tcPr>
                  <w:tcW w:w="580" w:type="dxa"/>
                  <w:tcBorders>
                    <w:right w:val="nil"/>
                  </w:tcBorders>
                  <w:noWrap/>
                  <w:vAlign w:val="center"/>
                </w:tcPr>
                <w:p w14:paraId="69C2015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2"/>
                      <w:sz w:val="18"/>
                      <w:szCs w:val="18"/>
                      <w:highlight w:val="none"/>
                      <w:u w:val="none"/>
                      <w:lang w:val="en-US" w:eastAsia="zh-CN" w:bidi="ar-SA"/>
                    </w:rPr>
                  </w:pPr>
                  <w:r>
                    <w:rPr>
                      <w:rFonts w:hint="default" w:ascii="Times New Roman" w:hAnsi="Times New Roman" w:eastAsia="宋体" w:cs="Times New Roman"/>
                      <w:b w:val="0"/>
                      <w:bCs w:val="0"/>
                      <w:i w:val="0"/>
                      <w:iCs w:val="0"/>
                      <w:color w:val="auto"/>
                      <w:kern w:val="2"/>
                      <w:sz w:val="18"/>
                      <w:szCs w:val="18"/>
                      <w:highlight w:val="none"/>
                      <w:u w:val="none"/>
                      <w:lang w:val="en-US" w:eastAsia="zh-CN" w:bidi="ar-SA"/>
                    </w:rPr>
                    <w:t>1.9240</w:t>
                  </w:r>
                </w:p>
              </w:tc>
            </w:tr>
            <w:tr w14:paraId="5BBB39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16" w:type="dxa"/>
                  <w:vMerge w:val="continue"/>
                  <w:tcBorders>
                    <w:right w:val="nil"/>
                  </w:tcBorders>
                  <w:noWrap/>
                  <w:vAlign w:val="center"/>
                </w:tcPr>
                <w:p w14:paraId="7C07E12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18"/>
                      <w:szCs w:val="18"/>
                      <w:highlight w:val="none"/>
                      <w:u w:val="none"/>
                    </w:rPr>
                  </w:pPr>
                </w:p>
              </w:tc>
              <w:tc>
                <w:tcPr>
                  <w:tcW w:w="1090" w:type="dxa"/>
                  <w:tcBorders>
                    <w:left w:val="nil"/>
                  </w:tcBorders>
                  <w:noWrap/>
                  <w:vAlign w:val="center"/>
                </w:tcPr>
                <w:p w14:paraId="40244B8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sz w:val="18"/>
                      <w:szCs w:val="18"/>
                      <w:highlight w:val="none"/>
                      <w:u w:val="none"/>
                    </w:rPr>
                  </w:pPr>
                  <w:r>
                    <w:rPr>
                      <w:rFonts w:hint="default" w:ascii="Times New Roman" w:hAnsi="Times New Roman" w:eastAsia="宋体" w:cs="Times New Roman"/>
                      <w:b/>
                      <w:bCs/>
                      <w:i w:val="0"/>
                      <w:iCs w:val="0"/>
                      <w:color w:val="auto"/>
                      <w:kern w:val="0"/>
                      <w:sz w:val="18"/>
                      <w:szCs w:val="18"/>
                      <w:highlight w:val="none"/>
                      <w:u w:val="none"/>
                      <w:lang w:val="en-US" w:eastAsia="zh-CN" w:bidi="ar"/>
                    </w:rPr>
                    <w:t>小计</w:t>
                  </w:r>
                </w:p>
              </w:tc>
              <w:tc>
                <w:tcPr>
                  <w:tcW w:w="805" w:type="dxa"/>
                  <w:noWrap/>
                  <w:vAlign w:val="center"/>
                </w:tcPr>
                <w:p w14:paraId="4E0D83CB">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2.085</w:t>
                  </w:r>
                </w:p>
              </w:tc>
              <w:tc>
                <w:tcPr>
                  <w:tcW w:w="625" w:type="dxa"/>
                  <w:noWrap/>
                  <w:vAlign w:val="center"/>
                </w:tcPr>
                <w:p w14:paraId="1BE4B807">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0.0177</w:t>
                  </w:r>
                </w:p>
              </w:tc>
              <w:tc>
                <w:tcPr>
                  <w:tcW w:w="663" w:type="dxa"/>
                  <w:noWrap/>
                  <w:vAlign w:val="center"/>
                </w:tcPr>
                <w:p w14:paraId="0CD69C65">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2.7373</w:t>
                  </w:r>
                </w:p>
              </w:tc>
              <w:tc>
                <w:tcPr>
                  <w:tcW w:w="643" w:type="dxa"/>
                  <w:noWrap/>
                  <w:vAlign w:val="center"/>
                </w:tcPr>
                <w:p w14:paraId="636C2862">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0.7084</w:t>
                  </w:r>
                </w:p>
              </w:tc>
              <w:tc>
                <w:tcPr>
                  <w:tcW w:w="759" w:type="dxa"/>
                  <w:noWrap/>
                  <w:vAlign w:val="center"/>
                </w:tcPr>
                <w:p w14:paraId="6861DCCE">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1.0079</w:t>
                  </w:r>
                </w:p>
              </w:tc>
              <w:tc>
                <w:tcPr>
                  <w:tcW w:w="594" w:type="dxa"/>
                  <w:noWrap/>
                  <w:vAlign w:val="center"/>
                </w:tcPr>
                <w:p w14:paraId="0DE6948E">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0.0285</w:t>
                  </w:r>
                </w:p>
              </w:tc>
              <w:tc>
                <w:tcPr>
                  <w:tcW w:w="632" w:type="dxa"/>
                  <w:noWrap/>
                  <w:vAlign w:val="center"/>
                </w:tcPr>
                <w:p w14:paraId="1BA51DA3">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0.5627</w:t>
                  </w:r>
                </w:p>
              </w:tc>
              <w:tc>
                <w:tcPr>
                  <w:tcW w:w="618" w:type="dxa"/>
                  <w:noWrap/>
                  <w:vAlign w:val="center"/>
                </w:tcPr>
                <w:p w14:paraId="3F0159B7">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0.0289</w:t>
                  </w:r>
                </w:p>
              </w:tc>
              <w:tc>
                <w:tcPr>
                  <w:tcW w:w="491" w:type="dxa"/>
                  <w:noWrap/>
                  <w:vAlign w:val="center"/>
                </w:tcPr>
                <w:p w14:paraId="09DE3C71">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0.062</w:t>
                  </w:r>
                </w:p>
              </w:tc>
              <w:tc>
                <w:tcPr>
                  <w:tcW w:w="580" w:type="dxa"/>
                  <w:tcBorders>
                    <w:right w:val="nil"/>
                  </w:tcBorders>
                  <w:noWrap/>
                  <w:vAlign w:val="center"/>
                </w:tcPr>
                <w:p w14:paraId="0C9A2D16">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0.0123</w:t>
                  </w:r>
                </w:p>
              </w:tc>
              <w:tc>
                <w:tcPr>
                  <w:tcW w:w="580" w:type="dxa"/>
                  <w:tcBorders>
                    <w:right w:val="nil"/>
                  </w:tcBorders>
                  <w:noWrap/>
                  <w:vAlign w:val="center"/>
                </w:tcPr>
                <w:p w14:paraId="488FB900">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u w:val="none"/>
                      <w:lang w:val="en-US" w:eastAsia="zh-CN" w:bidi="ar"/>
                    </w:rPr>
                    <w:t>7.2507</w:t>
                  </w:r>
                </w:p>
              </w:tc>
            </w:tr>
            <w:tr w14:paraId="42C2C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06" w:type="dxa"/>
                  <w:gridSpan w:val="2"/>
                  <w:tcBorders>
                    <w:left w:val="nil"/>
                  </w:tcBorders>
                  <w:noWrap/>
                  <w:vAlign w:val="center"/>
                </w:tcPr>
                <w:p w14:paraId="5BA0112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sz w:val="18"/>
                      <w:szCs w:val="18"/>
                      <w:highlight w:val="none"/>
                      <w:u w:val="none"/>
                    </w:rPr>
                  </w:pPr>
                  <w:r>
                    <w:rPr>
                      <w:rFonts w:hint="default" w:ascii="Times New Roman" w:hAnsi="Times New Roman" w:eastAsia="宋体" w:cs="Times New Roman"/>
                      <w:b/>
                      <w:bCs/>
                      <w:i w:val="0"/>
                      <w:iCs w:val="0"/>
                      <w:color w:val="auto"/>
                      <w:kern w:val="0"/>
                      <w:sz w:val="18"/>
                      <w:szCs w:val="18"/>
                      <w:highlight w:val="none"/>
                      <w:u w:val="none"/>
                      <w:lang w:val="en-US" w:eastAsia="zh-CN" w:bidi="ar"/>
                    </w:rPr>
                    <w:t>合计</w:t>
                  </w:r>
                </w:p>
              </w:tc>
              <w:tc>
                <w:tcPr>
                  <w:tcW w:w="805" w:type="dxa"/>
                  <w:noWrap/>
                  <w:vAlign w:val="center"/>
                </w:tcPr>
                <w:p w14:paraId="7DD4593D">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2.1703</w:t>
                  </w:r>
                </w:p>
              </w:tc>
              <w:tc>
                <w:tcPr>
                  <w:tcW w:w="625" w:type="dxa"/>
                  <w:noWrap/>
                  <w:vAlign w:val="center"/>
                </w:tcPr>
                <w:p w14:paraId="178506FA">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0.0225</w:t>
                  </w:r>
                </w:p>
              </w:tc>
              <w:tc>
                <w:tcPr>
                  <w:tcW w:w="663" w:type="dxa"/>
                  <w:noWrap/>
                  <w:vAlign w:val="center"/>
                </w:tcPr>
                <w:p w14:paraId="71E647EE">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2.8561</w:t>
                  </w:r>
                </w:p>
              </w:tc>
              <w:tc>
                <w:tcPr>
                  <w:tcW w:w="643" w:type="dxa"/>
                  <w:noWrap/>
                  <w:vAlign w:val="center"/>
                </w:tcPr>
                <w:p w14:paraId="130AEA38">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0.7432</w:t>
                  </w:r>
                </w:p>
              </w:tc>
              <w:tc>
                <w:tcPr>
                  <w:tcW w:w="759" w:type="dxa"/>
                  <w:noWrap/>
                  <w:vAlign w:val="center"/>
                </w:tcPr>
                <w:p w14:paraId="4E36F65D">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1.0352</w:t>
                  </w:r>
                </w:p>
              </w:tc>
              <w:tc>
                <w:tcPr>
                  <w:tcW w:w="594" w:type="dxa"/>
                  <w:noWrap/>
                  <w:vAlign w:val="center"/>
                </w:tcPr>
                <w:p w14:paraId="7964C2C7">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0.0316</w:t>
                  </w:r>
                </w:p>
              </w:tc>
              <w:tc>
                <w:tcPr>
                  <w:tcW w:w="632" w:type="dxa"/>
                  <w:noWrap/>
                  <w:vAlign w:val="center"/>
                </w:tcPr>
                <w:p w14:paraId="11E04D5F">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0.5847</w:t>
                  </w:r>
                </w:p>
              </w:tc>
              <w:tc>
                <w:tcPr>
                  <w:tcW w:w="618" w:type="dxa"/>
                  <w:noWrap/>
                  <w:vAlign w:val="center"/>
                </w:tcPr>
                <w:p w14:paraId="3CD11EC1">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0.0289</w:t>
                  </w:r>
                </w:p>
              </w:tc>
              <w:tc>
                <w:tcPr>
                  <w:tcW w:w="491" w:type="dxa"/>
                  <w:noWrap/>
                  <w:vAlign w:val="center"/>
                </w:tcPr>
                <w:p w14:paraId="2953F331">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0.0651</w:t>
                  </w:r>
                </w:p>
              </w:tc>
              <w:tc>
                <w:tcPr>
                  <w:tcW w:w="580" w:type="dxa"/>
                  <w:tcBorders>
                    <w:right w:val="nil"/>
                  </w:tcBorders>
                  <w:noWrap/>
                  <w:vAlign w:val="center"/>
                </w:tcPr>
                <w:p w14:paraId="21693D50">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0.0134</w:t>
                  </w:r>
                </w:p>
              </w:tc>
              <w:tc>
                <w:tcPr>
                  <w:tcW w:w="580" w:type="dxa"/>
                  <w:tcBorders>
                    <w:right w:val="nil"/>
                  </w:tcBorders>
                  <w:noWrap/>
                  <w:vAlign w:val="center"/>
                </w:tcPr>
                <w:p w14:paraId="0B335078">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18"/>
                      <w:szCs w:val="18"/>
                      <w:highlight w:val="none"/>
                      <w:u w:val="none"/>
                      <w:lang w:val="en-US" w:eastAsia="zh-CN" w:bidi="ar"/>
                    </w:rPr>
                  </w:pPr>
                  <w:r>
                    <w:rPr>
                      <w:rFonts w:hint="default" w:ascii="Times New Roman" w:hAnsi="Times New Roman" w:eastAsia="宋体" w:cs="Times New Roman"/>
                      <w:b/>
                      <w:bCs/>
                      <w:i w:val="0"/>
                      <w:iCs w:val="0"/>
                      <w:color w:val="auto"/>
                      <w:kern w:val="0"/>
                      <w:sz w:val="18"/>
                      <w:szCs w:val="18"/>
                      <w:u w:val="none"/>
                      <w:lang w:val="en-US" w:eastAsia="zh-CN" w:bidi="ar"/>
                    </w:rPr>
                    <w:t>7.551</w:t>
                  </w:r>
                </w:p>
              </w:tc>
            </w:tr>
          </w:tbl>
          <w:p w14:paraId="3ED280FF">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5.</w:t>
            </w:r>
            <w:r>
              <w:rPr>
                <w:rFonts w:hint="default" w:ascii="Times New Roman" w:hAnsi="Times New Roman" w:cs="Times New Roman"/>
                <w:b/>
                <w:bCs/>
                <w:color w:val="auto"/>
                <w:sz w:val="24"/>
                <w:highlight w:val="none"/>
              </w:rPr>
              <w:t>项目土石方</w:t>
            </w:r>
          </w:p>
          <w:p w14:paraId="04AB919B">
            <w:pPr>
              <w:spacing w:line="360" w:lineRule="auto"/>
              <w:ind w:firstLine="480" w:firstLineChars="200"/>
              <w:jc w:val="both"/>
              <w:outlineLvl w:val="0"/>
              <w:rPr>
                <w:rFonts w:hint="default" w:ascii="Times New Roman" w:hAnsi="Times New Roman" w:cs="Times New Roman"/>
                <w:color w:val="auto"/>
                <w:sz w:val="24"/>
                <w:highlight w:val="none"/>
                <w:vertAlign w:val="baseline"/>
                <w:lang w:val="en-US" w:eastAsia="zh-CN"/>
              </w:rPr>
            </w:pPr>
            <w:bookmarkStart w:id="50" w:name="_Toc129"/>
            <w:bookmarkStart w:id="51" w:name="_Toc24622"/>
            <w:bookmarkStart w:id="52" w:name="_Toc823"/>
            <w:bookmarkStart w:id="53" w:name="_Toc23091"/>
            <w:bookmarkStart w:id="54" w:name="_Toc3091"/>
            <w:bookmarkStart w:id="55" w:name="_Toc152582976"/>
            <w:bookmarkStart w:id="56" w:name="_Toc12590"/>
            <w:bookmarkStart w:id="57" w:name="_Toc30624"/>
            <w:bookmarkStart w:id="58" w:name="_Toc4148"/>
            <w:bookmarkStart w:id="59" w:name="_Toc25848"/>
            <w:bookmarkStart w:id="60" w:name="_Toc1118"/>
            <w:bookmarkStart w:id="61" w:name="_Toc9114"/>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项目</w:t>
            </w:r>
            <w:r>
              <w:rPr>
                <w:rFonts w:hint="default" w:ascii="Times New Roman" w:hAnsi="Times New Roman" w:cs="Times New Roman"/>
                <w:color w:val="auto"/>
                <w:sz w:val="24"/>
                <w:highlight w:val="none"/>
                <w:lang w:val="en-US" w:eastAsia="zh-CN"/>
              </w:rPr>
              <w:t>总挖方量为23687.4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lang w:val="en-US" w:eastAsia="zh-CN"/>
              </w:rPr>
              <w:t>，填方量为23687.4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挖填平衡</w:t>
            </w:r>
            <w:r>
              <w:rPr>
                <w:rFonts w:hint="default" w:ascii="Times New Roman" w:hAnsi="Times New Roman" w:cs="Times New Roman"/>
                <w:color w:val="auto"/>
                <w:sz w:val="24"/>
                <w:highlight w:val="none"/>
              </w:rPr>
              <w:t>，无弃土</w:t>
            </w: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其中：</w:t>
            </w:r>
            <w:bookmarkEnd w:id="50"/>
            <w:bookmarkEnd w:id="51"/>
            <w:bookmarkEnd w:id="52"/>
          </w:p>
          <w:p w14:paraId="1729606F">
            <w:pPr>
              <w:spacing w:line="360" w:lineRule="auto"/>
              <w:ind w:firstLine="480" w:firstLineChars="200"/>
              <w:jc w:val="both"/>
              <w:outlineLvl w:val="0"/>
              <w:rPr>
                <w:rFonts w:hint="default" w:ascii="Times New Roman" w:hAnsi="Times New Roman" w:cs="Times New Roman"/>
                <w:color w:val="auto"/>
                <w:sz w:val="24"/>
                <w:highlight w:val="none"/>
              </w:rPr>
            </w:pPr>
            <w:bookmarkStart w:id="62" w:name="_Toc15253"/>
            <w:bookmarkStart w:id="63" w:name="_Toc28752"/>
            <w:bookmarkStart w:id="64" w:name="_Toc13710"/>
            <w:r>
              <w:rPr>
                <w:rFonts w:hint="default" w:ascii="Times New Roman" w:hAnsi="Times New Roman" w:cs="Times New Roman"/>
                <w:color w:val="auto"/>
                <w:sz w:val="24"/>
                <w:highlight w:val="none"/>
                <w:lang w:val="en-US" w:eastAsia="zh-CN"/>
              </w:rPr>
              <w:t>间隔扩建工程</w:t>
            </w:r>
            <w:r>
              <w:rPr>
                <w:rFonts w:hint="default" w:ascii="Times New Roman" w:hAnsi="Times New Roman" w:cs="Times New Roman"/>
                <w:color w:val="auto"/>
                <w:sz w:val="24"/>
                <w:lang w:eastAsia="zh-CN"/>
              </w:rPr>
              <w:t>施工</w:t>
            </w:r>
            <w:r>
              <w:rPr>
                <w:rFonts w:hint="default" w:ascii="Times New Roman" w:hAnsi="Times New Roman" w:cs="Times New Roman"/>
                <w:color w:val="auto"/>
                <w:sz w:val="24"/>
              </w:rPr>
              <w:t>期土石方挖方</w:t>
            </w:r>
            <w:r>
              <w:rPr>
                <w:rFonts w:hint="default" w:ascii="Times New Roman" w:hAnsi="Times New Roman" w:cs="Times New Roman"/>
                <w:color w:val="auto"/>
                <w:sz w:val="24"/>
                <w:highlight w:val="none"/>
              </w:rPr>
              <w:t>量</w:t>
            </w:r>
            <w:r>
              <w:rPr>
                <w:rFonts w:hint="default" w:ascii="Times New Roman" w:hAnsi="Times New Roman" w:cs="Times New Roman"/>
                <w:color w:val="auto"/>
                <w:sz w:val="24"/>
                <w:highlight w:val="none"/>
                <w:lang w:val="en-US" w:eastAsia="zh-CN"/>
              </w:rPr>
              <w:t>101.4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rPr>
              <w:t>，填方</w:t>
            </w:r>
            <w:r>
              <w:rPr>
                <w:rFonts w:hint="default" w:ascii="Times New Roman" w:hAnsi="Times New Roman" w:cs="Times New Roman"/>
                <w:color w:val="auto"/>
                <w:sz w:val="24"/>
                <w:highlight w:val="none"/>
              </w:rPr>
              <w:t>量</w:t>
            </w:r>
            <w:r>
              <w:rPr>
                <w:rFonts w:hint="default" w:ascii="Times New Roman" w:hAnsi="Times New Roman" w:cs="Times New Roman"/>
                <w:color w:val="auto"/>
                <w:sz w:val="24"/>
                <w:highlight w:val="none"/>
                <w:lang w:val="en-US" w:eastAsia="zh-CN"/>
              </w:rPr>
              <w:t>65.0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val="en-US" w:eastAsia="zh-CN"/>
              </w:rPr>
              <w:t>，</w:t>
            </w:r>
            <w:r>
              <w:rPr>
                <w:rFonts w:hint="eastAsia" w:cs="Times New Roman"/>
                <w:color w:val="auto"/>
                <w:sz w:val="24"/>
                <w:highlight w:val="none"/>
                <w:vertAlign w:val="baseline"/>
                <w:lang w:val="en-US" w:eastAsia="zh-CN"/>
              </w:rPr>
              <w:t>余</w:t>
            </w:r>
            <w:r>
              <w:rPr>
                <w:rFonts w:hint="default" w:ascii="Times New Roman" w:hAnsi="Times New Roman" w:cs="Times New Roman"/>
                <w:color w:val="auto"/>
                <w:sz w:val="24"/>
                <w:highlight w:val="none"/>
                <w:vertAlign w:val="baseline"/>
                <w:lang w:val="en-US" w:eastAsia="zh-CN"/>
              </w:rPr>
              <w:t>方</w:t>
            </w:r>
            <w:r>
              <w:rPr>
                <w:rFonts w:hint="default" w:ascii="Times New Roman" w:hAnsi="Times New Roman" w:cs="Times New Roman"/>
                <w:color w:val="auto"/>
                <w:sz w:val="24"/>
                <w:highlight w:val="none"/>
              </w:rPr>
              <w:t>量</w:t>
            </w:r>
            <w:r>
              <w:rPr>
                <w:rFonts w:hint="default" w:ascii="Times New Roman" w:hAnsi="Times New Roman" w:cs="Times New Roman"/>
                <w:color w:val="auto"/>
                <w:sz w:val="24"/>
                <w:highlight w:val="none"/>
                <w:lang w:val="en-US" w:eastAsia="zh-CN"/>
              </w:rPr>
              <w:t>36.4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r>
              <w:rPr>
                <w:rFonts w:hint="eastAsia" w:cs="Times New Roman"/>
                <w:color w:val="auto"/>
                <w:sz w:val="24"/>
                <w:highlight w:val="none"/>
                <w:vertAlign w:val="baseline"/>
                <w:lang w:val="en-US" w:eastAsia="zh-CN"/>
              </w:rPr>
              <w:t>余</w:t>
            </w:r>
            <w:r>
              <w:rPr>
                <w:rFonts w:hint="default" w:ascii="Times New Roman" w:hAnsi="Times New Roman" w:cs="Times New Roman"/>
                <w:color w:val="auto"/>
                <w:sz w:val="24"/>
                <w:highlight w:val="none"/>
                <w:vertAlign w:val="baseline"/>
                <w:lang w:val="en-US" w:eastAsia="zh-CN"/>
              </w:rPr>
              <w:t>方由施工单位运至</w:t>
            </w:r>
            <w:r>
              <w:rPr>
                <w:rFonts w:hint="default" w:ascii="Times New Roman" w:hAnsi="Times New Roman" w:cs="Times New Roman"/>
                <w:color w:val="auto"/>
                <w:sz w:val="24"/>
                <w:highlight w:val="none"/>
                <w:lang w:val="en-US" w:eastAsia="zh-CN"/>
              </w:rPr>
              <w:t>输电线路塔基及施工作业区</w:t>
            </w:r>
            <w:r>
              <w:rPr>
                <w:rFonts w:hint="eastAsia" w:cs="Times New Roman"/>
                <w:color w:val="auto"/>
                <w:sz w:val="24"/>
                <w:highlight w:val="none"/>
                <w:lang w:val="en-US" w:eastAsia="zh-CN"/>
              </w:rPr>
              <w:t>场地平整使用</w:t>
            </w:r>
            <w:bookmarkEnd w:id="62"/>
            <w:bookmarkEnd w:id="63"/>
            <w:bookmarkEnd w:id="64"/>
            <w:r>
              <w:rPr>
                <w:rFonts w:hint="eastAsia" w:cs="Times New Roman"/>
                <w:color w:val="auto"/>
                <w:sz w:val="24"/>
                <w:highlight w:val="none"/>
                <w:lang w:val="en-US" w:eastAsia="zh-CN"/>
              </w:rPr>
              <w:t>。</w:t>
            </w:r>
          </w:p>
          <w:p w14:paraId="248F974E">
            <w:pPr>
              <w:spacing w:line="360" w:lineRule="auto"/>
              <w:ind w:firstLine="480" w:firstLineChars="200"/>
              <w:jc w:val="both"/>
              <w:outlineLvl w:val="0"/>
              <w:rPr>
                <w:rFonts w:hint="default" w:ascii="Times New Roman" w:hAnsi="Times New Roman" w:cs="Times New Roman"/>
                <w:color w:val="auto"/>
                <w:sz w:val="24"/>
                <w:highlight w:val="none"/>
              </w:rPr>
            </w:pPr>
            <w:bookmarkStart w:id="65" w:name="_Toc27560"/>
            <w:bookmarkStart w:id="66" w:name="_Toc5966"/>
            <w:bookmarkStart w:id="67" w:name="_Toc22861"/>
            <w:r>
              <w:rPr>
                <w:rFonts w:hint="default" w:ascii="Times New Roman" w:hAnsi="Times New Roman" w:cs="Times New Roman"/>
                <w:color w:val="auto"/>
                <w:sz w:val="24"/>
                <w:highlight w:val="none"/>
                <w:lang w:val="en-US" w:eastAsia="zh-CN"/>
              </w:rPr>
              <w:t>输电线路</w:t>
            </w:r>
            <w:r>
              <w:rPr>
                <w:rFonts w:hint="default" w:ascii="Times New Roman" w:hAnsi="Times New Roman" w:cs="Times New Roman"/>
                <w:color w:val="auto"/>
                <w:sz w:val="24"/>
                <w:highlight w:val="none"/>
              </w:rPr>
              <w:t>土石方开挖总量</w:t>
            </w:r>
            <w:r>
              <w:rPr>
                <w:rFonts w:hint="default" w:ascii="Times New Roman" w:hAnsi="Times New Roman" w:cs="Times New Roman"/>
                <w:color w:val="auto"/>
                <w:sz w:val="24"/>
                <w:highlight w:val="none"/>
                <w:lang w:val="en-US" w:eastAsia="zh-CN"/>
              </w:rPr>
              <w:t>23586</w:t>
            </w:r>
            <w:r>
              <w:rPr>
                <w:rFonts w:hint="default" w:ascii="Times New Roman" w:hAnsi="Times New Roman" w:cs="Times New Roman"/>
                <w:color w:val="auto"/>
                <w:sz w:val="24"/>
                <w:highlight w:val="none"/>
              </w:rPr>
              <w:t>m³，填方总量</w:t>
            </w:r>
            <w:r>
              <w:rPr>
                <w:rFonts w:hint="default" w:ascii="Times New Roman" w:hAnsi="Times New Roman" w:cs="Times New Roman"/>
                <w:color w:val="auto"/>
                <w:sz w:val="24"/>
                <w:highlight w:val="none"/>
                <w:lang w:val="en-US" w:eastAsia="zh-CN"/>
              </w:rPr>
              <w:t>23</w:t>
            </w:r>
            <w:r>
              <w:rPr>
                <w:rFonts w:hint="eastAsia" w:cs="Times New Roman"/>
                <w:color w:val="auto"/>
                <w:sz w:val="24"/>
                <w:highlight w:val="none"/>
                <w:lang w:val="en-US" w:eastAsia="zh-CN"/>
              </w:rPr>
              <w:t>622.4</w:t>
            </w:r>
            <w:r>
              <w:rPr>
                <w:rFonts w:hint="default" w:ascii="Times New Roman" w:hAnsi="Times New Roman" w:cs="Times New Roman"/>
                <w:color w:val="auto"/>
                <w:sz w:val="24"/>
                <w:highlight w:val="none"/>
              </w:rPr>
              <w:t>m³</w:t>
            </w:r>
            <w:r>
              <w:rPr>
                <w:rFonts w:hint="eastAsia" w:cs="Times New Roman"/>
                <w:color w:val="auto"/>
                <w:sz w:val="24"/>
                <w:highlight w:val="none"/>
                <w:lang w:val="en-US" w:eastAsia="zh-CN"/>
              </w:rPr>
              <w:t>（含间隔扩建余土36.4</w:t>
            </w:r>
            <w:r>
              <w:rPr>
                <w:rFonts w:hint="default" w:ascii="Times New Roman" w:hAnsi="Times New Roman" w:cs="Times New Roman"/>
                <w:color w:val="auto"/>
                <w:sz w:val="24"/>
                <w:highlight w:val="none"/>
              </w:rPr>
              <w:t>m³</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rPr>
              <w:t>。</w:t>
            </w:r>
            <w:r>
              <w:rPr>
                <w:rFonts w:hint="default" w:ascii="Times New Roman" w:hAnsi="Times New Roman" w:cs="Times New Roman"/>
                <w:bCs/>
                <w:color w:val="auto"/>
                <w:sz w:val="24"/>
                <w:highlight w:val="none"/>
              </w:rPr>
              <w:t>塔基基础开挖出的土石方全部用于回填及塔基周围培土，无弃土产生</w:t>
            </w:r>
            <w:r>
              <w:rPr>
                <w:rFonts w:hint="default" w:ascii="Times New Roman" w:hAnsi="Times New Roman" w:cs="Times New Roman"/>
                <w:color w:val="auto"/>
                <w:kern w:val="0"/>
                <w:sz w:val="24"/>
                <w:highlight w:val="none"/>
                <w:lang w:val="en-US" w:eastAsia="zh-CN"/>
              </w:rPr>
              <w:t>；</w:t>
            </w:r>
            <w:r>
              <w:rPr>
                <w:rFonts w:hint="default" w:ascii="Times New Roman" w:hAnsi="Times New Roman" w:cs="Times New Roman"/>
                <w:color w:val="auto"/>
                <w:sz w:val="24"/>
                <w:highlight w:val="none"/>
                <w:lang w:val="en-US" w:eastAsia="zh-CN"/>
              </w:rPr>
              <w:t>牵张场及</w:t>
            </w:r>
            <w:r>
              <w:rPr>
                <w:rFonts w:hint="default" w:ascii="Times New Roman" w:hAnsi="Times New Roman" w:eastAsia="宋体" w:cs="Times New Roman"/>
                <w:color w:val="auto"/>
                <w:sz w:val="24"/>
                <w:highlight w:val="none"/>
                <w:lang w:val="en-US" w:eastAsia="zh-CN"/>
              </w:rPr>
              <w:t>跨越场不进行表土剥离。</w:t>
            </w:r>
            <w:r>
              <w:rPr>
                <w:rFonts w:hint="default" w:ascii="Times New Roman" w:hAnsi="Times New Roman" w:cs="Times New Roman"/>
                <w:color w:val="auto"/>
                <w:sz w:val="24"/>
                <w:highlight w:val="none"/>
              </w:rPr>
              <w:t>本项目土石方平衡情况见表2-</w:t>
            </w:r>
            <w:r>
              <w:rPr>
                <w:rFonts w:hint="eastAsia" w:cs="Times New Roman"/>
                <w:color w:val="auto"/>
                <w:sz w:val="24"/>
                <w:highlight w:val="none"/>
                <w:lang w:val="en-US" w:eastAsia="zh-CN"/>
              </w:rPr>
              <w:t>7</w:t>
            </w:r>
            <w:r>
              <w:rPr>
                <w:rFonts w:hint="default" w:ascii="Times New Roman" w:hAnsi="Times New Roman" w:cs="Times New Roman"/>
                <w:color w:val="auto"/>
                <w:sz w:val="24"/>
                <w:highlight w:val="none"/>
              </w:rPr>
              <w:t>。</w:t>
            </w:r>
            <w:bookmarkEnd w:id="53"/>
            <w:bookmarkEnd w:id="54"/>
            <w:bookmarkEnd w:id="55"/>
            <w:bookmarkEnd w:id="56"/>
            <w:bookmarkEnd w:id="57"/>
            <w:bookmarkEnd w:id="58"/>
            <w:bookmarkEnd w:id="59"/>
            <w:bookmarkEnd w:id="60"/>
            <w:bookmarkEnd w:id="61"/>
            <w:bookmarkEnd w:id="65"/>
            <w:bookmarkEnd w:id="66"/>
            <w:bookmarkEnd w:id="67"/>
          </w:p>
          <w:p w14:paraId="137D823C">
            <w:pPr>
              <w:spacing w:line="240" w:lineRule="auto"/>
              <w:jc w:val="center"/>
              <w:rPr>
                <w:rFonts w:hint="default" w:ascii="Times New Roman" w:hAnsi="Times New Roman" w:eastAsia="宋体" w:cs="Times New Roman"/>
                <w:b/>
                <w:bCs/>
                <w:color w:val="auto"/>
                <w:sz w:val="24"/>
                <w:highlight w:val="none"/>
              </w:rPr>
            </w:pPr>
            <w:bookmarkStart w:id="68" w:name="_Toc7335"/>
            <w:bookmarkStart w:id="69" w:name="_Toc152582977"/>
            <w:bookmarkStart w:id="70" w:name="_Toc24509"/>
            <w:bookmarkStart w:id="71" w:name="_Toc23819"/>
            <w:bookmarkStart w:id="72" w:name="_Toc18989"/>
            <w:bookmarkStart w:id="73" w:name="_Toc7876"/>
            <w:bookmarkStart w:id="74" w:name="_Toc4796"/>
            <w:bookmarkStart w:id="75" w:name="_Toc2691"/>
            <w:bookmarkStart w:id="76" w:name="_Toc31451"/>
            <w:r>
              <w:rPr>
                <w:rFonts w:hint="default" w:ascii="Times New Roman" w:hAnsi="Times New Roman" w:eastAsia="宋体" w:cs="Times New Roman"/>
                <w:b/>
                <w:bCs/>
                <w:color w:val="auto"/>
                <w:sz w:val="24"/>
                <w:highlight w:val="none"/>
              </w:rPr>
              <w:t>表2-</w:t>
            </w:r>
            <w:r>
              <w:rPr>
                <w:rFonts w:hint="eastAsia"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 xml:space="preserve">    本项目土石方平衡情况一览表    单位：m</w:t>
            </w:r>
            <w:r>
              <w:rPr>
                <w:rFonts w:hint="default" w:ascii="Times New Roman" w:hAnsi="Times New Roman" w:eastAsia="宋体" w:cs="Times New Roman"/>
                <w:b/>
                <w:bCs/>
                <w:color w:val="auto"/>
                <w:sz w:val="24"/>
                <w:highlight w:val="none"/>
                <w:vertAlign w:val="superscript"/>
              </w:rPr>
              <w:t>3</w:t>
            </w:r>
            <w:bookmarkEnd w:id="68"/>
            <w:bookmarkEnd w:id="69"/>
            <w:bookmarkEnd w:id="70"/>
            <w:bookmarkEnd w:id="71"/>
            <w:bookmarkEnd w:id="72"/>
            <w:bookmarkEnd w:id="73"/>
            <w:bookmarkEnd w:id="74"/>
            <w:bookmarkEnd w:id="75"/>
            <w:bookmarkEnd w:id="76"/>
          </w:p>
          <w:tbl>
            <w:tblPr>
              <w:tblStyle w:val="31"/>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58"/>
              <w:gridCol w:w="986"/>
              <w:gridCol w:w="3110"/>
              <w:gridCol w:w="750"/>
            </w:tblGrid>
            <w:tr w14:paraId="765E3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tblHeader/>
                <w:jc w:val="center"/>
              </w:trPr>
              <w:tc>
                <w:tcPr>
                  <w:tcW w:w="3658" w:type="dxa"/>
                  <w:noWrap w:val="0"/>
                  <w:vAlign w:val="center"/>
                </w:tcPr>
                <w:p w14:paraId="4BAE7FA6">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项目组成</w:t>
                  </w:r>
                </w:p>
              </w:tc>
              <w:tc>
                <w:tcPr>
                  <w:tcW w:w="986" w:type="dxa"/>
                  <w:noWrap w:val="0"/>
                  <w:vAlign w:val="center"/>
                </w:tcPr>
                <w:p w14:paraId="784FE3E7">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挖方</w:t>
                  </w:r>
                </w:p>
              </w:tc>
              <w:tc>
                <w:tcPr>
                  <w:tcW w:w="3110" w:type="dxa"/>
                  <w:noWrap w:val="0"/>
                  <w:vAlign w:val="center"/>
                </w:tcPr>
                <w:p w14:paraId="7D351A76">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填方</w:t>
                  </w:r>
                </w:p>
              </w:tc>
              <w:tc>
                <w:tcPr>
                  <w:tcW w:w="750" w:type="dxa"/>
                  <w:noWrap w:val="0"/>
                  <w:vAlign w:val="center"/>
                </w:tcPr>
                <w:p w14:paraId="0C62B01D">
                  <w:pPr>
                    <w:spacing w:line="240" w:lineRule="atLeast"/>
                    <w:jc w:val="center"/>
                    <w:rPr>
                      <w:rFonts w:hint="default" w:ascii="Times New Roman" w:hAnsi="Times New Roman" w:cs="Times New Roman"/>
                      <w:b/>
                      <w:bCs/>
                      <w:color w:val="auto"/>
                      <w:szCs w:val="21"/>
                      <w:highlight w:val="none"/>
                    </w:rPr>
                  </w:pPr>
                  <w:r>
                    <w:rPr>
                      <w:rFonts w:hint="eastAsia" w:cs="Times New Roman"/>
                      <w:b/>
                      <w:bCs/>
                      <w:color w:val="auto"/>
                      <w:szCs w:val="21"/>
                      <w:highlight w:val="none"/>
                      <w:lang w:val="en-US" w:eastAsia="zh-CN"/>
                    </w:rPr>
                    <w:t>余</w:t>
                  </w:r>
                  <w:r>
                    <w:rPr>
                      <w:rFonts w:hint="default" w:ascii="Times New Roman" w:hAnsi="Times New Roman" w:cs="Times New Roman"/>
                      <w:b/>
                      <w:bCs/>
                      <w:color w:val="auto"/>
                      <w:szCs w:val="21"/>
                      <w:highlight w:val="none"/>
                    </w:rPr>
                    <w:t>土</w:t>
                  </w:r>
                </w:p>
              </w:tc>
            </w:tr>
            <w:tr w14:paraId="766A4A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3658" w:type="dxa"/>
                  <w:noWrap w:val="0"/>
                  <w:vAlign w:val="center"/>
                </w:tcPr>
                <w:p w14:paraId="409BBBCB">
                  <w:pPr>
                    <w:spacing w:line="240" w:lineRule="atLeast"/>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间隔扩建工程</w:t>
                  </w:r>
                </w:p>
              </w:tc>
              <w:tc>
                <w:tcPr>
                  <w:tcW w:w="986" w:type="dxa"/>
                  <w:noWrap w:val="0"/>
                  <w:vAlign w:val="center"/>
                </w:tcPr>
                <w:p w14:paraId="0040763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101.4</w:t>
                  </w:r>
                </w:p>
              </w:tc>
              <w:tc>
                <w:tcPr>
                  <w:tcW w:w="3110" w:type="dxa"/>
                  <w:noWrap w:val="0"/>
                  <w:vAlign w:val="center"/>
                </w:tcPr>
                <w:p w14:paraId="4EFDDC3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65</w:t>
                  </w:r>
                </w:p>
              </w:tc>
              <w:tc>
                <w:tcPr>
                  <w:tcW w:w="750" w:type="dxa"/>
                  <w:noWrap w:val="0"/>
                  <w:vAlign w:val="center"/>
                </w:tcPr>
                <w:p w14:paraId="6DD3933F">
                  <w:pPr>
                    <w:spacing w:line="24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36.4</w:t>
                  </w:r>
                </w:p>
              </w:tc>
            </w:tr>
            <w:tr w14:paraId="1AA15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3658" w:type="dxa"/>
                  <w:noWrap w:val="0"/>
                  <w:vAlign w:val="center"/>
                </w:tcPr>
                <w:p w14:paraId="68444CD6">
                  <w:pPr>
                    <w:spacing w:line="24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新建输电线路</w:t>
                  </w:r>
                  <w:r>
                    <w:rPr>
                      <w:rFonts w:hint="default" w:ascii="Times New Roman" w:hAnsi="Times New Roman" w:cs="Times New Roman"/>
                      <w:color w:val="auto"/>
                      <w:szCs w:val="21"/>
                      <w:highlight w:val="none"/>
                    </w:rPr>
                    <w:t>塔基</w:t>
                  </w:r>
                  <w:r>
                    <w:rPr>
                      <w:rFonts w:hint="default" w:ascii="Times New Roman" w:hAnsi="Times New Roman" w:cs="Times New Roman"/>
                      <w:color w:val="auto"/>
                      <w:szCs w:val="21"/>
                      <w:highlight w:val="none"/>
                      <w:lang w:val="en-US" w:eastAsia="zh-CN"/>
                    </w:rPr>
                    <w:t>及</w:t>
                  </w:r>
                  <w:r>
                    <w:rPr>
                      <w:rFonts w:hint="default" w:ascii="Times New Roman" w:hAnsi="Times New Roman" w:cs="Times New Roman"/>
                      <w:color w:val="auto"/>
                      <w:szCs w:val="21"/>
                      <w:highlight w:val="none"/>
                    </w:rPr>
                    <w:t>施工作业区</w:t>
                  </w:r>
                </w:p>
              </w:tc>
              <w:tc>
                <w:tcPr>
                  <w:tcW w:w="986" w:type="dxa"/>
                  <w:noWrap w:val="0"/>
                  <w:vAlign w:val="center"/>
                </w:tcPr>
                <w:p w14:paraId="7944209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8260</w:t>
                  </w:r>
                </w:p>
              </w:tc>
              <w:tc>
                <w:tcPr>
                  <w:tcW w:w="3110" w:type="dxa"/>
                  <w:noWrap w:val="0"/>
                  <w:vAlign w:val="center"/>
                </w:tcPr>
                <w:p w14:paraId="27650DB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82</w:t>
                  </w:r>
                  <w:r>
                    <w:rPr>
                      <w:rFonts w:hint="eastAsia" w:cs="Times New Roman"/>
                      <w:color w:val="auto"/>
                      <w:kern w:val="2"/>
                      <w:sz w:val="21"/>
                      <w:szCs w:val="21"/>
                      <w:highlight w:val="none"/>
                      <w:lang w:val="en-US" w:eastAsia="zh-CN" w:bidi="ar-SA"/>
                    </w:rPr>
                    <w:t>96.4（含间隔扩建余土36.4）</w:t>
                  </w:r>
                </w:p>
              </w:tc>
              <w:tc>
                <w:tcPr>
                  <w:tcW w:w="750" w:type="dxa"/>
                  <w:noWrap w:val="0"/>
                  <w:vAlign w:val="center"/>
                </w:tcPr>
                <w:p w14:paraId="2A14C3B8">
                  <w:pPr>
                    <w:spacing w:line="24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r>
            <w:tr w14:paraId="218AF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658" w:type="dxa"/>
                  <w:noWrap w:val="0"/>
                  <w:vAlign w:val="center"/>
                </w:tcPr>
                <w:p w14:paraId="619CDBB4">
                  <w:pPr>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线路抬高改造工程塔基及施工作业区</w:t>
                  </w:r>
                </w:p>
              </w:tc>
              <w:tc>
                <w:tcPr>
                  <w:tcW w:w="986" w:type="dxa"/>
                  <w:noWrap w:val="0"/>
                  <w:vAlign w:val="center"/>
                </w:tcPr>
                <w:p w14:paraId="4CD7ED8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1388</w:t>
                  </w:r>
                </w:p>
              </w:tc>
              <w:tc>
                <w:tcPr>
                  <w:tcW w:w="3110" w:type="dxa"/>
                  <w:noWrap w:val="0"/>
                  <w:vAlign w:val="center"/>
                </w:tcPr>
                <w:p w14:paraId="4DA99CA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1388</w:t>
                  </w:r>
                </w:p>
              </w:tc>
              <w:tc>
                <w:tcPr>
                  <w:tcW w:w="750" w:type="dxa"/>
                  <w:noWrap w:val="0"/>
                  <w:vAlign w:val="center"/>
                </w:tcPr>
                <w:p w14:paraId="37B521F6">
                  <w:pPr>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0</w:t>
                  </w:r>
                </w:p>
              </w:tc>
            </w:tr>
            <w:tr w14:paraId="32783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58" w:type="dxa"/>
                  <w:noWrap w:val="0"/>
                  <w:vAlign w:val="center"/>
                </w:tcPr>
                <w:p w14:paraId="6A3FFBF3">
                  <w:pPr>
                    <w:spacing w:line="24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施工便道</w:t>
                  </w:r>
                </w:p>
              </w:tc>
              <w:tc>
                <w:tcPr>
                  <w:tcW w:w="986" w:type="dxa"/>
                  <w:noWrap w:val="0"/>
                  <w:vAlign w:val="center"/>
                </w:tcPr>
                <w:p w14:paraId="4C93FC8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13938</w:t>
                  </w:r>
                </w:p>
              </w:tc>
              <w:tc>
                <w:tcPr>
                  <w:tcW w:w="3110" w:type="dxa"/>
                  <w:noWrap w:val="0"/>
                  <w:vAlign w:val="center"/>
                </w:tcPr>
                <w:p w14:paraId="59824A8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13938</w:t>
                  </w:r>
                </w:p>
              </w:tc>
              <w:tc>
                <w:tcPr>
                  <w:tcW w:w="750" w:type="dxa"/>
                  <w:noWrap w:val="0"/>
                  <w:vAlign w:val="center"/>
                </w:tcPr>
                <w:p w14:paraId="6B714958">
                  <w:pPr>
                    <w:spacing w:line="24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r>
            <w:tr w14:paraId="06C56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58" w:type="dxa"/>
                  <w:noWrap w:val="0"/>
                  <w:vAlign w:val="center"/>
                </w:tcPr>
                <w:p w14:paraId="0FA6A34C">
                  <w:pPr>
                    <w:spacing w:line="24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合计</w:t>
                  </w:r>
                </w:p>
              </w:tc>
              <w:tc>
                <w:tcPr>
                  <w:tcW w:w="986" w:type="dxa"/>
                  <w:noWrap w:val="0"/>
                  <w:vAlign w:val="center"/>
                </w:tcPr>
                <w:p w14:paraId="3B5CD3A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23687.4</w:t>
                  </w:r>
                </w:p>
              </w:tc>
              <w:tc>
                <w:tcPr>
                  <w:tcW w:w="3110" w:type="dxa"/>
                  <w:noWrap w:val="0"/>
                  <w:vAlign w:val="center"/>
                </w:tcPr>
                <w:p w14:paraId="51840C6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236</w:t>
                  </w:r>
                  <w:r>
                    <w:rPr>
                      <w:rFonts w:hint="eastAsia" w:cs="Times New Roman"/>
                      <w:color w:val="auto"/>
                      <w:szCs w:val="21"/>
                      <w:highlight w:val="none"/>
                      <w:lang w:val="en-US" w:eastAsia="zh-CN"/>
                    </w:rPr>
                    <w:t>87.4</w:t>
                  </w:r>
                </w:p>
              </w:tc>
              <w:tc>
                <w:tcPr>
                  <w:tcW w:w="750" w:type="dxa"/>
                  <w:noWrap w:val="0"/>
                  <w:vAlign w:val="center"/>
                </w:tcPr>
                <w:p w14:paraId="3478902A">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w:t>
                  </w:r>
                </w:p>
              </w:tc>
            </w:tr>
          </w:tbl>
          <w:p w14:paraId="0D26225C">
            <w:pPr>
              <w:adjustRightInd w:val="0"/>
              <w:snapToGrid w:val="0"/>
              <w:jc w:val="left"/>
              <w:rPr>
                <w:rFonts w:hint="default" w:ascii="Times New Roman" w:hAnsi="Times New Roman" w:cs="Times New Roman"/>
                <w:color w:val="auto"/>
                <w:kern w:val="0"/>
                <w:sz w:val="10"/>
                <w:szCs w:val="10"/>
                <w:highlight w:val="none"/>
              </w:rPr>
            </w:pPr>
          </w:p>
        </w:tc>
      </w:tr>
      <w:tr w14:paraId="7ABE11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7" w:type="dxa"/>
            <w:tcBorders>
              <w:bottom w:val="single" w:color="auto" w:sz="4" w:space="0"/>
            </w:tcBorders>
            <w:noWrap w:val="0"/>
            <w:vAlign w:val="center"/>
          </w:tcPr>
          <w:p w14:paraId="7891FAC0">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总平面及现场布置</w:t>
            </w:r>
          </w:p>
        </w:tc>
        <w:tc>
          <w:tcPr>
            <w:tcW w:w="8712" w:type="dxa"/>
            <w:tcBorders>
              <w:bottom w:val="single" w:color="auto" w:sz="4" w:space="0"/>
            </w:tcBorders>
            <w:noWrap w:val="0"/>
            <w:vAlign w:val="center"/>
          </w:tcPr>
          <w:p w14:paraId="54B76B21">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textAlignment w:val="auto"/>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b/>
                <w:bCs/>
                <w:color w:val="auto"/>
                <w:sz w:val="24"/>
                <w:highlight w:val="none"/>
                <w:lang w:val="en-US" w:eastAsia="zh-CN"/>
              </w:rPr>
              <w:t>1.云雾山</w:t>
            </w:r>
            <w:r>
              <w:rPr>
                <w:rFonts w:hint="default" w:ascii="Times New Roman" w:hAnsi="Times New Roman" w:cs="Times New Roman"/>
                <w:b/>
                <w:bCs/>
                <w:color w:val="auto"/>
                <w:sz w:val="24"/>
                <w:highlight w:val="none"/>
                <w:lang w:eastAsia="zh-CN"/>
              </w:rPr>
              <w:t>变电</w:t>
            </w:r>
            <w:r>
              <w:rPr>
                <w:rFonts w:hint="default" w:ascii="Times New Roman" w:hAnsi="Times New Roman" w:eastAsia="宋体" w:cs="Times New Roman"/>
                <w:b/>
                <w:bCs/>
                <w:color w:val="auto"/>
                <w:sz w:val="24"/>
                <w:highlight w:val="none"/>
                <w:lang w:eastAsia="zh-CN"/>
              </w:rPr>
              <w:t>站平面布置</w:t>
            </w:r>
          </w:p>
          <w:p w14:paraId="4245635C">
            <w:pPr>
              <w:tabs>
                <w:tab w:val="left" w:pos="567"/>
              </w:tabs>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rPr>
              <w:t>云雾山330千伏变电站布置以主变为中心，330千伏配电装置采用户外HGIS，布置在站区北侧，向东、西、北方向出线，110千伏配电装置采用户外</w:t>
            </w:r>
            <w:r>
              <w:rPr>
                <w:rFonts w:hint="default" w:ascii="Times New Roman" w:hAnsi="Times New Roman" w:eastAsia="宋体" w:cs="Times New Roman"/>
                <w:color w:val="auto"/>
                <w:kern w:val="2"/>
                <w:sz w:val="24"/>
                <w:szCs w:val="24"/>
                <w:highlight w:val="none"/>
                <w:lang w:val="zh-CN"/>
              </w:rPr>
              <w:t>H</w:t>
            </w:r>
            <w:r>
              <w:rPr>
                <w:rFonts w:hint="default" w:ascii="Times New Roman" w:hAnsi="Times New Roman" w:eastAsia="宋体" w:cs="Times New Roman"/>
                <w:color w:val="auto"/>
                <w:kern w:val="2"/>
                <w:sz w:val="24"/>
                <w:szCs w:val="24"/>
                <w:highlight w:val="none"/>
                <w:lang w:val="en-US" w:eastAsia="zh-CN"/>
              </w:rPr>
              <w:t>GIS，布置在站区南侧，向南出线；主变、无功装置、站用变室、35千伏配电室布置在站区中部；330千伏继电小室布置于330千伏配电区域的空余位置，主变及110千伏继电小室布置于110千伏配电装置区；主控通信舱布置在站区西侧。进站大门的南侧，进站大门布置在站区西侧，正对主变运输道路，在站区内布置了环形道路，便于设备运输。</w:t>
            </w:r>
            <w:r>
              <w:rPr>
                <w:rFonts w:hint="default" w:ascii="Times New Roman" w:hAnsi="Times New Roman" w:cs="Times New Roman"/>
                <w:color w:val="auto"/>
                <w:sz w:val="24"/>
                <w:highlight w:val="none"/>
                <w:lang w:val="en-US" w:eastAsia="zh-CN"/>
              </w:rPr>
              <w:t>云雾山330千伏变电站110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屋外配电装置</w:t>
            </w:r>
            <w:r>
              <w:rPr>
                <w:rFonts w:hint="default" w:ascii="Times New Roman" w:hAnsi="Times New Roman" w:eastAsia="宋体" w:cs="Times New Roman"/>
                <w:color w:val="auto"/>
                <w:kern w:val="0"/>
                <w:sz w:val="24"/>
                <w:szCs w:val="24"/>
                <w:highlight w:val="none"/>
                <w:lang w:val="en-US" w:eastAsia="zh-CN" w:bidi="ar"/>
              </w:rPr>
              <w:t>平面布置示意图见附图2-</w:t>
            </w:r>
            <w:r>
              <w:rPr>
                <w:rFonts w:hint="eastAsia"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w:t>
            </w:r>
          </w:p>
          <w:p w14:paraId="5FFD46CB">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2" w:firstLineChars="200"/>
              <w:jc w:val="both"/>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lang w:val="en-US" w:eastAsia="zh-CN"/>
              </w:rPr>
              <w:t>输电线路路径</w:t>
            </w:r>
          </w:p>
          <w:p w14:paraId="765062D1">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cs="Times New Roman"/>
                <w:color w:val="auto"/>
                <w:sz w:val="24"/>
                <w:highlight w:val="none"/>
                <w:lang w:val="en-US" w:eastAsia="zh-CN"/>
              </w:rPr>
              <w:t>本工程线路自拟建华电彭阳升压站110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构架间隔出线，线路以单回路向南架设从交岔乡关口村西侧经过，跨越G85银昆高速，继续向南架设钻越110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清李Ⅰ线</w:t>
            </w:r>
            <w:r>
              <w:rPr>
                <w:rFonts w:hint="eastAsia" w:cs="Times New Roman"/>
                <w:color w:val="auto"/>
                <w:sz w:val="24"/>
                <w:highlight w:val="none"/>
                <w:lang w:val="en-US" w:eastAsia="zh-CN"/>
              </w:rPr>
              <w:t>、110千伏至李线</w:t>
            </w:r>
            <w:r>
              <w:rPr>
                <w:rFonts w:hint="default" w:ascii="Times New Roman" w:hAnsi="Times New Roman" w:cs="Times New Roman"/>
                <w:color w:val="auto"/>
                <w:sz w:val="24"/>
                <w:highlight w:val="none"/>
                <w:lang w:val="en-US" w:eastAsia="zh-CN"/>
              </w:rPr>
              <w:t>，继续向南架设至交岔乡交岔村东侧跨越35</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官王线，向南架设钻越±1100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吉泉线，继续向南架设与规划云雾山至王洼变110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线路西侧平行，线路一直平行架设至本次线路终点云雾山变电站110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间隔架构外侧终止。</w:t>
            </w:r>
            <w:r>
              <w:rPr>
                <w:rFonts w:hint="default" w:ascii="Times New Roman" w:hAnsi="Times New Roman" w:cs="Times New Roman"/>
                <w:color w:val="auto"/>
                <w:sz w:val="24"/>
                <w:szCs w:val="24"/>
                <w:highlight w:val="none"/>
                <w:lang w:val="en-US" w:eastAsia="zh-CN"/>
              </w:rPr>
              <w:t>本工程</w:t>
            </w:r>
            <w:bookmarkStart w:id="77" w:name="OLE_LINK14"/>
            <w:r>
              <w:rPr>
                <w:rFonts w:hint="eastAsia" w:cs="Times New Roman"/>
                <w:color w:val="auto"/>
                <w:sz w:val="24"/>
                <w:szCs w:val="24"/>
                <w:highlight w:val="none"/>
                <w:lang w:val="en-US" w:eastAsia="zh-CN"/>
              </w:rPr>
              <w:t>输电</w:t>
            </w:r>
            <w:r>
              <w:rPr>
                <w:rFonts w:hint="default" w:ascii="Times New Roman" w:hAnsi="Times New Roman" w:cs="Times New Roman"/>
                <w:color w:val="auto"/>
                <w:sz w:val="24"/>
                <w:szCs w:val="24"/>
                <w:highlight w:val="none"/>
              </w:rPr>
              <w:t>线路路径</w:t>
            </w:r>
            <w:r>
              <w:rPr>
                <w:rFonts w:hint="default" w:ascii="Times New Roman" w:hAnsi="Times New Roman" w:cs="Times New Roman"/>
                <w:color w:val="auto"/>
                <w:sz w:val="24"/>
                <w:szCs w:val="24"/>
                <w:highlight w:val="none"/>
                <w:lang w:eastAsia="zh-CN"/>
              </w:rPr>
              <w:t>示意图</w:t>
            </w:r>
            <w:bookmarkEnd w:id="77"/>
            <w:r>
              <w:rPr>
                <w:rFonts w:hint="default" w:ascii="Times New Roman" w:hAnsi="Times New Roman" w:cs="Times New Roman"/>
                <w:color w:val="auto"/>
                <w:sz w:val="24"/>
                <w:szCs w:val="24"/>
                <w:highlight w:val="none"/>
                <w:lang w:val="en-US" w:eastAsia="zh-CN"/>
              </w:rPr>
              <w:t>具体</w:t>
            </w:r>
            <w:r>
              <w:rPr>
                <w:rFonts w:hint="default" w:ascii="Times New Roman" w:hAnsi="Times New Roman" w:cs="Times New Roman"/>
                <w:color w:val="auto"/>
                <w:sz w:val="24"/>
                <w:szCs w:val="24"/>
                <w:highlight w:val="none"/>
              </w:rPr>
              <w:t>见</w:t>
            </w:r>
            <w:r>
              <w:rPr>
                <w:rFonts w:hint="default" w:ascii="Times New Roman" w:hAnsi="Times New Roman" w:cs="Times New Roman"/>
                <w:color w:val="auto"/>
                <w:sz w:val="24"/>
                <w:szCs w:val="24"/>
                <w:highlight w:val="none"/>
                <w:lang w:val="en-US" w:eastAsia="zh-CN"/>
              </w:rPr>
              <w:t>附</w:t>
            </w:r>
            <w:bookmarkStart w:id="78" w:name="OLE_LINK15"/>
            <w:r>
              <w:rPr>
                <w:rFonts w:hint="default" w:ascii="Times New Roman" w:hAnsi="Times New Roman" w:cs="Times New Roman"/>
                <w:color w:val="auto"/>
                <w:sz w:val="24"/>
                <w:szCs w:val="24"/>
                <w:highlight w:val="none"/>
                <w:lang w:val="en-US" w:eastAsia="zh-CN"/>
              </w:rPr>
              <w:t>图</w:t>
            </w:r>
            <w:bookmarkEnd w:id="78"/>
            <w:r>
              <w:rPr>
                <w:rFonts w:hint="default"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6。</w:t>
            </w:r>
          </w:p>
          <w:p w14:paraId="11C198A5">
            <w:pPr>
              <w:keepNext w:val="0"/>
              <w:keepLines w:val="0"/>
              <w:pageBreakBefore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lang w:val="en-US" w:eastAsia="zh-CN"/>
              </w:rPr>
              <w:t>线路抬高改造</w:t>
            </w:r>
          </w:p>
          <w:p w14:paraId="66879E84">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本次新建风电送出线路与110</w:t>
            </w:r>
            <w:r>
              <w:rPr>
                <w:rFonts w:hint="eastAsia" w:eastAsia="宋体" w:cs="Times New Roman"/>
                <w:color w:val="auto"/>
                <w:sz w:val="24"/>
                <w:szCs w:val="24"/>
                <w:highlight w:val="none"/>
                <w:lang w:val="en-US" w:eastAsia="zh-CN"/>
              </w:rPr>
              <w:t>千伏</w:t>
            </w:r>
            <w:r>
              <w:rPr>
                <w:rFonts w:hint="eastAsia" w:ascii="Times New Roman" w:hAnsi="Times New Roman" w:eastAsia="宋体" w:cs="Times New Roman"/>
                <w:color w:val="auto"/>
                <w:sz w:val="24"/>
                <w:szCs w:val="24"/>
                <w:highlight w:val="none"/>
                <w:lang w:val="en-US" w:eastAsia="zh-CN"/>
              </w:rPr>
              <w:t>清李</w:t>
            </w:r>
            <w:r>
              <w:rPr>
                <w:rFonts w:hint="eastAsia" w:eastAsia="宋体" w:cs="Times New Roman"/>
                <w:color w:val="auto"/>
                <w:sz w:val="24"/>
                <w:szCs w:val="24"/>
                <w:highlight w:val="none"/>
                <w:lang w:val="en-US" w:eastAsia="zh-CN"/>
              </w:rPr>
              <w:t>I</w:t>
            </w:r>
            <w:r>
              <w:rPr>
                <w:rFonts w:hint="eastAsia" w:ascii="Times New Roman" w:hAnsi="Times New Roman" w:eastAsia="宋体" w:cs="Times New Roman"/>
                <w:color w:val="auto"/>
                <w:sz w:val="24"/>
                <w:szCs w:val="24"/>
                <w:highlight w:val="none"/>
                <w:lang w:val="en-US" w:eastAsia="zh-CN"/>
              </w:rPr>
              <w:t>线、110</w:t>
            </w:r>
            <w:r>
              <w:rPr>
                <w:rFonts w:hint="eastAsia" w:eastAsia="宋体" w:cs="Times New Roman"/>
                <w:color w:val="auto"/>
                <w:sz w:val="24"/>
                <w:szCs w:val="24"/>
                <w:highlight w:val="none"/>
                <w:lang w:val="en-US" w:eastAsia="zh-CN"/>
              </w:rPr>
              <w:t>千伏</w:t>
            </w:r>
            <w:r>
              <w:rPr>
                <w:rFonts w:hint="eastAsia" w:ascii="Times New Roman" w:hAnsi="Times New Roman" w:eastAsia="宋体" w:cs="Times New Roman"/>
                <w:color w:val="auto"/>
                <w:sz w:val="24"/>
                <w:szCs w:val="24"/>
                <w:highlight w:val="none"/>
                <w:lang w:val="en-US" w:eastAsia="zh-CN"/>
              </w:rPr>
              <w:t>至李线存在交跨，110</w:t>
            </w:r>
            <w:r>
              <w:rPr>
                <w:rFonts w:hint="eastAsia" w:eastAsia="宋体" w:cs="Times New Roman"/>
                <w:color w:val="auto"/>
                <w:sz w:val="24"/>
                <w:szCs w:val="24"/>
                <w:highlight w:val="none"/>
                <w:lang w:val="en-US" w:eastAsia="zh-CN"/>
              </w:rPr>
              <w:t>千伏</w:t>
            </w:r>
            <w:r>
              <w:rPr>
                <w:rFonts w:hint="eastAsia" w:ascii="Times New Roman" w:hAnsi="Times New Roman" w:eastAsia="宋体" w:cs="Times New Roman"/>
                <w:color w:val="auto"/>
                <w:sz w:val="24"/>
                <w:szCs w:val="24"/>
                <w:highlight w:val="none"/>
                <w:lang w:val="en-US" w:eastAsia="zh-CN"/>
              </w:rPr>
              <w:t>清李</w:t>
            </w:r>
            <w:r>
              <w:rPr>
                <w:rFonts w:hint="eastAsia" w:eastAsia="宋体" w:cs="Times New Roman"/>
                <w:color w:val="auto"/>
                <w:sz w:val="24"/>
                <w:szCs w:val="24"/>
                <w:highlight w:val="none"/>
                <w:lang w:val="en-US" w:eastAsia="zh-CN"/>
              </w:rPr>
              <w:t>I</w:t>
            </w:r>
            <w:r>
              <w:rPr>
                <w:rFonts w:hint="eastAsia" w:ascii="Times New Roman" w:hAnsi="Times New Roman" w:eastAsia="宋体" w:cs="Times New Roman"/>
                <w:color w:val="auto"/>
                <w:sz w:val="24"/>
                <w:szCs w:val="24"/>
                <w:highlight w:val="none"/>
                <w:lang w:val="en-US" w:eastAsia="zh-CN"/>
              </w:rPr>
              <w:t>线、110</w:t>
            </w:r>
            <w:r>
              <w:rPr>
                <w:rFonts w:hint="eastAsia" w:eastAsia="宋体" w:cs="Times New Roman"/>
                <w:color w:val="auto"/>
                <w:sz w:val="24"/>
                <w:szCs w:val="24"/>
                <w:highlight w:val="none"/>
                <w:lang w:val="en-US" w:eastAsia="zh-CN"/>
              </w:rPr>
              <w:t>千伏</w:t>
            </w:r>
            <w:r>
              <w:rPr>
                <w:rFonts w:hint="eastAsia" w:ascii="Times New Roman" w:hAnsi="Times New Roman" w:eastAsia="宋体" w:cs="Times New Roman"/>
                <w:color w:val="auto"/>
                <w:sz w:val="24"/>
                <w:szCs w:val="24"/>
                <w:highlight w:val="none"/>
                <w:lang w:val="en-US" w:eastAsia="zh-CN"/>
              </w:rPr>
              <w:t>至李</w:t>
            </w:r>
            <w:r>
              <w:rPr>
                <w:rFonts w:hint="default" w:ascii="Times New Roman" w:hAnsi="Times New Roman" w:eastAsia="宋体" w:cs="Times New Roman"/>
                <w:color w:val="auto"/>
                <w:sz w:val="24"/>
                <w:szCs w:val="24"/>
                <w:highlight w:val="none"/>
                <w:lang w:val="en-US" w:eastAsia="zh-CN"/>
              </w:rPr>
              <w:t>线两条线路属于公网110千伏网架结构线路，两条线路所带用户用电负荷较高，承担着沿线工业生产、居民生活的核心供电任务，其安全稳定运行直接关系到区域电网的供电可靠性。新建110千伏风电送出线路属于用户送出上网专线，新建线路重要等级低于110千伏清李1线、110千伏至李线两条公网网架结构线路，需钻越公网线路，经现场勘察110千伏清李I线113#-119#耐张段、110千伏至李线93#-98#耐张段不满足钻越条件，经过与运维单位沟通，确定本次新建线路与110千伏清李</w:t>
            </w:r>
            <w:r>
              <w:rPr>
                <w:rFonts w:hint="default" w:ascii="Times New Roman" w:hAnsi="Times New Roman" w:cs="Times New Roman"/>
                <w:color w:val="auto"/>
                <w:sz w:val="24"/>
                <w:szCs w:val="24"/>
                <w:highlight w:val="none"/>
                <w:lang w:val="en-US" w:eastAsia="zh-CN"/>
              </w:rPr>
              <w:t>I</w:t>
            </w:r>
            <w:r>
              <w:rPr>
                <w:rFonts w:hint="default" w:ascii="Times New Roman" w:hAnsi="Times New Roman" w:eastAsia="宋体" w:cs="Times New Roman"/>
                <w:color w:val="auto"/>
                <w:sz w:val="24"/>
                <w:szCs w:val="24"/>
                <w:highlight w:val="none"/>
                <w:lang w:val="en-US" w:eastAsia="zh-CN"/>
              </w:rPr>
              <w:t>线、110千伏至李线两条线路交跨方案为通过抬高110千伏清李I线、110千伏至李线两条线路后进行钻越。</w:t>
            </w:r>
          </w:p>
          <w:p w14:paraId="62D94FD5">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本工程新建线路段16#-17#钻越110千伏清李Ⅰ线和110千伏至李线；改造方案为：通过抬高110千伏清李Ⅰ线117#、118#直线塔，110</w:t>
            </w:r>
            <w:r>
              <w:rPr>
                <w:rFonts w:hint="eastAsia" w:eastAsia="宋体" w:cs="Times New Roman"/>
                <w:color w:val="auto"/>
                <w:sz w:val="24"/>
                <w:szCs w:val="24"/>
                <w:highlight w:val="none"/>
                <w:lang w:val="en-US" w:eastAsia="zh-CN"/>
              </w:rPr>
              <w:t>千伏</w:t>
            </w:r>
            <w:r>
              <w:rPr>
                <w:rFonts w:hint="default" w:ascii="Times New Roman" w:hAnsi="Times New Roman" w:eastAsia="宋体" w:cs="Times New Roman"/>
                <w:color w:val="auto"/>
                <w:sz w:val="24"/>
                <w:szCs w:val="24"/>
                <w:highlight w:val="none"/>
                <w:lang w:val="en-US" w:eastAsia="zh-CN"/>
              </w:rPr>
              <w:t>至李96#、97#直线塔，满足本次新建线路钻越。根据原设计气象条件，本次改造110</w:t>
            </w:r>
            <w:r>
              <w:rPr>
                <w:rFonts w:hint="eastAsia" w:eastAsia="宋体" w:cs="Times New Roman"/>
                <w:color w:val="auto"/>
                <w:sz w:val="24"/>
                <w:szCs w:val="24"/>
                <w:highlight w:val="none"/>
                <w:lang w:val="en-US" w:eastAsia="zh-CN"/>
              </w:rPr>
              <w:t>千伏</w:t>
            </w:r>
            <w:r>
              <w:rPr>
                <w:rFonts w:hint="default" w:ascii="Times New Roman" w:hAnsi="Times New Roman" w:eastAsia="宋体" w:cs="Times New Roman"/>
                <w:color w:val="auto"/>
                <w:sz w:val="24"/>
                <w:szCs w:val="24"/>
                <w:highlight w:val="none"/>
                <w:lang w:val="en-US" w:eastAsia="zh-CN"/>
              </w:rPr>
              <w:t>清李Ⅰ线113#-119#耐张段和110</w:t>
            </w:r>
            <w:r>
              <w:rPr>
                <w:rFonts w:hint="eastAsia" w:eastAsia="宋体" w:cs="Times New Roman"/>
                <w:color w:val="auto"/>
                <w:sz w:val="24"/>
                <w:szCs w:val="24"/>
                <w:highlight w:val="none"/>
                <w:lang w:val="en-US" w:eastAsia="zh-CN"/>
              </w:rPr>
              <w:t>千伏</w:t>
            </w:r>
            <w:r>
              <w:rPr>
                <w:rFonts w:hint="default" w:ascii="Times New Roman" w:hAnsi="Times New Roman" w:eastAsia="宋体" w:cs="Times New Roman"/>
                <w:color w:val="auto"/>
                <w:sz w:val="24"/>
                <w:szCs w:val="24"/>
                <w:highlight w:val="none"/>
                <w:lang w:val="en-US" w:eastAsia="zh-CN"/>
              </w:rPr>
              <w:t>至李线91#-98#耐张段设计覆冰为20mm，改造铁塔采用110-DC42D模块。</w:t>
            </w:r>
          </w:p>
          <w:p w14:paraId="3B94C737">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线路抬高改造路径图见附图2-7。</w:t>
            </w:r>
          </w:p>
          <w:p w14:paraId="5705DD51">
            <w:pPr>
              <w:keepNext w:val="0"/>
              <w:keepLines w:val="0"/>
              <w:pageBreakBefore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施工布置情况</w:t>
            </w:r>
          </w:p>
          <w:p w14:paraId="66457E91">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⑴</w:t>
            </w:r>
            <w:r>
              <w:rPr>
                <w:rFonts w:hint="default" w:ascii="Times New Roman" w:hAnsi="Times New Roman" w:cs="Times New Roman"/>
                <w:color w:val="auto"/>
                <w:sz w:val="24"/>
                <w:highlight w:val="none"/>
                <w:lang w:val="en-US" w:eastAsia="zh-CN"/>
              </w:rPr>
              <w:t>间隔扩建施工场地布置</w:t>
            </w:r>
          </w:p>
          <w:p w14:paraId="37D542D5">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本项目间隔扩建工程施工场地位于云雾山330千伏变电站站内预留110千伏出线间隔处，设备材料临时堆放场所等设置在原有变电站站内及租住民房区域内，间隔扩建工程</w:t>
            </w:r>
            <w:r>
              <w:rPr>
                <w:rFonts w:hint="default" w:ascii="Times New Roman" w:hAnsi="Times New Roman" w:cs="Times New Roman"/>
                <w:color w:val="auto"/>
                <w:sz w:val="24"/>
                <w:highlight w:val="none"/>
                <w:lang w:eastAsia="zh-CN"/>
              </w:rPr>
              <w:t>不新增临时占地。</w:t>
            </w:r>
          </w:p>
          <w:p w14:paraId="023087EC">
            <w:pPr>
              <w:spacing w:line="360" w:lineRule="auto"/>
              <w:ind w:firstLine="480"/>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sz w:val="24"/>
                <w:highlight w:val="none"/>
                <w:lang w:eastAsia="zh-CN"/>
              </w:rPr>
              <w:t>⑵</w:t>
            </w:r>
            <w:r>
              <w:rPr>
                <w:rFonts w:hint="eastAsia" w:cs="Times New Roman"/>
                <w:color w:val="auto"/>
                <w:sz w:val="24"/>
                <w:highlight w:val="none"/>
                <w:lang w:val="en-US" w:eastAsia="zh-CN"/>
              </w:rPr>
              <w:t>输电线路</w:t>
            </w:r>
            <w:r>
              <w:rPr>
                <w:rFonts w:hint="default" w:ascii="Times New Roman" w:hAnsi="Times New Roman" w:cs="Times New Roman"/>
                <w:color w:val="auto"/>
                <w:sz w:val="24"/>
                <w:highlight w:val="none"/>
              </w:rPr>
              <w:t>塔基施工</w:t>
            </w:r>
            <w:r>
              <w:rPr>
                <w:rFonts w:hint="default" w:ascii="Times New Roman" w:hAnsi="Times New Roman" w:cs="Times New Roman"/>
                <w:color w:val="auto"/>
                <w:sz w:val="24"/>
                <w:highlight w:val="none"/>
                <w:lang w:val="en-US" w:eastAsia="zh-CN"/>
              </w:rPr>
              <w:t>场地</w:t>
            </w:r>
            <w:r>
              <w:rPr>
                <w:rFonts w:hint="default" w:ascii="Times New Roman" w:hAnsi="Times New Roman" w:cs="Times New Roman"/>
                <w:color w:val="auto"/>
                <w:kern w:val="0"/>
                <w:sz w:val="24"/>
                <w:highlight w:val="none"/>
                <w:lang w:bidi="ar"/>
              </w:rPr>
              <w:t>布置</w:t>
            </w:r>
          </w:p>
          <w:p w14:paraId="0F9726D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塔基基础施工临时场地以单个塔基为单位零星布置在塔基区附近。在塔基施工过程中每处塔基都有一处施工临时占地作为施工场地，用来临时堆置土方、材料和工具等。</w:t>
            </w:r>
          </w:p>
          <w:p w14:paraId="589FE915">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⑶</w:t>
            </w:r>
            <w:r>
              <w:rPr>
                <w:rFonts w:hint="default" w:ascii="Times New Roman" w:hAnsi="Times New Roman" w:cs="Times New Roman"/>
                <w:color w:val="auto"/>
                <w:sz w:val="24"/>
                <w:highlight w:val="none"/>
              </w:rPr>
              <w:t>牵张场</w:t>
            </w:r>
            <w:r>
              <w:rPr>
                <w:rFonts w:hint="default" w:ascii="Times New Roman" w:hAnsi="Times New Roman" w:cs="Times New Roman"/>
                <w:color w:val="auto"/>
                <w:sz w:val="24"/>
                <w:highlight w:val="none"/>
                <w:lang w:val="en-US" w:eastAsia="zh-CN"/>
              </w:rPr>
              <w:t>及跨越场</w:t>
            </w:r>
            <w:r>
              <w:rPr>
                <w:rFonts w:hint="default" w:ascii="Times New Roman" w:hAnsi="Times New Roman" w:cs="Times New Roman"/>
                <w:color w:val="auto"/>
                <w:sz w:val="24"/>
                <w:highlight w:val="none"/>
              </w:rPr>
              <w:t>布置</w:t>
            </w:r>
          </w:p>
          <w:p w14:paraId="7169177F">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为满足施工放线需要，输电线路沿线需设置牵张场地</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放线场主要用作导线、地线张紧和架线，也兼作材料使用前的临时堆放、转运以及工程临时指挥</w:t>
            </w:r>
            <w:r>
              <w:rPr>
                <w:rFonts w:hint="default" w:ascii="Times New Roman" w:hAnsi="Times New Roman" w:cs="Times New Roman"/>
                <w:color w:val="auto"/>
                <w:sz w:val="24"/>
                <w:highlight w:val="none"/>
                <w:lang w:eastAsia="zh-CN"/>
              </w:rPr>
              <w:t>篷</w:t>
            </w:r>
            <w:r>
              <w:rPr>
                <w:rFonts w:hint="default" w:ascii="Times New Roman" w:hAnsi="Times New Roman" w:cs="Times New Roman"/>
                <w:color w:val="auto"/>
                <w:sz w:val="24"/>
                <w:highlight w:val="none"/>
              </w:rPr>
              <w:t>房。牵张场设置原则：位于塔基附近，便于放紧线施工；临近既有道路，便于材料运输；场址场地宽敞平坦，便于操作。本</w:t>
            </w:r>
            <w:r>
              <w:rPr>
                <w:rFonts w:hint="default" w:ascii="Times New Roman" w:hAnsi="Times New Roman" w:cs="Times New Roman"/>
                <w:color w:val="auto"/>
                <w:sz w:val="24"/>
                <w:highlight w:val="none"/>
                <w:lang w:val="en-US" w:eastAsia="zh-CN"/>
              </w:rPr>
              <w:t>项目共</w:t>
            </w:r>
            <w:r>
              <w:rPr>
                <w:rFonts w:hint="default" w:ascii="Times New Roman" w:hAnsi="Times New Roman" w:cs="Times New Roman"/>
                <w:color w:val="auto"/>
                <w:sz w:val="24"/>
                <w:highlight w:val="none"/>
              </w:rPr>
              <w:t>设置</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处</w:t>
            </w:r>
            <w:r>
              <w:rPr>
                <w:rFonts w:hint="default" w:ascii="Times New Roman" w:hAnsi="Times New Roman" w:cs="Times New Roman"/>
                <w:color w:val="auto"/>
                <w:sz w:val="24"/>
                <w:highlight w:val="none"/>
                <w:lang w:val="en-US" w:eastAsia="zh-CN"/>
              </w:rPr>
              <w:t>牵</w:t>
            </w:r>
            <w:r>
              <w:rPr>
                <w:rFonts w:hint="default" w:ascii="Times New Roman" w:hAnsi="Times New Roman" w:cs="Times New Roman"/>
                <w:color w:val="auto"/>
                <w:sz w:val="24"/>
                <w:highlight w:val="none"/>
              </w:rPr>
              <w:t>张场，</w:t>
            </w:r>
            <w:r>
              <w:rPr>
                <w:rFonts w:hint="default" w:ascii="Times New Roman" w:hAnsi="Times New Roman" w:cs="Times New Roman"/>
                <w:color w:val="auto"/>
                <w:sz w:val="24"/>
                <w:highlight w:val="none"/>
                <w:lang w:val="en-US" w:eastAsia="zh-CN"/>
              </w:rPr>
              <w:t>分别在13#、55#、40#、47#、22#、13#杆塔附近，</w:t>
            </w:r>
            <w:r>
              <w:rPr>
                <w:rFonts w:hint="default" w:ascii="Times New Roman" w:hAnsi="Times New Roman" w:cs="Times New Roman"/>
                <w:color w:val="auto"/>
                <w:sz w:val="24"/>
                <w:highlight w:val="none"/>
              </w:rPr>
              <w:t>采用张力放线</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szCs w:val="24"/>
                <w:highlight w:val="none"/>
                <w:lang w:val="en-US" w:eastAsia="zh-CN"/>
              </w:rPr>
              <w:t>牵张场总占地面积为0.4202hm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vertAlign w:val="baseline"/>
                <w:lang w:val="en-US" w:eastAsia="zh-CN"/>
              </w:rPr>
              <w:t>。</w:t>
            </w:r>
          </w:p>
          <w:p w14:paraId="73C9ACFB">
            <w:pPr>
              <w:spacing w:line="360" w:lineRule="auto"/>
              <w:ind w:firstLine="480"/>
              <w:rPr>
                <w:rFonts w:hint="default" w:ascii="Times New Roman" w:hAnsi="Times New Roman" w:cs="Times New Roman"/>
                <w:color w:val="auto"/>
                <w:sz w:val="24"/>
                <w:szCs w:val="24"/>
                <w:highlight w:val="none"/>
                <w:vertAlign w:val="baseline"/>
                <w:lang w:val="en-US" w:eastAsia="zh-CN"/>
              </w:rPr>
            </w:pPr>
            <w:r>
              <w:rPr>
                <w:rFonts w:hint="default" w:ascii="Times New Roman" w:hAnsi="Times New Roman" w:cs="Times New Roman"/>
                <w:color w:val="auto"/>
                <w:sz w:val="24"/>
                <w:highlight w:val="none"/>
                <w:lang w:val="en-US" w:eastAsia="zh-CN"/>
              </w:rPr>
              <w:t>线路在跨越电力线路、公路处需要设置跨越场，本项目共</w:t>
            </w:r>
            <w:r>
              <w:rPr>
                <w:rFonts w:hint="default" w:ascii="Times New Roman" w:hAnsi="Times New Roman" w:cs="Times New Roman"/>
                <w:color w:val="auto"/>
                <w:sz w:val="24"/>
                <w:szCs w:val="24"/>
                <w:highlight w:val="none"/>
                <w:lang w:val="en-US" w:eastAsia="zh-CN"/>
              </w:rPr>
              <w:t>设置11处跨越架，分别在65#-66#杆塔间设置2处，55#-56#杆塔间设置2处、29#-30#杆塔间设置1处、22#-23#杆塔间设置2处、16#-17#杆塔间设置2处、8#-9#杆塔间设置2处</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eastAsia="宋体" w:cs="Times New Roman"/>
                <w:color w:val="auto"/>
                <w:sz w:val="24"/>
                <w:szCs w:val="24"/>
                <w:highlight w:val="none"/>
                <w:lang w:val="en-US" w:eastAsia="zh-CN"/>
              </w:rPr>
              <w:t>跨越</w:t>
            </w:r>
            <w:r>
              <w:rPr>
                <w:rFonts w:hint="default" w:ascii="Times New Roman" w:hAnsi="Times New Roman" w:cs="Times New Roman"/>
                <w:color w:val="auto"/>
                <w:sz w:val="24"/>
                <w:szCs w:val="24"/>
                <w:highlight w:val="none"/>
                <w:lang w:val="en-US" w:eastAsia="zh-CN"/>
              </w:rPr>
              <w:t>架总占地面积为0.0792hm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vertAlign w:val="baseline"/>
                <w:lang w:val="en-US" w:eastAsia="zh-CN"/>
              </w:rPr>
              <w:t>。</w:t>
            </w:r>
          </w:p>
          <w:p w14:paraId="7AA14184">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牵张场及</w:t>
            </w:r>
            <w:r>
              <w:rPr>
                <w:rFonts w:hint="default" w:ascii="Times New Roman" w:hAnsi="Times New Roman" w:cs="Times New Roman"/>
                <w:color w:val="auto"/>
                <w:sz w:val="24"/>
                <w:highlight w:val="none"/>
              </w:rPr>
              <w:t>跨越场不进行表土剥离。</w:t>
            </w:r>
          </w:p>
          <w:p w14:paraId="291AD8C0">
            <w:pPr>
              <w:spacing w:line="360" w:lineRule="auto"/>
              <w:ind w:firstLine="48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⑷</w:t>
            </w:r>
            <w:r>
              <w:rPr>
                <w:rFonts w:hint="default" w:ascii="Times New Roman" w:hAnsi="Times New Roman" w:cs="Times New Roman"/>
                <w:color w:val="auto"/>
                <w:sz w:val="24"/>
                <w:highlight w:val="none"/>
              </w:rPr>
              <w:t>施工便道</w:t>
            </w:r>
          </w:p>
          <w:p w14:paraId="43E3BA11">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根据施工现场道路现状，尽量利用现有道路，在不具备施工运输条件的区域，设置施工便道，本项目设置施工便道</w:t>
            </w:r>
            <w:r>
              <w:rPr>
                <w:rFonts w:hint="default" w:ascii="Times New Roman" w:hAnsi="Times New Roman" w:cs="Times New Roman"/>
                <w:color w:val="auto"/>
                <w:sz w:val="24"/>
                <w:highlight w:val="none"/>
                <w:lang w:val="en-US" w:eastAsia="zh-CN"/>
              </w:rPr>
              <w:t>长22.02km，</w:t>
            </w:r>
            <w:r>
              <w:rPr>
                <w:rFonts w:hint="default" w:ascii="Times New Roman" w:hAnsi="Times New Roman" w:cs="Times New Roman"/>
                <w:color w:val="auto"/>
                <w:sz w:val="24"/>
                <w:highlight w:val="none"/>
              </w:rPr>
              <w:t>宽</w:t>
            </w:r>
            <w:r>
              <w:rPr>
                <w:rFonts w:hint="default" w:ascii="Times New Roman" w:hAnsi="Times New Roman" w:cs="Times New Roman"/>
                <w:color w:val="auto"/>
                <w:sz w:val="24"/>
                <w:highlight w:val="none"/>
                <w:lang w:val="en-US" w:eastAsia="zh-CN"/>
              </w:rPr>
              <w:t>4m（含农用地表土剥离宽度0.5m）</w:t>
            </w:r>
            <w:r>
              <w:rPr>
                <w:rFonts w:hint="default" w:ascii="Times New Roman" w:hAnsi="Times New Roman" w:cs="Times New Roman"/>
                <w:color w:val="auto"/>
                <w:sz w:val="24"/>
                <w:highlight w:val="none"/>
              </w:rPr>
              <w:t>，施工结束后恢复原有使用功能。施工便道</w:t>
            </w:r>
            <w:r>
              <w:rPr>
                <w:rFonts w:hint="default" w:ascii="Times New Roman" w:hAnsi="Times New Roman" w:cs="Times New Roman"/>
                <w:color w:val="auto"/>
                <w:sz w:val="24"/>
                <w:szCs w:val="24"/>
                <w:highlight w:val="none"/>
                <w:lang w:val="en-US" w:eastAsia="zh-CN"/>
              </w:rPr>
              <w:t>总占地面积为3.7860hm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vertAlign w:val="baseline"/>
                <w:lang w:val="en-US" w:eastAsia="zh-CN"/>
              </w:rPr>
              <w:t>。</w:t>
            </w:r>
          </w:p>
          <w:p w14:paraId="61B75BBB">
            <w:pPr>
              <w:spacing w:line="360" w:lineRule="auto"/>
              <w:ind w:firstLine="480"/>
              <w:jc w:val="both"/>
              <w:rPr>
                <w:rFonts w:hint="default" w:ascii="Times New Roman" w:hAnsi="Times New Roman" w:eastAsia="宋体" w:cs="Times New Roman"/>
                <w:bCs/>
                <w:color w:val="auto"/>
                <w:kern w:val="2"/>
                <w:sz w:val="24"/>
                <w:szCs w:val="24"/>
                <w:highlight w:val="none"/>
                <w:lang w:val="en-US" w:eastAsia="zh-CN"/>
              </w:rPr>
            </w:pPr>
            <w:r>
              <w:rPr>
                <w:rFonts w:hint="default" w:ascii="Times New Roman" w:hAnsi="Times New Roman" w:cs="Times New Roman"/>
                <w:color w:val="auto"/>
                <w:sz w:val="24"/>
                <w:highlight w:val="none"/>
                <w:lang w:eastAsia="zh-CN"/>
              </w:rPr>
              <w:t>⑸</w:t>
            </w:r>
            <w:r>
              <w:rPr>
                <w:rFonts w:hint="default" w:ascii="Times New Roman" w:hAnsi="Times New Roman" w:cs="Times New Roman"/>
                <w:color w:val="auto"/>
                <w:sz w:val="24"/>
                <w:highlight w:val="none"/>
                <w:lang w:val="en-US" w:eastAsia="zh-CN"/>
              </w:rPr>
              <w:t>农用地</w:t>
            </w:r>
            <w:r>
              <w:rPr>
                <w:rFonts w:hint="default" w:ascii="Times New Roman" w:hAnsi="Times New Roman" w:eastAsia="宋体" w:cs="Times New Roman"/>
                <w:bCs/>
                <w:color w:val="auto"/>
                <w:kern w:val="2"/>
                <w:sz w:val="24"/>
                <w:szCs w:val="24"/>
                <w:highlight w:val="none"/>
                <w:lang w:val="en-US" w:eastAsia="zh-CN"/>
              </w:rPr>
              <w:t>表土剥离堆放场</w:t>
            </w:r>
          </w:p>
          <w:p w14:paraId="4B6967AB">
            <w:pPr>
              <w:spacing w:line="360" w:lineRule="auto"/>
              <w:ind w:firstLine="480"/>
              <w:jc w:val="both"/>
              <w:rPr>
                <w:rFonts w:hint="default" w:ascii="Times New Roman" w:hAnsi="Times New Roman" w:eastAsia="宋体" w:cs="Times New Roman"/>
                <w:i w:val="0"/>
                <w:iCs w:val="0"/>
                <w:color w:val="auto"/>
                <w:sz w:val="18"/>
                <w:szCs w:val="18"/>
                <w:highlight w:val="none"/>
                <w:u w:val="none"/>
                <w:lang w:val="en-US" w:eastAsia="zh-CN"/>
              </w:rPr>
            </w:pPr>
            <w:r>
              <w:rPr>
                <w:rFonts w:hint="default" w:ascii="Times New Roman" w:hAnsi="Times New Roman" w:eastAsia="宋体" w:cs="Times New Roman"/>
                <w:bCs/>
                <w:color w:val="auto"/>
                <w:kern w:val="2"/>
                <w:sz w:val="24"/>
                <w:szCs w:val="24"/>
                <w:highlight w:val="none"/>
                <w:lang w:val="en-US" w:eastAsia="zh-CN"/>
              </w:rPr>
              <w:t>用于剥离</w:t>
            </w:r>
            <w:r>
              <w:rPr>
                <w:rFonts w:hint="default" w:ascii="Times New Roman" w:hAnsi="Times New Roman" w:cs="Times New Roman"/>
                <w:color w:val="auto"/>
                <w:sz w:val="24"/>
                <w:highlight w:val="none"/>
                <w:lang w:val="en-US" w:eastAsia="zh-CN"/>
              </w:rPr>
              <w:t>农用地</w:t>
            </w:r>
            <w:r>
              <w:rPr>
                <w:rFonts w:hint="default" w:ascii="Times New Roman" w:hAnsi="Times New Roman" w:eastAsia="宋体" w:cs="Times New Roman"/>
                <w:bCs/>
                <w:color w:val="auto"/>
                <w:kern w:val="2"/>
                <w:sz w:val="24"/>
                <w:szCs w:val="24"/>
                <w:highlight w:val="none"/>
                <w:lang w:val="en-US" w:eastAsia="zh-CN"/>
              </w:rPr>
              <w:t>表土的临时堆放，于塔基附近临时用地单侧设置，整个塔基区及周边塔基施工临时占地区在塔基基础开挖前需先对其剥离表土，剥离的表土及土方堆放在塔基处的表土剥离堆放场内，堆放地底层铺设彩条布，周边设填土编织袋进行拦挡，采用彩条布进行苫盖，并设置临时隔离、拦挡等防护措施。</w:t>
            </w:r>
          </w:p>
          <w:p w14:paraId="38E07F5E">
            <w:pPr>
              <w:spacing w:line="360" w:lineRule="auto"/>
              <w:ind w:firstLine="48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szCs w:val="24"/>
                <w:highlight w:val="none"/>
                <w:lang w:eastAsia="zh-CN"/>
              </w:rPr>
              <w:t>⑹</w:t>
            </w:r>
            <w:r>
              <w:rPr>
                <w:rFonts w:hint="default" w:ascii="Times New Roman" w:hAnsi="Times New Roman" w:cs="Times New Roman"/>
                <w:color w:val="auto"/>
                <w:sz w:val="24"/>
                <w:highlight w:val="none"/>
              </w:rPr>
              <w:t>施工营地</w:t>
            </w:r>
          </w:p>
          <w:p w14:paraId="13B3B25D">
            <w:pPr>
              <w:spacing w:line="360" w:lineRule="auto"/>
              <w:ind w:firstLine="480" w:firstLineChars="200"/>
              <w:rPr>
                <w:rFonts w:hint="default" w:ascii="Times New Roman" w:hAnsi="Times New Roman" w:cs="Times New Roman"/>
                <w:color w:val="auto"/>
                <w:kern w:val="0"/>
                <w:sz w:val="24"/>
                <w:highlight w:val="none"/>
              </w:rPr>
            </w:pPr>
            <w:r>
              <w:rPr>
                <w:rFonts w:hint="eastAsia" w:cs="Times New Roman"/>
                <w:color w:val="auto"/>
                <w:kern w:val="0"/>
                <w:sz w:val="24"/>
                <w:highlight w:val="none"/>
                <w:lang w:val="en-US" w:eastAsia="zh-CN"/>
              </w:rPr>
              <w:t>由于</w:t>
            </w:r>
            <w:r>
              <w:rPr>
                <w:rFonts w:hint="default" w:ascii="Times New Roman" w:hAnsi="Times New Roman" w:cs="Times New Roman"/>
                <w:color w:val="auto"/>
                <w:kern w:val="0"/>
                <w:sz w:val="24"/>
                <w:highlight w:val="none"/>
                <w:lang w:val="en-US" w:eastAsia="zh-CN"/>
              </w:rPr>
              <w:t>云雾山330千伏变电站拟计划于2026年5月投运，6月完成所有的临时占地恢复工作，因此本项目间隔扩建工程施工期不能依托云雾山变电站的临时施工营地作为办公生活区及设备材料临时堆放场所。本期间隔扩建工程施工期</w:t>
            </w:r>
            <w:r>
              <w:rPr>
                <w:rFonts w:hint="default" w:ascii="Times New Roman" w:hAnsi="Times New Roman" w:cs="Times New Roman"/>
                <w:color w:val="auto"/>
                <w:sz w:val="24"/>
                <w:highlight w:val="none"/>
                <w:lang w:val="en-US" w:eastAsia="zh-CN"/>
              </w:rPr>
              <w:t>不设施工营地，</w:t>
            </w:r>
            <w:r>
              <w:rPr>
                <w:rFonts w:hint="default" w:ascii="Times New Roman" w:hAnsi="Times New Roman" w:cs="Times New Roman"/>
                <w:color w:val="auto"/>
                <w:sz w:val="24"/>
                <w:highlight w:val="none"/>
              </w:rPr>
              <w:t>租用</w:t>
            </w:r>
            <w:r>
              <w:rPr>
                <w:rFonts w:hint="default" w:ascii="Times New Roman" w:hAnsi="Times New Roman" w:cs="Times New Roman"/>
                <w:color w:val="auto"/>
                <w:sz w:val="24"/>
                <w:highlight w:val="none"/>
                <w:lang w:val="en-US" w:eastAsia="zh-CN"/>
              </w:rPr>
              <w:t>当地</w:t>
            </w:r>
            <w:r>
              <w:rPr>
                <w:rFonts w:hint="default" w:ascii="Times New Roman" w:hAnsi="Times New Roman" w:cs="Times New Roman"/>
                <w:color w:val="auto"/>
                <w:sz w:val="24"/>
                <w:highlight w:val="none"/>
              </w:rPr>
              <w:t>民房作为施工营地，</w:t>
            </w:r>
            <w:r>
              <w:rPr>
                <w:rFonts w:hint="default" w:ascii="Times New Roman" w:hAnsi="Times New Roman" w:cs="Times New Roman"/>
                <w:color w:val="auto"/>
                <w:sz w:val="24"/>
                <w:highlight w:val="none"/>
                <w:lang w:val="en-US" w:eastAsia="zh-CN"/>
              </w:rPr>
              <w:t>内设办公生活区</w:t>
            </w:r>
            <w:r>
              <w:rPr>
                <w:rFonts w:hint="default" w:ascii="Times New Roman" w:hAnsi="Times New Roman" w:cs="Times New Roman"/>
                <w:color w:val="auto"/>
                <w:sz w:val="24"/>
                <w:highlight w:val="none"/>
              </w:rPr>
              <w:t>及</w:t>
            </w:r>
            <w:r>
              <w:rPr>
                <w:rFonts w:hint="default" w:ascii="Times New Roman" w:hAnsi="Times New Roman" w:cs="Times New Roman"/>
                <w:color w:val="auto"/>
                <w:sz w:val="24"/>
                <w:highlight w:val="none"/>
                <w:lang w:val="en-US" w:eastAsia="zh-CN"/>
              </w:rPr>
              <w:t>设备材料临时堆放场所</w:t>
            </w:r>
            <w:r>
              <w:rPr>
                <w:rFonts w:hint="default" w:ascii="Times New Roman" w:hAnsi="Times New Roman" w:cs="Times New Roman"/>
                <w:color w:val="auto"/>
                <w:kern w:val="0"/>
                <w:sz w:val="24"/>
                <w:highlight w:val="none"/>
              </w:rPr>
              <w:t>。</w:t>
            </w:r>
          </w:p>
          <w:p w14:paraId="3E049A67">
            <w:pPr>
              <w:spacing w:line="360" w:lineRule="auto"/>
              <w:ind w:firstLine="480"/>
              <w:rPr>
                <w:rFonts w:hint="default" w:ascii="Times New Roman" w:hAnsi="Times New Roman" w:cs="Times New Roman"/>
                <w:color w:val="auto"/>
                <w:sz w:val="24"/>
                <w:szCs w:val="24"/>
                <w:highlight w:val="none"/>
                <w:lang w:eastAsia="zh-CN"/>
              </w:rPr>
            </w:pPr>
            <w:r>
              <w:rPr>
                <w:rFonts w:hint="default" w:ascii="Times New Roman" w:hAnsi="Times New Roman" w:cs="Times New Roman"/>
                <w:bCs/>
                <w:color w:val="auto"/>
                <w:sz w:val="24"/>
                <w:szCs w:val="24"/>
                <w:highlight w:val="none"/>
                <w:lang w:val="en-US" w:eastAsia="zh-CN"/>
              </w:rPr>
              <w:t>项目全线使用商品混凝土</w:t>
            </w:r>
            <w:r>
              <w:rPr>
                <w:rFonts w:hint="default" w:ascii="Times New Roman" w:hAnsi="Times New Roman" w:cs="Times New Roman"/>
                <w:color w:val="auto"/>
                <w:sz w:val="24"/>
                <w:szCs w:val="24"/>
                <w:highlight w:val="none"/>
              </w:rPr>
              <w:t>。</w:t>
            </w:r>
            <w:r>
              <w:rPr>
                <w:rFonts w:hint="default" w:ascii="Times New Roman" w:hAnsi="Times New Roman" w:eastAsia="宋体" w:cs="Times New Roman"/>
                <w:color w:val="auto"/>
                <w:kern w:val="2"/>
                <w:sz w:val="24"/>
                <w:szCs w:val="24"/>
                <w:lang w:val="en-US" w:eastAsia="zh-CN" w:bidi="ar-SA"/>
              </w:rPr>
              <w:t>变电站内施工人员产生的少量生活污水依托站内已建的化粪池进行处理；</w:t>
            </w:r>
            <w:r>
              <w:rPr>
                <w:rFonts w:hint="eastAsia" w:cs="Times New Roman"/>
                <w:color w:val="auto"/>
                <w:kern w:val="2"/>
                <w:sz w:val="24"/>
                <w:szCs w:val="24"/>
                <w:lang w:val="en-US" w:eastAsia="zh-CN" w:bidi="ar-SA"/>
              </w:rPr>
              <w:t>输电</w:t>
            </w:r>
            <w:r>
              <w:rPr>
                <w:rFonts w:hint="default" w:ascii="Times New Roman" w:hAnsi="Times New Roman" w:eastAsia="宋体" w:cs="Times New Roman"/>
                <w:color w:val="auto"/>
                <w:kern w:val="2"/>
                <w:sz w:val="24"/>
                <w:szCs w:val="24"/>
                <w:lang w:val="en-US" w:eastAsia="zh-CN" w:bidi="ar-SA"/>
              </w:rPr>
              <w:t>线路</w:t>
            </w:r>
            <w:r>
              <w:rPr>
                <w:rFonts w:hint="default" w:ascii="Times New Roman" w:hAnsi="Times New Roman" w:cs="Times New Roman"/>
                <w:color w:val="auto"/>
                <w:sz w:val="24"/>
                <w:szCs w:val="24"/>
                <w:highlight w:val="none"/>
              </w:rPr>
              <w:t>施工人员</w:t>
            </w:r>
            <w:r>
              <w:rPr>
                <w:rFonts w:hint="default" w:ascii="Times New Roman" w:hAnsi="Times New Roman" w:eastAsia="宋体" w:cs="Times New Roman"/>
                <w:bCs/>
                <w:color w:val="auto"/>
                <w:sz w:val="24"/>
                <w:szCs w:val="24"/>
                <w:highlight w:val="none"/>
                <w:lang w:val="en-US" w:eastAsia="zh-CN"/>
              </w:rPr>
              <w:t>产生的生活污水</w:t>
            </w:r>
            <w:r>
              <w:rPr>
                <w:rFonts w:hint="default" w:ascii="Times New Roman" w:hAnsi="Times New Roman" w:cs="Times New Roman"/>
                <w:color w:val="auto"/>
                <w:sz w:val="24"/>
                <w:szCs w:val="24"/>
                <w:highlight w:val="none"/>
              </w:rPr>
              <w:t>依托居住地污水处理措施处理</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变电站内施工人员产生的生活垃圾依托站内生活垃圾桶分类收集</w:t>
            </w:r>
            <w:r>
              <w:rPr>
                <w:rFonts w:hint="eastAsia" w:cs="Times New Roman"/>
                <w:color w:val="auto"/>
                <w:sz w:val="24"/>
                <w:szCs w:val="24"/>
                <w:highlight w:val="none"/>
                <w:lang w:val="en-US" w:eastAsia="zh-CN"/>
              </w:rPr>
              <w:t>后送附近垃圾收集点收集处置；</w:t>
            </w:r>
            <w:r>
              <w:rPr>
                <w:rFonts w:hint="default" w:ascii="Times New Roman" w:hAnsi="Times New Roman" w:cs="Times New Roman"/>
                <w:color w:val="auto"/>
                <w:sz w:val="24"/>
                <w:szCs w:val="24"/>
                <w:highlight w:val="none"/>
                <w:lang w:val="en-US" w:eastAsia="zh-CN"/>
              </w:rPr>
              <w:t>输电线路施工人员产生的生活垃圾依托居住地现有的垃圾桶</w:t>
            </w:r>
            <w:r>
              <w:rPr>
                <w:rFonts w:hint="default" w:ascii="Times New Roman" w:hAnsi="Times New Roman" w:cs="Times New Roman"/>
                <w:color w:val="auto"/>
                <w:sz w:val="24"/>
                <w:szCs w:val="24"/>
                <w:highlight w:val="none"/>
              </w:rPr>
              <w:t>集中收集</w:t>
            </w:r>
            <w:r>
              <w:rPr>
                <w:rFonts w:hint="eastAsia" w:cs="Times New Roman"/>
                <w:color w:val="auto"/>
                <w:sz w:val="24"/>
                <w:szCs w:val="24"/>
                <w:highlight w:val="none"/>
                <w:lang w:val="en-US" w:eastAsia="zh-CN"/>
              </w:rPr>
              <w:t>后送附近垃圾收集点收集处置</w:t>
            </w:r>
            <w:r>
              <w:rPr>
                <w:rFonts w:hint="default" w:ascii="Times New Roman" w:hAnsi="Times New Roman" w:cs="Times New Roman"/>
                <w:color w:val="auto"/>
                <w:sz w:val="24"/>
                <w:szCs w:val="24"/>
                <w:highlight w:val="none"/>
                <w:lang w:eastAsia="zh-CN"/>
              </w:rPr>
              <w:t>。</w:t>
            </w:r>
          </w:p>
          <w:p w14:paraId="2F13FC30">
            <w:pPr>
              <w:spacing w:line="360" w:lineRule="auto"/>
              <w:ind w:firstLine="48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⑺拆除工程</w:t>
            </w:r>
          </w:p>
          <w:p w14:paraId="27A93873">
            <w:pPr>
              <w:spacing w:line="360" w:lineRule="auto"/>
              <w:ind w:firstLine="48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110千伏线路进行拆除，拆除原有杆塔和导线、附件等，拆除下来的导线、地线及附件等临时堆放在拆除区域临时占地，及时运出并由</w:t>
            </w:r>
            <w:r>
              <w:rPr>
                <w:rFonts w:hint="eastAsia" w:cs="Times New Roman"/>
                <w:color w:val="auto"/>
                <w:sz w:val="24"/>
                <w:szCs w:val="24"/>
                <w:highlight w:val="none"/>
                <w:lang w:val="en-US" w:eastAsia="zh-CN"/>
              </w:rPr>
              <w:t>建管</w:t>
            </w:r>
            <w:r>
              <w:rPr>
                <w:rFonts w:hint="default" w:ascii="Times New Roman" w:hAnsi="Times New Roman" w:cs="Times New Roman"/>
                <w:color w:val="auto"/>
                <w:sz w:val="24"/>
                <w:szCs w:val="24"/>
                <w:highlight w:val="none"/>
                <w:lang w:val="en-US" w:eastAsia="zh-CN"/>
              </w:rPr>
              <w:t>单位进行回收利用。拆除的塔基基础采取相应的污染防治措施，运至当地环境卫生主管部门指定的地点处置。</w:t>
            </w:r>
          </w:p>
          <w:p w14:paraId="64F5404B">
            <w:pPr>
              <w:spacing w:line="360" w:lineRule="auto"/>
              <w:ind w:firstLine="48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拆除工程施工作业量较小，临时占地布置在拆除杆塔附近。</w:t>
            </w:r>
          </w:p>
          <w:p w14:paraId="11074109">
            <w:pPr>
              <w:spacing w:line="360" w:lineRule="auto"/>
              <w:ind w:firstLine="48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szCs w:val="24"/>
                <w:highlight w:val="none"/>
              </w:rPr>
              <w:t>施工</w:t>
            </w:r>
            <w:r>
              <w:rPr>
                <w:rFonts w:hint="default" w:ascii="Times New Roman" w:hAnsi="Times New Roman" w:cs="Times New Roman"/>
                <w:color w:val="auto"/>
                <w:sz w:val="24"/>
                <w:szCs w:val="24"/>
                <w:highlight w:val="none"/>
                <w:lang w:val="en-US" w:eastAsia="zh-CN"/>
              </w:rPr>
              <w:t>平面</w:t>
            </w:r>
            <w:r>
              <w:rPr>
                <w:rFonts w:hint="default" w:ascii="Times New Roman" w:hAnsi="Times New Roman" w:cs="Times New Roman"/>
                <w:color w:val="auto"/>
                <w:sz w:val="24"/>
                <w:szCs w:val="24"/>
                <w:highlight w:val="none"/>
              </w:rPr>
              <w:t>布置见</w:t>
            </w:r>
            <w:r>
              <w:rPr>
                <w:rFonts w:hint="default" w:ascii="Times New Roman" w:hAnsi="Times New Roman" w:cs="Times New Roman"/>
                <w:color w:val="auto"/>
                <w:sz w:val="24"/>
                <w:szCs w:val="24"/>
                <w:highlight w:val="none"/>
                <w:lang w:val="en-US" w:eastAsia="zh-CN"/>
              </w:rPr>
              <w:t>附图2-8</w:t>
            </w:r>
            <w:r>
              <w:rPr>
                <w:rFonts w:hint="default" w:ascii="Times New Roman" w:hAnsi="Times New Roman" w:cs="Times New Roman"/>
                <w:color w:val="auto"/>
                <w:sz w:val="24"/>
                <w:szCs w:val="24"/>
                <w:highlight w:val="none"/>
              </w:rPr>
              <w:t>。</w:t>
            </w:r>
          </w:p>
        </w:tc>
      </w:tr>
      <w:tr w14:paraId="2ADD9C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7" w:type="dxa"/>
            <w:tcBorders>
              <w:top w:val="single" w:color="auto" w:sz="4" w:space="0"/>
              <w:left w:val="single" w:color="auto" w:sz="4" w:space="0"/>
            </w:tcBorders>
            <w:noWrap w:val="0"/>
            <w:vAlign w:val="center"/>
          </w:tcPr>
          <w:p w14:paraId="50169E78">
            <w:pPr>
              <w:adjustRightInd w:val="0"/>
              <w:snapToGrid w:val="0"/>
              <w:jc w:val="center"/>
              <w:rPr>
                <w:rFonts w:hint="default" w:ascii="Times New Roman" w:hAnsi="Times New Roman" w:cs="Times New Roman"/>
                <w:color w:val="auto"/>
                <w:kern w:val="0"/>
                <w:szCs w:val="21"/>
                <w:highlight w:val="none"/>
              </w:rPr>
            </w:pPr>
            <w:bookmarkStart w:id="79" w:name="OLE_LINK16" w:colFirst="1" w:colLast="1"/>
            <w:r>
              <w:rPr>
                <w:rFonts w:hint="default" w:ascii="Times New Roman" w:hAnsi="Times New Roman" w:cs="Times New Roman"/>
                <w:color w:val="auto"/>
                <w:kern w:val="0"/>
                <w:sz w:val="24"/>
                <w:highlight w:val="none"/>
              </w:rPr>
              <w:t>施工方案</w:t>
            </w:r>
          </w:p>
        </w:tc>
        <w:tc>
          <w:tcPr>
            <w:tcW w:w="8712" w:type="dxa"/>
            <w:tcBorders>
              <w:top w:val="single" w:color="auto" w:sz="4" w:space="0"/>
              <w:right w:val="single" w:color="auto" w:sz="4" w:space="0"/>
            </w:tcBorders>
            <w:noWrap w:val="0"/>
            <w:vAlign w:val="center"/>
          </w:tcPr>
          <w:p w14:paraId="3582929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
                <w:bCs/>
                <w:color w:val="auto"/>
                <w:sz w:val="24"/>
                <w:highlight w:val="none"/>
                <w:lang w:eastAsia="zh-CN"/>
              </w:rPr>
              <w:t>1.</w:t>
            </w:r>
            <w:r>
              <w:rPr>
                <w:rFonts w:hint="default" w:ascii="Times New Roman" w:hAnsi="Times New Roman" w:cs="Times New Roman"/>
                <w:b/>
                <w:bCs/>
                <w:color w:val="auto"/>
                <w:sz w:val="24"/>
                <w:highlight w:val="none"/>
              </w:rPr>
              <w:t>施工工艺</w:t>
            </w:r>
          </w:p>
          <w:p w14:paraId="020765A4">
            <w:pPr>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sz w:val="24"/>
                <w:highlight w:val="none"/>
                <w:lang w:eastAsia="zh-CN"/>
              </w:rPr>
              <w:t>⑴</w:t>
            </w:r>
            <w:r>
              <w:rPr>
                <w:rFonts w:hint="default" w:ascii="Times New Roman" w:hAnsi="Times New Roman" w:eastAsia="宋体" w:cs="Times New Roman"/>
                <w:color w:val="auto"/>
                <w:kern w:val="0"/>
                <w:sz w:val="24"/>
                <w:highlight w:val="none"/>
                <w:lang w:val="en-US" w:eastAsia="zh-CN"/>
              </w:rPr>
              <w:t>间隔扩建工程</w:t>
            </w:r>
          </w:p>
          <w:p w14:paraId="5123CAFB">
            <w:pPr>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本期云雾山变电站出线间隔扩建工程是在变电站预留用地上进行，施工活动主要包括施工准备、基础施工、设备安装</w:t>
            </w:r>
            <w:r>
              <w:rPr>
                <w:rFonts w:hint="eastAsia" w:cs="Times New Roman"/>
                <w:color w:val="auto"/>
                <w:kern w:val="0"/>
                <w:sz w:val="24"/>
                <w:highlight w:val="none"/>
                <w:lang w:val="en-US" w:eastAsia="zh-CN"/>
              </w:rPr>
              <w:t>、投入运行</w:t>
            </w:r>
            <w:r>
              <w:rPr>
                <w:rFonts w:hint="default" w:ascii="Times New Roman" w:hAnsi="Times New Roman" w:eastAsia="宋体" w:cs="Times New Roman"/>
                <w:color w:val="auto"/>
                <w:kern w:val="0"/>
                <w:sz w:val="24"/>
                <w:highlight w:val="none"/>
                <w:lang w:val="en-US" w:eastAsia="zh-CN"/>
              </w:rPr>
              <w:t>等环节。间隔扩建工程施工工艺及产污环节见图2-</w:t>
            </w:r>
            <w:r>
              <w:rPr>
                <w:rFonts w:hint="eastAsia" w:cs="Times New Roman"/>
                <w:color w:val="auto"/>
                <w:kern w:val="0"/>
                <w:sz w:val="24"/>
                <w:highlight w:val="none"/>
                <w:lang w:val="en-US" w:eastAsia="zh-CN"/>
              </w:rPr>
              <w:t>1</w:t>
            </w:r>
            <w:r>
              <w:rPr>
                <w:rFonts w:hint="default" w:ascii="Times New Roman" w:hAnsi="Times New Roman" w:eastAsia="宋体" w:cs="Times New Roman"/>
                <w:color w:val="auto"/>
                <w:kern w:val="0"/>
                <w:sz w:val="24"/>
                <w:highlight w:val="none"/>
                <w:lang w:val="en-US" w:eastAsia="zh-CN"/>
              </w:rPr>
              <w:t>。</w:t>
            </w:r>
          </w:p>
          <w:p w14:paraId="3B0F32E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object>
                <v:shape id="_x0000_i1025" o:spt="75" type="#_x0000_t75" style="height:181.45pt;width:210.6pt;" o:ole="t" filled="f" o:preferrelative="t" stroked="f" coordsize="21600,21600">
                  <v:path/>
                  <v:fill on="f" focussize="0,0"/>
                  <v:stroke on="f"/>
                  <v:imagedata r:id="rId35" o:title=""/>
                  <o:lock v:ext="edit" aspectratio="f"/>
                  <w10:wrap type="none"/>
                  <w10:anchorlock/>
                </v:shape>
                <o:OLEObject Type="Embed" ProgID="Visio.Drawing.11" ShapeID="_x0000_i1025" DrawAspect="Content" ObjectID="_1468075725" r:id="rId34">
                  <o:LockedField>false</o:LockedField>
                </o:OLEObject>
              </w:object>
            </w:r>
          </w:p>
          <w:p w14:paraId="2FC2C9B5">
            <w:pPr>
              <w:pStyle w:val="10"/>
              <w:keepNext w:val="0"/>
              <w:keepLines w:val="0"/>
              <w:pageBreakBefore w:val="0"/>
              <w:widowControl w:val="0"/>
              <w:kinsoku/>
              <w:wordWrap/>
              <w:overflowPunct/>
              <w:topLinePunct w:val="0"/>
              <w:autoSpaceDE/>
              <w:autoSpaceDN/>
              <w:bidi w:val="0"/>
              <w:adjustRightInd w:val="0"/>
              <w:snapToGrid w:val="0"/>
              <w:spacing w:before="0" w:after="0" w:line="360" w:lineRule="auto"/>
              <w:ind w:right="0"/>
              <w:jc w:val="center"/>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val="0"/>
                <w:color w:val="auto"/>
                <w:sz w:val="24"/>
                <w:highlight w:val="none"/>
              </w:rPr>
              <w:t>图2-</w:t>
            </w:r>
            <w:r>
              <w:rPr>
                <w:rFonts w:hint="default" w:ascii="Times New Roman" w:hAnsi="Times New Roman" w:eastAsia="宋体" w:cs="Times New Roman"/>
                <w:b/>
                <w:bCs w:val="0"/>
                <w:color w:val="auto"/>
                <w:sz w:val="24"/>
                <w:highlight w:val="none"/>
                <w:lang w:val="en-US" w:eastAsia="zh-CN"/>
              </w:rPr>
              <w:t>1</w:t>
            </w:r>
            <w:r>
              <w:rPr>
                <w:rFonts w:hint="default" w:ascii="Times New Roman" w:hAnsi="Times New Roman" w:eastAsia="宋体" w:cs="Times New Roman"/>
                <w:b/>
                <w:bCs w:val="0"/>
                <w:color w:val="auto"/>
                <w:sz w:val="24"/>
                <w:highlight w:val="none"/>
              </w:rPr>
              <w:t xml:space="preserve">  </w:t>
            </w:r>
            <w:r>
              <w:rPr>
                <w:rFonts w:hint="default" w:ascii="Times New Roman" w:hAnsi="Times New Roman" w:eastAsia="宋体" w:cs="Times New Roman"/>
                <w:b/>
                <w:bCs w:val="0"/>
                <w:color w:val="auto"/>
                <w:sz w:val="24"/>
                <w:highlight w:val="none"/>
                <w:lang w:val="en-US" w:eastAsia="zh-CN"/>
              </w:rPr>
              <w:t>间隔扩建工程</w:t>
            </w:r>
            <w:r>
              <w:rPr>
                <w:rFonts w:hint="default" w:ascii="Times New Roman" w:hAnsi="Times New Roman" w:eastAsia="宋体" w:cs="Times New Roman"/>
                <w:b/>
                <w:bCs w:val="0"/>
                <w:color w:val="auto"/>
                <w:sz w:val="24"/>
                <w:highlight w:val="none"/>
              </w:rPr>
              <w:t>施工工艺及产污环节示意图</w:t>
            </w:r>
          </w:p>
          <w:p w14:paraId="3DEB3899">
            <w:pPr>
              <w:pStyle w:val="10"/>
              <w:snapToGrid/>
              <w:spacing w:before="0" w:after="0" w:line="360" w:lineRule="auto"/>
              <w:ind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⑵</w:t>
            </w:r>
            <w:r>
              <w:rPr>
                <w:rFonts w:hint="default" w:ascii="Times New Roman" w:hAnsi="Times New Roman" w:cs="Times New Roman"/>
                <w:color w:val="auto"/>
                <w:sz w:val="24"/>
                <w:highlight w:val="none"/>
              </w:rPr>
              <w:t>输电线路工程</w:t>
            </w:r>
          </w:p>
          <w:p w14:paraId="0910C7AD">
            <w:pPr>
              <w:pStyle w:val="10"/>
              <w:snapToGrid/>
              <w:spacing w:before="0" w:after="0" w:line="360" w:lineRule="auto"/>
              <w:ind w:right="0"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rPr>
              <w:t>架空线路工程施工主要包括场地平整、塔基施工、组立铁塔、线路架设和建成</w:t>
            </w:r>
            <w:r>
              <w:rPr>
                <w:rFonts w:hint="default" w:ascii="Times New Roman" w:hAnsi="Times New Roman" w:cs="Times New Roman"/>
                <w:color w:val="auto"/>
                <w:sz w:val="24"/>
                <w:szCs w:val="24"/>
                <w:highlight w:val="none"/>
                <w:lang w:val="en-US" w:eastAsia="zh-CN"/>
              </w:rPr>
              <w:t>调试五</w:t>
            </w:r>
            <w:r>
              <w:rPr>
                <w:rFonts w:hint="default" w:ascii="Times New Roman" w:hAnsi="Times New Roman" w:cs="Times New Roman"/>
                <w:color w:val="auto"/>
                <w:sz w:val="24"/>
                <w:szCs w:val="24"/>
                <w:highlight w:val="none"/>
              </w:rPr>
              <w:t>个阶段。</w:t>
            </w:r>
            <w:r>
              <w:rPr>
                <w:rFonts w:hint="default" w:ascii="Times New Roman" w:hAnsi="Times New Roman" w:cs="Times New Roman"/>
                <w:color w:val="auto"/>
                <w:sz w:val="24"/>
                <w:highlight w:val="none"/>
              </w:rPr>
              <w:t>架空</w:t>
            </w:r>
            <w:r>
              <w:rPr>
                <w:rFonts w:hint="eastAsia" w:cs="Times New Roman"/>
                <w:color w:val="auto"/>
                <w:sz w:val="24"/>
                <w:highlight w:val="none"/>
                <w:lang w:val="en-US" w:eastAsia="zh-CN"/>
              </w:rPr>
              <w:t>输电</w:t>
            </w:r>
            <w:r>
              <w:rPr>
                <w:rFonts w:hint="default" w:ascii="Times New Roman" w:hAnsi="Times New Roman" w:cs="Times New Roman"/>
                <w:color w:val="auto"/>
                <w:sz w:val="24"/>
                <w:highlight w:val="none"/>
              </w:rPr>
              <w:t>线路工程施工工艺及产污环节见图2-</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w:t>
            </w:r>
          </w:p>
          <w:p w14:paraId="15234243">
            <w:pPr>
              <w:pStyle w:val="10"/>
              <w:snapToGrid/>
              <w:spacing w:before="0" w:after="0" w:line="360" w:lineRule="auto"/>
              <w:ind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26" o:spt="75" type="#_x0000_t75" style="height:126.1pt;width:366.1pt;" o:ole="t" filled="f" o:preferrelative="t" stroked="f" coordsize="21600,21600">
                  <v:path/>
                  <v:fill on="f" focussize="0,0"/>
                  <v:stroke on="f"/>
                  <v:imagedata r:id="rId37" o:title=""/>
                  <o:lock v:ext="edit" aspectratio="t"/>
                  <w10:wrap type="none"/>
                  <w10:anchorlock/>
                </v:shape>
                <o:OLEObject Type="Embed" ProgID="Visio.Drawing.11" ShapeID="_x0000_i1026" DrawAspect="Content" ObjectID="_1468075726" r:id="rId36">
                  <o:LockedField>false</o:LockedField>
                </o:OLEObject>
              </w:object>
            </w:r>
          </w:p>
          <w:p w14:paraId="7946F983">
            <w:pPr>
              <w:pStyle w:val="10"/>
              <w:spacing w:before="0" w:after="0" w:line="360" w:lineRule="auto"/>
              <w:ind w:right="0"/>
              <w:contextualSpacing/>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图2-</w:t>
            </w:r>
            <w:r>
              <w:rPr>
                <w:rFonts w:hint="default"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sz w:val="24"/>
                <w:highlight w:val="none"/>
              </w:rPr>
              <w:t xml:space="preserve">  架空</w:t>
            </w:r>
            <w:r>
              <w:rPr>
                <w:rFonts w:hint="default" w:ascii="Times New Roman" w:hAnsi="Times New Roman" w:eastAsia="宋体" w:cs="Times New Roman"/>
                <w:b/>
                <w:color w:val="auto"/>
                <w:sz w:val="24"/>
                <w:highlight w:val="none"/>
                <w:lang w:val="en-US" w:eastAsia="zh-CN"/>
              </w:rPr>
              <w:t>输电</w:t>
            </w:r>
            <w:r>
              <w:rPr>
                <w:rFonts w:hint="default" w:ascii="Times New Roman" w:hAnsi="Times New Roman" w:eastAsia="宋体" w:cs="Times New Roman"/>
                <w:b/>
                <w:color w:val="auto"/>
                <w:sz w:val="24"/>
                <w:highlight w:val="none"/>
              </w:rPr>
              <w:t>线路工程施工工艺及产污环节示意图</w:t>
            </w:r>
          </w:p>
          <w:p w14:paraId="33EBA2E7">
            <w:pPr>
              <w:pStyle w:val="1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⑶拆除线路</w:t>
            </w:r>
            <w:r>
              <w:rPr>
                <w:rFonts w:hint="default" w:ascii="Times New Roman" w:hAnsi="Times New Roman" w:eastAsia="宋体" w:cs="Times New Roman"/>
                <w:bCs/>
                <w:color w:val="auto"/>
                <w:kern w:val="2"/>
                <w:sz w:val="24"/>
                <w:szCs w:val="24"/>
                <w:highlight w:val="none"/>
              </w:rPr>
              <w:t>施工工艺</w:t>
            </w:r>
          </w:p>
          <w:p w14:paraId="43C5611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highlight w:val="none"/>
                <w:lang w:val="en-US" w:eastAsia="zh-CN" w:bidi="ar"/>
              </w:rPr>
              <w:t>线路拆除过程中先进行塔基处的地表处理，清理出施工空间，线路拆除根据导线空间位置，先拆除最低导线，后拆除更高导线，导线拆除完毕后，拆除绝缘子等悬挂于杆塔上的设备，最后进行杆塔拆除，自上而下根据组装情况拆除杆塔，杆塔拆除后需将原地面范围内的基础全部破除。基坑开挖采用机械施工与人工施工相结合的方法，机械以挖掘机为主，人工则配合机械施工，开挖自上而下进行，开挖的土方在基坑一侧集中堆放并苫盖，基础破除清理干净后，进行回填夯实并利用附近新建塔位基础余土进行回填恢复原貌。</w:t>
            </w:r>
          </w:p>
          <w:p w14:paraId="32319E8C">
            <w:pPr>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cs="Times New Roman"/>
                <w:color w:val="auto"/>
              </w:rPr>
              <w:object>
                <v:shape id="_x0000_i1027" o:spt="75" type="#_x0000_t75" style="height:101.5pt;width:433.05pt;" o:ole="t" filled="f" o:preferrelative="t" stroked="f" coordsize="21600,21600">
                  <v:path/>
                  <v:fill on="f" focussize="0,0"/>
                  <v:stroke on="f"/>
                  <v:imagedata r:id="rId39" o:title=""/>
                  <o:lock v:ext="edit" aspectratio="f"/>
                  <w10:wrap type="none"/>
                  <w10:anchorlock/>
                </v:shape>
                <o:OLEObject Type="Embed" ProgID="Visio.Drawing.11" ShapeID="_x0000_i1027" DrawAspect="Content" ObjectID="_1468075727" r:id="rId38">
                  <o:LockedField>false</o:LockedField>
                </o:OLEObject>
              </w:object>
            </w:r>
            <w:r>
              <w:rPr>
                <w:rFonts w:hint="default" w:ascii="Times New Roman" w:hAnsi="Times New Roman" w:eastAsia="宋体" w:cs="Times New Roman"/>
                <w:b/>
                <w:color w:val="auto"/>
                <w:sz w:val="24"/>
                <w:highlight w:val="none"/>
              </w:rPr>
              <w:t>图2-</w:t>
            </w:r>
            <w:r>
              <w:rPr>
                <w:rFonts w:hint="default"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rPr>
              <w:t xml:space="preserve">  </w:t>
            </w:r>
            <w:r>
              <w:rPr>
                <w:rFonts w:hint="default" w:ascii="Times New Roman" w:hAnsi="Times New Roman" w:eastAsia="宋体" w:cs="Times New Roman"/>
                <w:b/>
                <w:color w:val="auto"/>
                <w:sz w:val="24"/>
                <w:highlight w:val="none"/>
                <w:lang w:val="en-US" w:eastAsia="zh-CN"/>
              </w:rPr>
              <w:t>拆除线路</w:t>
            </w:r>
            <w:r>
              <w:rPr>
                <w:rFonts w:hint="default" w:ascii="Times New Roman" w:hAnsi="Times New Roman" w:eastAsia="宋体" w:cs="Times New Roman"/>
                <w:b/>
                <w:color w:val="auto"/>
                <w:sz w:val="24"/>
                <w:highlight w:val="none"/>
              </w:rPr>
              <w:t>施工工艺及产污环节示意图</w:t>
            </w:r>
          </w:p>
          <w:p w14:paraId="3ECB664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highlight w:val="none"/>
                <w:lang w:eastAsia="zh-CN"/>
              </w:rPr>
            </w:pPr>
            <w:r>
              <w:rPr>
                <w:rFonts w:hint="default" w:ascii="Times New Roman" w:hAnsi="Times New Roman" w:eastAsia="宋体" w:cs="Times New Roman"/>
                <w:color w:val="auto"/>
                <w:kern w:val="0"/>
                <w:sz w:val="24"/>
                <w:szCs w:val="24"/>
                <w:highlight w:val="none"/>
                <w:lang w:val="en-US" w:eastAsia="zh-CN" w:bidi="ar"/>
              </w:rPr>
              <w:t>本次对110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eastAsia="宋体" w:cs="Times New Roman"/>
                <w:color w:val="auto"/>
                <w:kern w:val="0"/>
                <w:sz w:val="24"/>
                <w:szCs w:val="24"/>
                <w:highlight w:val="none"/>
                <w:lang w:val="en-US" w:eastAsia="zh-CN" w:bidi="ar"/>
              </w:rPr>
              <w:t>清李Ⅰ线、110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eastAsia="宋体" w:cs="Times New Roman"/>
                <w:color w:val="auto"/>
                <w:kern w:val="0"/>
                <w:sz w:val="24"/>
                <w:szCs w:val="24"/>
                <w:highlight w:val="none"/>
                <w:lang w:val="en-US" w:eastAsia="zh-CN" w:bidi="ar"/>
              </w:rPr>
              <w:t>至李线两条110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eastAsia="宋体" w:cs="Times New Roman"/>
                <w:color w:val="auto"/>
                <w:kern w:val="0"/>
                <w:sz w:val="24"/>
                <w:szCs w:val="24"/>
                <w:highlight w:val="none"/>
                <w:lang w:val="en-US" w:eastAsia="zh-CN" w:bidi="ar"/>
              </w:rPr>
              <w:t>线路拆除4基直线塔，拆除下来的导线、地线、附件及其他</w:t>
            </w:r>
            <w:r>
              <w:rPr>
                <w:rFonts w:hint="default" w:ascii="Times New Roman" w:hAnsi="Times New Roman" w:eastAsia="宋体" w:cs="Times New Roman"/>
                <w:color w:val="auto"/>
                <w:spacing w:val="-6"/>
                <w:kern w:val="0"/>
                <w:sz w:val="24"/>
                <w:szCs w:val="24"/>
                <w:highlight w:val="none"/>
                <w:lang w:val="en-US" w:eastAsia="zh-CN"/>
              </w:rPr>
              <w:t>可回收的铁塔部件</w:t>
            </w:r>
            <w:r>
              <w:rPr>
                <w:rFonts w:hint="default" w:ascii="Times New Roman" w:hAnsi="Times New Roman" w:eastAsia="宋体" w:cs="Times New Roman"/>
                <w:color w:val="auto"/>
                <w:kern w:val="0"/>
                <w:sz w:val="24"/>
                <w:szCs w:val="24"/>
                <w:highlight w:val="none"/>
                <w:lang w:val="en-US" w:eastAsia="zh-CN" w:bidi="ar"/>
              </w:rPr>
              <w:t>临时堆放在拆除区域临时占地，及时运出并由</w:t>
            </w:r>
            <w:r>
              <w:rPr>
                <w:rFonts w:hint="default" w:ascii="Times New Roman" w:hAnsi="Times New Roman" w:eastAsia="宋体" w:cs="Times New Roman"/>
                <w:color w:val="auto"/>
                <w:spacing w:val="-6"/>
                <w:kern w:val="0"/>
                <w:sz w:val="24"/>
                <w:szCs w:val="24"/>
                <w:highlight w:val="none"/>
                <w:lang w:val="en-US" w:eastAsia="zh-CN"/>
              </w:rPr>
              <w:t>施工单位统一收</w:t>
            </w:r>
            <w:r>
              <w:rPr>
                <w:rFonts w:hint="default" w:ascii="Times New Roman" w:hAnsi="Times New Roman" w:cs="Times New Roman"/>
                <w:color w:val="auto"/>
                <w:spacing w:val="-6"/>
                <w:kern w:val="0"/>
                <w:sz w:val="24"/>
                <w:szCs w:val="24"/>
                <w:highlight w:val="none"/>
                <w:lang w:val="en-US" w:eastAsia="zh-CN"/>
              </w:rPr>
              <w:t>集后交</w:t>
            </w:r>
            <w:r>
              <w:rPr>
                <w:rFonts w:hint="default" w:ascii="Times New Roman" w:hAnsi="Times New Roman" w:eastAsia="宋体" w:cs="Times New Roman"/>
                <w:color w:val="auto"/>
                <w:spacing w:val="-6"/>
                <w:kern w:val="0"/>
                <w:sz w:val="24"/>
                <w:szCs w:val="24"/>
                <w:highlight w:val="none"/>
                <w:lang w:val="en-US" w:eastAsia="zh-CN"/>
              </w:rPr>
              <w:t>由建</w:t>
            </w:r>
            <w:r>
              <w:rPr>
                <w:rFonts w:hint="default" w:ascii="Times New Roman" w:hAnsi="Times New Roman" w:cs="Times New Roman"/>
                <w:color w:val="auto"/>
                <w:spacing w:val="-6"/>
                <w:kern w:val="0"/>
                <w:sz w:val="24"/>
                <w:szCs w:val="24"/>
                <w:highlight w:val="none"/>
                <w:lang w:val="en-US" w:eastAsia="zh-CN"/>
              </w:rPr>
              <w:t>管</w:t>
            </w:r>
            <w:r>
              <w:rPr>
                <w:rFonts w:hint="default" w:ascii="Times New Roman" w:hAnsi="Times New Roman" w:eastAsia="宋体" w:cs="Times New Roman"/>
                <w:color w:val="auto"/>
                <w:spacing w:val="-6"/>
                <w:kern w:val="0"/>
                <w:sz w:val="24"/>
                <w:szCs w:val="24"/>
                <w:highlight w:val="none"/>
                <w:lang w:val="en-US" w:eastAsia="zh-CN"/>
              </w:rPr>
              <w:t>单位回收</w:t>
            </w:r>
            <w:r>
              <w:rPr>
                <w:rFonts w:hint="default" w:ascii="Times New Roman" w:hAnsi="Times New Roman" w:cs="Times New Roman"/>
                <w:color w:val="auto"/>
                <w:spacing w:val="-6"/>
                <w:kern w:val="0"/>
                <w:sz w:val="24"/>
                <w:szCs w:val="24"/>
                <w:highlight w:val="none"/>
                <w:lang w:val="en-US" w:eastAsia="zh-CN"/>
              </w:rPr>
              <w:t>利用；</w:t>
            </w:r>
            <w:r>
              <w:rPr>
                <w:rFonts w:hint="default" w:ascii="Times New Roman" w:hAnsi="Times New Roman" w:eastAsia="宋体" w:cs="Times New Roman"/>
                <w:color w:val="auto"/>
                <w:spacing w:val="-6"/>
                <w:kern w:val="0"/>
                <w:sz w:val="24"/>
                <w:szCs w:val="24"/>
                <w:highlight w:val="none"/>
                <w:lang w:val="en-US" w:eastAsia="zh-CN"/>
              </w:rPr>
              <w:t>基础破除</w:t>
            </w:r>
            <w:r>
              <w:rPr>
                <w:rFonts w:hint="default" w:ascii="Times New Roman" w:hAnsi="Times New Roman" w:cs="Times New Roman"/>
                <w:color w:val="auto"/>
                <w:spacing w:val="-6"/>
                <w:kern w:val="0"/>
                <w:sz w:val="24"/>
                <w:szCs w:val="24"/>
                <w:highlight w:val="none"/>
                <w:lang w:val="en-US" w:eastAsia="zh-CN"/>
              </w:rPr>
              <w:t>产生的混凝土块，</w:t>
            </w:r>
            <w:r>
              <w:rPr>
                <w:rFonts w:hint="default" w:ascii="Times New Roman" w:hAnsi="Times New Roman" w:eastAsia="宋体" w:cs="Times New Roman"/>
                <w:color w:val="auto"/>
                <w:spacing w:val="-6"/>
                <w:kern w:val="0"/>
                <w:sz w:val="24"/>
                <w:szCs w:val="24"/>
                <w:highlight w:val="none"/>
                <w:lang w:val="en-US" w:eastAsia="zh-CN"/>
              </w:rPr>
              <w:t>集中收集后</w:t>
            </w:r>
            <w:r>
              <w:rPr>
                <w:rFonts w:hint="default" w:ascii="Times New Roman" w:hAnsi="Times New Roman" w:cs="Times New Roman"/>
                <w:color w:val="auto"/>
                <w:spacing w:val="-6"/>
                <w:kern w:val="0"/>
                <w:sz w:val="24"/>
                <w:szCs w:val="24"/>
                <w:highlight w:val="none"/>
                <w:lang w:val="en-US" w:eastAsia="zh-CN"/>
              </w:rPr>
              <w:t>由施工单位及时</w:t>
            </w:r>
            <w:r>
              <w:rPr>
                <w:rFonts w:hint="default" w:ascii="Times New Roman" w:hAnsi="Times New Roman" w:eastAsia="宋体" w:cs="Times New Roman"/>
                <w:color w:val="auto"/>
                <w:spacing w:val="-6"/>
                <w:kern w:val="0"/>
                <w:sz w:val="24"/>
                <w:szCs w:val="24"/>
                <w:highlight w:val="none"/>
                <w:lang w:val="en-US" w:eastAsia="zh-CN"/>
              </w:rPr>
              <w:t>运至当地环境卫生主管部门指定的地点处置</w:t>
            </w:r>
            <w:r>
              <w:rPr>
                <w:rFonts w:hint="default" w:ascii="Times New Roman" w:hAnsi="Times New Roman" w:cs="Times New Roman"/>
                <w:color w:val="auto"/>
                <w:spacing w:val="-6"/>
                <w:kern w:val="0"/>
                <w:sz w:val="24"/>
                <w:szCs w:val="24"/>
                <w:highlight w:val="none"/>
                <w:lang w:val="en-US" w:eastAsia="zh-CN"/>
              </w:rPr>
              <w:t>。</w:t>
            </w:r>
          </w:p>
          <w:p w14:paraId="1830BBB7">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2.</w:t>
            </w:r>
            <w:r>
              <w:rPr>
                <w:rFonts w:hint="default" w:ascii="Times New Roman" w:hAnsi="Times New Roman" w:cs="Times New Roman"/>
                <w:b/>
                <w:bCs/>
                <w:color w:val="auto"/>
                <w:sz w:val="24"/>
                <w:highlight w:val="none"/>
              </w:rPr>
              <w:t>施工时序</w:t>
            </w:r>
          </w:p>
          <w:p w14:paraId="57806E53">
            <w:pPr>
              <w:spacing w:line="360" w:lineRule="auto"/>
              <w:ind w:firstLine="482" w:firstLineChars="200"/>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2.1输电线路工程施工时序</w:t>
            </w:r>
          </w:p>
          <w:p w14:paraId="41CF87AB">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⑴施工准备</w:t>
            </w:r>
          </w:p>
          <w:p w14:paraId="478E25B5">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材料运输：采用</w:t>
            </w:r>
            <w:r>
              <w:rPr>
                <w:rFonts w:hint="default" w:ascii="Times New Roman" w:hAnsi="Times New Roman" w:cs="Times New Roman"/>
                <w:color w:val="auto"/>
                <w:kern w:val="0"/>
                <w:sz w:val="24"/>
                <w:highlight w:val="none"/>
                <w:lang w:val="en-US" w:eastAsia="zh-CN"/>
              </w:rPr>
              <w:t>车辆拉运的方式</w:t>
            </w:r>
            <w:r>
              <w:rPr>
                <w:rFonts w:hint="default" w:ascii="Times New Roman" w:hAnsi="Times New Roman" w:cs="Times New Roman"/>
                <w:color w:val="auto"/>
                <w:kern w:val="0"/>
                <w:sz w:val="24"/>
                <w:highlight w:val="none"/>
              </w:rPr>
              <w:t>将材料、机具等运输到施工现场。采用商混罐车的方式运输混凝土；运输铁塔材料、架线材料、</w:t>
            </w:r>
            <w:r>
              <w:rPr>
                <w:rFonts w:hint="default" w:ascii="Times New Roman" w:hAnsi="Times New Roman" w:cs="Times New Roman"/>
                <w:color w:val="auto"/>
                <w:kern w:val="0"/>
                <w:sz w:val="24"/>
                <w:highlight w:val="none"/>
                <w:lang w:val="en-US" w:eastAsia="zh-CN"/>
              </w:rPr>
              <w:t>牵张机</w:t>
            </w:r>
            <w:r>
              <w:rPr>
                <w:rFonts w:hint="default" w:ascii="Times New Roman" w:hAnsi="Times New Roman" w:cs="Times New Roman"/>
                <w:color w:val="auto"/>
                <w:kern w:val="0"/>
                <w:sz w:val="24"/>
                <w:highlight w:val="none"/>
              </w:rPr>
              <w:t>及跨越架等设备推荐采用卡车。</w:t>
            </w:r>
          </w:p>
          <w:p w14:paraId="0A9202A3">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施工营地设置：</w:t>
            </w:r>
            <w:r>
              <w:rPr>
                <w:rFonts w:hint="eastAsia" w:cs="Times New Roman"/>
                <w:color w:val="auto"/>
                <w:kern w:val="0"/>
                <w:sz w:val="24"/>
                <w:highlight w:val="none"/>
                <w:lang w:val="en-US" w:eastAsia="zh-CN"/>
              </w:rPr>
              <w:t>由于</w:t>
            </w:r>
            <w:r>
              <w:rPr>
                <w:rFonts w:hint="default" w:ascii="Times New Roman" w:hAnsi="Times New Roman" w:cs="Times New Roman"/>
                <w:color w:val="auto"/>
                <w:kern w:val="0"/>
                <w:sz w:val="24"/>
                <w:highlight w:val="none"/>
                <w:lang w:val="en-US" w:eastAsia="zh-CN"/>
              </w:rPr>
              <w:t>云雾山330千伏变电站拟计划于2026年5月投运，6月完成所有的临时占地恢复工作，因此本项目间隔扩建工程施工期不能依托云雾山变电站的临时施工营地作为办公生活区及设备材料临时堆放场所。本期间隔扩建工程施工期</w:t>
            </w:r>
            <w:r>
              <w:rPr>
                <w:rFonts w:hint="default" w:ascii="Times New Roman" w:hAnsi="Times New Roman" w:cs="Times New Roman"/>
                <w:color w:val="auto"/>
                <w:sz w:val="24"/>
                <w:highlight w:val="none"/>
                <w:lang w:val="en-US" w:eastAsia="zh-CN"/>
              </w:rPr>
              <w:t>不设施工营地，</w:t>
            </w:r>
            <w:r>
              <w:rPr>
                <w:rFonts w:hint="default" w:ascii="Times New Roman" w:hAnsi="Times New Roman" w:cs="Times New Roman"/>
                <w:color w:val="auto"/>
                <w:sz w:val="24"/>
                <w:highlight w:val="none"/>
              </w:rPr>
              <w:t>租用</w:t>
            </w:r>
            <w:r>
              <w:rPr>
                <w:rFonts w:hint="default" w:ascii="Times New Roman" w:hAnsi="Times New Roman" w:cs="Times New Roman"/>
                <w:color w:val="auto"/>
                <w:sz w:val="24"/>
                <w:highlight w:val="none"/>
                <w:lang w:val="en-US" w:eastAsia="zh-CN"/>
              </w:rPr>
              <w:t>当地</w:t>
            </w:r>
            <w:r>
              <w:rPr>
                <w:rFonts w:hint="default" w:ascii="Times New Roman" w:hAnsi="Times New Roman" w:cs="Times New Roman"/>
                <w:color w:val="auto"/>
                <w:sz w:val="24"/>
                <w:highlight w:val="none"/>
              </w:rPr>
              <w:t>民房作为施工营地，</w:t>
            </w:r>
            <w:r>
              <w:rPr>
                <w:rFonts w:hint="default" w:ascii="Times New Roman" w:hAnsi="Times New Roman" w:cs="Times New Roman"/>
                <w:color w:val="auto"/>
                <w:sz w:val="24"/>
                <w:highlight w:val="none"/>
                <w:lang w:val="en-US" w:eastAsia="zh-CN"/>
              </w:rPr>
              <w:t>内设办公生活区</w:t>
            </w:r>
            <w:r>
              <w:rPr>
                <w:rFonts w:hint="default" w:ascii="Times New Roman" w:hAnsi="Times New Roman" w:cs="Times New Roman"/>
                <w:color w:val="auto"/>
                <w:sz w:val="24"/>
                <w:highlight w:val="none"/>
              </w:rPr>
              <w:t>及</w:t>
            </w:r>
            <w:r>
              <w:rPr>
                <w:rFonts w:hint="default" w:ascii="Times New Roman" w:hAnsi="Times New Roman" w:cs="Times New Roman"/>
                <w:color w:val="auto"/>
                <w:sz w:val="24"/>
                <w:highlight w:val="none"/>
                <w:lang w:val="en-US" w:eastAsia="zh-CN"/>
              </w:rPr>
              <w:t>设备材料临时堆放场所</w:t>
            </w:r>
            <w:r>
              <w:rPr>
                <w:rFonts w:hint="default" w:ascii="Times New Roman" w:hAnsi="Times New Roman" w:cs="Times New Roman"/>
                <w:color w:val="auto"/>
                <w:kern w:val="0"/>
                <w:sz w:val="24"/>
                <w:highlight w:val="none"/>
              </w:rPr>
              <w:t>。</w:t>
            </w:r>
          </w:p>
          <w:p w14:paraId="31F1CE1B">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施工便道：</w:t>
            </w:r>
            <w:r>
              <w:rPr>
                <w:rFonts w:hint="default" w:ascii="Times New Roman" w:hAnsi="Times New Roman" w:cs="Times New Roman"/>
                <w:color w:val="auto"/>
                <w:kern w:val="0"/>
                <w:sz w:val="24"/>
                <w:highlight w:val="none"/>
                <w:lang w:val="en-US" w:eastAsia="zh-CN"/>
              </w:rPr>
              <w:t>在不具备施工运输条件的杆塔附近沿线设置临时施工便道，</w:t>
            </w:r>
            <w:r>
              <w:rPr>
                <w:rFonts w:hint="default" w:ascii="Times New Roman" w:hAnsi="Times New Roman" w:cs="Times New Roman"/>
                <w:color w:val="auto"/>
                <w:kern w:val="0"/>
                <w:sz w:val="24"/>
                <w:highlight w:val="none"/>
              </w:rPr>
              <w:t>施工结束后</w:t>
            </w:r>
            <w:r>
              <w:rPr>
                <w:rFonts w:hint="default" w:ascii="Times New Roman" w:hAnsi="Times New Roman" w:cs="Times New Roman"/>
                <w:color w:val="auto"/>
                <w:sz w:val="24"/>
                <w:highlight w:val="none"/>
              </w:rPr>
              <w:t>恢复</w:t>
            </w:r>
            <w:r>
              <w:rPr>
                <w:rFonts w:hint="default" w:ascii="Times New Roman" w:hAnsi="Times New Roman" w:cs="Times New Roman"/>
                <w:color w:val="auto"/>
                <w:sz w:val="24"/>
                <w:highlight w:val="none"/>
                <w:lang w:eastAsia="zh-CN"/>
              </w:rPr>
              <w:t>占地</w:t>
            </w:r>
            <w:r>
              <w:rPr>
                <w:rFonts w:hint="default" w:ascii="Times New Roman" w:hAnsi="Times New Roman" w:cs="Times New Roman"/>
                <w:color w:val="auto"/>
                <w:sz w:val="24"/>
                <w:highlight w:val="none"/>
              </w:rPr>
              <w:t>原</w:t>
            </w:r>
            <w:r>
              <w:rPr>
                <w:rFonts w:hint="default" w:ascii="Times New Roman" w:hAnsi="Times New Roman" w:cs="Times New Roman"/>
                <w:color w:val="auto"/>
                <w:sz w:val="24"/>
                <w:highlight w:val="none"/>
                <w:lang w:eastAsia="zh-CN"/>
              </w:rPr>
              <w:t>有</w:t>
            </w:r>
            <w:r>
              <w:rPr>
                <w:rFonts w:hint="default" w:ascii="Times New Roman" w:hAnsi="Times New Roman" w:cs="Times New Roman"/>
                <w:color w:val="auto"/>
                <w:sz w:val="24"/>
                <w:highlight w:val="none"/>
              </w:rPr>
              <w:t>地貌</w:t>
            </w:r>
            <w:r>
              <w:rPr>
                <w:rFonts w:hint="default" w:ascii="Times New Roman" w:hAnsi="Times New Roman" w:cs="Times New Roman"/>
                <w:color w:val="auto"/>
                <w:kern w:val="0"/>
                <w:sz w:val="24"/>
                <w:highlight w:val="none"/>
              </w:rPr>
              <w:t>。</w:t>
            </w:r>
          </w:p>
          <w:p w14:paraId="16E8E453">
            <w:pPr>
              <w:pStyle w:val="66"/>
              <w:keepNext w:val="0"/>
              <w:keepLines w:val="0"/>
              <w:pageBreakBefore w:val="0"/>
              <w:widowControl w:val="0"/>
              <w:kinsoku/>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牵张场建设：牵张场分牵引场和张力场，牵引场主要设置主牵引机、小张力机、吊车及导线尾车，通过大牵绳和走板牵引导线</w:t>
            </w:r>
            <w:r>
              <w:rPr>
                <w:rFonts w:hint="eastAsia" w:ascii="Times New Roman" w:hAnsi="Times New Roman" w:eastAsia="宋体"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张力场为导线放置处，主要设置主张力机以及小牵引机、吊车及导线尾车，在牵引过程中通过设置张力机调整导线的张力，使导线不与地面、树、房、跨越架摩擦，更好地保护正在牵引中的导线。</w:t>
            </w:r>
          </w:p>
          <w:p w14:paraId="00D68BFC">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场地平整：</w:t>
            </w:r>
            <w:r>
              <w:rPr>
                <w:rFonts w:hint="default" w:ascii="Times New Roman" w:hAnsi="Times New Roman" w:cs="Times New Roman"/>
                <w:color w:val="auto"/>
                <w:kern w:val="0"/>
                <w:sz w:val="24"/>
                <w:highlight w:val="none"/>
                <w:lang w:val="en-US" w:eastAsia="zh-CN"/>
              </w:rPr>
              <w:t>塔基施工</w:t>
            </w:r>
            <w:r>
              <w:rPr>
                <w:rFonts w:hint="eastAsia" w:cs="Times New Roman"/>
                <w:color w:val="auto"/>
                <w:kern w:val="0"/>
                <w:sz w:val="24"/>
                <w:highlight w:val="none"/>
                <w:lang w:val="en-US" w:eastAsia="zh-CN"/>
              </w:rPr>
              <w:t>作业</w:t>
            </w:r>
            <w:r>
              <w:rPr>
                <w:rFonts w:hint="default" w:ascii="Times New Roman" w:hAnsi="Times New Roman" w:cs="Times New Roman"/>
                <w:color w:val="auto"/>
                <w:kern w:val="0"/>
                <w:sz w:val="24"/>
                <w:highlight w:val="none"/>
                <w:lang w:val="en-US" w:eastAsia="zh-CN"/>
              </w:rPr>
              <w:t>区</w:t>
            </w:r>
            <w:r>
              <w:rPr>
                <w:rFonts w:hint="default" w:ascii="Times New Roman" w:hAnsi="Times New Roman" w:cs="Times New Roman"/>
                <w:color w:val="auto"/>
                <w:kern w:val="0"/>
                <w:sz w:val="24"/>
                <w:highlight w:val="none"/>
              </w:rPr>
              <w:t>设置施工围栏</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严格控制施工范围和作业带宽度，进行施工场地平整，清除地表障碍物，施工表土单独堆存</w:t>
            </w:r>
            <w:r>
              <w:rPr>
                <w:rFonts w:hint="default" w:ascii="Times New Roman" w:hAnsi="Times New Roman" w:cs="Times New Roman"/>
                <w:color w:val="auto"/>
                <w:kern w:val="0"/>
                <w:sz w:val="24"/>
                <w:highlight w:val="none"/>
                <w:lang w:val="en-US" w:eastAsia="zh-CN"/>
              </w:rPr>
              <w:t>并苫盖</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后续回填地表</w:t>
            </w:r>
            <w:r>
              <w:rPr>
                <w:rFonts w:hint="default" w:ascii="Times New Roman" w:hAnsi="Times New Roman" w:cs="Times New Roman"/>
                <w:color w:val="auto"/>
                <w:kern w:val="0"/>
                <w:sz w:val="24"/>
                <w:highlight w:val="none"/>
              </w:rPr>
              <w:t>，施工场地</w:t>
            </w:r>
            <w:r>
              <w:rPr>
                <w:rFonts w:hint="default" w:ascii="Times New Roman" w:hAnsi="Times New Roman" w:cs="Times New Roman"/>
                <w:color w:val="auto"/>
                <w:kern w:val="0"/>
                <w:sz w:val="24"/>
                <w:highlight w:val="none"/>
                <w:lang w:val="en-US" w:eastAsia="zh-CN"/>
              </w:rPr>
              <w:t>及时</w:t>
            </w:r>
            <w:r>
              <w:rPr>
                <w:rFonts w:hint="default" w:ascii="Times New Roman" w:hAnsi="Times New Roman" w:cs="Times New Roman"/>
                <w:color w:val="auto"/>
                <w:kern w:val="0"/>
                <w:sz w:val="24"/>
                <w:highlight w:val="none"/>
              </w:rPr>
              <w:t>洒水抑尘。</w:t>
            </w:r>
          </w:p>
          <w:p w14:paraId="77A310D5">
            <w:pPr>
              <w:pStyle w:val="14"/>
              <w:spacing w:before="0" w:after="0" w:line="360" w:lineRule="auto"/>
              <w:ind w:right="0"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bCs/>
                <w:color w:val="auto"/>
                <w:sz w:val="24"/>
                <w:highlight w:val="none"/>
              </w:rPr>
              <w:t>⑵</w:t>
            </w:r>
            <w:r>
              <w:rPr>
                <w:rFonts w:hint="default" w:ascii="Times New Roman" w:hAnsi="Times New Roman" w:cs="Times New Roman"/>
                <w:color w:val="auto"/>
                <w:kern w:val="0"/>
                <w:sz w:val="24"/>
                <w:highlight w:val="none"/>
              </w:rPr>
              <w:t>架空线路基础开挖、基础浇筑、杆塔组立、架线、接地施工</w:t>
            </w:r>
          </w:p>
          <w:p w14:paraId="292BEB08">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架空线路施工包括基础</w:t>
            </w:r>
            <w:r>
              <w:rPr>
                <w:rFonts w:hint="default" w:ascii="Times New Roman" w:hAnsi="Times New Roman" w:cs="Times New Roman"/>
                <w:color w:val="auto"/>
                <w:kern w:val="0"/>
                <w:sz w:val="24"/>
                <w:highlight w:val="none"/>
                <w:lang w:val="en-US" w:eastAsia="zh-CN"/>
              </w:rPr>
              <w:t>施工</w:t>
            </w:r>
            <w:r>
              <w:rPr>
                <w:rFonts w:hint="default" w:ascii="Times New Roman" w:hAnsi="Times New Roman" w:cs="Times New Roman"/>
                <w:color w:val="auto"/>
                <w:kern w:val="0"/>
                <w:sz w:val="24"/>
                <w:highlight w:val="none"/>
              </w:rPr>
              <w:t>、基础浇筑、杆塔组立、架线施工、接地施工</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附件安装。</w:t>
            </w:r>
          </w:p>
          <w:p w14:paraId="4C0A2F08">
            <w:pPr>
              <w:pStyle w:val="10"/>
              <w:spacing w:before="0" w:after="0" w:line="360" w:lineRule="auto"/>
              <w:ind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施工单位负责全部基础</w:t>
            </w:r>
            <w:r>
              <w:rPr>
                <w:rFonts w:hint="default" w:ascii="Times New Roman" w:hAnsi="Times New Roman" w:cs="Times New Roman"/>
                <w:color w:val="auto"/>
                <w:sz w:val="24"/>
                <w:highlight w:val="none"/>
                <w:lang w:val="en-US" w:eastAsia="zh-CN"/>
              </w:rPr>
              <w:t>施工</w:t>
            </w:r>
            <w:r>
              <w:rPr>
                <w:rFonts w:hint="default" w:ascii="Times New Roman" w:hAnsi="Times New Roman" w:cs="Times New Roman"/>
                <w:color w:val="auto"/>
                <w:sz w:val="24"/>
                <w:highlight w:val="none"/>
              </w:rPr>
              <w:t>、塔基浇制、铁塔组立，在基础施工中严格按照设计要求进行施工，铁塔组立按照线路施工规范要求进行施工，对于隐藏部位</w:t>
            </w:r>
            <w:r>
              <w:rPr>
                <w:rFonts w:hint="default" w:ascii="Times New Roman" w:hAnsi="Times New Roman" w:cs="Times New Roman"/>
                <w:color w:val="auto"/>
                <w:sz w:val="24"/>
                <w:highlight w:val="none"/>
                <w:lang w:eastAsia="zh-CN"/>
              </w:rPr>
              <w:t>浇筑</w:t>
            </w:r>
            <w:r>
              <w:rPr>
                <w:rFonts w:hint="default" w:ascii="Times New Roman" w:hAnsi="Times New Roman" w:cs="Times New Roman"/>
                <w:color w:val="auto"/>
                <w:sz w:val="24"/>
                <w:highlight w:val="none"/>
              </w:rPr>
              <w:t>和基础养护，专职质检员应严格把控质量关，逐基对基坑进行验收。</w:t>
            </w:r>
          </w:p>
          <w:p w14:paraId="48125D97">
            <w:pPr>
              <w:pStyle w:val="10"/>
              <w:spacing w:before="0" w:after="0" w:line="360" w:lineRule="auto"/>
              <w:ind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基础</w:t>
            </w:r>
            <w:r>
              <w:rPr>
                <w:rFonts w:hint="default" w:ascii="Times New Roman" w:hAnsi="Times New Roman" w:cs="Times New Roman"/>
                <w:color w:val="auto"/>
                <w:kern w:val="0"/>
                <w:sz w:val="24"/>
                <w:highlight w:val="none"/>
                <w:lang w:val="en-US" w:eastAsia="zh-CN"/>
              </w:rPr>
              <w:t>施工：</w:t>
            </w:r>
            <w:r>
              <w:rPr>
                <w:rFonts w:hint="default" w:ascii="Times New Roman" w:hAnsi="Times New Roman" w:cs="Times New Roman"/>
                <w:color w:val="auto"/>
                <w:sz w:val="24"/>
                <w:szCs w:val="24"/>
                <w:highlight w:val="none"/>
              </w:rPr>
              <w:t>根据本项目地形、地质特点及所选塔型，</w:t>
            </w:r>
            <w:r>
              <w:rPr>
                <w:rFonts w:hint="eastAsia" w:cs="Times New Roman"/>
                <w:bCs/>
                <w:color w:val="auto"/>
                <w:sz w:val="24"/>
                <w:szCs w:val="24"/>
                <w:highlight w:val="none"/>
                <w:lang w:val="en-US" w:eastAsia="zh-CN"/>
              </w:rPr>
              <w:t>本次线路全线采用挖孔桩基础</w:t>
            </w:r>
            <w:r>
              <w:rPr>
                <w:rFonts w:hint="default" w:ascii="Times New Roman" w:hAnsi="Times New Roman" w:cs="Times New Roman"/>
                <w:bCs/>
                <w:color w:val="auto"/>
                <w:sz w:val="24"/>
                <w:szCs w:val="24"/>
                <w:highlight w:val="none"/>
                <w:lang w:val="en-US" w:eastAsia="zh-CN"/>
              </w:rPr>
              <w:t>，</w:t>
            </w:r>
            <w:r>
              <w:rPr>
                <w:rFonts w:hint="eastAsia" w:cs="Times New Roman"/>
                <w:bCs/>
                <w:color w:val="auto"/>
                <w:sz w:val="24"/>
                <w:szCs w:val="24"/>
                <w:highlight w:val="none"/>
                <w:lang w:val="en-US" w:eastAsia="zh-CN"/>
              </w:rPr>
              <w:t>在地形起伏较大的山地区域尽可能采用高低腿型式基础</w:t>
            </w:r>
            <w:r>
              <w:rPr>
                <w:rFonts w:hint="default" w:ascii="Times New Roman" w:hAnsi="Times New Roman" w:cs="Times New Roman"/>
                <w:color w:val="auto"/>
                <w:sz w:val="24"/>
                <w:highlight w:val="none"/>
              </w:rPr>
              <w:t>。</w:t>
            </w:r>
          </w:p>
          <w:p w14:paraId="227D87CB">
            <w:pPr>
              <w:pStyle w:val="10"/>
              <w:spacing w:before="0" w:after="0" w:line="360" w:lineRule="auto"/>
              <w:ind w:right="0"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kern w:val="0"/>
                <w:sz w:val="24"/>
                <w:highlight w:val="none"/>
              </w:rPr>
              <w:t>基础浇筑</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sz w:val="24"/>
                <w:szCs w:val="24"/>
                <w:highlight w:val="none"/>
              </w:rPr>
              <w:t>采用</w:t>
            </w:r>
            <w:r>
              <w:rPr>
                <w:rFonts w:hint="default" w:ascii="Times New Roman" w:hAnsi="Times New Roman" w:cs="Times New Roman"/>
                <w:color w:val="auto"/>
                <w:sz w:val="24"/>
                <w:highlight w:val="none"/>
              </w:rPr>
              <w:t>商混罐车的方式运输混凝土进行</w:t>
            </w:r>
            <w:r>
              <w:rPr>
                <w:rFonts w:hint="default" w:ascii="Times New Roman" w:hAnsi="Times New Roman" w:cs="Times New Roman"/>
                <w:color w:val="auto"/>
                <w:sz w:val="24"/>
                <w:szCs w:val="24"/>
                <w:highlight w:val="none"/>
              </w:rPr>
              <w:t>基础浇筑</w:t>
            </w:r>
            <w:r>
              <w:rPr>
                <w:rFonts w:hint="default" w:ascii="Times New Roman" w:hAnsi="Times New Roman" w:cs="Times New Roman"/>
                <w:color w:val="auto"/>
                <w:sz w:val="24"/>
                <w:szCs w:val="24"/>
                <w:highlight w:val="none"/>
                <w:lang w:eastAsia="zh-CN"/>
              </w:rPr>
              <w:t>。</w:t>
            </w:r>
          </w:p>
          <w:p w14:paraId="03D5CF63">
            <w:pPr>
              <w:pStyle w:val="10"/>
              <w:spacing w:before="0" w:after="0" w:line="360" w:lineRule="auto"/>
              <w:ind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杆塔组立</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sz w:val="24"/>
                <w:highlight w:val="none"/>
              </w:rPr>
              <w:t>杆塔的组立，采用人工组建与塔吊结合的方式进行组立。</w:t>
            </w:r>
          </w:p>
          <w:p w14:paraId="6889BDD8">
            <w:pPr>
              <w:pStyle w:val="10"/>
              <w:spacing w:before="0" w:after="0" w:line="360" w:lineRule="auto"/>
              <w:ind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架线施工、接地施工</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sz w:val="24"/>
                <w:highlight w:val="none"/>
              </w:rPr>
              <w:t>架线</w:t>
            </w:r>
            <w:r>
              <w:rPr>
                <w:rFonts w:hint="default" w:ascii="Times New Roman" w:hAnsi="Times New Roman" w:cs="Times New Roman"/>
                <w:color w:val="auto"/>
                <w:sz w:val="24"/>
                <w:highlight w:val="none"/>
                <w:lang w:val="en-US" w:eastAsia="zh-CN"/>
              </w:rPr>
              <w:t>以张力放线为主</w:t>
            </w:r>
            <w:r>
              <w:rPr>
                <w:rFonts w:hint="default" w:ascii="Times New Roman" w:hAnsi="Times New Roman" w:cs="Times New Roman"/>
                <w:color w:val="auto"/>
                <w:sz w:val="24"/>
                <w:highlight w:val="none"/>
              </w:rPr>
              <w:t>、无人</w:t>
            </w:r>
            <w:r>
              <w:rPr>
                <w:rFonts w:hint="default" w:ascii="Times New Roman" w:hAnsi="Times New Roman" w:cs="Times New Roman"/>
                <w:color w:val="auto"/>
                <w:sz w:val="24"/>
                <w:highlight w:val="none"/>
                <w:lang w:val="en-US" w:eastAsia="zh-CN"/>
              </w:rPr>
              <w:t>放线辅助</w:t>
            </w:r>
            <w:r>
              <w:rPr>
                <w:rFonts w:hint="default" w:ascii="Times New Roman" w:hAnsi="Times New Roman" w:cs="Times New Roman"/>
                <w:color w:val="auto"/>
                <w:sz w:val="24"/>
                <w:highlight w:val="none"/>
              </w:rPr>
              <w:t>，跨越公路段搭设跨越架。地线展放采用一牵一张力放线施工工艺，耐张塔紧线。导引绳采用八角旋翼无人机展放，导线采用一牵一张力展放，直线塔平衡挂线，耐张塔紧线。</w:t>
            </w:r>
            <w:r>
              <w:rPr>
                <w:rFonts w:hint="default" w:ascii="Times New Roman" w:hAnsi="Times New Roman" w:cs="Times New Roman"/>
                <w:color w:val="auto"/>
                <w:sz w:val="24"/>
                <w:szCs w:val="24"/>
                <w:highlight w:val="none"/>
              </w:rPr>
              <w:t>接地施工杆塔采用方框四射线的表面风车型，根据地形和土质情况确定采用链式开沟机和</w:t>
            </w:r>
            <w:r>
              <w:rPr>
                <w:rFonts w:hint="default" w:ascii="Times New Roman" w:hAnsi="Times New Roman" w:cs="Times New Roman"/>
                <w:color w:val="auto"/>
                <w:sz w:val="24"/>
                <w:highlight w:val="none"/>
              </w:rPr>
              <w:t>挖掘机两种开挖方式。</w:t>
            </w:r>
          </w:p>
          <w:p w14:paraId="71AFBAD3">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附件安装：附件安装主要指耐张串、悬垂串、跳线串等金具串的安装。防振锤、间隔棒等防振设备的安装。故障定位、视频监控等监测设备的安装。</w:t>
            </w:r>
          </w:p>
          <w:p w14:paraId="3E2A84A7">
            <w:pPr>
              <w:spacing w:line="360" w:lineRule="auto"/>
              <w:ind w:firstLine="482" w:firstLineChars="200"/>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2.2间隔扩建工程施工时序</w:t>
            </w:r>
          </w:p>
          <w:p w14:paraId="6916B75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kern w:val="0"/>
                <w:sz w:val="24"/>
                <w:highlight w:val="none"/>
              </w:rPr>
              <w:t>⑴</w:t>
            </w:r>
            <w:r>
              <w:rPr>
                <w:rFonts w:hint="default" w:ascii="Times New Roman" w:hAnsi="Times New Roman" w:eastAsia="宋体" w:cs="Times New Roman"/>
                <w:color w:val="auto"/>
                <w:sz w:val="24"/>
                <w:highlight w:val="none"/>
              </w:rPr>
              <w:t>施工准备</w:t>
            </w:r>
          </w:p>
          <w:p w14:paraId="7BAF9B0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材料运输：采用轮胎式汽车</w:t>
            </w:r>
            <w:r>
              <w:rPr>
                <w:rFonts w:hint="default" w:ascii="Times New Roman" w:hAnsi="Times New Roman" w:eastAsia="宋体" w:cs="Times New Roman"/>
                <w:color w:val="auto"/>
                <w:sz w:val="24"/>
                <w:highlight w:val="none"/>
                <w:lang w:eastAsia="zh-CN"/>
              </w:rPr>
              <w:t>或卡车</w:t>
            </w:r>
            <w:r>
              <w:rPr>
                <w:rFonts w:hint="default" w:ascii="Times New Roman" w:hAnsi="Times New Roman" w:eastAsia="宋体" w:cs="Times New Roman"/>
                <w:color w:val="auto"/>
                <w:sz w:val="24"/>
                <w:highlight w:val="none"/>
              </w:rPr>
              <w:t>的运输方式将材料、机具等运输到施工现场；对混凝土的运输，采用商混罐车的方式运输。</w:t>
            </w:r>
          </w:p>
          <w:p w14:paraId="388CA12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施工场地布置（站内）</w:t>
            </w:r>
            <w:r>
              <w:rPr>
                <w:rFonts w:hint="default" w:ascii="Times New Roman" w:hAnsi="Times New Roman" w:eastAsia="宋体" w:cs="Times New Roman"/>
                <w:color w:val="auto"/>
                <w:sz w:val="24"/>
                <w:highlight w:val="none"/>
              </w:rPr>
              <w:t>：设置施工围栏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划定施工材料临时堆放区、临时堆土区等</w:t>
            </w:r>
            <w:r>
              <w:rPr>
                <w:rFonts w:hint="default" w:ascii="Times New Roman" w:hAnsi="Times New Roman" w:eastAsia="宋体" w:cs="Times New Roman"/>
                <w:color w:val="auto"/>
                <w:sz w:val="24"/>
                <w:highlight w:val="none"/>
              </w:rPr>
              <w:t>。</w:t>
            </w:r>
          </w:p>
          <w:p w14:paraId="083DF036">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②</w:t>
            </w:r>
            <w:r>
              <w:rPr>
                <w:rFonts w:hint="default" w:ascii="Times New Roman" w:hAnsi="Times New Roman" w:eastAsia="宋体" w:cs="Times New Roman"/>
                <w:color w:val="auto"/>
                <w:sz w:val="24"/>
                <w:highlight w:val="none"/>
                <w:lang w:eastAsia="zh-CN"/>
              </w:rPr>
              <w:t>间隔扩建地基处理、构件吊装、构件连接</w:t>
            </w:r>
          </w:p>
          <w:p w14:paraId="031AC937">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变电站间隔扩建施工包括地基处理、构件吊装、构件连接。地基处理方案采用级配砂石换填垫层法。挖除表层</w:t>
            </w:r>
            <w:r>
              <w:rPr>
                <w:rFonts w:hint="default" w:ascii="Times New Roman" w:hAnsi="Times New Roman" w:eastAsia="宋体" w:cs="Times New Roman"/>
                <w:color w:val="auto"/>
                <w:sz w:val="24"/>
                <w:highlight w:val="none"/>
                <w:lang w:val="en-US" w:eastAsia="zh-CN"/>
              </w:rPr>
              <w:t>粉细砂</w:t>
            </w:r>
            <w:r>
              <w:rPr>
                <w:rFonts w:hint="default" w:ascii="Times New Roman" w:hAnsi="Times New Roman" w:eastAsia="宋体" w:cs="Times New Roman"/>
                <w:color w:val="auto"/>
                <w:sz w:val="24"/>
                <w:highlight w:val="none"/>
                <w:lang w:eastAsia="zh-CN"/>
              </w:rPr>
              <w:t>，设备基础下做1.0m厚级配砂石垫层，每边宽出基础外边缘0.5m。垫层夯实每层厚度应不大于200mm。采用轮胎式起重机进行设备支架和横梁的吊装。采用电动扳手或气动扳手进行设备支架与预埋地脚螺栓之间的螺栓连接、设备支架与横梁之间的螺栓连接。</w:t>
            </w:r>
          </w:p>
          <w:p w14:paraId="5533BCCB">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3.</w:t>
            </w:r>
            <w:r>
              <w:rPr>
                <w:rFonts w:hint="default" w:ascii="Times New Roman" w:hAnsi="Times New Roman" w:cs="Times New Roman"/>
                <w:b/>
                <w:bCs/>
                <w:color w:val="auto"/>
                <w:sz w:val="24"/>
                <w:highlight w:val="none"/>
              </w:rPr>
              <w:t>建设周期</w:t>
            </w:r>
          </w:p>
          <w:p w14:paraId="7218A73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根据本项目特点、自然条件，本项目计划202</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月开工施工，202</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月完工，预计施工时间为</w:t>
            </w:r>
            <w:r>
              <w:rPr>
                <w:rFonts w:hint="default" w:ascii="Times New Roman" w:hAnsi="Times New Roman" w:cs="Times New Roman"/>
                <w:color w:val="auto"/>
                <w:sz w:val="24"/>
                <w:highlight w:val="none"/>
                <w:lang w:val="en-US" w:eastAsia="zh-CN"/>
              </w:rPr>
              <w:t>13</w:t>
            </w:r>
            <w:r>
              <w:rPr>
                <w:rFonts w:hint="default" w:ascii="Times New Roman" w:hAnsi="Times New Roman" w:cs="Times New Roman"/>
                <w:color w:val="auto"/>
                <w:sz w:val="24"/>
                <w:highlight w:val="none"/>
              </w:rPr>
              <w:t>个月。</w:t>
            </w:r>
          </w:p>
        </w:tc>
      </w:tr>
      <w:tr w14:paraId="0C8C7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69" w:hRule="atLeast"/>
          <w:jc w:val="center"/>
        </w:trPr>
        <w:tc>
          <w:tcPr>
            <w:tcW w:w="497" w:type="dxa"/>
            <w:noWrap w:val="0"/>
            <w:vAlign w:val="center"/>
          </w:tcPr>
          <w:p w14:paraId="57F8AFD0">
            <w:pPr>
              <w:adjustRightInd w:val="0"/>
              <w:snapToGrid w:val="0"/>
              <w:spacing w:before="120" w:beforeLines="50" w:after="120" w:afterLines="5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其他</w:t>
            </w:r>
          </w:p>
        </w:tc>
        <w:tc>
          <w:tcPr>
            <w:tcW w:w="8712" w:type="dxa"/>
            <w:noWrap w:val="0"/>
            <w:vAlign w:val="center"/>
          </w:tcPr>
          <w:p w14:paraId="4AC7EA85">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eastAsia="zh-CN"/>
              </w:rPr>
              <w:t>㈠</w:t>
            </w:r>
            <w:r>
              <w:rPr>
                <w:rFonts w:hint="eastAsia" w:cs="Times New Roman"/>
                <w:b/>
                <w:color w:val="auto"/>
                <w:sz w:val="24"/>
                <w:highlight w:val="none"/>
                <w:lang w:val="en-US" w:eastAsia="zh-CN"/>
              </w:rPr>
              <w:t>输电</w:t>
            </w:r>
            <w:r>
              <w:rPr>
                <w:rFonts w:hint="default" w:ascii="Times New Roman" w:hAnsi="Times New Roman" w:cs="Times New Roman"/>
                <w:b/>
                <w:color w:val="auto"/>
                <w:sz w:val="24"/>
                <w:highlight w:val="none"/>
              </w:rPr>
              <w:t>线路方案比选</w:t>
            </w:r>
          </w:p>
          <w:p w14:paraId="5DCA1B2E">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根据初步设计方案，本</w:t>
            </w:r>
            <w:r>
              <w:rPr>
                <w:rFonts w:hint="eastAsia" w:cs="Times New Roman"/>
                <w:color w:val="auto"/>
                <w:sz w:val="24"/>
                <w:highlight w:val="none"/>
                <w:lang w:val="en-US" w:eastAsia="zh-CN"/>
              </w:rPr>
              <w:t>项目</w:t>
            </w:r>
            <w:r>
              <w:rPr>
                <w:rFonts w:hint="default" w:ascii="Times New Roman" w:hAnsi="Times New Roman" w:cs="Times New Roman"/>
                <w:color w:val="auto"/>
                <w:sz w:val="24"/>
                <w:highlight w:val="none"/>
              </w:rPr>
              <w:t>提出了两个</w:t>
            </w:r>
            <w:r>
              <w:rPr>
                <w:rFonts w:hint="default" w:ascii="Times New Roman" w:hAnsi="Times New Roman" w:cs="Times New Roman"/>
                <w:color w:val="auto"/>
                <w:sz w:val="24"/>
                <w:highlight w:val="none"/>
                <w:lang w:val="en-US" w:eastAsia="zh-CN"/>
              </w:rPr>
              <w:t>输电线路</w:t>
            </w:r>
            <w:r>
              <w:rPr>
                <w:rFonts w:hint="default" w:ascii="Times New Roman" w:hAnsi="Times New Roman" w:cs="Times New Roman"/>
                <w:color w:val="auto"/>
                <w:sz w:val="24"/>
                <w:highlight w:val="none"/>
              </w:rPr>
              <w:t>比选路径方案</w:t>
            </w:r>
            <w:r>
              <w:rPr>
                <w:rFonts w:hint="default" w:ascii="Times New Roman" w:hAnsi="Times New Roman" w:cs="Times New Roman"/>
                <w:color w:val="auto"/>
                <w:sz w:val="24"/>
                <w:highlight w:val="none"/>
                <w:lang w:eastAsia="zh-CN"/>
              </w:rPr>
              <w:t>。</w:t>
            </w:r>
          </w:p>
          <w:p w14:paraId="38403C4E">
            <w:pPr>
              <w:keepNext w:val="0"/>
              <w:keepLines w:val="0"/>
              <w:widowControl/>
              <w:suppressLineNumbers w:val="0"/>
              <w:spacing w:line="360" w:lineRule="auto"/>
              <w:ind w:firstLine="480" w:firstLineChars="200"/>
              <w:jc w:val="both"/>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方案一</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推荐</w:t>
            </w:r>
            <w:r>
              <w:rPr>
                <w:rFonts w:hint="default" w:ascii="Times New Roman" w:hAnsi="Times New Roman" w:cs="Times New Roman"/>
                <w:color w:val="auto"/>
                <w:sz w:val="24"/>
                <w:highlight w:val="none"/>
                <w:lang w:eastAsia="zh-CN"/>
              </w:rPr>
              <w:t>方案）</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线路自拟建华电彭阳升压站110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构架间隔出线，线路以单回路向南架设从交岔乡关口村西侧经过，跨越G85银昆高速，继续向南架设钻越110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清李Ⅰ线</w:t>
            </w:r>
            <w:r>
              <w:rPr>
                <w:rFonts w:hint="eastAsia" w:cs="Times New Roman"/>
                <w:color w:val="auto"/>
                <w:sz w:val="24"/>
                <w:highlight w:val="none"/>
                <w:lang w:val="en-US" w:eastAsia="zh-CN"/>
              </w:rPr>
              <w:t>、110千伏至李线</w:t>
            </w:r>
            <w:r>
              <w:rPr>
                <w:rFonts w:hint="default" w:ascii="Times New Roman" w:hAnsi="Times New Roman" w:cs="Times New Roman"/>
                <w:color w:val="auto"/>
                <w:sz w:val="24"/>
                <w:highlight w:val="none"/>
                <w:lang w:val="en-US" w:eastAsia="zh-CN"/>
              </w:rPr>
              <w:t>，继续向南架设至交岔乡交岔村东侧跨越35</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官王线，向南架设钻越±1100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吉泉线，继续向南架设与规划云雾山至王洼变110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线路西侧平行，线路一直平行架设至本次线路终点云雾山变电站110</w:t>
            </w:r>
            <w:r>
              <w:rPr>
                <w:rFonts w:hint="eastAsia" w:cs="Times New Roman"/>
                <w:color w:val="auto"/>
                <w:sz w:val="24"/>
                <w:highlight w:val="none"/>
                <w:lang w:val="en-US" w:eastAsia="zh-CN"/>
              </w:rPr>
              <w:t>千伏</w:t>
            </w:r>
            <w:r>
              <w:rPr>
                <w:rFonts w:hint="default" w:ascii="Times New Roman" w:hAnsi="Times New Roman" w:cs="Times New Roman"/>
                <w:color w:val="auto"/>
                <w:sz w:val="24"/>
                <w:highlight w:val="none"/>
                <w:lang w:val="en-US" w:eastAsia="zh-CN"/>
              </w:rPr>
              <w:t>间隔架构外侧终止。线路路径全长约24.2km（架空）。</w:t>
            </w:r>
          </w:p>
          <w:p w14:paraId="2BBD90E5">
            <w:pPr>
              <w:spacing w:line="360" w:lineRule="auto"/>
              <w:ind w:firstLine="480" w:firstLineChars="200"/>
              <w:jc w:val="both"/>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方案二</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比选</w:t>
            </w:r>
            <w:r>
              <w:rPr>
                <w:rFonts w:hint="default" w:ascii="Times New Roman" w:hAnsi="Times New Roman" w:cs="Times New Roman"/>
                <w:color w:val="auto"/>
                <w:sz w:val="24"/>
                <w:highlight w:val="none"/>
                <w:lang w:eastAsia="zh-CN"/>
              </w:rPr>
              <w:t>方案）</w:t>
            </w:r>
            <w:r>
              <w:rPr>
                <w:rFonts w:hint="default" w:ascii="Times New Roman" w:hAnsi="Times New Roman" w:cs="Times New Roman"/>
                <w:color w:val="auto"/>
                <w:sz w:val="24"/>
                <w:highlight w:val="none"/>
              </w:rPr>
              <w:t>：</w:t>
            </w:r>
            <w:bookmarkStart w:id="80" w:name="OLE_LINK17"/>
            <w:r>
              <w:rPr>
                <w:rFonts w:hint="default" w:ascii="Times New Roman" w:hAnsi="Times New Roman" w:cs="Times New Roman"/>
                <w:color w:val="auto"/>
                <w:sz w:val="24"/>
                <w:highlight w:val="none"/>
                <w:lang w:val="en-US" w:eastAsia="zh-CN"/>
              </w:rPr>
              <w:t>线路自拟建华电彭阳升压站110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构架间隔出线，线路以单回路向南架设从交岔乡关口村东侧经过，跨越G85银昆高速，继续向南架设跨越110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清李Ⅰ线</w:t>
            </w:r>
            <w:r>
              <w:rPr>
                <w:rFonts w:hint="eastAsia" w:cs="Times New Roman"/>
                <w:color w:val="auto"/>
                <w:sz w:val="24"/>
                <w:highlight w:val="none"/>
                <w:lang w:val="en-US" w:eastAsia="zh-CN"/>
              </w:rPr>
              <w:t>、110千伏至李线</w:t>
            </w:r>
            <w:r>
              <w:rPr>
                <w:rFonts w:hint="default" w:ascii="Times New Roman" w:hAnsi="Times New Roman" w:cs="Times New Roman"/>
                <w:color w:val="auto"/>
                <w:sz w:val="24"/>
                <w:highlight w:val="none"/>
                <w:lang w:val="en-US" w:eastAsia="zh-CN"/>
              </w:rPr>
              <w:t>，本次规划线路继续向南架设与规划云雾山至王洼变110</w:t>
            </w:r>
            <w:r>
              <w:rPr>
                <w:rFonts w:hint="eastAsia" w:cs="Times New Roman"/>
                <w:color w:val="auto"/>
                <w:sz w:val="24"/>
                <w:highlight w:val="none"/>
                <w:lang w:val="en-US" w:eastAsia="zh-CN"/>
              </w:rPr>
              <w:t>千伏</w:t>
            </w:r>
            <w:r>
              <w:rPr>
                <w:rFonts w:hint="default" w:ascii="Times New Roman" w:hAnsi="Times New Roman" w:cs="Times New Roman"/>
                <w:color w:val="auto"/>
                <w:sz w:val="24"/>
                <w:highlight w:val="none"/>
                <w:lang w:val="en-US" w:eastAsia="zh-CN"/>
              </w:rPr>
              <w:t>线路西侧平行，继续向南架设至交岔乡交岔村东侧跨越35</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官王线，向南架设钻越±1100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吉泉线，线路一直平行架设至本次线路终点云雾山变电站 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间隔架构外侧终止。线路路径全长约26.19km。</w:t>
            </w:r>
          </w:p>
          <w:p w14:paraId="641D061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线路路径</w:t>
            </w:r>
            <w:bookmarkEnd w:id="80"/>
            <w:r>
              <w:rPr>
                <w:rFonts w:hint="default" w:ascii="Times New Roman" w:hAnsi="Times New Roman" w:cs="Times New Roman"/>
                <w:color w:val="auto"/>
                <w:sz w:val="24"/>
                <w:highlight w:val="none"/>
              </w:rPr>
              <w:t>方案比较情况见表2-</w:t>
            </w:r>
            <w:bookmarkStart w:id="81" w:name="OLE_LINK19"/>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rPr>
              <w:t>。</w:t>
            </w:r>
            <w:bookmarkEnd w:id="81"/>
          </w:p>
          <w:p w14:paraId="216225A3">
            <w:pPr>
              <w:spacing w:line="240" w:lineRule="auto"/>
              <w:jc w:val="center"/>
              <w:rPr>
                <w:rFonts w:hint="default" w:ascii="Times New Roman" w:hAnsi="Times New Roman" w:eastAsia="宋体" w:cs="Times New Roman"/>
                <w:b/>
                <w:color w:val="auto"/>
                <w:kern w:val="0"/>
                <w:sz w:val="24"/>
                <w:szCs w:val="18"/>
                <w:highlight w:val="none"/>
                <w:lang w:val="en-US" w:eastAsia="zh-CN" w:bidi="ar-SA"/>
              </w:rPr>
            </w:pPr>
            <w:r>
              <w:rPr>
                <w:rFonts w:hint="default" w:ascii="Times New Roman" w:hAnsi="Times New Roman" w:eastAsia="宋体" w:cs="Times New Roman"/>
                <w:b/>
                <w:color w:val="auto"/>
                <w:kern w:val="0"/>
                <w:sz w:val="24"/>
                <w:szCs w:val="18"/>
                <w:highlight w:val="none"/>
                <w:lang w:val="en-US" w:eastAsia="zh-CN" w:bidi="ar-SA"/>
              </w:rPr>
              <w:t>表2-</w:t>
            </w:r>
            <w:r>
              <w:rPr>
                <w:rFonts w:hint="eastAsia" w:cs="Times New Roman"/>
                <w:b/>
                <w:color w:val="auto"/>
                <w:kern w:val="0"/>
                <w:sz w:val="24"/>
                <w:szCs w:val="18"/>
                <w:highlight w:val="none"/>
                <w:lang w:val="en-US" w:eastAsia="zh-CN" w:bidi="ar-SA"/>
              </w:rPr>
              <w:t>8</w:t>
            </w:r>
            <w:r>
              <w:rPr>
                <w:rFonts w:hint="default" w:ascii="Times New Roman" w:hAnsi="Times New Roman" w:eastAsia="宋体" w:cs="Times New Roman"/>
                <w:b/>
                <w:color w:val="auto"/>
                <w:kern w:val="0"/>
                <w:sz w:val="24"/>
                <w:szCs w:val="18"/>
                <w:highlight w:val="none"/>
                <w:lang w:val="en-US" w:eastAsia="zh-CN" w:bidi="ar-SA"/>
              </w:rPr>
              <w:t xml:space="preserve">    110千伏送出线路工程线路路径方案比较一览表</w:t>
            </w:r>
          </w:p>
          <w:tbl>
            <w:tblPr>
              <w:tblStyle w:val="31"/>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2515"/>
              <w:gridCol w:w="2386"/>
              <w:gridCol w:w="2391"/>
            </w:tblGrid>
            <w:tr w14:paraId="1B0B8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212" w:type="dxa"/>
                  <w:noWrap w:val="0"/>
                  <w:vAlign w:val="center"/>
                </w:tcPr>
                <w:p w14:paraId="7A9565B4">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2515" w:type="dxa"/>
                  <w:noWrap w:val="0"/>
                  <w:vAlign w:val="center"/>
                </w:tcPr>
                <w:p w14:paraId="543B0762">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方案一</w:t>
                  </w:r>
                </w:p>
              </w:tc>
              <w:tc>
                <w:tcPr>
                  <w:tcW w:w="2386" w:type="dxa"/>
                  <w:noWrap w:val="0"/>
                  <w:vAlign w:val="center"/>
                </w:tcPr>
                <w:p w14:paraId="3E51F992">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方案二</w:t>
                  </w:r>
                </w:p>
              </w:tc>
              <w:tc>
                <w:tcPr>
                  <w:tcW w:w="2391" w:type="dxa"/>
                  <w:noWrap w:val="0"/>
                  <w:vAlign w:val="center"/>
                </w:tcPr>
                <w:p w14:paraId="18CFF481">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比较结论</w:t>
                  </w:r>
                </w:p>
              </w:tc>
            </w:tr>
            <w:tr w14:paraId="3AEE30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212" w:type="dxa"/>
                  <w:noWrap w:val="0"/>
                  <w:vAlign w:val="center"/>
                </w:tcPr>
                <w:p w14:paraId="71A80850">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行政区域</w:t>
                  </w:r>
                </w:p>
              </w:tc>
              <w:tc>
                <w:tcPr>
                  <w:tcW w:w="2515" w:type="dxa"/>
                  <w:noWrap w:val="0"/>
                  <w:vAlign w:val="center"/>
                </w:tcPr>
                <w:p w14:paraId="3791097D">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bCs/>
                      <w:color w:val="auto"/>
                      <w:sz w:val="21"/>
                      <w:szCs w:val="21"/>
                      <w:highlight w:val="none"/>
                      <w:lang w:eastAsia="zh-CN"/>
                    </w:rPr>
                    <w:t>宁夏回族自治区固原市原州区、彭阳县</w:t>
                  </w:r>
                </w:p>
              </w:tc>
              <w:tc>
                <w:tcPr>
                  <w:tcW w:w="2386" w:type="dxa"/>
                  <w:noWrap w:val="0"/>
                  <w:vAlign w:val="center"/>
                </w:tcPr>
                <w:p w14:paraId="50FD6320">
                  <w:pPr>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bCs/>
                      <w:color w:val="auto"/>
                      <w:sz w:val="21"/>
                      <w:szCs w:val="21"/>
                      <w:highlight w:val="none"/>
                      <w:lang w:eastAsia="zh-CN"/>
                    </w:rPr>
                    <w:t>宁夏回族自治区固原市原州区、彭阳县</w:t>
                  </w:r>
                </w:p>
              </w:tc>
              <w:tc>
                <w:tcPr>
                  <w:tcW w:w="2391" w:type="dxa"/>
                  <w:noWrap w:val="0"/>
                  <w:vAlign w:val="center"/>
                </w:tcPr>
                <w:p w14:paraId="0C95D53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w:t>
                  </w:r>
                  <w:r>
                    <w:rPr>
                      <w:rFonts w:hint="default" w:ascii="Times New Roman" w:hAnsi="Times New Roman" w:eastAsia="宋体" w:cs="Times New Roman"/>
                      <w:color w:val="auto"/>
                      <w:sz w:val="21"/>
                      <w:szCs w:val="21"/>
                      <w:highlight w:val="none"/>
                      <w:lang w:val="en-US" w:eastAsia="zh-CN"/>
                    </w:rPr>
                    <w:t>同</w:t>
                  </w:r>
                </w:p>
              </w:tc>
            </w:tr>
            <w:tr w14:paraId="079C7A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212" w:type="dxa"/>
                  <w:noWrap w:val="0"/>
                  <w:vAlign w:val="center"/>
                </w:tcPr>
                <w:p w14:paraId="3026B6D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线路长度</w:t>
                  </w:r>
                </w:p>
              </w:tc>
              <w:tc>
                <w:tcPr>
                  <w:tcW w:w="2515" w:type="dxa"/>
                  <w:noWrap w:val="0"/>
                  <w:vAlign w:val="center"/>
                </w:tcPr>
                <w:p w14:paraId="5126217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24.2</w:t>
                  </w:r>
                  <w:r>
                    <w:rPr>
                      <w:rFonts w:hint="default" w:ascii="Times New Roman" w:hAnsi="Times New Roman" w:eastAsia="宋体" w:cs="Times New Roman"/>
                      <w:color w:val="auto"/>
                      <w:sz w:val="21"/>
                      <w:szCs w:val="21"/>
                      <w:highlight w:val="none"/>
                    </w:rPr>
                    <w:t>km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1×24.</w:t>
                  </w:r>
                  <w:r>
                    <w:rPr>
                      <w:rFonts w:hint="eastAsia"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km单回路架空+2×0.050km</w:t>
                  </w:r>
                  <w:r>
                    <w:rPr>
                      <w:rFonts w:hint="default" w:ascii="Times New Roman" w:hAnsi="Times New Roman" w:eastAsia="宋体" w:cs="Times New Roman"/>
                      <w:color w:val="auto"/>
                      <w:sz w:val="21"/>
                      <w:szCs w:val="21"/>
                      <w:highlight w:val="none"/>
                      <w:lang w:eastAsia="zh-CN"/>
                    </w:rPr>
                    <w:t>）</w:t>
                  </w:r>
                </w:p>
              </w:tc>
              <w:tc>
                <w:tcPr>
                  <w:tcW w:w="2386" w:type="dxa"/>
                  <w:noWrap w:val="0"/>
                  <w:vAlign w:val="center"/>
                </w:tcPr>
                <w:p w14:paraId="6727A9F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26.19</w:t>
                  </w:r>
                  <w:r>
                    <w:rPr>
                      <w:rFonts w:hint="default" w:ascii="Times New Roman" w:hAnsi="Times New Roman" w:eastAsia="宋体" w:cs="Times New Roman"/>
                      <w:color w:val="auto"/>
                      <w:sz w:val="21"/>
                      <w:szCs w:val="21"/>
                      <w:highlight w:val="none"/>
                    </w:rPr>
                    <w:t>km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1×26.14km单回路架空+2×0.050km</w:t>
                  </w:r>
                  <w:r>
                    <w:rPr>
                      <w:rFonts w:hint="default" w:ascii="Times New Roman" w:hAnsi="Times New Roman" w:eastAsia="宋体" w:cs="Times New Roman"/>
                      <w:color w:val="auto"/>
                      <w:sz w:val="21"/>
                      <w:szCs w:val="21"/>
                      <w:highlight w:val="none"/>
                      <w:lang w:eastAsia="zh-CN"/>
                    </w:rPr>
                    <w:t>）</w:t>
                  </w:r>
                </w:p>
              </w:tc>
              <w:tc>
                <w:tcPr>
                  <w:tcW w:w="2391" w:type="dxa"/>
                  <w:noWrap w:val="0"/>
                  <w:vAlign w:val="center"/>
                </w:tcPr>
                <w:p w14:paraId="2E0BCE1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方案二线路长度大于方案一，方案一较优。</w:t>
                  </w:r>
                </w:p>
              </w:tc>
            </w:tr>
            <w:tr w14:paraId="78A68B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12" w:type="dxa"/>
                  <w:noWrap w:val="0"/>
                  <w:vAlign w:val="center"/>
                </w:tcPr>
                <w:p w14:paraId="01BFB241">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杆塔数</w:t>
                  </w:r>
                  <w:r>
                    <w:rPr>
                      <w:rFonts w:hint="default" w:ascii="Times New Roman" w:hAnsi="Times New Roman" w:eastAsia="宋体" w:cs="Times New Roman"/>
                      <w:color w:val="auto"/>
                      <w:sz w:val="21"/>
                      <w:szCs w:val="21"/>
                      <w:highlight w:val="none"/>
                      <w:lang w:val="en-US" w:eastAsia="zh-CN"/>
                    </w:rPr>
                    <w:t>量（基）</w:t>
                  </w:r>
                </w:p>
              </w:tc>
              <w:tc>
                <w:tcPr>
                  <w:tcW w:w="2515" w:type="dxa"/>
                  <w:noWrap w:val="0"/>
                  <w:vAlign w:val="center"/>
                </w:tcPr>
                <w:p w14:paraId="062B6342">
                  <w:pPr>
                    <w:jc w:val="center"/>
                    <w:rPr>
                      <w:rFonts w:hint="eastAsia" w:ascii="Times New Roman" w:hAnsi="Times New Roman" w:eastAsia="宋体" w:cs="Times New Roman"/>
                      <w:color w:val="auto"/>
                      <w:sz w:val="21"/>
                      <w:szCs w:val="21"/>
                      <w:highlight w:val="none"/>
                      <w:lang w:val="en-US" w:eastAsia="zh"/>
                      <w:woUserID w:val="1"/>
                    </w:rPr>
                  </w:pPr>
                  <w:r>
                    <w:rPr>
                      <w:rFonts w:hint="eastAsia" w:cs="Times New Roman"/>
                      <w:color w:val="auto"/>
                      <w:sz w:val="21"/>
                      <w:szCs w:val="21"/>
                      <w:highlight w:val="none"/>
                      <w:lang w:val="en-US" w:eastAsia="zh-CN"/>
                    </w:rPr>
                    <w:t>8</w:t>
                  </w:r>
                  <w:r>
                    <w:rPr>
                      <w:rFonts w:hint="eastAsia" w:cs="Times New Roman"/>
                      <w:color w:val="auto"/>
                      <w:sz w:val="21"/>
                      <w:szCs w:val="21"/>
                      <w:highlight w:val="none"/>
                      <w:lang w:val="en-US" w:eastAsia="zh"/>
                      <w:woUserID w:val="1"/>
                    </w:rPr>
                    <w:t>6</w:t>
                  </w:r>
                </w:p>
              </w:tc>
              <w:tc>
                <w:tcPr>
                  <w:tcW w:w="2386" w:type="dxa"/>
                  <w:noWrap w:val="0"/>
                  <w:vAlign w:val="center"/>
                </w:tcPr>
                <w:p w14:paraId="52395D6D">
                  <w:pPr>
                    <w:jc w:val="center"/>
                    <w:rPr>
                      <w:rFonts w:hint="eastAsia" w:ascii="Times New Roman" w:hAnsi="Times New Roman" w:eastAsia="宋体" w:cs="Times New Roman"/>
                      <w:color w:val="auto"/>
                      <w:kern w:val="2"/>
                      <w:sz w:val="21"/>
                      <w:szCs w:val="21"/>
                      <w:highlight w:val="none"/>
                      <w:lang w:val="en-US" w:eastAsia="zh" w:bidi="ar-SA"/>
                      <w:woUserID w:val="1"/>
                    </w:rPr>
                  </w:pPr>
                  <w:r>
                    <w:rPr>
                      <w:rFonts w:hint="eastAsia" w:cs="Times New Roman"/>
                      <w:color w:val="auto"/>
                      <w:kern w:val="2"/>
                      <w:sz w:val="21"/>
                      <w:szCs w:val="21"/>
                      <w:highlight w:val="none"/>
                      <w:lang w:val="en-US" w:eastAsia="zh" w:bidi="ar-SA"/>
                      <w:woUserID w:val="1"/>
                    </w:rPr>
                    <w:t>90</w:t>
                  </w:r>
                </w:p>
              </w:tc>
              <w:tc>
                <w:tcPr>
                  <w:tcW w:w="2391" w:type="dxa"/>
                  <w:noWrap w:val="0"/>
                  <w:vAlign w:val="center"/>
                </w:tcPr>
                <w:p w14:paraId="7B057BA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方案二</w:t>
                  </w:r>
                  <w:r>
                    <w:rPr>
                      <w:rFonts w:hint="default" w:ascii="Times New Roman" w:hAnsi="Times New Roman" w:eastAsia="宋体" w:cs="Times New Roman"/>
                      <w:color w:val="auto"/>
                      <w:sz w:val="21"/>
                      <w:szCs w:val="21"/>
                      <w:highlight w:val="none"/>
                    </w:rPr>
                    <w:t>杆塔数</w:t>
                  </w:r>
                  <w:r>
                    <w:rPr>
                      <w:rFonts w:hint="default" w:ascii="Times New Roman" w:hAnsi="Times New Roman" w:eastAsia="宋体" w:cs="Times New Roman"/>
                      <w:color w:val="auto"/>
                      <w:sz w:val="21"/>
                      <w:szCs w:val="21"/>
                      <w:highlight w:val="none"/>
                      <w:lang w:val="en-US" w:eastAsia="zh-CN"/>
                    </w:rPr>
                    <w:t>量</w:t>
                  </w:r>
                  <w:r>
                    <w:rPr>
                      <w:rFonts w:hint="eastAsia" w:cs="Times New Roman"/>
                      <w:color w:val="auto"/>
                      <w:sz w:val="21"/>
                      <w:szCs w:val="21"/>
                      <w:highlight w:val="none"/>
                      <w:lang w:val="en-US" w:eastAsia="zh-CN"/>
                    </w:rPr>
                    <w:t>及</w:t>
                  </w:r>
                  <w:r>
                    <w:rPr>
                      <w:rFonts w:hint="default" w:ascii="Times New Roman" w:hAnsi="Times New Roman" w:eastAsia="宋体" w:cs="Times New Roman"/>
                      <w:color w:val="auto"/>
                      <w:sz w:val="21"/>
                      <w:szCs w:val="21"/>
                      <w:highlight w:val="none"/>
                      <w:lang w:val="en-US" w:eastAsia="zh-CN"/>
                    </w:rPr>
                    <w:t>永久占地面积较方案一多，方案一较优。</w:t>
                  </w:r>
                </w:p>
              </w:tc>
            </w:tr>
            <w:tr w14:paraId="2BC80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12" w:type="dxa"/>
                  <w:noWrap w:val="0"/>
                  <w:vAlign w:val="center"/>
                </w:tcPr>
                <w:p w14:paraId="189057F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交叉跨越情况</w:t>
                  </w:r>
                </w:p>
              </w:tc>
              <w:tc>
                <w:tcPr>
                  <w:tcW w:w="2515" w:type="dxa"/>
                  <w:noWrap w:val="0"/>
                  <w:vAlign w:val="center"/>
                </w:tcPr>
                <w:p w14:paraId="156A933E">
                  <w:pPr>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跨越 G85银昆高速，钻越110千伏清李Ⅰ线</w:t>
                  </w:r>
                  <w:r>
                    <w:rPr>
                      <w:rFonts w:hint="eastAsia" w:cs="Times New Roman"/>
                      <w:color w:val="auto"/>
                      <w:sz w:val="21"/>
                      <w:szCs w:val="21"/>
                      <w:highlight w:val="none"/>
                      <w:lang w:val="en-US" w:eastAsia="zh-CN"/>
                    </w:rPr>
                    <w:t>、110千伏至李线</w:t>
                  </w:r>
                  <w:r>
                    <w:rPr>
                      <w:rFonts w:hint="default" w:ascii="Times New Roman" w:hAnsi="Times New Roman" w:eastAsia="宋体" w:cs="Times New Roman"/>
                      <w:color w:val="auto"/>
                      <w:sz w:val="21"/>
                      <w:szCs w:val="21"/>
                      <w:highlight w:val="none"/>
                      <w:lang w:val="en-US" w:eastAsia="zh-CN"/>
                    </w:rPr>
                    <w:t>，跨越35千伏官王线，钻越±1100千伏吉泉线</w:t>
                  </w:r>
                  <w:r>
                    <w:rPr>
                      <w:rFonts w:hint="eastAsia" w:cs="Times New Roman"/>
                      <w:color w:val="auto"/>
                      <w:sz w:val="21"/>
                      <w:szCs w:val="21"/>
                      <w:highlight w:val="none"/>
                      <w:lang w:val="en-US" w:eastAsia="zh-CN"/>
                    </w:rPr>
                    <w:t>，钻越750</w:t>
                  </w:r>
                  <w:r>
                    <w:rPr>
                      <w:rFonts w:hint="default" w:ascii="Times New Roman" w:hAnsi="Times New Roman" w:eastAsia="宋体" w:cs="Times New Roman"/>
                      <w:color w:val="auto"/>
                      <w:sz w:val="21"/>
                      <w:szCs w:val="21"/>
                      <w:highlight w:val="none"/>
                      <w:lang w:val="en-US" w:eastAsia="zh-CN"/>
                    </w:rPr>
                    <w:t>千伏</w:t>
                  </w:r>
                  <w:r>
                    <w:rPr>
                      <w:rFonts w:hint="eastAsia" w:cs="Times New Roman"/>
                      <w:color w:val="auto"/>
                      <w:sz w:val="21"/>
                      <w:szCs w:val="21"/>
                      <w:highlight w:val="none"/>
                      <w:lang w:val="en-US" w:eastAsia="zh-CN"/>
                    </w:rPr>
                    <w:t>线路</w:t>
                  </w:r>
                  <w:r>
                    <w:rPr>
                      <w:rFonts w:hint="default" w:ascii="Times New Roman" w:hAnsi="Times New Roman" w:eastAsia="宋体" w:cs="Times New Roman"/>
                      <w:color w:val="auto"/>
                      <w:sz w:val="21"/>
                      <w:szCs w:val="21"/>
                      <w:highlight w:val="none"/>
                      <w:lang w:val="en-US" w:eastAsia="zh-CN"/>
                    </w:rPr>
                    <w:t>。</w:t>
                  </w:r>
                </w:p>
              </w:tc>
              <w:tc>
                <w:tcPr>
                  <w:tcW w:w="2386" w:type="dxa"/>
                  <w:noWrap w:val="0"/>
                  <w:vAlign w:val="center"/>
                </w:tcPr>
                <w:p w14:paraId="1DFB6CF2">
                  <w:pPr>
                    <w:keepNext w:val="0"/>
                    <w:keepLines w:val="0"/>
                    <w:widowControl/>
                    <w:suppressLineNumbers w:val="0"/>
                    <w:spacing w:line="240" w:lineRule="auto"/>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lang w:val="en-US" w:eastAsia="zh-CN" w:bidi="ar"/>
                    </w:rPr>
                    <w:t>跨越G85银昆高速，跨越110</w:t>
                  </w:r>
                  <w:r>
                    <w:rPr>
                      <w:rFonts w:hint="default" w:ascii="Times New Roman" w:hAnsi="Times New Roman" w:eastAsia="宋体" w:cs="Times New Roman"/>
                      <w:color w:val="auto"/>
                      <w:sz w:val="21"/>
                      <w:szCs w:val="21"/>
                      <w:highlight w:val="none"/>
                      <w:lang w:val="en-US" w:eastAsia="zh-CN"/>
                    </w:rPr>
                    <w:t>千伏</w:t>
                  </w:r>
                  <w:r>
                    <w:rPr>
                      <w:rFonts w:hint="default" w:ascii="Times New Roman" w:hAnsi="Times New Roman" w:eastAsia="宋体" w:cs="Times New Roman"/>
                      <w:color w:val="auto"/>
                      <w:kern w:val="0"/>
                      <w:sz w:val="21"/>
                      <w:szCs w:val="21"/>
                      <w:lang w:val="en-US" w:eastAsia="zh-CN" w:bidi="ar"/>
                    </w:rPr>
                    <w:t>清李Ⅰ线</w:t>
                  </w:r>
                  <w:r>
                    <w:rPr>
                      <w:rFonts w:hint="eastAsia" w:cs="Times New Roman"/>
                      <w:color w:val="auto"/>
                      <w:kern w:val="0"/>
                      <w:sz w:val="21"/>
                      <w:szCs w:val="21"/>
                      <w:lang w:val="en-US" w:eastAsia="zh-CN" w:bidi="ar"/>
                    </w:rPr>
                    <w:t>、</w:t>
                  </w:r>
                  <w:r>
                    <w:rPr>
                      <w:rFonts w:hint="eastAsia" w:cs="Times New Roman"/>
                      <w:color w:val="auto"/>
                      <w:sz w:val="21"/>
                      <w:szCs w:val="21"/>
                      <w:highlight w:val="none"/>
                      <w:lang w:val="en-US" w:eastAsia="zh-CN"/>
                    </w:rPr>
                    <w:t>110千伏至李线</w:t>
                  </w:r>
                  <w:r>
                    <w:rPr>
                      <w:rFonts w:hint="default" w:ascii="Times New Roman" w:hAnsi="Times New Roman" w:eastAsia="宋体" w:cs="Times New Roman"/>
                      <w:color w:val="auto"/>
                      <w:kern w:val="0"/>
                      <w:sz w:val="21"/>
                      <w:szCs w:val="21"/>
                      <w:lang w:val="en-US" w:eastAsia="zh-CN" w:bidi="ar"/>
                    </w:rPr>
                    <w:t>，跨越35</w:t>
                  </w:r>
                  <w:r>
                    <w:rPr>
                      <w:rFonts w:hint="default" w:ascii="Times New Roman" w:hAnsi="Times New Roman" w:eastAsia="宋体" w:cs="Times New Roman"/>
                      <w:color w:val="auto"/>
                      <w:sz w:val="21"/>
                      <w:szCs w:val="21"/>
                      <w:highlight w:val="none"/>
                      <w:lang w:val="en-US" w:eastAsia="zh-CN"/>
                    </w:rPr>
                    <w:t>千伏</w:t>
                  </w:r>
                  <w:r>
                    <w:rPr>
                      <w:rFonts w:hint="default" w:ascii="Times New Roman" w:hAnsi="Times New Roman" w:eastAsia="宋体" w:cs="Times New Roman"/>
                      <w:color w:val="auto"/>
                      <w:kern w:val="0"/>
                      <w:sz w:val="21"/>
                      <w:szCs w:val="21"/>
                      <w:lang w:val="en-US" w:eastAsia="zh-CN" w:bidi="ar"/>
                    </w:rPr>
                    <w:t>官王线，钻越±1100</w:t>
                  </w:r>
                  <w:r>
                    <w:rPr>
                      <w:rFonts w:hint="default" w:ascii="Times New Roman" w:hAnsi="Times New Roman" w:eastAsia="宋体" w:cs="Times New Roman"/>
                      <w:color w:val="auto"/>
                      <w:sz w:val="21"/>
                      <w:szCs w:val="21"/>
                      <w:highlight w:val="none"/>
                      <w:lang w:val="en-US" w:eastAsia="zh-CN"/>
                    </w:rPr>
                    <w:t>千伏吉</w:t>
                  </w:r>
                  <w:r>
                    <w:rPr>
                      <w:rFonts w:hint="default" w:ascii="Times New Roman" w:hAnsi="Times New Roman" w:eastAsia="宋体" w:cs="Times New Roman"/>
                      <w:color w:val="auto"/>
                      <w:kern w:val="0"/>
                      <w:sz w:val="21"/>
                      <w:szCs w:val="21"/>
                      <w:lang w:val="en-US" w:eastAsia="zh-CN" w:bidi="ar"/>
                    </w:rPr>
                    <w:t>泉线</w:t>
                  </w:r>
                  <w:r>
                    <w:rPr>
                      <w:rFonts w:hint="eastAsia" w:cs="Times New Roman"/>
                      <w:color w:val="auto"/>
                      <w:kern w:val="0"/>
                      <w:sz w:val="21"/>
                      <w:szCs w:val="21"/>
                      <w:lang w:val="en-US" w:eastAsia="zh-CN" w:bidi="ar"/>
                    </w:rPr>
                    <w:t>，</w:t>
                  </w:r>
                  <w:r>
                    <w:rPr>
                      <w:rFonts w:hint="eastAsia" w:cs="Times New Roman"/>
                      <w:color w:val="auto"/>
                      <w:sz w:val="21"/>
                      <w:szCs w:val="21"/>
                      <w:highlight w:val="none"/>
                      <w:lang w:val="en-US" w:eastAsia="zh-CN"/>
                    </w:rPr>
                    <w:t>钻越750</w:t>
                  </w:r>
                  <w:r>
                    <w:rPr>
                      <w:rFonts w:hint="default" w:ascii="Times New Roman" w:hAnsi="Times New Roman" w:eastAsia="宋体" w:cs="Times New Roman"/>
                      <w:color w:val="auto"/>
                      <w:sz w:val="21"/>
                      <w:szCs w:val="21"/>
                      <w:highlight w:val="none"/>
                      <w:lang w:val="en-US" w:eastAsia="zh-CN"/>
                    </w:rPr>
                    <w:t>千伏</w:t>
                  </w:r>
                  <w:r>
                    <w:rPr>
                      <w:rFonts w:hint="eastAsia" w:cs="Times New Roman"/>
                      <w:color w:val="auto"/>
                      <w:sz w:val="21"/>
                      <w:szCs w:val="21"/>
                      <w:highlight w:val="none"/>
                      <w:lang w:val="en-US" w:eastAsia="zh-CN"/>
                    </w:rPr>
                    <w:t>线路</w:t>
                  </w:r>
                  <w:r>
                    <w:rPr>
                      <w:rFonts w:hint="default" w:ascii="Times New Roman" w:hAnsi="Times New Roman" w:eastAsia="宋体" w:cs="Times New Roman"/>
                      <w:color w:val="auto"/>
                      <w:sz w:val="21"/>
                      <w:szCs w:val="21"/>
                      <w:highlight w:val="none"/>
                      <w:lang w:val="en-US" w:eastAsia="zh-CN"/>
                    </w:rPr>
                    <w:t>。</w:t>
                  </w:r>
                </w:p>
              </w:tc>
              <w:tc>
                <w:tcPr>
                  <w:tcW w:w="2391" w:type="dxa"/>
                  <w:noWrap w:val="0"/>
                  <w:vAlign w:val="center"/>
                </w:tcPr>
                <w:p w14:paraId="22BB78A4">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相同</w:t>
                  </w:r>
                </w:p>
              </w:tc>
            </w:tr>
            <w:tr w14:paraId="17150B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12" w:type="dxa"/>
                  <w:noWrap w:val="0"/>
                  <w:vAlign w:val="center"/>
                </w:tcPr>
                <w:p w14:paraId="59F72E8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占地面积、类型及植被</w:t>
                  </w:r>
                </w:p>
              </w:tc>
              <w:tc>
                <w:tcPr>
                  <w:tcW w:w="2515" w:type="dxa"/>
                  <w:noWrap w:val="0"/>
                  <w:vAlign w:val="center"/>
                </w:tcPr>
                <w:p w14:paraId="6E9E66A7">
                  <w:pPr>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总占地面积为7.5510hm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占地类型主要涉及耕地、林地、草地、园地和交通运输用地等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占用林地（4.6345hm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）面积较多。</w:t>
                  </w:r>
                </w:p>
              </w:tc>
              <w:tc>
                <w:tcPr>
                  <w:tcW w:w="2386" w:type="dxa"/>
                  <w:noWrap w:val="0"/>
                  <w:vAlign w:val="center"/>
                </w:tcPr>
                <w:p w14:paraId="6A5BBE67">
                  <w:pPr>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总占地面积为7.6419hm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占地类型主要涉及耕地、林地、草地、园地和交通运输用地等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占用耕地（5.1201hm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）面积较多。</w:t>
                  </w:r>
                </w:p>
              </w:tc>
              <w:tc>
                <w:tcPr>
                  <w:tcW w:w="2391" w:type="dxa"/>
                  <w:noWrap w:val="0"/>
                  <w:vAlign w:val="center"/>
                </w:tcPr>
                <w:p w14:paraId="06AEF6C6">
                  <w:pPr>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方案二占地面积</w:t>
                  </w:r>
                  <w:r>
                    <w:rPr>
                      <w:rFonts w:hint="default" w:ascii="Times New Roman" w:hAnsi="Times New Roman" w:eastAsia="宋体" w:cs="Times New Roman"/>
                      <w:color w:val="auto"/>
                      <w:sz w:val="21"/>
                      <w:szCs w:val="21"/>
                      <w:highlight w:val="none"/>
                    </w:rPr>
                    <w:t>较方案一</w:t>
                  </w:r>
                  <w:r>
                    <w:rPr>
                      <w:rFonts w:hint="default" w:ascii="Times New Roman" w:hAnsi="Times New Roman" w:eastAsia="宋体" w:cs="Times New Roman"/>
                      <w:color w:val="auto"/>
                      <w:sz w:val="21"/>
                      <w:szCs w:val="21"/>
                      <w:highlight w:val="none"/>
                      <w:lang w:val="en-US" w:eastAsia="zh-CN"/>
                    </w:rPr>
                    <w:t>大，占用耕地面积较方案一多，方案一较优。</w:t>
                  </w:r>
                </w:p>
              </w:tc>
            </w:tr>
            <w:tr w14:paraId="36A45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6" w:hRule="atLeast"/>
                <w:jc w:val="center"/>
              </w:trPr>
              <w:tc>
                <w:tcPr>
                  <w:tcW w:w="1212" w:type="dxa"/>
                  <w:noWrap w:val="0"/>
                  <w:vAlign w:val="center"/>
                </w:tcPr>
                <w:p w14:paraId="01201D2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环境敏感</w:t>
                  </w:r>
                  <w:r>
                    <w:rPr>
                      <w:rFonts w:hint="default" w:ascii="Times New Roman" w:hAnsi="Times New Roman" w:eastAsia="宋体" w:cs="Times New Roman"/>
                      <w:color w:val="auto"/>
                      <w:sz w:val="21"/>
                      <w:szCs w:val="21"/>
                      <w:highlight w:val="none"/>
                      <w:lang w:val="en-US" w:eastAsia="zh-CN"/>
                    </w:rPr>
                    <w:t>目标</w:t>
                  </w:r>
                </w:p>
              </w:tc>
              <w:tc>
                <w:tcPr>
                  <w:tcW w:w="2515" w:type="dxa"/>
                  <w:noWrap w:val="0"/>
                  <w:vAlign w:val="center"/>
                </w:tcPr>
                <w:p w14:paraId="031E492C">
                  <w:pPr>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涉及电磁环境保护目标4处</w:t>
                  </w:r>
                </w:p>
              </w:tc>
              <w:tc>
                <w:tcPr>
                  <w:tcW w:w="2386" w:type="dxa"/>
                  <w:noWrap w:val="0"/>
                  <w:vAlign w:val="center"/>
                </w:tcPr>
                <w:p w14:paraId="27B5B91B">
                  <w:pPr>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涉及电磁环境保护目标5处。</w:t>
                  </w:r>
                </w:p>
              </w:tc>
              <w:tc>
                <w:tcPr>
                  <w:tcW w:w="2391" w:type="dxa"/>
                  <w:noWrap w:val="0"/>
                  <w:vAlign w:val="center"/>
                </w:tcPr>
                <w:p w14:paraId="261669B2">
                  <w:pPr>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方案</w:t>
                  </w:r>
                  <w:r>
                    <w:rPr>
                      <w:rFonts w:hint="default" w:ascii="Times New Roman" w:hAnsi="Times New Roman" w:eastAsia="宋体" w:cs="Times New Roman"/>
                      <w:color w:val="auto"/>
                      <w:sz w:val="21"/>
                      <w:szCs w:val="21"/>
                      <w:highlight w:val="none"/>
                      <w:lang w:val="en-US" w:eastAsia="zh-CN"/>
                    </w:rPr>
                    <w:t>一</w:t>
                  </w:r>
                  <w:r>
                    <w:rPr>
                      <w:rFonts w:hint="default" w:ascii="Times New Roman" w:hAnsi="Times New Roman" w:eastAsia="宋体" w:cs="Times New Roman"/>
                      <w:color w:val="auto"/>
                      <w:kern w:val="2"/>
                      <w:sz w:val="21"/>
                      <w:szCs w:val="21"/>
                      <w:highlight w:val="none"/>
                      <w:lang w:val="en-US" w:eastAsia="zh-CN" w:bidi="ar-SA"/>
                    </w:rPr>
                    <w:t>涉及电磁环境保护目标较方案二少，</w:t>
                  </w:r>
                  <w:r>
                    <w:rPr>
                      <w:rFonts w:hint="default" w:ascii="Times New Roman" w:hAnsi="Times New Roman" w:eastAsia="宋体" w:cs="Times New Roman"/>
                      <w:color w:val="auto"/>
                      <w:sz w:val="21"/>
                      <w:szCs w:val="21"/>
                      <w:highlight w:val="none"/>
                    </w:rPr>
                    <w:t>方案</w:t>
                  </w:r>
                  <w:r>
                    <w:rPr>
                      <w:rFonts w:hint="default" w:ascii="Times New Roman" w:hAnsi="Times New Roman" w:eastAsia="宋体"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较优</w:t>
                  </w:r>
                  <w:r>
                    <w:rPr>
                      <w:rFonts w:hint="default" w:ascii="Times New Roman" w:hAnsi="Times New Roman" w:eastAsia="宋体" w:cs="Times New Roman"/>
                      <w:color w:val="auto"/>
                      <w:sz w:val="21"/>
                      <w:szCs w:val="21"/>
                      <w:highlight w:val="none"/>
                      <w:lang w:eastAsia="zh-CN"/>
                    </w:rPr>
                    <w:t>。</w:t>
                  </w:r>
                </w:p>
              </w:tc>
            </w:tr>
            <w:tr w14:paraId="03807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12" w:type="dxa"/>
                  <w:noWrap w:val="0"/>
                  <w:vAlign w:val="center"/>
                </w:tcPr>
                <w:p w14:paraId="2266F72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制约因素</w:t>
                  </w:r>
                </w:p>
              </w:tc>
              <w:tc>
                <w:tcPr>
                  <w:tcW w:w="2515" w:type="dxa"/>
                  <w:noWrap w:val="0"/>
                  <w:vAlign w:val="center"/>
                </w:tcPr>
                <w:p w14:paraId="1C2ED26E">
                  <w:pPr>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线路涉及</w:t>
                  </w:r>
                  <w:r>
                    <w:rPr>
                      <w:rFonts w:hint="default" w:ascii="Times New Roman" w:hAnsi="Times New Roman" w:cs="Times New Roman"/>
                      <w:bCs/>
                      <w:color w:val="auto"/>
                      <w:sz w:val="21"/>
                      <w:szCs w:val="21"/>
                      <w:highlight w:val="none"/>
                      <w:lang w:val="en-US" w:eastAsia="zh-CN"/>
                    </w:rPr>
                    <w:t>东南黄土高原丘陵水土保持生态保护红线</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穿越生态保护红线</w:t>
                  </w:r>
                  <w:r>
                    <w:rPr>
                      <w:rFonts w:hint="eastAsia" w:cs="Times New Roman"/>
                      <w:bCs/>
                      <w:color w:val="auto"/>
                      <w:sz w:val="21"/>
                      <w:szCs w:val="21"/>
                      <w:highlight w:val="none"/>
                      <w:lang w:val="en-US" w:eastAsia="zh-CN"/>
                    </w:rPr>
                    <w:t>10.514</w:t>
                  </w:r>
                  <w:r>
                    <w:rPr>
                      <w:rFonts w:hint="default" w:ascii="Times New Roman" w:hAnsi="Times New Roman" w:cs="Times New Roman"/>
                      <w:bCs/>
                      <w:color w:val="auto"/>
                      <w:sz w:val="21"/>
                      <w:szCs w:val="21"/>
                      <w:highlight w:val="none"/>
                      <w:lang w:val="en-US" w:eastAsia="zh-CN"/>
                    </w:rPr>
                    <w:t>km，红线内立塔3</w:t>
                  </w:r>
                  <w:r>
                    <w:rPr>
                      <w:rFonts w:hint="eastAsia"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lang w:val="en-US" w:eastAsia="zh-CN"/>
                    </w:rPr>
                    <w:t>基，在红线内总占地面积3.1696hm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涉及占用基本农田</w:t>
                  </w:r>
                  <w:r>
                    <w:rPr>
                      <w:rFonts w:hint="default" w:ascii="Times New Roman" w:hAnsi="Times New Roman" w:cs="Times New Roman"/>
                      <w:bCs/>
                      <w:color w:val="auto"/>
                      <w:sz w:val="21"/>
                      <w:szCs w:val="21"/>
                      <w:highlight w:val="none"/>
                      <w:lang w:val="en-US" w:eastAsia="zh-CN"/>
                    </w:rPr>
                    <w:t>2.0622hm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val="en-US" w:eastAsia="zh-CN" w:bidi="ar"/>
                    </w:rPr>
                    <w:t>，青苗赔偿费用高</w:t>
                  </w:r>
                  <w:r>
                    <w:rPr>
                      <w:rFonts w:hint="default" w:ascii="Times New Roman" w:hAnsi="Times New Roman" w:eastAsia="宋体" w:cs="Times New Roman"/>
                      <w:color w:val="auto"/>
                      <w:sz w:val="21"/>
                      <w:szCs w:val="21"/>
                      <w:highlight w:val="none"/>
                      <w:lang w:val="en-US" w:eastAsia="zh-CN"/>
                    </w:rPr>
                    <w:t>。</w:t>
                  </w:r>
                </w:p>
              </w:tc>
              <w:tc>
                <w:tcPr>
                  <w:tcW w:w="2386" w:type="dxa"/>
                  <w:noWrap w:val="0"/>
                  <w:vAlign w:val="center"/>
                </w:tcPr>
                <w:p w14:paraId="1DCA3FEE">
                  <w:pPr>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线路涉及</w:t>
                  </w:r>
                  <w:r>
                    <w:rPr>
                      <w:rFonts w:hint="default" w:ascii="Times New Roman" w:hAnsi="Times New Roman" w:cs="Times New Roman"/>
                      <w:bCs/>
                      <w:color w:val="auto"/>
                      <w:sz w:val="21"/>
                      <w:szCs w:val="21"/>
                      <w:highlight w:val="none"/>
                      <w:lang w:val="en-US" w:eastAsia="zh-CN"/>
                    </w:rPr>
                    <w:t>东南黄土高原丘陵水土保持生态保护红线</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穿越生态保护红线10.14km，红线内立塔36基，在红线内总占地面积3.2481hm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涉及占用基本农田</w:t>
                  </w:r>
                  <w:r>
                    <w:rPr>
                      <w:rFonts w:hint="default" w:ascii="Times New Roman" w:hAnsi="Times New Roman" w:cs="Times New Roman"/>
                      <w:bCs/>
                      <w:color w:val="auto"/>
                      <w:sz w:val="21"/>
                      <w:szCs w:val="21"/>
                      <w:highlight w:val="none"/>
                      <w:lang w:val="en-US" w:eastAsia="zh-CN"/>
                    </w:rPr>
                    <w:t>2.1235hm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val="en-US" w:eastAsia="zh-CN" w:bidi="ar"/>
                    </w:rPr>
                    <w:t>，青苗赔偿费用高</w:t>
                  </w:r>
                  <w:r>
                    <w:rPr>
                      <w:rFonts w:hint="default" w:ascii="Times New Roman" w:hAnsi="Times New Roman" w:eastAsia="宋体" w:cs="Times New Roman"/>
                      <w:color w:val="auto"/>
                      <w:sz w:val="21"/>
                      <w:szCs w:val="21"/>
                      <w:highlight w:val="none"/>
                      <w:lang w:val="en-US" w:eastAsia="zh-CN"/>
                    </w:rPr>
                    <w:t>。</w:t>
                  </w:r>
                </w:p>
              </w:tc>
              <w:tc>
                <w:tcPr>
                  <w:tcW w:w="2391" w:type="dxa"/>
                  <w:noWrap w:val="0"/>
                  <w:vAlign w:val="center"/>
                </w:tcPr>
                <w:p w14:paraId="6C2ADA2F">
                  <w:pPr>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方案</w:t>
                  </w:r>
                  <w:r>
                    <w:rPr>
                      <w:rFonts w:hint="default" w:ascii="Times New Roman" w:hAnsi="Times New Roman" w:eastAsia="宋体"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lang w:val="en-US" w:eastAsia="zh-CN"/>
                    </w:rPr>
                    <w:t>线路</w:t>
                  </w:r>
                  <w:r>
                    <w:rPr>
                      <w:rFonts w:hint="default" w:ascii="Times New Roman" w:hAnsi="Times New Roman" w:cs="Times New Roman"/>
                      <w:bCs/>
                      <w:color w:val="auto"/>
                      <w:sz w:val="21"/>
                      <w:szCs w:val="21"/>
                      <w:highlight w:val="none"/>
                      <w:lang w:val="en-US" w:eastAsia="zh-CN"/>
                    </w:rPr>
                    <w:t>穿越生态保护红线的长度、立塔数量、占地面积较方案一大；</w:t>
                  </w:r>
                  <w:r>
                    <w:rPr>
                      <w:rFonts w:hint="default" w:ascii="Times New Roman" w:hAnsi="Times New Roman" w:eastAsia="宋体" w:cs="Times New Roman"/>
                      <w:color w:val="auto"/>
                      <w:sz w:val="21"/>
                      <w:szCs w:val="21"/>
                      <w:highlight w:val="none"/>
                    </w:rPr>
                    <w:t>方案</w:t>
                  </w:r>
                  <w:r>
                    <w:rPr>
                      <w:rFonts w:hint="default" w:ascii="Times New Roman" w:hAnsi="Times New Roman" w:eastAsia="宋体"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lang w:val="en-US" w:eastAsia="zh-CN"/>
                    </w:rPr>
                    <w:t>线路占用基本农田面积</w:t>
                  </w:r>
                  <w:r>
                    <w:rPr>
                      <w:rFonts w:hint="default" w:ascii="Times New Roman" w:hAnsi="Times New Roman" w:cs="Times New Roman"/>
                      <w:bCs/>
                      <w:color w:val="auto"/>
                      <w:sz w:val="21"/>
                      <w:szCs w:val="21"/>
                      <w:highlight w:val="none"/>
                      <w:lang w:val="en-US" w:eastAsia="zh-CN"/>
                    </w:rPr>
                    <w:t>较方案一多，</w:t>
                  </w:r>
                  <w:r>
                    <w:rPr>
                      <w:rFonts w:hint="default" w:ascii="Times New Roman" w:hAnsi="Times New Roman" w:eastAsia="宋体" w:cs="Times New Roman"/>
                      <w:color w:val="auto"/>
                      <w:kern w:val="0"/>
                      <w:sz w:val="21"/>
                      <w:szCs w:val="21"/>
                      <w:highlight w:val="none"/>
                      <w:lang w:val="en-US" w:eastAsia="zh-CN" w:bidi="ar"/>
                    </w:rPr>
                    <w:t>青苗赔偿费用较</w:t>
                  </w:r>
                  <w:r>
                    <w:rPr>
                      <w:rFonts w:hint="default" w:ascii="Times New Roman" w:hAnsi="Times New Roman" w:cs="Times New Roman"/>
                      <w:bCs/>
                      <w:color w:val="auto"/>
                      <w:sz w:val="21"/>
                      <w:szCs w:val="21"/>
                      <w:highlight w:val="none"/>
                      <w:lang w:val="en-US" w:eastAsia="zh-CN"/>
                    </w:rPr>
                    <w:t>方案一多，</w:t>
                  </w:r>
                  <w:r>
                    <w:rPr>
                      <w:rFonts w:hint="default" w:ascii="Times New Roman" w:hAnsi="Times New Roman" w:eastAsia="宋体" w:cs="Times New Roman"/>
                      <w:color w:val="auto"/>
                      <w:sz w:val="21"/>
                      <w:szCs w:val="21"/>
                      <w:highlight w:val="none"/>
                      <w:lang w:val="en-US" w:eastAsia="zh-CN"/>
                    </w:rPr>
                    <w:t>方案一较优。</w:t>
                  </w:r>
                </w:p>
              </w:tc>
            </w:tr>
            <w:tr w14:paraId="3728B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1212" w:type="dxa"/>
                  <w:noWrap w:val="0"/>
                  <w:vAlign w:val="center"/>
                </w:tcPr>
                <w:p w14:paraId="081A784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交通条件</w:t>
                  </w:r>
                </w:p>
              </w:tc>
              <w:tc>
                <w:tcPr>
                  <w:tcW w:w="2515" w:type="dxa"/>
                  <w:noWrap w:val="0"/>
                  <w:vAlign w:val="center"/>
                </w:tcPr>
                <w:p w14:paraId="116B9553">
                  <w:pPr>
                    <w:autoSpaceDE w:val="0"/>
                    <w:autoSpaceDN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需要新建临时施工道路</w:t>
                  </w:r>
                  <w:r>
                    <w:rPr>
                      <w:rFonts w:hint="default" w:ascii="Times New Roman" w:hAnsi="Times New Roman" w:cs="Times New Roman"/>
                      <w:color w:val="auto"/>
                      <w:sz w:val="21"/>
                      <w:szCs w:val="21"/>
                      <w:highlight w:val="none"/>
                      <w:lang w:val="en-US" w:eastAsia="zh-CN"/>
                    </w:rPr>
                    <w:t>长22.02km，占地类型涉及</w:t>
                  </w:r>
                  <w:r>
                    <w:rPr>
                      <w:rFonts w:hint="default" w:ascii="Times New Roman" w:hAnsi="Times New Roman" w:eastAsia="宋体" w:cs="Times New Roman"/>
                      <w:color w:val="auto"/>
                      <w:sz w:val="21"/>
                      <w:szCs w:val="21"/>
                      <w:highlight w:val="none"/>
                      <w:lang w:val="en-US" w:eastAsia="zh-CN"/>
                    </w:rPr>
                    <w:t>耕地、林地、草地、园地和交通运输用地等，占用林地（2.5254hm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）面积较多。</w:t>
                  </w:r>
                </w:p>
              </w:tc>
              <w:tc>
                <w:tcPr>
                  <w:tcW w:w="2386" w:type="dxa"/>
                  <w:noWrap w:val="0"/>
                  <w:vAlign w:val="center"/>
                </w:tcPr>
                <w:p w14:paraId="057466CF">
                  <w:pPr>
                    <w:autoSpaceDE w:val="0"/>
                    <w:autoSpaceDN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需要新建临时施工道路</w:t>
                  </w:r>
                  <w:r>
                    <w:rPr>
                      <w:rFonts w:hint="default" w:ascii="Times New Roman" w:hAnsi="Times New Roman" w:cs="Times New Roman"/>
                      <w:color w:val="auto"/>
                      <w:sz w:val="21"/>
                      <w:szCs w:val="21"/>
                      <w:highlight w:val="none"/>
                      <w:lang w:val="en-US" w:eastAsia="zh-CN"/>
                    </w:rPr>
                    <w:t>长24.59km，占地类型涉及</w:t>
                  </w:r>
                  <w:r>
                    <w:rPr>
                      <w:rFonts w:hint="default" w:ascii="Times New Roman" w:hAnsi="Times New Roman" w:eastAsia="宋体" w:cs="Times New Roman"/>
                      <w:color w:val="auto"/>
                      <w:sz w:val="21"/>
                      <w:szCs w:val="21"/>
                      <w:highlight w:val="none"/>
                      <w:lang w:val="en-US" w:eastAsia="zh-CN"/>
                    </w:rPr>
                    <w:t>耕地、林地、草地、园地和交通运输用地等，占用林地（2.8130hm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）面积较多。</w:t>
                  </w:r>
                </w:p>
              </w:tc>
              <w:tc>
                <w:tcPr>
                  <w:tcW w:w="2391" w:type="dxa"/>
                  <w:noWrap w:val="0"/>
                  <w:vAlign w:val="center"/>
                </w:tcPr>
                <w:p w14:paraId="18FA6CB9">
                  <w:pPr>
                    <w:autoSpaceDE w:val="0"/>
                    <w:autoSpaceDN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方案</w:t>
                  </w:r>
                  <w:r>
                    <w:rPr>
                      <w:rFonts w:hint="default" w:ascii="Times New Roman" w:hAnsi="Times New Roman" w:eastAsia="宋体" w:cs="Times New Roman"/>
                      <w:color w:val="auto"/>
                      <w:sz w:val="21"/>
                      <w:szCs w:val="21"/>
                      <w:highlight w:val="none"/>
                      <w:lang w:val="en-US" w:eastAsia="zh-CN"/>
                    </w:rPr>
                    <w:t>二新建施工进场道路较</w:t>
                  </w:r>
                  <w:r>
                    <w:rPr>
                      <w:rFonts w:hint="default" w:ascii="Times New Roman" w:hAnsi="Times New Roman" w:eastAsia="宋体" w:cs="Times New Roman"/>
                      <w:color w:val="auto"/>
                      <w:kern w:val="2"/>
                      <w:sz w:val="21"/>
                      <w:szCs w:val="21"/>
                      <w:highlight w:val="none"/>
                      <w:lang w:val="en-US" w:eastAsia="zh-CN" w:bidi="ar-SA"/>
                    </w:rPr>
                    <w:t>方案一多，临时占地较多</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rPr>
                    <w:t>方案</w:t>
                  </w:r>
                  <w:r>
                    <w:rPr>
                      <w:rFonts w:hint="default" w:ascii="Times New Roman" w:hAnsi="Times New Roman" w:eastAsia="宋体"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较优</w:t>
                  </w:r>
                  <w:r>
                    <w:rPr>
                      <w:rFonts w:hint="default" w:ascii="Times New Roman" w:hAnsi="Times New Roman" w:eastAsia="宋体" w:cs="Times New Roman"/>
                      <w:color w:val="auto"/>
                      <w:sz w:val="21"/>
                      <w:szCs w:val="21"/>
                      <w:highlight w:val="none"/>
                      <w:lang w:eastAsia="zh-CN"/>
                    </w:rPr>
                    <w:t>。</w:t>
                  </w:r>
                </w:p>
              </w:tc>
            </w:tr>
            <w:tr w14:paraId="0260A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12" w:type="dxa"/>
                  <w:noWrap w:val="0"/>
                  <w:vAlign w:val="center"/>
                </w:tcPr>
                <w:p w14:paraId="7F6121D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沿线地形</w:t>
                  </w:r>
                </w:p>
              </w:tc>
              <w:tc>
                <w:tcPr>
                  <w:tcW w:w="2515" w:type="dxa"/>
                  <w:noWrap w:val="0"/>
                  <w:vAlign w:val="center"/>
                </w:tcPr>
                <w:p w14:paraId="6567BD3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山地</w:t>
                  </w:r>
                </w:p>
              </w:tc>
              <w:tc>
                <w:tcPr>
                  <w:tcW w:w="2386" w:type="dxa"/>
                  <w:noWrap w:val="0"/>
                  <w:vAlign w:val="center"/>
                </w:tcPr>
                <w:p w14:paraId="56F1AAA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山地</w:t>
                  </w:r>
                </w:p>
              </w:tc>
              <w:tc>
                <w:tcPr>
                  <w:tcW w:w="2391" w:type="dxa"/>
                  <w:noWrap w:val="0"/>
                  <w:vAlign w:val="center"/>
                </w:tcPr>
                <w:p w14:paraId="7E3D898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相同</w:t>
                  </w:r>
                </w:p>
              </w:tc>
            </w:tr>
            <w:tr w14:paraId="58FDF5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12" w:type="dxa"/>
                  <w:noWrap w:val="0"/>
                  <w:vAlign w:val="center"/>
                </w:tcPr>
                <w:p w14:paraId="58B9F251">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走廊情况</w:t>
                  </w:r>
                </w:p>
              </w:tc>
              <w:tc>
                <w:tcPr>
                  <w:tcW w:w="2515" w:type="dxa"/>
                  <w:noWrap w:val="0"/>
                  <w:vAlign w:val="center"/>
                </w:tcPr>
                <w:p w14:paraId="08AA4A9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沿规划的云雾山变-王洼变规划线路内侧建设，减少新开辟走廊。</w:t>
                  </w:r>
                </w:p>
              </w:tc>
              <w:tc>
                <w:tcPr>
                  <w:tcW w:w="2386" w:type="dxa"/>
                  <w:noWrap w:val="0"/>
                  <w:vAlign w:val="center"/>
                </w:tcPr>
                <w:p w14:paraId="26220DE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沿规划的云雾山变-王洼变规划线路内侧建设，减少新开辟走廊。</w:t>
                  </w:r>
                </w:p>
              </w:tc>
              <w:tc>
                <w:tcPr>
                  <w:tcW w:w="2391" w:type="dxa"/>
                  <w:noWrap w:val="0"/>
                  <w:vAlign w:val="center"/>
                </w:tcPr>
                <w:p w14:paraId="5BB3874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相同</w:t>
                  </w:r>
                </w:p>
              </w:tc>
            </w:tr>
            <w:tr w14:paraId="559D1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212" w:type="dxa"/>
                  <w:noWrap w:val="0"/>
                  <w:vAlign w:val="center"/>
                </w:tcPr>
                <w:p w14:paraId="574C94D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投资情况</w:t>
                  </w:r>
                </w:p>
              </w:tc>
              <w:tc>
                <w:tcPr>
                  <w:tcW w:w="2515" w:type="dxa"/>
                  <w:noWrap w:val="0"/>
                  <w:vAlign w:val="center"/>
                </w:tcPr>
                <w:p w14:paraId="6F2B59AA">
                  <w:pPr>
                    <w:autoSpaceDE w:val="0"/>
                    <w:autoSpaceDN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3453</w:t>
                  </w:r>
                  <w:r>
                    <w:rPr>
                      <w:rFonts w:hint="default" w:ascii="Times New Roman" w:hAnsi="Times New Roman" w:eastAsia="宋体" w:cs="Times New Roman"/>
                      <w:color w:val="auto"/>
                      <w:sz w:val="21"/>
                      <w:szCs w:val="21"/>
                      <w:highlight w:val="none"/>
                    </w:rPr>
                    <w:t>万元</w:t>
                  </w:r>
                </w:p>
              </w:tc>
              <w:tc>
                <w:tcPr>
                  <w:tcW w:w="2386" w:type="dxa"/>
                  <w:noWrap w:val="0"/>
                  <w:vAlign w:val="center"/>
                </w:tcPr>
                <w:p w14:paraId="06FFB2F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3882</w:t>
                  </w:r>
                  <w:r>
                    <w:rPr>
                      <w:rFonts w:hint="default" w:ascii="Times New Roman" w:hAnsi="Times New Roman" w:eastAsia="宋体" w:cs="Times New Roman"/>
                      <w:color w:val="auto"/>
                      <w:sz w:val="21"/>
                      <w:szCs w:val="21"/>
                      <w:highlight w:val="none"/>
                    </w:rPr>
                    <w:t>万元</w:t>
                  </w:r>
                </w:p>
              </w:tc>
              <w:tc>
                <w:tcPr>
                  <w:tcW w:w="2391" w:type="dxa"/>
                  <w:noWrap w:val="0"/>
                  <w:vAlign w:val="center"/>
                </w:tcPr>
                <w:p w14:paraId="52B6048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方案</w:t>
                  </w:r>
                  <w:r>
                    <w:rPr>
                      <w:rFonts w:hint="default" w:ascii="Times New Roman" w:hAnsi="Times New Roman" w:eastAsia="宋体"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较优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投资</w:t>
                  </w:r>
                  <w:r>
                    <w:rPr>
                      <w:rFonts w:hint="default" w:ascii="Times New Roman" w:hAnsi="Times New Roman" w:eastAsia="宋体" w:cs="Times New Roman"/>
                      <w:color w:val="auto"/>
                      <w:sz w:val="21"/>
                      <w:szCs w:val="21"/>
                      <w:highlight w:val="none"/>
                    </w:rPr>
                    <w:t>较</w:t>
                  </w:r>
                  <w:r>
                    <w:rPr>
                      <w:rFonts w:hint="default" w:ascii="Times New Roman" w:hAnsi="Times New Roman" w:eastAsia="宋体" w:cs="Times New Roman"/>
                      <w:color w:val="auto"/>
                      <w:sz w:val="21"/>
                      <w:szCs w:val="21"/>
                      <w:highlight w:val="none"/>
                      <w:lang w:val="en-US" w:eastAsia="zh-CN"/>
                    </w:rPr>
                    <w:t>方案二少。</w:t>
                  </w:r>
                </w:p>
              </w:tc>
            </w:tr>
          </w:tbl>
          <w:p w14:paraId="08E803BF">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根据上述比较</w:t>
            </w:r>
            <w:r>
              <w:rPr>
                <w:rFonts w:hint="default" w:ascii="Times New Roman" w:hAnsi="Times New Roman" w:cs="Times New Roman"/>
                <w:color w:val="auto"/>
                <w:sz w:val="24"/>
                <w:highlight w:val="none"/>
                <w:lang w:val="en-US" w:eastAsia="zh-CN"/>
              </w:rPr>
              <w:t>可知</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方案一沿线地形、走廊情况</w:t>
            </w:r>
            <w:r>
              <w:rPr>
                <w:rFonts w:hint="eastAsia" w:cs="Times New Roman"/>
                <w:color w:val="auto"/>
                <w:sz w:val="24"/>
                <w:highlight w:val="none"/>
                <w:lang w:val="en-US" w:eastAsia="zh-CN"/>
              </w:rPr>
              <w:t>、交叉跨越情况与</w:t>
            </w:r>
            <w:r>
              <w:rPr>
                <w:rFonts w:hint="default" w:ascii="Times New Roman" w:hAnsi="Times New Roman" w:cs="Times New Roman"/>
                <w:color w:val="auto"/>
                <w:sz w:val="24"/>
                <w:highlight w:val="none"/>
                <w:lang w:val="en-US" w:eastAsia="zh-CN"/>
              </w:rPr>
              <w:t>方案二相同。方案一较方案二相比，线路长度较短，杆塔数量较少</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永久占地面积</w:t>
            </w:r>
            <w:r>
              <w:rPr>
                <w:rFonts w:hint="eastAsia" w:cs="Times New Roman"/>
                <w:color w:val="auto"/>
                <w:sz w:val="24"/>
                <w:highlight w:val="none"/>
                <w:lang w:val="en-US" w:eastAsia="zh-CN"/>
              </w:rPr>
              <w:t>和</w:t>
            </w:r>
            <w:r>
              <w:rPr>
                <w:rFonts w:hint="default" w:ascii="Times New Roman" w:hAnsi="Times New Roman" w:cs="Times New Roman"/>
                <w:color w:val="auto"/>
                <w:sz w:val="24"/>
                <w:highlight w:val="none"/>
                <w:lang w:val="en-US" w:eastAsia="zh-CN"/>
              </w:rPr>
              <w:t>总占地面积较方案二小，且方案一占用耕地的面积较方案二小；方案一涉及的环境敏感目标较方案二少，穿越生态保护红线的长度、立塔数量、占地面积较方案二小；方案二线路占用基本农田面积较方案一多，青苗赔偿费用较方案一多，方案一较优。同时，方案一新建施工进场道路较短，临时占地较少，对生态环境的影响较小，总投资较方案二低。因此，</w:t>
            </w:r>
            <w:r>
              <w:rPr>
                <w:rFonts w:hint="default" w:ascii="Times New Roman" w:hAnsi="Times New Roman" w:cs="Times New Roman"/>
                <w:b w:val="0"/>
                <w:bCs/>
                <w:color w:val="auto"/>
                <w:sz w:val="24"/>
                <w:highlight w:val="none"/>
                <w:lang w:val="en-US" w:eastAsia="zh-CN"/>
              </w:rPr>
              <w:t>方案一优于方案二，且方案一经过了线路沿线</w:t>
            </w:r>
            <w:r>
              <w:rPr>
                <w:rFonts w:hint="default" w:ascii="Times New Roman" w:hAnsi="Times New Roman" w:cs="Times New Roman"/>
                <w:color w:val="auto"/>
                <w:sz w:val="24"/>
                <w:highlight w:val="none"/>
                <w:lang w:val="en-US" w:eastAsia="zh-CN"/>
              </w:rPr>
              <w:t>政府管理部门的同意意见</w:t>
            </w:r>
            <w:r>
              <w:rPr>
                <w:rFonts w:hint="default" w:ascii="Times New Roman" w:hAnsi="Times New Roman" w:cs="Times New Roman"/>
                <w:b w:val="0"/>
                <w:bCs/>
                <w:color w:val="auto"/>
                <w:sz w:val="24"/>
                <w:highlight w:val="none"/>
                <w:lang w:val="en-US" w:eastAsia="zh-CN"/>
              </w:rPr>
              <w:t>。</w:t>
            </w:r>
            <w:r>
              <w:rPr>
                <w:rFonts w:hint="default" w:ascii="Times New Roman" w:hAnsi="Times New Roman" w:cs="Times New Roman"/>
                <w:color w:val="auto"/>
                <w:sz w:val="24"/>
                <w:highlight w:val="none"/>
                <w:lang w:val="en-US" w:eastAsia="zh-CN"/>
              </w:rPr>
              <w:t>综上，</w:t>
            </w:r>
            <w:r>
              <w:rPr>
                <w:rFonts w:hint="default" w:ascii="Times New Roman" w:hAnsi="Times New Roman" w:cs="Times New Roman"/>
                <w:color w:val="auto"/>
                <w:sz w:val="24"/>
                <w:highlight w:val="none"/>
              </w:rPr>
              <w:t>结合项目线路走向</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占地面积、政府管理部门意见</w:t>
            </w:r>
            <w:r>
              <w:rPr>
                <w:rFonts w:hint="default" w:ascii="Times New Roman" w:hAnsi="Times New Roman" w:cs="Times New Roman"/>
                <w:color w:val="auto"/>
                <w:sz w:val="24"/>
                <w:highlight w:val="none"/>
              </w:rPr>
              <w:t>，确定本项目路径采用方案</w:t>
            </w:r>
            <w:r>
              <w:rPr>
                <w:rFonts w:hint="default" w:ascii="Times New Roman" w:hAnsi="Times New Roman" w:cs="Times New Roman"/>
                <w:color w:val="auto"/>
                <w:sz w:val="24"/>
                <w:highlight w:val="none"/>
                <w:lang w:val="en-US" w:eastAsia="zh-CN"/>
              </w:rPr>
              <w:t>一</w:t>
            </w:r>
            <w:r>
              <w:rPr>
                <w:rFonts w:hint="default" w:ascii="Times New Roman" w:hAnsi="Times New Roman" w:cs="Times New Roman"/>
                <w:color w:val="auto"/>
                <w:sz w:val="24"/>
                <w:highlight w:val="none"/>
              </w:rPr>
              <w:t>。</w:t>
            </w:r>
          </w:p>
          <w:p w14:paraId="0E91B750">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线路路径</w:t>
            </w:r>
            <w:r>
              <w:rPr>
                <w:rFonts w:hint="default" w:ascii="Times New Roman" w:hAnsi="Times New Roman" w:cs="Times New Roman"/>
                <w:color w:val="auto"/>
                <w:sz w:val="24"/>
                <w:highlight w:val="none"/>
                <w:lang w:eastAsia="zh-CN"/>
              </w:rPr>
              <w:t>协议及函件</w:t>
            </w:r>
            <w:r>
              <w:rPr>
                <w:rFonts w:hint="default" w:ascii="Times New Roman" w:hAnsi="Times New Roman" w:cs="Times New Roman"/>
                <w:color w:val="auto"/>
                <w:sz w:val="24"/>
                <w:highlight w:val="none"/>
              </w:rPr>
              <w:t>汇总见表2-</w:t>
            </w:r>
            <w:r>
              <w:rPr>
                <w:rFonts w:hint="eastAsia" w:cs="Times New Roman"/>
                <w:color w:val="auto"/>
                <w:sz w:val="24"/>
                <w:highlight w:val="none"/>
                <w:lang w:val="en-US" w:eastAsia="zh-CN"/>
              </w:rPr>
              <w:t>9，</w:t>
            </w:r>
            <w:r>
              <w:rPr>
                <w:rFonts w:hint="eastAsia" w:cs="Times New Roman"/>
                <w:b/>
                <w:bCs/>
                <w:color w:val="auto"/>
                <w:sz w:val="24"/>
                <w:highlight w:val="none"/>
                <w:lang w:val="en-US" w:eastAsia="zh-CN"/>
              </w:rPr>
              <w:t>详见</w:t>
            </w:r>
            <w:r>
              <w:rPr>
                <w:rFonts w:hint="default" w:ascii="Times New Roman" w:hAnsi="Times New Roman" w:cs="Times New Roman"/>
                <w:b/>
                <w:bCs/>
                <w:color w:val="auto"/>
                <w:sz w:val="24"/>
                <w:highlight w:val="none"/>
                <w:lang w:val="en-US" w:eastAsia="zh-CN"/>
              </w:rPr>
              <w:t>附件</w:t>
            </w:r>
            <w:r>
              <w:rPr>
                <w:rFonts w:hint="eastAsia" w:cs="Times New Roman"/>
                <w:b/>
                <w:bCs/>
                <w:color w:val="auto"/>
                <w:sz w:val="24"/>
                <w:highlight w:val="none"/>
                <w:lang w:val="en-US" w:eastAsia="zh-CN"/>
              </w:rPr>
              <w:t>6</w:t>
            </w:r>
            <w:r>
              <w:rPr>
                <w:rFonts w:hint="default" w:ascii="Times New Roman" w:hAnsi="Times New Roman" w:cs="Times New Roman"/>
                <w:color w:val="auto"/>
                <w:sz w:val="24"/>
                <w:highlight w:val="none"/>
                <w:lang w:eastAsia="zh-CN"/>
              </w:rPr>
              <w:t>，</w:t>
            </w:r>
            <w:bookmarkStart w:id="82" w:name="OLE_LINK20"/>
            <w:r>
              <w:rPr>
                <w:rFonts w:hint="default" w:ascii="Times New Roman" w:hAnsi="Times New Roman" w:cs="Times New Roman"/>
                <w:color w:val="auto"/>
                <w:sz w:val="24"/>
                <w:highlight w:val="none"/>
                <w:lang w:val="en-US" w:eastAsia="zh-CN"/>
              </w:rPr>
              <w:t>线路路径</w:t>
            </w:r>
            <w:bookmarkStart w:id="83" w:name="OLE_LINK18"/>
            <w:r>
              <w:rPr>
                <w:rFonts w:hint="default" w:ascii="Times New Roman" w:hAnsi="Times New Roman" w:cs="Times New Roman"/>
                <w:color w:val="auto"/>
                <w:sz w:val="24"/>
                <w:highlight w:val="none"/>
                <w:lang w:val="en-US" w:eastAsia="zh-CN"/>
              </w:rPr>
              <w:t>对比</w:t>
            </w:r>
            <w:bookmarkEnd w:id="83"/>
            <w:r>
              <w:rPr>
                <w:rFonts w:hint="eastAsia" w:cs="Times New Roman"/>
                <w:color w:val="auto"/>
                <w:sz w:val="24"/>
                <w:highlight w:val="none"/>
                <w:lang w:val="en-US" w:eastAsia="zh-CN"/>
              </w:rPr>
              <w:t>具体</w:t>
            </w:r>
            <w:r>
              <w:rPr>
                <w:rFonts w:hint="default" w:ascii="Times New Roman" w:hAnsi="Times New Roman" w:cs="Times New Roman"/>
                <w:color w:val="auto"/>
                <w:sz w:val="24"/>
                <w:highlight w:val="none"/>
                <w:lang w:val="en-US" w:eastAsia="zh-CN"/>
              </w:rPr>
              <w:t>见附图</w:t>
            </w:r>
            <w:bookmarkEnd w:id="82"/>
            <w:r>
              <w:rPr>
                <w:rFonts w:hint="default" w:ascii="Times New Roman" w:hAnsi="Times New Roman" w:cs="Times New Roman"/>
                <w:color w:val="auto"/>
                <w:sz w:val="24"/>
                <w:highlight w:val="none"/>
                <w:lang w:val="en-US" w:eastAsia="zh-CN"/>
              </w:rPr>
              <w:t>2-6</w:t>
            </w:r>
            <w:r>
              <w:rPr>
                <w:rFonts w:hint="default" w:ascii="Times New Roman" w:hAnsi="Times New Roman" w:cs="Times New Roman"/>
                <w:color w:val="auto"/>
                <w:sz w:val="24"/>
                <w:highlight w:val="none"/>
              </w:rPr>
              <w:t>。</w:t>
            </w:r>
          </w:p>
          <w:p w14:paraId="31AE3FC8">
            <w:pPr>
              <w:spacing w:line="240" w:lineRule="auto"/>
              <w:jc w:val="center"/>
              <w:rPr>
                <w:rFonts w:hint="default" w:ascii="Times New Roman" w:hAnsi="Times New Roman" w:eastAsia="宋体" w:cs="Times New Roman"/>
                <w:b/>
                <w:color w:val="auto"/>
                <w:kern w:val="0"/>
                <w:sz w:val="24"/>
                <w:szCs w:val="18"/>
                <w:highlight w:val="none"/>
                <w:lang w:val="en-US" w:eastAsia="zh-CN" w:bidi="ar-SA"/>
              </w:rPr>
            </w:pPr>
            <w:r>
              <w:rPr>
                <w:rFonts w:hint="default" w:ascii="Times New Roman" w:hAnsi="Times New Roman" w:eastAsia="宋体" w:cs="Times New Roman"/>
                <w:b/>
                <w:color w:val="auto"/>
                <w:kern w:val="0"/>
                <w:sz w:val="24"/>
                <w:szCs w:val="18"/>
                <w:highlight w:val="none"/>
                <w:lang w:val="en-US" w:eastAsia="zh-CN" w:bidi="ar-SA"/>
              </w:rPr>
              <w:t>表2-</w:t>
            </w:r>
            <w:r>
              <w:rPr>
                <w:rFonts w:hint="eastAsia" w:cs="Times New Roman"/>
                <w:b/>
                <w:color w:val="auto"/>
                <w:kern w:val="0"/>
                <w:sz w:val="24"/>
                <w:szCs w:val="18"/>
                <w:highlight w:val="none"/>
                <w:lang w:val="en-US" w:eastAsia="zh-CN" w:bidi="ar-SA"/>
              </w:rPr>
              <w:t>9</w:t>
            </w:r>
            <w:r>
              <w:rPr>
                <w:rFonts w:hint="default" w:ascii="Times New Roman" w:hAnsi="Times New Roman" w:eastAsia="宋体" w:cs="Times New Roman"/>
                <w:b/>
                <w:color w:val="auto"/>
                <w:kern w:val="0"/>
                <w:sz w:val="24"/>
                <w:szCs w:val="18"/>
                <w:highlight w:val="none"/>
                <w:lang w:val="en-US" w:eastAsia="zh-CN" w:bidi="ar-SA"/>
              </w:rPr>
              <w:t xml:space="preserve">   线路路径协议及函件汇总表</w:t>
            </w:r>
          </w:p>
          <w:tbl>
            <w:tblPr>
              <w:tblStyle w:val="31"/>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645"/>
              <w:gridCol w:w="1566"/>
              <w:gridCol w:w="2923"/>
              <w:gridCol w:w="3370"/>
            </w:tblGrid>
            <w:tr w14:paraId="3157EA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0" w:hRule="atLeast"/>
                <w:jc w:val="center"/>
              </w:trPr>
              <w:tc>
                <w:tcPr>
                  <w:tcW w:w="645" w:type="dxa"/>
                  <w:noWrap w:val="0"/>
                  <w:vAlign w:val="center"/>
                </w:tcPr>
                <w:p w14:paraId="598F28A7">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566" w:type="dxa"/>
                  <w:noWrap w:val="0"/>
                  <w:vAlign w:val="center"/>
                </w:tcPr>
                <w:p w14:paraId="4644ED79">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协议</w:t>
                  </w:r>
                  <w:r>
                    <w:rPr>
                      <w:rFonts w:hint="default" w:ascii="Times New Roman" w:hAnsi="Times New Roman" w:eastAsia="宋体" w:cs="Times New Roman"/>
                      <w:b/>
                      <w:bCs/>
                      <w:color w:val="auto"/>
                      <w:sz w:val="21"/>
                      <w:szCs w:val="21"/>
                      <w:highlight w:val="none"/>
                    </w:rPr>
                    <w:t>单位</w:t>
                  </w:r>
                </w:p>
              </w:tc>
              <w:tc>
                <w:tcPr>
                  <w:tcW w:w="2923" w:type="dxa"/>
                  <w:tcBorders>
                    <w:left w:val="single" w:color="auto" w:sz="4" w:space="0"/>
                  </w:tcBorders>
                  <w:noWrap w:val="0"/>
                  <w:vAlign w:val="center"/>
                </w:tcPr>
                <w:p w14:paraId="4B477765">
                  <w:pPr>
                    <w:adjustRightInd w:val="0"/>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协议内容</w:t>
                  </w:r>
                </w:p>
              </w:tc>
              <w:tc>
                <w:tcPr>
                  <w:tcW w:w="3370" w:type="dxa"/>
                  <w:tcBorders>
                    <w:left w:val="single" w:color="auto" w:sz="4" w:space="0"/>
                  </w:tcBorders>
                  <w:noWrap w:val="0"/>
                  <w:vAlign w:val="center"/>
                </w:tcPr>
                <w:p w14:paraId="3D4F35A9">
                  <w:pPr>
                    <w:adjustRightInd w:val="0"/>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本项目落实情况</w:t>
                  </w:r>
                </w:p>
              </w:tc>
            </w:tr>
            <w:tr w14:paraId="664D66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dxa"/>
                  <w:noWrap w:val="0"/>
                  <w:vAlign w:val="center"/>
                </w:tcPr>
                <w:p w14:paraId="22E58F77">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566" w:type="dxa"/>
                  <w:noWrap w:val="0"/>
                  <w:vAlign w:val="center"/>
                </w:tcPr>
                <w:p w14:paraId="004721CF">
                  <w:pPr>
                    <w:keepNext w:val="0"/>
                    <w:keepLines w:val="0"/>
                    <w:widowControl/>
                    <w:suppressLineNumbers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7"/>
                      <w:sz w:val="21"/>
                      <w:szCs w:val="21"/>
                    </w:rPr>
                    <w:t>固原市原州区自然资源局</w:t>
                  </w:r>
                </w:p>
              </w:tc>
              <w:tc>
                <w:tcPr>
                  <w:tcW w:w="2923" w:type="dxa"/>
                  <w:tcBorders>
                    <w:left w:val="single" w:color="auto" w:sz="4" w:space="0"/>
                  </w:tcBorders>
                  <w:noWrap w:val="0"/>
                  <w:vAlign w:val="center"/>
                </w:tcPr>
                <w:p w14:paraId="0A6820A0">
                  <w:pPr>
                    <w:keepNext w:val="0"/>
                    <w:keepLines w:val="0"/>
                    <w:widowControl/>
                    <w:suppressLineNumbers w:val="0"/>
                    <w:spacing w:line="240" w:lineRule="auto"/>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pacing w:val="9"/>
                      <w:sz w:val="21"/>
                      <w:szCs w:val="21"/>
                    </w:rPr>
                    <w:t>项目可研路径涉及生态保护红线区域，建议</w:t>
                  </w:r>
                  <w:r>
                    <w:rPr>
                      <w:rFonts w:hint="default" w:ascii="Times New Roman" w:hAnsi="Times New Roman" w:eastAsia="宋体" w:cs="Times New Roman"/>
                      <w:color w:val="auto"/>
                      <w:spacing w:val="9"/>
                      <w:sz w:val="21"/>
                      <w:szCs w:val="21"/>
                      <w:lang w:val="en-US" w:eastAsia="zh-CN"/>
                    </w:rPr>
                    <w:t>再</w:t>
                  </w:r>
                  <w:r>
                    <w:rPr>
                      <w:rFonts w:hint="default" w:ascii="Times New Roman" w:hAnsi="Times New Roman" w:eastAsia="宋体" w:cs="Times New Roman"/>
                      <w:color w:val="auto"/>
                      <w:spacing w:val="9"/>
                      <w:sz w:val="21"/>
                      <w:szCs w:val="21"/>
                    </w:rPr>
                    <w:t>优化路径或避让，无法避让的</w:t>
                  </w:r>
                  <w:r>
                    <w:rPr>
                      <w:rFonts w:hint="default" w:ascii="Times New Roman" w:hAnsi="Times New Roman" w:eastAsia="宋体" w:cs="Times New Roman"/>
                      <w:color w:val="auto"/>
                      <w:spacing w:val="9"/>
                      <w:sz w:val="21"/>
                      <w:szCs w:val="21"/>
                      <w:lang w:val="en-US" w:eastAsia="zh-CN"/>
                    </w:rPr>
                    <w:t>情况</w:t>
                  </w:r>
                  <w:r>
                    <w:rPr>
                      <w:rFonts w:hint="default" w:ascii="Times New Roman" w:hAnsi="Times New Roman" w:eastAsia="宋体" w:cs="Times New Roman"/>
                      <w:color w:val="auto"/>
                      <w:spacing w:val="9"/>
                      <w:sz w:val="21"/>
                      <w:szCs w:val="21"/>
                    </w:rPr>
                    <w:t>依法</w:t>
                  </w:r>
                  <w:r>
                    <w:rPr>
                      <w:rFonts w:hint="default" w:ascii="Times New Roman" w:hAnsi="Times New Roman" w:eastAsia="宋体" w:cs="Times New Roman"/>
                      <w:color w:val="auto"/>
                      <w:spacing w:val="6"/>
                      <w:sz w:val="21"/>
                      <w:szCs w:val="21"/>
                    </w:rPr>
                    <w:t>办理相关手续。</w:t>
                  </w:r>
                </w:p>
              </w:tc>
              <w:tc>
                <w:tcPr>
                  <w:tcW w:w="3370" w:type="dxa"/>
                  <w:tcBorders>
                    <w:left w:val="single" w:color="auto" w:sz="4" w:space="0"/>
                  </w:tcBorders>
                  <w:noWrap w:val="0"/>
                  <w:vAlign w:val="center"/>
                </w:tcPr>
                <w:p w14:paraId="1D44D9CE">
                  <w:pPr>
                    <w:keepNext w:val="0"/>
                    <w:keepLines w:val="0"/>
                    <w:widowControl/>
                    <w:suppressLineNumbers w:val="0"/>
                    <w:spacing w:line="240" w:lineRule="auto"/>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已于202</w:t>
                  </w:r>
                  <w:r>
                    <w:rPr>
                      <w:rFonts w:hint="eastAsia" w:cs="Times New Roman"/>
                      <w:color w:val="auto"/>
                      <w:kern w:val="2"/>
                      <w:sz w:val="21"/>
                      <w:szCs w:val="21"/>
                      <w:highlight w:val="none"/>
                      <w:lang w:val="en-US" w:eastAsia="zh-CN" w:bidi="ar-SA"/>
                    </w:rPr>
                    <w:t>6</w:t>
                  </w:r>
                  <w:r>
                    <w:rPr>
                      <w:rFonts w:hint="default" w:ascii="Times New Roman" w:hAnsi="Times New Roman" w:eastAsia="宋体" w:cs="Times New Roman"/>
                      <w:color w:val="auto"/>
                      <w:kern w:val="2"/>
                      <w:sz w:val="21"/>
                      <w:szCs w:val="21"/>
                      <w:highlight w:val="none"/>
                      <w:lang w:val="en-US" w:eastAsia="zh-CN" w:bidi="ar-SA"/>
                    </w:rPr>
                    <w:t>年</w:t>
                  </w:r>
                  <w:r>
                    <w:rPr>
                      <w:rFonts w:hint="eastAsia" w:cs="Times New Roman"/>
                      <w:color w:val="auto"/>
                      <w:kern w:val="2"/>
                      <w:sz w:val="21"/>
                      <w:szCs w:val="21"/>
                      <w:highlight w:val="none"/>
                      <w:lang w:val="en-US" w:eastAsia="zh-CN" w:bidi="ar-SA"/>
                    </w:rPr>
                    <w:t>X</w:t>
                  </w:r>
                  <w:r>
                    <w:rPr>
                      <w:rFonts w:hint="default" w:ascii="Times New Roman" w:hAnsi="Times New Roman" w:eastAsia="宋体" w:cs="Times New Roman"/>
                      <w:color w:val="auto"/>
                      <w:kern w:val="2"/>
                      <w:sz w:val="21"/>
                      <w:szCs w:val="21"/>
                      <w:highlight w:val="none"/>
                      <w:lang w:val="en-US" w:eastAsia="zh-CN" w:bidi="ar-SA"/>
                    </w:rPr>
                    <w:t>月</w:t>
                  </w:r>
                  <w:r>
                    <w:rPr>
                      <w:rFonts w:hint="eastAsia" w:cs="Times New Roman"/>
                      <w:color w:val="auto"/>
                      <w:kern w:val="2"/>
                      <w:sz w:val="21"/>
                      <w:szCs w:val="21"/>
                      <w:highlight w:val="none"/>
                      <w:lang w:val="en-US" w:eastAsia="zh-CN" w:bidi="ar-SA"/>
                    </w:rPr>
                    <w:t>X</w:t>
                  </w:r>
                  <w:r>
                    <w:rPr>
                      <w:rFonts w:hint="default" w:ascii="Times New Roman" w:hAnsi="Times New Roman" w:eastAsia="宋体" w:cs="Times New Roman"/>
                      <w:color w:val="auto"/>
                      <w:kern w:val="2"/>
                      <w:sz w:val="21"/>
                      <w:szCs w:val="21"/>
                      <w:highlight w:val="none"/>
                      <w:lang w:val="en-US" w:eastAsia="zh-CN" w:bidi="ar-SA"/>
                    </w:rPr>
                    <w:t>日取得固原市人民政府关于认定宁夏固原华电彭阳200兆瓦风电项目110千伏送出工程临时用地符合生态保护红线内允许有限人为活动的意见。</w:t>
                  </w:r>
                </w:p>
              </w:tc>
            </w:tr>
            <w:tr w14:paraId="6610E7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645" w:type="dxa"/>
                  <w:noWrap w:val="0"/>
                  <w:vAlign w:val="center"/>
                </w:tcPr>
                <w:p w14:paraId="24B46054">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1566" w:type="dxa"/>
                  <w:noWrap w:val="0"/>
                  <w:vAlign w:val="center"/>
                </w:tcPr>
                <w:p w14:paraId="1F8AE4FB">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7"/>
                      <w:sz w:val="21"/>
                      <w:szCs w:val="21"/>
                    </w:rPr>
                    <w:t>固原市原州区住房城乡建设和交通局</w:t>
                  </w:r>
                </w:p>
              </w:tc>
              <w:tc>
                <w:tcPr>
                  <w:tcW w:w="2923" w:type="dxa"/>
                  <w:tcBorders>
                    <w:left w:val="single" w:color="auto" w:sz="4" w:space="0"/>
                  </w:tcBorders>
                  <w:noWrap w:val="0"/>
                  <w:vAlign w:val="center"/>
                </w:tcPr>
                <w:p w14:paraId="0C2718C1">
                  <w:pP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建议避开功能规划用地及村庄规划后同意该工程线路路径。</w:t>
                  </w:r>
                </w:p>
              </w:tc>
              <w:tc>
                <w:tcPr>
                  <w:tcW w:w="3370" w:type="dxa"/>
                  <w:tcBorders>
                    <w:left w:val="single" w:color="auto" w:sz="4" w:space="0"/>
                  </w:tcBorders>
                  <w:noWrap w:val="0"/>
                  <w:vAlign w:val="center"/>
                </w:tcPr>
                <w:p w14:paraId="661C787B">
                  <w:pPr>
                    <w:keepNext w:val="0"/>
                    <w:keepLines w:val="0"/>
                    <w:widowControl/>
                    <w:suppressLineNumbers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r>
            <w:tr w14:paraId="437D18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dxa"/>
                  <w:noWrap w:val="0"/>
                  <w:vAlign w:val="center"/>
                </w:tcPr>
                <w:p w14:paraId="5D22E3DE">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1566" w:type="dxa"/>
                  <w:noWrap w:val="0"/>
                  <w:vAlign w:val="center"/>
                </w:tcPr>
                <w:p w14:paraId="0F3EDA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rPr>
                    <w:t>固原市原州区水务局</w:t>
                  </w:r>
                </w:p>
              </w:tc>
              <w:tc>
                <w:tcPr>
                  <w:tcW w:w="2923" w:type="dxa"/>
                  <w:tcBorders>
                    <w:left w:val="single" w:color="auto" w:sz="4" w:space="0"/>
                  </w:tcBorders>
                  <w:noWrap w:val="0"/>
                  <w:vAlign w:val="center"/>
                </w:tcPr>
                <w:p w14:paraId="0B2B1F4B">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经实地勘察并结合输变电送出线路跨越的小河（茹河）、以及两条无名沟道。原则上同意线路工程路径方案，属于涉河建设项目，依据相关法律法规，请你单位按照相关法律法规要求，严禁贴线建设、在工程建设前，编制防洪评价报告及水土保持方案，将相关文件资料备齐完整后来我单位办理许可手续。</w:t>
                  </w:r>
                </w:p>
              </w:tc>
              <w:tc>
                <w:tcPr>
                  <w:tcW w:w="3370" w:type="dxa"/>
                  <w:tcBorders>
                    <w:left w:val="single" w:color="auto" w:sz="4" w:space="0"/>
                  </w:tcBorders>
                  <w:noWrap w:val="0"/>
                  <w:vAlign w:val="center"/>
                </w:tcPr>
                <w:p w14:paraId="692069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14DB32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23" w:hRule="atLeast"/>
                <w:jc w:val="center"/>
              </w:trPr>
              <w:tc>
                <w:tcPr>
                  <w:tcW w:w="645" w:type="dxa"/>
                  <w:noWrap w:val="0"/>
                  <w:vAlign w:val="center"/>
                </w:tcPr>
                <w:p w14:paraId="00AE4595">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566" w:type="dxa"/>
                  <w:noWrap w:val="0"/>
                  <w:vAlign w:val="center"/>
                </w:tcPr>
                <w:p w14:paraId="03534A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pacing w:val="7"/>
                      <w:sz w:val="21"/>
                      <w:szCs w:val="21"/>
                    </w:rPr>
                    <w:t>固原市原州区发展和改革局</w:t>
                  </w:r>
                </w:p>
              </w:tc>
              <w:tc>
                <w:tcPr>
                  <w:tcW w:w="2923" w:type="dxa"/>
                  <w:tcBorders>
                    <w:left w:val="single" w:color="auto" w:sz="4" w:space="0"/>
                  </w:tcBorders>
                  <w:noWrap w:val="0"/>
                  <w:vAlign w:val="center"/>
                </w:tcPr>
                <w:p w14:paraId="630B172F">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pacing w:val="9"/>
                      <w:sz w:val="21"/>
                      <w:szCs w:val="21"/>
                    </w:rPr>
                    <w:t>原则同意该线路路径，项目初设阶段注</w:t>
                  </w:r>
                  <w:r>
                    <w:rPr>
                      <w:rFonts w:hint="default" w:ascii="Times New Roman" w:hAnsi="Times New Roman" w:eastAsia="宋体" w:cs="Times New Roman"/>
                      <w:color w:val="auto"/>
                      <w:spacing w:val="8"/>
                      <w:sz w:val="21"/>
                      <w:szCs w:val="21"/>
                    </w:rPr>
                    <w:t>意避让重点项目、基本农田和生态红线。</w:t>
                  </w:r>
                </w:p>
              </w:tc>
              <w:tc>
                <w:tcPr>
                  <w:tcW w:w="3370" w:type="dxa"/>
                  <w:tcBorders>
                    <w:left w:val="single" w:color="auto" w:sz="4" w:space="0"/>
                  </w:tcBorders>
                  <w:noWrap w:val="0"/>
                  <w:vAlign w:val="center"/>
                </w:tcPr>
                <w:p w14:paraId="73F70094">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输电线路路径已避让重点项目。</w:t>
                  </w:r>
                </w:p>
                <w:p w14:paraId="6283DF12">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2"/>
                      <w:sz w:val="21"/>
                      <w:szCs w:val="21"/>
                      <w:highlight w:val="none"/>
                      <w:lang w:val="en-US" w:eastAsia="zh-CN" w:bidi="ar-SA"/>
                    </w:rPr>
                    <w:t>建设单位</w:t>
                  </w:r>
                  <w:r>
                    <w:rPr>
                      <w:rFonts w:hint="default" w:ascii="Times New Roman" w:hAnsi="Times New Roman" w:cs="Times New Roman"/>
                      <w:bCs/>
                      <w:color w:val="auto"/>
                      <w:sz w:val="21"/>
                      <w:szCs w:val="21"/>
                      <w:lang w:val="en-US" w:eastAsia="zh-CN"/>
                    </w:rPr>
                    <w:t>已于202</w:t>
                  </w:r>
                  <w:r>
                    <w:rPr>
                      <w:rFonts w:hint="eastAsia" w:cs="Times New Roman"/>
                      <w:bCs/>
                      <w:color w:val="auto"/>
                      <w:sz w:val="21"/>
                      <w:szCs w:val="21"/>
                      <w:lang w:val="en-US" w:eastAsia="zh-CN"/>
                    </w:rPr>
                    <w:t>6</w:t>
                  </w:r>
                  <w:r>
                    <w:rPr>
                      <w:rFonts w:hint="default" w:ascii="Times New Roman" w:hAnsi="Times New Roman" w:cs="Times New Roman"/>
                      <w:bCs/>
                      <w:color w:val="auto"/>
                      <w:sz w:val="21"/>
                      <w:szCs w:val="21"/>
                      <w:lang w:val="en-US" w:eastAsia="zh-CN"/>
                    </w:rPr>
                    <w:t>年</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月</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日取得彭阳县自然资源局关于本项目临时用地占用耕地和基本农田不可避让论证方案评审意见的函，原则通过该项目临时用地占用耕地和基本农田不可避让论证方案；</w:t>
                  </w:r>
                  <w:r>
                    <w:rPr>
                      <w:rFonts w:hint="default" w:ascii="Times New Roman" w:hAnsi="Times New Roman" w:eastAsia="宋体" w:cs="Times New Roman"/>
                      <w:color w:val="auto"/>
                      <w:kern w:val="2"/>
                      <w:sz w:val="21"/>
                      <w:szCs w:val="21"/>
                      <w:highlight w:val="none"/>
                      <w:lang w:val="en-US" w:eastAsia="zh-CN" w:bidi="ar-SA"/>
                    </w:rPr>
                    <w:t>于202</w:t>
                  </w:r>
                  <w:r>
                    <w:rPr>
                      <w:rFonts w:hint="eastAsia" w:cs="Times New Roman"/>
                      <w:color w:val="auto"/>
                      <w:kern w:val="2"/>
                      <w:sz w:val="21"/>
                      <w:szCs w:val="21"/>
                      <w:highlight w:val="none"/>
                      <w:lang w:val="en-US" w:eastAsia="zh-CN" w:bidi="ar-SA"/>
                    </w:rPr>
                    <w:t>6</w:t>
                  </w:r>
                  <w:r>
                    <w:rPr>
                      <w:rFonts w:hint="default" w:ascii="Times New Roman" w:hAnsi="Times New Roman" w:eastAsia="宋体" w:cs="Times New Roman"/>
                      <w:color w:val="auto"/>
                      <w:kern w:val="2"/>
                      <w:sz w:val="21"/>
                      <w:szCs w:val="21"/>
                      <w:highlight w:val="none"/>
                      <w:lang w:val="en-US" w:eastAsia="zh-CN" w:bidi="ar-SA"/>
                    </w:rPr>
                    <w:t>年</w:t>
                  </w:r>
                  <w:r>
                    <w:rPr>
                      <w:rFonts w:hint="eastAsia" w:cs="Times New Roman"/>
                      <w:color w:val="auto"/>
                      <w:kern w:val="2"/>
                      <w:sz w:val="21"/>
                      <w:szCs w:val="21"/>
                      <w:highlight w:val="none"/>
                      <w:lang w:val="en-US" w:eastAsia="zh-CN" w:bidi="ar-SA"/>
                    </w:rPr>
                    <w:t>X</w:t>
                  </w:r>
                  <w:r>
                    <w:rPr>
                      <w:rFonts w:hint="default" w:ascii="Times New Roman" w:hAnsi="Times New Roman" w:eastAsia="宋体" w:cs="Times New Roman"/>
                      <w:color w:val="auto"/>
                      <w:kern w:val="2"/>
                      <w:sz w:val="21"/>
                      <w:szCs w:val="21"/>
                      <w:highlight w:val="none"/>
                      <w:lang w:val="en-US" w:eastAsia="zh-CN" w:bidi="ar-SA"/>
                    </w:rPr>
                    <w:t>月</w:t>
                  </w:r>
                  <w:r>
                    <w:rPr>
                      <w:rFonts w:hint="eastAsia" w:cs="Times New Roman"/>
                      <w:color w:val="auto"/>
                      <w:kern w:val="2"/>
                      <w:sz w:val="21"/>
                      <w:szCs w:val="21"/>
                      <w:highlight w:val="none"/>
                      <w:lang w:val="en-US" w:eastAsia="zh-CN" w:bidi="ar-SA"/>
                    </w:rPr>
                    <w:t>X</w:t>
                  </w:r>
                  <w:r>
                    <w:rPr>
                      <w:rFonts w:hint="default" w:ascii="Times New Roman" w:hAnsi="Times New Roman" w:eastAsia="宋体" w:cs="Times New Roman"/>
                      <w:color w:val="auto"/>
                      <w:kern w:val="2"/>
                      <w:sz w:val="21"/>
                      <w:szCs w:val="21"/>
                      <w:highlight w:val="none"/>
                      <w:lang w:val="en-US" w:eastAsia="zh-CN" w:bidi="ar-SA"/>
                    </w:rPr>
                    <w:t>日取得固原市人民政府关于认定宁夏固原华电彭阳200兆瓦风电项目110千伏送出工程临时用地符合生态保护红线内允许有限人为活动的意见。</w:t>
                  </w:r>
                </w:p>
              </w:tc>
            </w:tr>
            <w:tr w14:paraId="7281FF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dxa"/>
                  <w:noWrap w:val="0"/>
                  <w:vAlign w:val="center"/>
                </w:tcPr>
                <w:p w14:paraId="5A4D4802">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566" w:type="dxa"/>
                  <w:noWrap w:val="0"/>
                  <w:vAlign w:val="center"/>
                </w:tcPr>
                <w:p w14:paraId="49659654">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固原市原州区河川乡人民政</w:t>
                  </w:r>
                  <w:r>
                    <w:rPr>
                      <w:rFonts w:hint="default" w:ascii="Times New Roman" w:hAnsi="Times New Roman" w:eastAsia="宋体" w:cs="Times New Roman"/>
                      <w:color w:val="auto"/>
                      <w:spacing w:val="1"/>
                      <w:sz w:val="21"/>
                      <w:szCs w:val="21"/>
                    </w:rPr>
                    <w:t>府</w:t>
                  </w:r>
                </w:p>
              </w:tc>
              <w:tc>
                <w:tcPr>
                  <w:tcW w:w="2923" w:type="dxa"/>
                  <w:tcBorders>
                    <w:left w:val="single" w:color="auto" w:sz="4" w:space="0"/>
                  </w:tcBorders>
                  <w:noWrap w:val="0"/>
                  <w:vAlign w:val="center"/>
                </w:tcPr>
                <w:p w14:paraId="098E1394">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6"/>
                      <w:sz w:val="21"/>
                      <w:szCs w:val="21"/>
                    </w:rPr>
                    <w:t>原则同意</w:t>
                  </w:r>
                  <w:r>
                    <w:rPr>
                      <w:rFonts w:hint="default" w:ascii="Times New Roman" w:hAnsi="Times New Roman" w:cs="Times New Roman"/>
                      <w:color w:val="auto"/>
                      <w:spacing w:val="6"/>
                      <w:sz w:val="21"/>
                      <w:szCs w:val="21"/>
                      <w:lang w:eastAsia="zh-CN"/>
                    </w:rPr>
                    <w:t>。</w:t>
                  </w:r>
                </w:p>
              </w:tc>
              <w:tc>
                <w:tcPr>
                  <w:tcW w:w="3370" w:type="dxa"/>
                  <w:tcBorders>
                    <w:left w:val="single" w:color="auto" w:sz="4" w:space="0"/>
                  </w:tcBorders>
                  <w:noWrap w:val="0"/>
                  <w:vAlign w:val="center"/>
                </w:tcPr>
                <w:p w14:paraId="0F7604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36F8B2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dxa"/>
                  <w:noWrap w:val="0"/>
                  <w:vAlign w:val="center"/>
                </w:tcPr>
                <w:p w14:paraId="5A6E8A41">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1566" w:type="dxa"/>
                  <w:noWrap w:val="0"/>
                  <w:vAlign w:val="center"/>
                </w:tcPr>
                <w:p w14:paraId="7E8A023F">
                  <w:pPr>
                    <w:pStyle w:val="106"/>
                    <w:keepNext w:val="0"/>
                    <w:keepLines w:val="0"/>
                    <w:pageBreakBefore w:val="0"/>
                    <w:kinsoku/>
                    <w:wordWrap/>
                    <w:overflowPunct/>
                    <w:topLinePunct w:val="0"/>
                    <w:autoSpaceDE/>
                    <w:autoSpaceDN/>
                    <w:bidi w:val="0"/>
                    <w:adjustRightInd w:val="0"/>
                    <w:snapToGrid w:val="0"/>
                    <w:spacing w:line="240" w:lineRule="auto"/>
                    <w:ind w:left="122"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固原市生态环境局彭阳分局</w:t>
                  </w:r>
                </w:p>
              </w:tc>
              <w:tc>
                <w:tcPr>
                  <w:tcW w:w="2923" w:type="dxa"/>
                  <w:tcBorders>
                    <w:left w:val="single" w:color="auto" w:sz="4" w:space="0"/>
                  </w:tcBorders>
                  <w:noWrap w:val="0"/>
                  <w:vAlign w:val="center"/>
                </w:tcPr>
                <w:p w14:paraId="139DFBD1">
                  <w:pPr>
                    <w:pStyle w:val="106"/>
                    <w:keepNext w:val="0"/>
                    <w:keepLines w:val="0"/>
                    <w:pageBreakBefore w:val="0"/>
                    <w:kinsoku/>
                    <w:wordWrap/>
                    <w:overflowPunct/>
                    <w:topLinePunct w:val="0"/>
                    <w:autoSpaceDE/>
                    <w:autoSpaceDN/>
                    <w:bidi w:val="0"/>
                    <w:adjustRightInd w:val="0"/>
                    <w:snapToGrid w:val="0"/>
                    <w:spacing w:line="240" w:lineRule="auto"/>
                    <w:ind w:left="114"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原则同意，涉及生态红线要提前进行论证。</w:t>
                  </w:r>
                </w:p>
              </w:tc>
              <w:tc>
                <w:tcPr>
                  <w:tcW w:w="3370" w:type="dxa"/>
                  <w:tcBorders>
                    <w:left w:val="single" w:color="auto" w:sz="4" w:space="0"/>
                  </w:tcBorders>
                  <w:noWrap w:val="0"/>
                  <w:vAlign w:val="center"/>
                </w:tcPr>
                <w:p w14:paraId="442C000E">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2"/>
                      <w:sz w:val="21"/>
                      <w:szCs w:val="21"/>
                      <w:highlight w:val="none"/>
                      <w:lang w:val="en-US" w:eastAsia="zh-CN" w:bidi="ar-SA"/>
                    </w:rPr>
                    <w:t>建设单位</w:t>
                  </w:r>
                  <w:r>
                    <w:rPr>
                      <w:rFonts w:hint="default" w:ascii="Times New Roman" w:hAnsi="Times New Roman" w:cs="Times New Roman"/>
                      <w:bCs/>
                      <w:color w:val="auto"/>
                      <w:sz w:val="21"/>
                      <w:szCs w:val="21"/>
                      <w:lang w:val="en-US" w:eastAsia="zh-CN"/>
                    </w:rPr>
                    <w:t>已</w:t>
                  </w:r>
                  <w:r>
                    <w:rPr>
                      <w:rFonts w:hint="default" w:ascii="Times New Roman" w:hAnsi="Times New Roman" w:eastAsia="宋体" w:cs="Times New Roman"/>
                      <w:color w:val="auto"/>
                      <w:kern w:val="2"/>
                      <w:sz w:val="21"/>
                      <w:szCs w:val="21"/>
                      <w:highlight w:val="none"/>
                      <w:lang w:val="en-US" w:eastAsia="zh-CN" w:bidi="ar-SA"/>
                    </w:rPr>
                    <w:t>于202</w:t>
                  </w:r>
                  <w:r>
                    <w:rPr>
                      <w:rFonts w:hint="eastAsia" w:cs="Times New Roman"/>
                      <w:color w:val="auto"/>
                      <w:kern w:val="2"/>
                      <w:sz w:val="21"/>
                      <w:szCs w:val="21"/>
                      <w:highlight w:val="none"/>
                      <w:lang w:val="en-US" w:eastAsia="zh-CN" w:bidi="ar-SA"/>
                    </w:rPr>
                    <w:t>6</w:t>
                  </w:r>
                  <w:r>
                    <w:rPr>
                      <w:rFonts w:hint="default" w:ascii="Times New Roman" w:hAnsi="Times New Roman" w:eastAsia="宋体" w:cs="Times New Roman"/>
                      <w:color w:val="auto"/>
                      <w:kern w:val="2"/>
                      <w:sz w:val="21"/>
                      <w:szCs w:val="21"/>
                      <w:highlight w:val="none"/>
                      <w:lang w:val="en-US" w:eastAsia="zh-CN" w:bidi="ar-SA"/>
                    </w:rPr>
                    <w:t>年</w:t>
                  </w:r>
                  <w:r>
                    <w:rPr>
                      <w:rFonts w:hint="eastAsia" w:cs="Times New Roman"/>
                      <w:color w:val="auto"/>
                      <w:kern w:val="2"/>
                      <w:sz w:val="21"/>
                      <w:szCs w:val="21"/>
                      <w:highlight w:val="none"/>
                      <w:lang w:val="en-US" w:eastAsia="zh-CN" w:bidi="ar-SA"/>
                    </w:rPr>
                    <w:t>X</w:t>
                  </w:r>
                  <w:r>
                    <w:rPr>
                      <w:rFonts w:hint="default" w:ascii="Times New Roman" w:hAnsi="Times New Roman" w:eastAsia="宋体" w:cs="Times New Roman"/>
                      <w:color w:val="auto"/>
                      <w:kern w:val="2"/>
                      <w:sz w:val="21"/>
                      <w:szCs w:val="21"/>
                      <w:highlight w:val="none"/>
                      <w:lang w:val="en-US" w:eastAsia="zh-CN" w:bidi="ar-SA"/>
                    </w:rPr>
                    <w:t>月</w:t>
                  </w:r>
                  <w:r>
                    <w:rPr>
                      <w:rFonts w:hint="eastAsia" w:cs="Times New Roman"/>
                      <w:color w:val="auto"/>
                      <w:kern w:val="2"/>
                      <w:sz w:val="21"/>
                      <w:szCs w:val="21"/>
                      <w:highlight w:val="none"/>
                      <w:lang w:val="en-US" w:eastAsia="zh-CN" w:bidi="ar-SA"/>
                    </w:rPr>
                    <w:t>X</w:t>
                  </w:r>
                  <w:r>
                    <w:rPr>
                      <w:rFonts w:hint="default" w:ascii="Times New Roman" w:hAnsi="Times New Roman" w:eastAsia="宋体" w:cs="Times New Roman"/>
                      <w:color w:val="auto"/>
                      <w:kern w:val="2"/>
                      <w:sz w:val="21"/>
                      <w:szCs w:val="21"/>
                      <w:highlight w:val="none"/>
                      <w:lang w:val="en-US" w:eastAsia="zh-CN" w:bidi="ar-SA"/>
                    </w:rPr>
                    <w:t>日取得固原市人民政府关于认定宁夏固原华电彭阳200兆瓦风电项目110千伏送出工程临时用地符合生态保护红线内允许有限人为活动的意见</w:t>
                  </w:r>
                </w:p>
              </w:tc>
            </w:tr>
            <w:tr w14:paraId="6C8538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0" w:type="auto"/>
                  <w:noWrap w:val="0"/>
                  <w:vAlign w:val="center"/>
                </w:tcPr>
                <w:p w14:paraId="103C189B">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1566" w:type="dxa"/>
                  <w:noWrap w:val="0"/>
                  <w:vAlign w:val="center"/>
                </w:tcPr>
                <w:p w14:paraId="18FAADF5">
                  <w:pPr>
                    <w:pStyle w:val="106"/>
                    <w:keepNext w:val="0"/>
                    <w:keepLines w:val="0"/>
                    <w:pageBreakBefore w:val="0"/>
                    <w:kinsoku/>
                    <w:wordWrap/>
                    <w:overflowPunct/>
                    <w:topLinePunct w:val="0"/>
                    <w:autoSpaceDE/>
                    <w:autoSpaceDN/>
                    <w:bidi w:val="0"/>
                    <w:adjustRightInd w:val="0"/>
                    <w:snapToGrid w:val="0"/>
                    <w:spacing w:line="240" w:lineRule="auto"/>
                    <w:ind w:left="105"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彭阳县自然资源局</w:t>
                  </w:r>
                </w:p>
              </w:tc>
              <w:tc>
                <w:tcPr>
                  <w:tcW w:w="2923" w:type="dxa"/>
                  <w:noWrap w:val="0"/>
                  <w:vAlign w:val="center"/>
                </w:tcPr>
                <w:p w14:paraId="5D07BCFE">
                  <w:pPr>
                    <w:pStyle w:val="106"/>
                    <w:keepNext w:val="0"/>
                    <w:keepLines w:val="0"/>
                    <w:pageBreakBefore w:val="0"/>
                    <w:kinsoku/>
                    <w:wordWrap/>
                    <w:overflowPunct/>
                    <w:topLinePunct w:val="0"/>
                    <w:autoSpaceDE/>
                    <w:autoSpaceDN/>
                    <w:bidi w:val="0"/>
                    <w:adjustRightInd w:val="0"/>
                    <w:snapToGrid w:val="0"/>
                    <w:spacing w:line="240" w:lineRule="auto"/>
                    <w:ind w:left="11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9"/>
                      <w:sz w:val="21"/>
                      <w:szCs w:val="21"/>
                    </w:rPr>
                    <w:t>尽量应避免占用基本农田和生态红线</w:t>
                  </w:r>
                  <w:r>
                    <w:rPr>
                      <w:rFonts w:hint="default" w:ascii="Times New Roman" w:hAnsi="Times New Roman" w:cs="Times New Roman"/>
                      <w:color w:val="auto"/>
                      <w:spacing w:val="9"/>
                      <w:sz w:val="21"/>
                      <w:szCs w:val="21"/>
                      <w:lang w:eastAsia="zh-CN"/>
                    </w:rPr>
                    <w:t>。</w:t>
                  </w:r>
                </w:p>
              </w:tc>
              <w:tc>
                <w:tcPr>
                  <w:tcW w:w="3370" w:type="dxa"/>
                  <w:noWrap w:val="0"/>
                  <w:vAlign w:val="center"/>
                </w:tcPr>
                <w:p w14:paraId="4D7E0E43">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2"/>
                      <w:sz w:val="21"/>
                      <w:szCs w:val="21"/>
                      <w:highlight w:val="none"/>
                      <w:lang w:val="en-US" w:eastAsia="zh-CN" w:bidi="ar-SA"/>
                    </w:rPr>
                    <w:t>建设单位</w:t>
                  </w:r>
                  <w:r>
                    <w:rPr>
                      <w:rFonts w:hint="default" w:ascii="Times New Roman" w:hAnsi="Times New Roman" w:cs="Times New Roman"/>
                      <w:bCs/>
                      <w:color w:val="auto"/>
                      <w:sz w:val="21"/>
                      <w:szCs w:val="21"/>
                      <w:lang w:val="en-US" w:eastAsia="zh-CN"/>
                    </w:rPr>
                    <w:t>已于202</w:t>
                  </w:r>
                  <w:r>
                    <w:rPr>
                      <w:rFonts w:hint="eastAsia" w:cs="Times New Roman"/>
                      <w:bCs/>
                      <w:color w:val="auto"/>
                      <w:sz w:val="21"/>
                      <w:szCs w:val="21"/>
                      <w:lang w:val="en-US" w:eastAsia="zh-CN"/>
                    </w:rPr>
                    <w:t>6</w:t>
                  </w:r>
                  <w:r>
                    <w:rPr>
                      <w:rFonts w:hint="default" w:ascii="Times New Roman" w:hAnsi="Times New Roman" w:cs="Times New Roman"/>
                      <w:bCs/>
                      <w:color w:val="auto"/>
                      <w:sz w:val="21"/>
                      <w:szCs w:val="21"/>
                      <w:lang w:val="en-US" w:eastAsia="zh-CN"/>
                    </w:rPr>
                    <w:t>年</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月</w:t>
                  </w:r>
                  <w:r>
                    <w:rPr>
                      <w:rFonts w:hint="eastAsia" w:cs="Times New Roman"/>
                      <w:bCs/>
                      <w:color w:val="auto"/>
                      <w:sz w:val="21"/>
                      <w:szCs w:val="21"/>
                      <w:lang w:val="en-US" w:eastAsia="zh-CN"/>
                    </w:rPr>
                    <w:t>X</w:t>
                  </w:r>
                  <w:r>
                    <w:rPr>
                      <w:rFonts w:hint="default" w:ascii="Times New Roman" w:hAnsi="Times New Roman" w:cs="Times New Roman"/>
                      <w:bCs/>
                      <w:color w:val="auto"/>
                      <w:sz w:val="21"/>
                      <w:szCs w:val="21"/>
                      <w:lang w:val="en-US" w:eastAsia="zh-CN"/>
                    </w:rPr>
                    <w:t>日取得彭阳县自然资源局关于本项目临时用地占用耕地和基本农田不可避让论证方案评审意见的函，原则通过该项目临时用地占用耕地和基本农田不可避让论证方案；</w:t>
                  </w:r>
                  <w:r>
                    <w:rPr>
                      <w:rFonts w:hint="default" w:ascii="Times New Roman" w:hAnsi="Times New Roman" w:eastAsia="宋体" w:cs="Times New Roman"/>
                      <w:color w:val="auto"/>
                      <w:kern w:val="2"/>
                      <w:sz w:val="21"/>
                      <w:szCs w:val="21"/>
                      <w:highlight w:val="none"/>
                      <w:lang w:val="en-US" w:eastAsia="zh-CN" w:bidi="ar-SA"/>
                    </w:rPr>
                    <w:t>于202</w:t>
                  </w:r>
                  <w:r>
                    <w:rPr>
                      <w:rFonts w:hint="eastAsia" w:cs="Times New Roman"/>
                      <w:color w:val="auto"/>
                      <w:kern w:val="2"/>
                      <w:sz w:val="21"/>
                      <w:szCs w:val="21"/>
                      <w:highlight w:val="none"/>
                      <w:lang w:val="en-US" w:eastAsia="zh-CN" w:bidi="ar-SA"/>
                    </w:rPr>
                    <w:t>6</w:t>
                  </w:r>
                  <w:r>
                    <w:rPr>
                      <w:rFonts w:hint="default" w:ascii="Times New Roman" w:hAnsi="Times New Roman" w:eastAsia="宋体" w:cs="Times New Roman"/>
                      <w:color w:val="auto"/>
                      <w:kern w:val="2"/>
                      <w:sz w:val="21"/>
                      <w:szCs w:val="21"/>
                      <w:highlight w:val="none"/>
                      <w:lang w:val="en-US" w:eastAsia="zh-CN" w:bidi="ar-SA"/>
                    </w:rPr>
                    <w:t>年</w:t>
                  </w:r>
                  <w:r>
                    <w:rPr>
                      <w:rFonts w:hint="eastAsia" w:cs="Times New Roman"/>
                      <w:color w:val="auto"/>
                      <w:kern w:val="2"/>
                      <w:sz w:val="21"/>
                      <w:szCs w:val="21"/>
                      <w:highlight w:val="none"/>
                      <w:lang w:val="en-US" w:eastAsia="zh-CN" w:bidi="ar-SA"/>
                    </w:rPr>
                    <w:t>X</w:t>
                  </w:r>
                  <w:r>
                    <w:rPr>
                      <w:rFonts w:hint="default" w:ascii="Times New Roman" w:hAnsi="Times New Roman" w:eastAsia="宋体" w:cs="Times New Roman"/>
                      <w:color w:val="auto"/>
                      <w:kern w:val="2"/>
                      <w:sz w:val="21"/>
                      <w:szCs w:val="21"/>
                      <w:highlight w:val="none"/>
                      <w:lang w:val="en-US" w:eastAsia="zh-CN" w:bidi="ar-SA"/>
                    </w:rPr>
                    <w:t>月</w:t>
                  </w:r>
                  <w:r>
                    <w:rPr>
                      <w:rFonts w:hint="eastAsia" w:cs="Times New Roman"/>
                      <w:color w:val="auto"/>
                      <w:kern w:val="2"/>
                      <w:sz w:val="21"/>
                      <w:szCs w:val="21"/>
                      <w:highlight w:val="none"/>
                      <w:lang w:val="en-US" w:eastAsia="zh-CN" w:bidi="ar-SA"/>
                    </w:rPr>
                    <w:t>X</w:t>
                  </w:r>
                  <w:r>
                    <w:rPr>
                      <w:rFonts w:hint="default" w:ascii="Times New Roman" w:hAnsi="Times New Roman" w:eastAsia="宋体" w:cs="Times New Roman"/>
                      <w:color w:val="auto"/>
                      <w:kern w:val="2"/>
                      <w:sz w:val="21"/>
                      <w:szCs w:val="21"/>
                      <w:highlight w:val="none"/>
                      <w:lang w:val="en-US" w:eastAsia="zh-CN" w:bidi="ar-SA"/>
                    </w:rPr>
                    <w:t>日取得固原市人民政府关于认定宁夏固原华电彭阳200兆瓦风电项目110千伏送出工程临时用地符合生态保护红线内允许有限人为活动的意见。</w:t>
                  </w:r>
                </w:p>
              </w:tc>
            </w:tr>
            <w:tr w14:paraId="13F7A0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0" w:type="auto"/>
                  <w:noWrap w:val="0"/>
                  <w:vAlign w:val="center"/>
                </w:tcPr>
                <w:p w14:paraId="349F6ACF">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1566" w:type="dxa"/>
                  <w:noWrap w:val="0"/>
                  <w:vAlign w:val="center"/>
                </w:tcPr>
                <w:p w14:paraId="270972CD">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彭阳县水务局</w:t>
                  </w:r>
                </w:p>
              </w:tc>
              <w:tc>
                <w:tcPr>
                  <w:tcW w:w="2923" w:type="dxa"/>
                  <w:noWrap w:val="0"/>
                  <w:vAlign w:val="center"/>
                </w:tcPr>
                <w:p w14:paraId="0C19E6B2">
                  <w:pPr>
                    <w:pStyle w:val="106"/>
                    <w:keepNext w:val="0"/>
                    <w:keepLines w:val="0"/>
                    <w:pageBreakBefore w:val="0"/>
                    <w:kinsoku/>
                    <w:wordWrap/>
                    <w:overflowPunct/>
                    <w:topLinePunct w:val="0"/>
                    <w:autoSpaceDE/>
                    <w:autoSpaceDN/>
                    <w:bidi w:val="0"/>
                    <w:adjustRightInd w:val="0"/>
                    <w:snapToGrid w:val="0"/>
                    <w:spacing w:line="240" w:lineRule="auto"/>
                    <w:ind w:left="111" w:leftChars="0" w:right="147" w:rightChars="0" w:firstLine="2"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9"/>
                      <w:sz w:val="21"/>
                      <w:szCs w:val="21"/>
                    </w:rPr>
                    <w:t>原则同意，基站避开人饮管道、灌溉管道和</w:t>
                  </w:r>
                  <w:r>
                    <w:rPr>
                      <w:rFonts w:hint="default" w:ascii="Times New Roman" w:hAnsi="Times New Roman" w:eastAsia="宋体" w:cs="Times New Roman"/>
                      <w:color w:val="auto"/>
                      <w:spacing w:val="8"/>
                      <w:sz w:val="21"/>
                      <w:szCs w:val="21"/>
                    </w:rPr>
                    <w:t>水库、河道管理区，编制水</w:t>
                  </w:r>
                  <w:r>
                    <w:rPr>
                      <w:rFonts w:hint="default" w:ascii="Times New Roman" w:hAnsi="Times New Roman" w:cs="Times New Roman"/>
                      <w:color w:val="auto"/>
                      <w:spacing w:val="8"/>
                      <w:sz w:val="21"/>
                      <w:szCs w:val="21"/>
                      <w:lang w:val="en-US" w:eastAsia="zh-CN"/>
                    </w:rPr>
                    <w:t>土保持</w:t>
                  </w:r>
                  <w:r>
                    <w:rPr>
                      <w:rFonts w:hint="default" w:ascii="Times New Roman" w:hAnsi="Times New Roman" w:eastAsia="宋体" w:cs="Times New Roman"/>
                      <w:color w:val="auto"/>
                      <w:spacing w:val="8"/>
                      <w:sz w:val="21"/>
                      <w:szCs w:val="21"/>
                    </w:rPr>
                    <w:t>方案。</w:t>
                  </w:r>
                </w:p>
              </w:tc>
              <w:tc>
                <w:tcPr>
                  <w:tcW w:w="3370" w:type="dxa"/>
                  <w:noWrap w:val="0"/>
                  <w:vAlign w:val="center"/>
                </w:tcPr>
                <w:p w14:paraId="7CBEAA6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112F4C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0" w:type="auto"/>
                  <w:noWrap w:val="0"/>
                  <w:vAlign w:val="center"/>
                </w:tcPr>
                <w:p w14:paraId="4132EBD9">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1566" w:type="dxa"/>
                  <w:noWrap w:val="0"/>
                  <w:vAlign w:val="center"/>
                </w:tcPr>
                <w:p w14:paraId="76CA5C68">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彭阳县文化旅游广电局</w:t>
                  </w:r>
                </w:p>
              </w:tc>
              <w:tc>
                <w:tcPr>
                  <w:tcW w:w="2923" w:type="dxa"/>
                  <w:noWrap w:val="0"/>
                  <w:vAlign w:val="center"/>
                </w:tcPr>
                <w:p w14:paraId="3EDBADBE">
                  <w:pPr>
                    <w:pStyle w:val="106"/>
                    <w:keepNext w:val="0"/>
                    <w:keepLines w:val="0"/>
                    <w:pageBreakBefore w:val="0"/>
                    <w:kinsoku/>
                    <w:wordWrap/>
                    <w:overflowPunct/>
                    <w:topLinePunct w:val="0"/>
                    <w:autoSpaceDE/>
                    <w:autoSpaceDN/>
                    <w:bidi w:val="0"/>
                    <w:adjustRightInd w:val="0"/>
                    <w:snapToGrid w:val="0"/>
                    <w:spacing w:line="240" w:lineRule="auto"/>
                    <w:ind w:left="109" w:leftChars="0" w:right="147" w:rightChars="0" w:firstLine="3"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9"/>
                      <w:sz w:val="21"/>
                      <w:szCs w:val="21"/>
                    </w:rPr>
                    <w:t>未占用不可移动文物点，施工过程中若发现</w:t>
                  </w:r>
                  <w:r>
                    <w:rPr>
                      <w:rFonts w:hint="default" w:ascii="Times New Roman" w:hAnsi="Times New Roman" w:eastAsia="宋体" w:cs="Times New Roman"/>
                      <w:color w:val="auto"/>
                      <w:spacing w:val="8"/>
                      <w:sz w:val="21"/>
                      <w:szCs w:val="21"/>
                    </w:rPr>
                    <w:t>地下文物，请立即报告我局。</w:t>
                  </w:r>
                </w:p>
              </w:tc>
              <w:tc>
                <w:tcPr>
                  <w:tcW w:w="3370" w:type="dxa"/>
                  <w:noWrap w:val="0"/>
                  <w:vAlign w:val="center"/>
                </w:tcPr>
                <w:p w14:paraId="2E8421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27E7D5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0" w:type="auto"/>
                  <w:noWrap w:val="0"/>
                  <w:vAlign w:val="center"/>
                </w:tcPr>
                <w:p w14:paraId="0E8BE6DD">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566" w:type="dxa"/>
                  <w:noWrap w:val="0"/>
                  <w:vAlign w:val="center"/>
                </w:tcPr>
                <w:p w14:paraId="3CE997BC">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彭阳县交岔乡人民政府</w:t>
                  </w:r>
                </w:p>
              </w:tc>
              <w:tc>
                <w:tcPr>
                  <w:tcW w:w="2923" w:type="dxa"/>
                  <w:noWrap w:val="0"/>
                  <w:vAlign w:val="center"/>
                </w:tcPr>
                <w:p w14:paraId="4B5DED3D">
                  <w:pPr>
                    <w:pStyle w:val="106"/>
                    <w:spacing w:before="140" w:line="240" w:lineRule="auto"/>
                    <w:ind w:left="114" w:lef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原则同意方案一路径</w:t>
                  </w:r>
                  <w:r>
                    <w:rPr>
                      <w:rFonts w:hint="default" w:ascii="Times New Roman" w:hAnsi="Times New Roman" w:cs="Times New Roman"/>
                      <w:color w:val="auto"/>
                      <w:spacing w:val="8"/>
                      <w:sz w:val="21"/>
                      <w:szCs w:val="21"/>
                      <w:lang w:eastAsia="zh-CN"/>
                    </w:rPr>
                    <w:t>。</w:t>
                  </w:r>
                </w:p>
              </w:tc>
              <w:tc>
                <w:tcPr>
                  <w:tcW w:w="3370" w:type="dxa"/>
                  <w:noWrap w:val="0"/>
                  <w:vAlign w:val="center"/>
                </w:tcPr>
                <w:p w14:paraId="175DBE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79D8E5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0" w:type="auto"/>
                  <w:noWrap w:val="0"/>
                  <w:vAlign w:val="center"/>
                </w:tcPr>
                <w:p w14:paraId="4FAF2BA3">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1566" w:type="dxa"/>
                  <w:noWrap w:val="0"/>
                  <w:vAlign w:val="center"/>
                </w:tcPr>
                <w:p w14:paraId="5D800DFB">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彭阳县发展和改革局</w:t>
                  </w:r>
                </w:p>
              </w:tc>
              <w:tc>
                <w:tcPr>
                  <w:tcW w:w="2923" w:type="dxa"/>
                  <w:noWrap w:val="0"/>
                  <w:vAlign w:val="center"/>
                </w:tcPr>
                <w:p w14:paraId="4E476642">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原则同意方案一</w:t>
                  </w:r>
                  <w:r>
                    <w:rPr>
                      <w:rFonts w:hint="default" w:ascii="Times New Roman" w:hAnsi="Times New Roman" w:cs="Times New Roman"/>
                      <w:color w:val="auto"/>
                      <w:spacing w:val="8"/>
                      <w:sz w:val="21"/>
                      <w:szCs w:val="21"/>
                      <w:lang w:eastAsia="zh-CN"/>
                    </w:rPr>
                    <w:t>。</w:t>
                  </w:r>
                </w:p>
              </w:tc>
              <w:tc>
                <w:tcPr>
                  <w:tcW w:w="3370" w:type="dxa"/>
                  <w:noWrap w:val="0"/>
                  <w:vAlign w:val="center"/>
                </w:tcPr>
                <w:p w14:paraId="552815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3EFD7A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0" w:type="auto"/>
                  <w:noWrap w:val="0"/>
                  <w:vAlign w:val="center"/>
                </w:tcPr>
                <w:p w14:paraId="5E2DFD42">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1566" w:type="dxa"/>
                  <w:noWrap w:val="0"/>
                  <w:vAlign w:val="center"/>
                </w:tcPr>
                <w:p w14:paraId="04830E2E">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pacing w:val="7"/>
                      <w:sz w:val="21"/>
                      <w:szCs w:val="21"/>
                    </w:rPr>
                    <w:t>中铁建宁夏高速公路有限公</w:t>
                  </w:r>
                  <w:r>
                    <w:rPr>
                      <w:rFonts w:hint="default" w:ascii="Times New Roman" w:hAnsi="Times New Roman" w:eastAsia="宋体" w:cs="Times New Roman"/>
                      <w:b w:val="0"/>
                      <w:bCs w:val="0"/>
                      <w:color w:val="auto"/>
                      <w:sz w:val="21"/>
                      <w:szCs w:val="21"/>
                    </w:rPr>
                    <w:t>司</w:t>
                  </w:r>
                </w:p>
              </w:tc>
              <w:tc>
                <w:tcPr>
                  <w:tcW w:w="2923" w:type="dxa"/>
                  <w:noWrap w:val="0"/>
                  <w:vAlign w:val="center"/>
                </w:tcPr>
                <w:p w14:paraId="1302D669">
                  <w:pPr>
                    <w:pStyle w:val="106"/>
                    <w:spacing w:before="55" w:line="240" w:lineRule="auto"/>
                    <w:ind w:left="110" w:leftChars="0" w:right="203" w:rightChars="0" w:firstLine="19"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pacing w:val="5"/>
                      <w:sz w:val="21"/>
                      <w:szCs w:val="21"/>
                      <w:lang w:val="en-US" w:eastAsia="zh-CN"/>
                    </w:rPr>
                    <w:t>原则</w:t>
                  </w:r>
                  <w:r>
                    <w:rPr>
                      <w:rFonts w:hint="default" w:ascii="Times New Roman" w:hAnsi="Times New Roman" w:eastAsia="宋体" w:cs="Times New Roman"/>
                      <w:b w:val="0"/>
                      <w:bCs w:val="0"/>
                      <w:color w:val="auto"/>
                      <w:spacing w:val="5"/>
                      <w:sz w:val="21"/>
                      <w:szCs w:val="21"/>
                    </w:rPr>
                    <w:t>同意输电线路在银昆高速公路K286+100</w:t>
                  </w:r>
                  <w:r>
                    <w:rPr>
                      <w:rFonts w:hint="default" w:ascii="Times New Roman" w:hAnsi="Times New Roman" w:eastAsia="宋体" w:cs="Times New Roman"/>
                      <w:b w:val="0"/>
                      <w:bCs w:val="0"/>
                      <w:color w:val="auto"/>
                      <w:spacing w:val="-28"/>
                      <w:sz w:val="21"/>
                      <w:szCs w:val="21"/>
                    </w:rPr>
                    <w:t xml:space="preserve"> </w:t>
                  </w:r>
                  <w:r>
                    <w:rPr>
                      <w:rFonts w:hint="default" w:ascii="Times New Roman" w:hAnsi="Times New Roman" w:eastAsia="宋体" w:cs="Times New Roman"/>
                      <w:b w:val="0"/>
                      <w:bCs w:val="0"/>
                      <w:color w:val="auto"/>
                      <w:spacing w:val="5"/>
                      <w:sz w:val="21"/>
                      <w:szCs w:val="21"/>
                    </w:rPr>
                    <w:t>处</w:t>
                  </w:r>
                  <w:r>
                    <w:rPr>
                      <w:rFonts w:hint="default" w:ascii="Times New Roman" w:hAnsi="Times New Roman" w:eastAsia="宋体" w:cs="Times New Roman"/>
                      <w:b w:val="0"/>
                      <w:bCs w:val="0"/>
                      <w:color w:val="auto"/>
                      <w:spacing w:val="7"/>
                      <w:sz w:val="21"/>
                      <w:szCs w:val="21"/>
                    </w:rPr>
                    <w:t>架空跨越</w:t>
                  </w:r>
                  <w:r>
                    <w:rPr>
                      <w:rFonts w:hint="default" w:ascii="Times New Roman" w:hAnsi="Times New Roman" w:cs="Times New Roman"/>
                      <w:b w:val="0"/>
                      <w:bCs w:val="0"/>
                      <w:color w:val="auto"/>
                      <w:spacing w:val="7"/>
                      <w:sz w:val="21"/>
                      <w:szCs w:val="21"/>
                      <w:lang w:eastAsia="zh-CN"/>
                    </w:rPr>
                    <w:t>。</w:t>
                  </w:r>
                </w:p>
              </w:tc>
              <w:tc>
                <w:tcPr>
                  <w:tcW w:w="3370" w:type="dxa"/>
                  <w:noWrap w:val="0"/>
                  <w:vAlign w:val="center"/>
                </w:tcPr>
                <w:p w14:paraId="4087B4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bl>
          <w:p w14:paraId="13BB0736">
            <w:pPr>
              <w:rPr>
                <w:rFonts w:hint="default" w:ascii="Times New Roman" w:hAnsi="Times New Roman" w:cs="Times New Roman"/>
                <w:color w:val="auto"/>
                <w:highlight w:val="none"/>
              </w:rPr>
            </w:pPr>
          </w:p>
          <w:p w14:paraId="67B88A1E">
            <w:pPr>
              <w:rPr>
                <w:rFonts w:hint="default" w:ascii="Times New Roman" w:hAnsi="Times New Roman" w:cs="Times New Roman"/>
                <w:color w:val="auto"/>
                <w:highlight w:val="none"/>
              </w:rPr>
            </w:pPr>
          </w:p>
          <w:p w14:paraId="7F4727A0">
            <w:pPr>
              <w:rPr>
                <w:rFonts w:hint="default" w:ascii="Times New Roman" w:hAnsi="Times New Roman" w:cs="Times New Roman"/>
                <w:color w:val="auto"/>
                <w:highlight w:val="none"/>
              </w:rPr>
            </w:pPr>
          </w:p>
          <w:p w14:paraId="1BEE9D29">
            <w:pPr>
              <w:rPr>
                <w:rFonts w:hint="default" w:ascii="Times New Roman" w:hAnsi="Times New Roman" w:cs="Times New Roman"/>
                <w:color w:val="auto"/>
                <w:highlight w:val="none"/>
              </w:rPr>
            </w:pPr>
          </w:p>
          <w:p w14:paraId="7123F5EF">
            <w:pPr>
              <w:rPr>
                <w:rFonts w:hint="default" w:ascii="Times New Roman" w:hAnsi="Times New Roman" w:cs="Times New Roman"/>
                <w:color w:val="auto"/>
                <w:highlight w:val="none"/>
              </w:rPr>
            </w:pPr>
          </w:p>
          <w:p w14:paraId="51A12E57">
            <w:pPr>
              <w:rPr>
                <w:rFonts w:hint="default" w:ascii="Times New Roman" w:hAnsi="Times New Roman" w:cs="Times New Roman"/>
                <w:color w:val="auto"/>
                <w:highlight w:val="none"/>
              </w:rPr>
            </w:pPr>
          </w:p>
          <w:p w14:paraId="6C3B02EA">
            <w:pPr>
              <w:rPr>
                <w:rFonts w:hint="default" w:ascii="Times New Roman" w:hAnsi="Times New Roman" w:cs="Times New Roman"/>
                <w:color w:val="auto"/>
                <w:highlight w:val="none"/>
              </w:rPr>
            </w:pPr>
          </w:p>
          <w:p w14:paraId="670F635B">
            <w:pPr>
              <w:rPr>
                <w:rFonts w:hint="default" w:ascii="Times New Roman" w:hAnsi="Times New Roman" w:cs="Times New Roman"/>
                <w:color w:val="auto"/>
                <w:highlight w:val="none"/>
              </w:rPr>
            </w:pPr>
          </w:p>
          <w:p w14:paraId="0B4BDE47">
            <w:pPr>
              <w:rPr>
                <w:rFonts w:hint="default" w:ascii="Times New Roman" w:hAnsi="Times New Roman" w:cs="Times New Roman"/>
                <w:color w:val="auto"/>
                <w:highlight w:val="none"/>
              </w:rPr>
            </w:pPr>
          </w:p>
          <w:p w14:paraId="7845EADF">
            <w:pPr>
              <w:rPr>
                <w:rFonts w:hint="default" w:ascii="Times New Roman" w:hAnsi="Times New Roman" w:cs="Times New Roman"/>
                <w:color w:val="auto"/>
                <w:highlight w:val="none"/>
              </w:rPr>
            </w:pPr>
          </w:p>
          <w:p w14:paraId="234D4331">
            <w:pPr>
              <w:rPr>
                <w:rFonts w:hint="default" w:ascii="Times New Roman" w:hAnsi="Times New Roman" w:cs="Times New Roman"/>
                <w:color w:val="auto"/>
                <w:highlight w:val="none"/>
              </w:rPr>
            </w:pPr>
          </w:p>
          <w:p w14:paraId="1608340A">
            <w:pPr>
              <w:rPr>
                <w:rFonts w:hint="default" w:ascii="Times New Roman" w:hAnsi="Times New Roman" w:cs="Times New Roman"/>
                <w:color w:val="auto"/>
                <w:highlight w:val="none"/>
              </w:rPr>
            </w:pPr>
          </w:p>
        </w:tc>
      </w:tr>
      <w:bookmarkEnd w:id="79"/>
    </w:tbl>
    <w:p w14:paraId="6D7AE4CC">
      <w:pPr>
        <w:pStyle w:val="29"/>
        <w:spacing w:before="0" w:beforeAutospacing="0" w:after="0" w:afterAutospacing="0" w:line="360" w:lineRule="auto"/>
        <w:jc w:val="center"/>
        <w:outlineLvl w:val="0"/>
        <w:rPr>
          <w:rFonts w:hint="default" w:ascii="Times New Roman" w:hAnsi="Times New Roman" w:eastAsia="仿宋_GB2312" w:cs="Times New Roman"/>
          <w:b/>
          <w:bCs/>
          <w:color w:val="auto"/>
          <w:highlight w:val="none"/>
        </w:rPr>
        <w:sectPr>
          <w:footerReference r:id="rId6" w:type="default"/>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bookmarkStart w:id="84" w:name="_Toc152582978"/>
      <w:bookmarkStart w:id="85" w:name="_Toc27768"/>
      <w:bookmarkStart w:id="86" w:name="_Toc27029"/>
      <w:bookmarkStart w:id="87" w:name="_Toc3542"/>
      <w:bookmarkStart w:id="88" w:name="_Toc31885"/>
    </w:p>
    <w:p w14:paraId="3CF2D947">
      <w:pPr>
        <w:pStyle w:val="29"/>
        <w:spacing w:before="0" w:beforeAutospacing="0" w:after="0" w:afterAutospacing="0" w:line="240" w:lineRule="auto"/>
        <w:jc w:val="center"/>
        <w:outlineLvl w:val="0"/>
        <w:rPr>
          <w:rFonts w:hint="default" w:ascii="Times New Roman" w:hAnsi="Times New Roman" w:eastAsia="黑体" w:cs="Times New Roman"/>
          <w:snapToGrid w:val="0"/>
          <w:color w:val="auto"/>
          <w:sz w:val="30"/>
          <w:szCs w:val="30"/>
          <w:highlight w:val="none"/>
        </w:rPr>
      </w:pPr>
      <w:bookmarkStart w:id="89" w:name="_Toc17872"/>
      <w:bookmarkStart w:id="90" w:name="_Toc16695"/>
      <w:bookmarkStart w:id="91" w:name="_Toc14352"/>
      <w:bookmarkStart w:id="92" w:name="_Toc17180"/>
      <w:bookmarkStart w:id="93" w:name="_Toc17757"/>
      <w:bookmarkStart w:id="94" w:name="_Toc8360"/>
      <w:bookmarkStart w:id="95" w:name="_Toc4885"/>
      <w:bookmarkStart w:id="96" w:name="_Toc32311"/>
      <w:bookmarkStart w:id="97" w:name="_Toc18459"/>
      <w:r>
        <w:rPr>
          <w:rFonts w:hint="default" w:ascii="Times New Roman" w:hAnsi="Times New Roman" w:eastAsia="黑体" w:cs="Times New Roman"/>
          <w:b/>
          <w:bCs/>
          <w:snapToGrid w:val="0"/>
          <w:color w:val="auto"/>
          <w:sz w:val="30"/>
          <w:szCs w:val="30"/>
          <w:highlight w:val="none"/>
        </w:rPr>
        <w:t>三、生态环境现状、保护目标及评价标准</w:t>
      </w:r>
      <w:bookmarkEnd w:id="84"/>
      <w:bookmarkEnd w:id="85"/>
      <w:bookmarkEnd w:id="86"/>
      <w:bookmarkEnd w:id="89"/>
      <w:bookmarkEnd w:id="90"/>
      <w:bookmarkEnd w:id="91"/>
      <w:bookmarkEnd w:id="92"/>
      <w:bookmarkEnd w:id="93"/>
      <w:bookmarkEnd w:id="94"/>
      <w:bookmarkEnd w:id="95"/>
      <w:bookmarkEnd w:id="96"/>
      <w:bookmarkEnd w:id="97"/>
    </w:p>
    <w:tbl>
      <w:tblPr>
        <w:tblStyle w:val="31"/>
        <w:tblW w:w="93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7"/>
        <w:gridCol w:w="8767"/>
      </w:tblGrid>
      <w:tr w14:paraId="2B5767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7" w:type="dxa"/>
            <w:noWrap w:val="0"/>
            <w:vAlign w:val="center"/>
          </w:tcPr>
          <w:p w14:paraId="59BD42F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生态环境现状</w:t>
            </w:r>
          </w:p>
        </w:tc>
        <w:tc>
          <w:tcPr>
            <w:tcW w:w="8767" w:type="dxa"/>
            <w:noWrap w:val="0"/>
            <w:vAlign w:val="center"/>
          </w:tcPr>
          <w:p w14:paraId="33131E74">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both"/>
              <w:textAlignment w:val="auto"/>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eastAsia="zh-CN"/>
              </w:rPr>
              <w:t>1.</w:t>
            </w:r>
            <w:r>
              <w:rPr>
                <w:rFonts w:hint="default" w:ascii="Times New Roman" w:hAnsi="Times New Roman" w:cs="Times New Roman"/>
                <w:b/>
                <w:bCs/>
                <w:color w:val="auto"/>
                <w:kern w:val="0"/>
                <w:sz w:val="24"/>
                <w:highlight w:val="none"/>
              </w:rPr>
              <w:t>区域自然环境现状</w:t>
            </w:r>
          </w:p>
          <w:p w14:paraId="2927141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根据2025年5月宁夏回族自治区电力设计院有限公司编制的《宁夏固原华电彭阳200兆瓦风电项目110千伏送出工程岩土工程勘察报告》：</w:t>
            </w:r>
          </w:p>
          <w:p w14:paraId="6183BF1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kern w:val="0"/>
                <w:sz w:val="24"/>
                <w:highlight w:val="none"/>
                <w:lang w:eastAsia="zh-CN"/>
              </w:rPr>
              <w:t>⑴</w:t>
            </w:r>
            <w:r>
              <w:rPr>
                <w:rFonts w:hint="default" w:ascii="Times New Roman" w:hAnsi="Times New Roman" w:cs="Times New Roman"/>
                <w:b/>
                <w:bCs/>
                <w:color w:val="auto"/>
                <w:sz w:val="24"/>
                <w:highlight w:val="none"/>
              </w:rPr>
              <w:t>地形地貌</w:t>
            </w:r>
          </w:p>
          <w:p w14:paraId="50008FF6">
            <w:pPr>
              <w:pStyle w:val="13"/>
              <w:spacing w:after="0" w:line="360" w:lineRule="auto"/>
              <w:ind w:left="0" w:leftChars="0" w:firstLine="480"/>
              <w:rPr>
                <w:rFonts w:hint="eastAsia"/>
                <w:color w:val="auto"/>
                <w:sz w:val="24"/>
                <w:szCs w:val="32"/>
                <w:highlight w:val="none"/>
              </w:rPr>
            </w:pPr>
            <w:r>
              <w:rPr>
                <w:rFonts w:hint="eastAsia"/>
                <w:color w:val="auto"/>
                <w:sz w:val="24"/>
                <w:szCs w:val="32"/>
                <w:highlight w:val="none"/>
                <w:lang w:val="en-US" w:eastAsia="zh-CN"/>
              </w:rPr>
              <w:t>云雾山</w:t>
            </w:r>
            <w:r>
              <w:rPr>
                <w:rFonts w:hint="eastAsia"/>
                <w:color w:val="auto"/>
                <w:sz w:val="24"/>
                <w:szCs w:val="32"/>
                <w:highlight w:val="none"/>
              </w:rPr>
              <w:t>330</w:t>
            </w:r>
            <w:r>
              <w:rPr>
                <w:rFonts w:hint="eastAsia"/>
                <w:color w:val="auto"/>
                <w:sz w:val="24"/>
                <w:szCs w:val="32"/>
                <w:highlight w:val="none"/>
                <w:lang w:val="en-US" w:eastAsia="zh-CN"/>
              </w:rPr>
              <w:t>千伏</w:t>
            </w:r>
            <w:r>
              <w:rPr>
                <w:rFonts w:hint="eastAsia"/>
                <w:color w:val="auto"/>
                <w:sz w:val="24"/>
                <w:szCs w:val="32"/>
                <w:highlight w:val="none"/>
              </w:rPr>
              <w:t>变电站站址区域地貌单元属</w:t>
            </w:r>
            <w:r>
              <w:rPr>
                <w:rFonts w:hint="eastAsia"/>
                <w:color w:val="auto"/>
                <w:sz w:val="24"/>
                <w:szCs w:val="32"/>
                <w:highlight w:val="none"/>
                <w:lang w:val="en-US" w:eastAsia="zh-CN"/>
              </w:rPr>
              <w:t>宁南侵蚀堆积黄土河谷地貌</w:t>
            </w:r>
            <w:r>
              <w:rPr>
                <w:rFonts w:hint="eastAsia"/>
                <w:color w:val="auto"/>
                <w:sz w:val="24"/>
                <w:szCs w:val="32"/>
                <w:highlight w:val="none"/>
              </w:rPr>
              <w:t>，</w:t>
            </w:r>
            <w:r>
              <w:rPr>
                <w:rFonts w:hint="eastAsia"/>
                <w:color w:val="auto"/>
                <w:sz w:val="24"/>
                <w:szCs w:val="32"/>
                <w:highlight w:val="none"/>
                <w:lang w:val="en-US" w:eastAsia="zh-CN"/>
              </w:rPr>
              <w:t>地势低洼，平坦开阔，河谷方向</w:t>
            </w:r>
            <w:r>
              <w:rPr>
                <w:rFonts w:hint="eastAsia" w:ascii="Times New Roman" w:hAnsi="Times New Roman" w:eastAsia="宋体" w:cs="Times New Roman"/>
                <w:color w:val="auto"/>
                <w:sz w:val="24"/>
                <w:szCs w:val="32"/>
                <w:highlight w:val="none"/>
                <w:lang w:val="en-US" w:eastAsia="zh-CN"/>
              </w:rPr>
              <w:t>呈西北~东南走向，西南和东北两侧高处为黄土嫄梁地貌。</w:t>
            </w:r>
          </w:p>
          <w:p w14:paraId="2E17B5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拟建</w:t>
            </w:r>
            <w:r>
              <w:rPr>
                <w:rFonts w:hint="eastAsia" w:ascii="Times New Roman" w:hAnsi="Times New Roman" w:eastAsia="宋体" w:cs="Times New Roman"/>
                <w:color w:val="auto"/>
                <w:kern w:val="0"/>
                <w:sz w:val="24"/>
                <w:szCs w:val="24"/>
                <w:lang w:val="en-US" w:eastAsia="zh-CN" w:bidi="ar"/>
              </w:rPr>
              <w:t>输电</w:t>
            </w:r>
            <w:r>
              <w:rPr>
                <w:rFonts w:hint="default" w:ascii="Times New Roman" w:hAnsi="Times New Roman" w:eastAsia="宋体" w:cs="Times New Roman"/>
                <w:color w:val="auto"/>
                <w:kern w:val="0"/>
                <w:sz w:val="24"/>
                <w:szCs w:val="24"/>
                <w:lang w:val="en-US" w:eastAsia="zh-CN" w:bidi="ar"/>
              </w:rPr>
              <w:t xml:space="preserve">线路走廊所属地貌单元可划分为黄土河谷高阶地地貌、黄土塬梁地貌。现分别叙述如下： </w:t>
            </w:r>
          </w:p>
          <w:p w14:paraId="4CAE8647">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①N1~N19、N21~N52、N54~N80</w:t>
            </w:r>
          </w:p>
          <w:p w14:paraId="5B801D8A">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该段所属地貌为黄土塬梁间夹山间沟谷地貌，梁峁顶部较浑圆宽阔。黄土塬梁地形起伏较大，沿线多开垦为环山梯田，种植农作物及植树造林树木，植被茂盛；黄土梁塬底部大部分地段沟谷一般发育，部分地段受冲沟侵蚀切割严重，冲沟发育，形成深切冲沟，深30.0～70.0m。部分</w:t>
            </w:r>
            <w:r>
              <w:rPr>
                <w:rFonts w:hint="eastAsia" w:cs="Times New Roman"/>
                <w:color w:val="auto"/>
                <w:kern w:val="0"/>
                <w:sz w:val="24"/>
                <w:szCs w:val="24"/>
                <w:lang w:val="en-US" w:eastAsia="zh-CN" w:bidi="ar"/>
              </w:rPr>
              <w:t>塔基</w:t>
            </w:r>
            <w:r>
              <w:rPr>
                <w:rFonts w:hint="default" w:ascii="Times New Roman" w:hAnsi="Times New Roman" w:eastAsia="宋体" w:cs="Times New Roman"/>
                <w:color w:val="auto"/>
                <w:kern w:val="0"/>
                <w:sz w:val="24"/>
                <w:szCs w:val="24"/>
                <w:lang w:val="en-US" w:eastAsia="zh-CN" w:bidi="ar"/>
              </w:rPr>
              <w:t>邻近乡间硬化路或公路，交通较为便利；部分</w:t>
            </w:r>
            <w:r>
              <w:rPr>
                <w:rFonts w:hint="eastAsia" w:cs="Times New Roman"/>
                <w:color w:val="auto"/>
                <w:kern w:val="0"/>
                <w:sz w:val="24"/>
                <w:szCs w:val="24"/>
                <w:lang w:val="en-US" w:eastAsia="zh-CN" w:bidi="ar"/>
              </w:rPr>
              <w:t>塔基</w:t>
            </w:r>
            <w:r>
              <w:rPr>
                <w:rFonts w:hint="default" w:ascii="Times New Roman" w:hAnsi="Times New Roman" w:eastAsia="宋体" w:cs="Times New Roman"/>
                <w:color w:val="auto"/>
                <w:kern w:val="0"/>
                <w:sz w:val="24"/>
                <w:szCs w:val="24"/>
                <w:lang w:val="en-US" w:eastAsia="zh-CN" w:bidi="ar"/>
              </w:rPr>
              <w:t>位于山梁半坡及山顶，沟壑纵横，交通不便。沿线海拔在1599～1881m之间，高差一般50～200m之间。</w:t>
            </w:r>
          </w:p>
          <w:p w14:paraId="0D11315A">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②N20、N53、N81、N82</w:t>
            </w:r>
          </w:p>
          <w:p w14:paraId="3DD88F68">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该段所属地貌为宁南侵蚀堆积黄土河谷高阶地地貌，地形平坦开阔</w:t>
            </w:r>
            <w:r>
              <w:rPr>
                <w:rFonts w:hint="eastAsia" w:cs="Times New Roman"/>
                <w:color w:val="auto"/>
                <w:kern w:val="0"/>
                <w:sz w:val="24"/>
                <w:szCs w:val="24"/>
                <w:lang w:val="en-US" w:eastAsia="zh-CN" w:bidi="ar"/>
              </w:rPr>
              <w:t>，该段主要位于交岔乡（N20）王洼沟河谷阶段（N53）以及茹河河谷阶地（N81、N82）。塔基位于农田和果园内，农田内主要种植玉米等经济作物，果园主要为红梅杏树；塔基处有乡间硬化路和田间土路，与国道G309连接，交通便利。沿线海拔在1570～1582m之间，高差10~20m。</w:t>
            </w:r>
          </w:p>
          <w:tbl>
            <w:tblPr>
              <w:tblStyle w:val="32"/>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1"/>
              <w:gridCol w:w="4253"/>
            </w:tblGrid>
            <w:tr w14:paraId="5B86D9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251" w:type="dxa"/>
                  <w:tcBorders>
                    <w:tl2br w:val="nil"/>
                    <w:tr2bl w:val="nil"/>
                  </w:tcBorders>
                  <w:noWrap w:val="0"/>
                  <w:vAlign w:val="center"/>
                </w:tcPr>
                <w:p w14:paraId="32048869">
                  <w:pPr>
                    <w:keepNext w:val="0"/>
                    <w:keepLines w:val="0"/>
                    <w:pageBreakBefore w:val="0"/>
                    <w:widowControl w:val="0"/>
                    <w:tabs>
                      <w:tab w:val="left" w:pos="420"/>
                      <w:tab w:val="left" w:pos="840"/>
                      <w:tab w:val="left" w:pos="1260"/>
                    </w:tabs>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kern w:val="0"/>
                      <w:sz w:val="24"/>
                      <w:highlight w:val="none"/>
                      <w:vertAlign w:val="baseline"/>
                      <w:lang w:val="en-US" w:eastAsia="zh-CN"/>
                    </w:rPr>
                  </w:pPr>
                  <w:r>
                    <w:rPr>
                      <w:rFonts w:hint="default" w:ascii="Times New Roman" w:hAnsi="Times New Roman" w:cs="Times New Roman"/>
                      <w:color w:val="auto"/>
                    </w:rPr>
                    <w:drawing>
                      <wp:inline distT="0" distB="0" distL="114300" distR="114300">
                        <wp:extent cx="2550795" cy="1762125"/>
                        <wp:effectExtent l="0" t="0" r="1905" b="317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40"/>
                                <a:stretch>
                                  <a:fillRect/>
                                </a:stretch>
                              </pic:blipFill>
                              <pic:spPr>
                                <a:xfrm>
                                  <a:off x="0" y="0"/>
                                  <a:ext cx="2550795" cy="1762125"/>
                                </a:xfrm>
                                <a:prstGeom prst="rect">
                                  <a:avLst/>
                                </a:prstGeom>
                                <a:noFill/>
                                <a:ln>
                                  <a:noFill/>
                                </a:ln>
                              </pic:spPr>
                            </pic:pic>
                          </a:graphicData>
                        </a:graphic>
                      </wp:inline>
                    </w:drawing>
                  </w:r>
                </w:p>
              </w:tc>
              <w:tc>
                <w:tcPr>
                  <w:tcW w:w="4253" w:type="dxa"/>
                  <w:tcBorders>
                    <w:tl2br w:val="nil"/>
                    <w:tr2bl w:val="nil"/>
                  </w:tcBorders>
                  <w:noWrap w:val="0"/>
                  <w:vAlign w:val="center"/>
                </w:tcPr>
                <w:p w14:paraId="11477996">
                  <w:pPr>
                    <w:keepNext w:val="0"/>
                    <w:keepLines w:val="0"/>
                    <w:pageBreakBefore w:val="0"/>
                    <w:widowControl w:val="0"/>
                    <w:tabs>
                      <w:tab w:val="left" w:pos="420"/>
                      <w:tab w:val="left" w:pos="840"/>
                      <w:tab w:val="left" w:pos="1260"/>
                    </w:tabs>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kern w:val="0"/>
                      <w:sz w:val="24"/>
                      <w:highlight w:val="none"/>
                      <w:vertAlign w:val="baseline"/>
                      <w:lang w:val="en-US" w:eastAsia="zh-CN"/>
                    </w:rPr>
                  </w:pPr>
                  <w:r>
                    <w:rPr>
                      <w:rFonts w:hint="default" w:ascii="Times New Roman" w:hAnsi="Times New Roman" w:cs="Times New Roman"/>
                      <w:color w:val="auto"/>
                    </w:rPr>
                    <w:drawing>
                      <wp:inline distT="0" distB="0" distL="114300" distR="114300">
                        <wp:extent cx="2577465" cy="1769110"/>
                        <wp:effectExtent l="0" t="0" r="635" b="889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1"/>
                                <a:stretch>
                                  <a:fillRect/>
                                </a:stretch>
                              </pic:blipFill>
                              <pic:spPr>
                                <a:xfrm>
                                  <a:off x="0" y="0"/>
                                  <a:ext cx="2577465" cy="1769110"/>
                                </a:xfrm>
                                <a:prstGeom prst="rect">
                                  <a:avLst/>
                                </a:prstGeom>
                                <a:noFill/>
                                <a:ln>
                                  <a:noFill/>
                                </a:ln>
                              </pic:spPr>
                            </pic:pic>
                          </a:graphicData>
                        </a:graphic>
                      </wp:inline>
                    </w:drawing>
                  </w:r>
                </w:p>
              </w:tc>
            </w:tr>
            <w:tr w14:paraId="24AD1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251" w:type="dxa"/>
                  <w:tcBorders>
                    <w:tl2br w:val="nil"/>
                    <w:tr2bl w:val="nil"/>
                  </w:tcBorders>
                  <w:noWrap w:val="0"/>
                  <w:vAlign w:val="center"/>
                </w:tcPr>
                <w:p w14:paraId="43524E07">
                  <w:pPr>
                    <w:keepNext w:val="0"/>
                    <w:keepLines w:val="0"/>
                    <w:pageBreakBefore w:val="0"/>
                    <w:widowControl w:val="0"/>
                    <w:tabs>
                      <w:tab w:val="left" w:pos="420"/>
                      <w:tab w:val="left" w:pos="840"/>
                      <w:tab w:val="left" w:pos="1260"/>
                    </w:tabs>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2543175" cy="1938655"/>
                        <wp:effectExtent l="0" t="0" r="9525" b="4445"/>
                        <wp:docPr id="27" name="图片 27" descr="微信图片_20251211084631_676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51211084631_676_45"/>
                                <pic:cNvPicPr>
                                  <a:picLocks noChangeAspect="1"/>
                                </pic:cNvPicPr>
                              </pic:nvPicPr>
                              <pic:blipFill>
                                <a:blip r:embed="rId42"/>
                                <a:stretch>
                                  <a:fillRect/>
                                </a:stretch>
                              </pic:blipFill>
                              <pic:spPr>
                                <a:xfrm>
                                  <a:off x="0" y="0"/>
                                  <a:ext cx="2543175" cy="1938655"/>
                                </a:xfrm>
                                <a:prstGeom prst="rect">
                                  <a:avLst/>
                                </a:prstGeom>
                              </pic:spPr>
                            </pic:pic>
                          </a:graphicData>
                        </a:graphic>
                      </wp:inline>
                    </w:drawing>
                  </w:r>
                </w:p>
              </w:tc>
              <w:tc>
                <w:tcPr>
                  <w:tcW w:w="4253" w:type="dxa"/>
                  <w:tcBorders>
                    <w:tl2br w:val="nil"/>
                    <w:tr2bl w:val="nil"/>
                  </w:tcBorders>
                  <w:noWrap w:val="0"/>
                  <w:vAlign w:val="center"/>
                </w:tcPr>
                <w:p w14:paraId="4BB6749B">
                  <w:pPr>
                    <w:keepNext w:val="0"/>
                    <w:keepLines w:val="0"/>
                    <w:pageBreakBefore w:val="0"/>
                    <w:widowControl w:val="0"/>
                    <w:tabs>
                      <w:tab w:val="left" w:pos="420"/>
                      <w:tab w:val="left" w:pos="840"/>
                      <w:tab w:val="left" w:pos="1260"/>
                    </w:tabs>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2543175" cy="1926590"/>
                        <wp:effectExtent l="0" t="0" r="9525" b="16510"/>
                        <wp:docPr id="37" name="图片 37" descr="微信图片_20251211084624_670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微信图片_20251211084624_670_45"/>
                                <pic:cNvPicPr>
                                  <a:picLocks noChangeAspect="1"/>
                                </pic:cNvPicPr>
                              </pic:nvPicPr>
                              <pic:blipFill>
                                <a:blip r:embed="rId43"/>
                                <a:stretch>
                                  <a:fillRect/>
                                </a:stretch>
                              </pic:blipFill>
                              <pic:spPr>
                                <a:xfrm>
                                  <a:off x="0" y="0"/>
                                  <a:ext cx="2543175" cy="1926590"/>
                                </a:xfrm>
                                <a:prstGeom prst="rect">
                                  <a:avLst/>
                                </a:prstGeom>
                              </pic:spPr>
                            </pic:pic>
                          </a:graphicData>
                        </a:graphic>
                      </wp:inline>
                    </w:drawing>
                  </w:r>
                </w:p>
              </w:tc>
            </w:tr>
            <w:tr w14:paraId="39609D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251" w:type="dxa"/>
                  <w:tcBorders>
                    <w:tl2br w:val="nil"/>
                    <w:tr2bl w:val="nil"/>
                  </w:tcBorders>
                  <w:noWrap w:val="0"/>
                  <w:vAlign w:val="center"/>
                </w:tcPr>
                <w:p w14:paraId="7E96B149">
                  <w:pPr>
                    <w:keepNext w:val="0"/>
                    <w:keepLines w:val="0"/>
                    <w:pageBreakBefore w:val="0"/>
                    <w:widowControl w:val="0"/>
                    <w:tabs>
                      <w:tab w:val="left" w:pos="420"/>
                      <w:tab w:val="left" w:pos="840"/>
                      <w:tab w:val="left" w:pos="12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lang w:val="en-US" w:eastAsia="zh-CN"/>
                    </w:rPr>
                  </w:pPr>
                  <w:r>
                    <w:rPr>
                      <w:rFonts w:hint="eastAsia" w:cs="Times New Roman"/>
                      <w:b/>
                      <w:bCs/>
                      <w:color w:val="auto"/>
                      <w:lang w:val="en-US" w:eastAsia="zh-CN"/>
                    </w:rPr>
                    <w:t>生态红线内地形地貌</w:t>
                  </w:r>
                </w:p>
              </w:tc>
              <w:tc>
                <w:tcPr>
                  <w:tcW w:w="4253" w:type="dxa"/>
                  <w:tcBorders>
                    <w:tl2br w:val="nil"/>
                    <w:tr2bl w:val="nil"/>
                  </w:tcBorders>
                  <w:noWrap w:val="0"/>
                  <w:vAlign w:val="center"/>
                </w:tcPr>
                <w:p w14:paraId="5E509AA9">
                  <w:pPr>
                    <w:keepNext w:val="0"/>
                    <w:keepLines w:val="0"/>
                    <w:pageBreakBefore w:val="0"/>
                    <w:widowControl w:val="0"/>
                    <w:tabs>
                      <w:tab w:val="left" w:pos="420"/>
                      <w:tab w:val="left" w:pos="840"/>
                      <w:tab w:val="left" w:pos="12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eastAsia" w:cs="Times New Roman"/>
                      <w:b/>
                      <w:bCs/>
                      <w:color w:val="auto"/>
                      <w:lang w:val="en-US" w:eastAsia="zh-CN"/>
                    </w:rPr>
                    <w:t>生态红线内地形地貌</w:t>
                  </w:r>
                </w:p>
              </w:tc>
            </w:tr>
            <w:tr w14:paraId="1581CA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504" w:type="dxa"/>
                  <w:gridSpan w:val="2"/>
                  <w:tcBorders>
                    <w:tl2br w:val="nil"/>
                    <w:tr2bl w:val="nil"/>
                  </w:tcBorders>
                  <w:noWrap w:val="0"/>
                  <w:vAlign w:val="center"/>
                </w:tcPr>
                <w:p w14:paraId="5DABE8F8">
                  <w:pPr>
                    <w:keepNext w:val="0"/>
                    <w:keepLines w:val="0"/>
                    <w:pageBreakBefore w:val="0"/>
                    <w:widowControl w:val="0"/>
                    <w:tabs>
                      <w:tab w:val="left" w:pos="420"/>
                      <w:tab w:val="left" w:pos="840"/>
                      <w:tab w:val="left" w:pos="12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4"/>
                      <w:highlight w:val="none"/>
                      <w:vertAlign w:val="baseline"/>
                      <w:lang w:val="en-US" w:eastAsia="zh-CN"/>
                    </w:rPr>
                  </w:pPr>
                  <w:r>
                    <w:rPr>
                      <w:rFonts w:hint="eastAsia" w:cs="Times New Roman"/>
                      <w:b/>
                      <w:bCs/>
                      <w:color w:val="auto"/>
                      <w:kern w:val="0"/>
                      <w:sz w:val="24"/>
                      <w:highlight w:val="none"/>
                      <w:vertAlign w:val="baseline"/>
                      <w:lang w:val="en-US" w:eastAsia="zh-CN"/>
                    </w:rPr>
                    <w:t xml:space="preserve">图3-1 </w:t>
                  </w:r>
                  <w:r>
                    <w:rPr>
                      <w:rFonts w:hint="default" w:ascii="Times New Roman" w:hAnsi="Times New Roman" w:eastAsia="宋体" w:cs="Times New Roman"/>
                      <w:b/>
                      <w:bCs/>
                      <w:color w:val="auto"/>
                      <w:kern w:val="0"/>
                      <w:sz w:val="24"/>
                      <w:highlight w:val="none"/>
                      <w:vertAlign w:val="baseline"/>
                      <w:lang w:val="en-US" w:eastAsia="zh-CN"/>
                    </w:rPr>
                    <w:t>沿线地形地貌</w:t>
                  </w:r>
                </w:p>
              </w:tc>
            </w:tr>
          </w:tbl>
          <w:p w14:paraId="2F607B0E">
            <w:pPr>
              <w:keepNext w:val="0"/>
              <w:keepLines w:val="0"/>
              <w:pageBreakBefore w:val="0"/>
              <w:widowControl w:val="0"/>
              <w:tabs>
                <w:tab w:val="left" w:pos="420"/>
                <w:tab w:val="left" w:pos="840"/>
                <w:tab w:val="left" w:pos="1260"/>
              </w:tabs>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kern w:val="0"/>
                <w:sz w:val="24"/>
                <w:szCs w:val="24"/>
                <w:highlight w:val="none"/>
                <w:lang w:eastAsia="zh-CN"/>
              </w:rPr>
            </w:pPr>
            <w:r>
              <w:rPr>
                <w:rFonts w:hint="default" w:ascii="Times New Roman" w:hAnsi="Times New Roman" w:eastAsia="宋体" w:cs="Times New Roman"/>
                <w:b/>
                <w:bCs/>
                <w:color w:val="auto"/>
                <w:sz w:val="24"/>
                <w:szCs w:val="24"/>
                <w:highlight w:val="none"/>
                <w:lang w:val="en-US" w:eastAsia="zh-CN"/>
              </w:rPr>
              <w:t>⑵</w:t>
            </w:r>
            <w:r>
              <w:rPr>
                <w:rFonts w:hint="default" w:ascii="Times New Roman" w:hAnsi="Times New Roman" w:eastAsia="宋体" w:cs="Times New Roman"/>
                <w:b/>
                <w:bCs/>
                <w:color w:val="auto"/>
                <w:sz w:val="24"/>
                <w:szCs w:val="24"/>
                <w:highlight w:val="none"/>
              </w:rPr>
              <w:t>地</w:t>
            </w:r>
            <w:r>
              <w:rPr>
                <w:rFonts w:hint="default" w:ascii="Times New Roman" w:hAnsi="Times New Roman" w:eastAsia="宋体" w:cs="Times New Roman"/>
                <w:b/>
                <w:bCs/>
                <w:color w:val="auto"/>
                <w:sz w:val="24"/>
                <w:szCs w:val="24"/>
                <w:highlight w:val="none"/>
                <w:lang w:val="en-US" w:eastAsia="zh-CN"/>
              </w:rPr>
              <w:t>质</w:t>
            </w:r>
          </w:p>
          <w:p w14:paraId="1C1709CC">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将项目区地基土进行工程地质分层，地层岩性及其分布和特性自上而下描述如下：</w:t>
            </w:r>
          </w:p>
          <w:p w14:paraId="3820FB42">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N1~N19、N21~N52、N54~N80</w:t>
            </w:r>
          </w:p>
          <w:p w14:paraId="48A6A324">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①1耕</w:t>
            </w:r>
            <w:r>
              <w:rPr>
                <w:rFonts w:hint="eastAsia" w:cs="Times New Roman"/>
                <w:color w:val="auto"/>
                <w:kern w:val="0"/>
                <w:sz w:val="24"/>
                <w:szCs w:val="24"/>
                <w:lang w:val="en-US" w:eastAsia="zh-CN" w:bidi="ar"/>
              </w:rPr>
              <w:t>植</w:t>
            </w:r>
            <w:r>
              <w:rPr>
                <w:rFonts w:hint="default" w:ascii="Times New Roman" w:hAnsi="Times New Roman" w:eastAsia="宋体" w:cs="Times New Roman"/>
                <w:color w:val="auto"/>
                <w:kern w:val="0"/>
                <w:sz w:val="24"/>
                <w:szCs w:val="24"/>
                <w:lang w:val="en-US" w:eastAsia="zh-CN" w:bidi="ar"/>
              </w:rPr>
              <w:t>土（Q</w:t>
            </w:r>
            <w:r>
              <w:rPr>
                <w:rFonts w:hint="default" w:ascii="Times New Roman" w:hAnsi="Times New Roman" w:eastAsia="宋体" w:cs="Times New Roman"/>
                <w:color w:val="auto"/>
                <w:kern w:val="0"/>
                <w:sz w:val="24"/>
                <w:szCs w:val="24"/>
                <w:vertAlign w:val="subscript"/>
                <w:lang w:val="en-US" w:eastAsia="zh-CN" w:bidi="ar"/>
              </w:rPr>
              <w:t>4</w:t>
            </w:r>
            <w:r>
              <w:rPr>
                <w:rFonts w:hint="default" w:ascii="Times New Roman" w:hAnsi="Times New Roman" w:eastAsia="宋体" w:cs="Times New Roman"/>
                <w:color w:val="auto"/>
                <w:kern w:val="0"/>
                <w:sz w:val="24"/>
                <w:szCs w:val="24"/>
                <w:vertAlign w:val="superscript"/>
                <w:lang w:val="en-US" w:eastAsia="zh-CN" w:bidi="ar"/>
              </w:rPr>
              <w:t>ml</w:t>
            </w:r>
            <w:r>
              <w:rPr>
                <w:rFonts w:hint="default" w:ascii="Times New Roman" w:hAnsi="Times New Roman" w:eastAsia="宋体" w:cs="Times New Roman"/>
                <w:color w:val="auto"/>
                <w:kern w:val="0"/>
                <w:sz w:val="24"/>
                <w:szCs w:val="24"/>
                <w:lang w:val="en-US" w:eastAsia="zh-CN" w:bidi="ar"/>
              </w:rPr>
              <w:t>）：浅黄－褐黄色，稍湿，松散，成分主要为粉土，含较多植物根系，层厚约</w:t>
            </w:r>
            <w:r>
              <w:rPr>
                <w:rFonts w:hint="eastAsia" w:cs="Times New Roman"/>
                <w:color w:val="auto"/>
                <w:kern w:val="0"/>
                <w:sz w:val="24"/>
                <w:szCs w:val="24"/>
                <w:lang w:val="en-US" w:eastAsia="zh-CN" w:bidi="ar"/>
              </w:rPr>
              <w:t>1.0</w:t>
            </w:r>
            <w:r>
              <w:rPr>
                <w:rFonts w:hint="default" w:ascii="Times New Roman" w:hAnsi="Times New Roman" w:eastAsia="宋体" w:cs="Times New Roman"/>
                <w:color w:val="auto"/>
                <w:kern w:val="0"/>
                <w:sz w:val="24"/>
                <w:szCs w:val="24"/>
                <w:lang w:val="en-US" w:eastAsia="zh-CN" w:bidi="ar"/>
              </w:rPr>
              <w:t>m</w:t>
            </w:r>
            <w:r>
              <w:rPr>
                <w:rFonts w:hint="eastAsia" w:cs="Times New Roman"/>
                <w:color w:val="auto"/>
                <w:kern w:val="0"/>
                <w:sz w:val="24"/>
                <w:szCs w:val="24"/>
                <w:lang w:val="en-US" w:eastAsia="zh-CN" w:bidi="ar"/>
              </w:rPr>
              <w:t>，该层多位于线路表层，在沿线绝大多数塔位分布。</w:t>
            </w:r>
            <w:r>
              <w:rPr>
                <w:rFonts w:hint="default" w:ascii="Times New Roman" w:hAnsi="Times New Roman" w:eastAsia="宋体" w:cs="Times New Roman"/>
                <w:color w:val="auto"/>
                <w:kern w:val="0"/>
                <w:sz w:val="24"/>
                <w:szCs w:val="24"/>
                <w:lang w:val="en-US" w:eastAsia="zh-CN" w:bidi="ar"/>
              </w:rPr>
              <w:t xml:space="preserve"> </w:t>
            </w:r>
          </w:p>
          <w:p w14:paraId="53DB3ACF">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②2素填土（Q</w:t>
            </w:r>
            <w:r>
              <w:rPr>
                <w:rFonts w:hint="default" w:ascii="Times New Roman" w:hAnsi="Times New Roman" w:eastAsia="宋体" w:cs="Times New Roman"/>
                <w:color w:val="auto"/>
                <w:kern w:val="0"/>
                <w:sz w:val="24"/>
                <w:szCs w:val="24"/>
                <w:vertAlign w:val="subscript"/>
                <w:lang w:val="en-US" w:eastAsia="zh-CN" w:bidi="ar"/>
              </w:rPr>
              <w:t>4</w:t>
            </w:r>
            <w:r>
              <w:rPr>
                <w:rFonts w:hint="default" w:ascii="Times New Roman" w:hAnsi="Times New Roman" w:eastAsia="宋体" w:cs="Times New Roman"/>
                <w:color w:val="auto"/>
                <w:kern w:val="0"/>
                <w:sz w:val="24"/>
                <w:szCs w:val="24"/>
                <w:vertAlign w:val="superscript"/>
                <w:lang w:val="en-US" w:eastAsia="zh-CN" w:bidi="ar"/>
              </w:rPr>
              <w:t>ml</w:t>
            </w:r>
            <w:r>
              <w:rPr>
                <w:rFonts w:hint="default" w:ascii="Times New Roman" w:hAnsi="Times New Roman" w:eastAsia="宋体" w:cs="Times New Roman"/>
                <w:color w:val="auto"/>
                <w:kern w:val="0"/>
                <w:sz w:val="24"/>
                <w:szCs w:val="24"/>
                <w:lang w:val="en-US" w:eastAsia="zh-CN" w:bidi="ar"/>
              </w:rPr>
              <w:t>）：浅黄-褐黄色，稍湿，松散~稍密，成分主要为黄土，系原黄土丘陵耕田进行高标准农田建设面积外扩，整平压实所成，该层在沿线部分塔位有分布，位于线路表层，层厚约1.0m。</w:t>
            </w:r>
          </w:p>
          <w:p w14:paraId="2843F8E2">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③黄土（Q</w:t>
            </w:r>
            <w:r>
              <w:rPr>
                <w:rFonts w:hint="default" w:ascii="Times New Roman" w:hAnsi="Times New Roman" w:eastAsia="宋体" w:cs="Times New Roman"/>
                <w:color w:val="auto"/>
                <w:kern w:val="0"/>
                <w:sz w:val="24"/>
                <w:szCs w:val="24"/>
                <w:vertAlign w:val="subscript"/>
                <w:lang w:val="en-US" w:eastAsia="zh-CN" w:bidi="ar"/>
              </w:rPr>
              <w:t>4</w:t>
            </w:r>
            <w:r>
              <w:rPr>
                <w:rFonts w:hint="default" w:ascii="Times New Roman" w:hAnsi="Times New Roman" w:eastAsia="宋体" w:cs="Times New Roman"/>
                <w:color w:val="auto"/>
                <w:kern w:val="0"/>
                <w:sz w:val="24"/>
                <w:szCs w:val="24"/>
                <w:vertAlign w:val="superscript"/>
                <w:lang w:val="en-US" w:eastAsia="zh-CN" w:bidi="ar"/>
              </w:rPr>
              <w:t>eol</w:t>
            </w:r>
            <w:r>
              <w:rPr>
                <w:rFonts w:hint="default" w:ascii="Times New Roman" w:hAnsi="Times New Roman" w:eastAsia="宋体" w:cs="Times New Roman"/>
                <w:color w:val="auto"/>
                <w:kern w:val="0"/>
                <w:sz w:val="24"/>
                <w:szCs w:val="24"/>
                <w:lang w:val="en-US" w:eastAsia="zh-CN" w:bidi="ar"/>
              </w:rPr>
              <w:t>）：褐黄色，稍湿，稍密-中密，垂直节理发育，可见虫孔隙及植物根系，偶含白色菌丝状和条带状钙质粉末，土质较均匀，具湿陷性，该层在勘探深度内未揭穿，层厚大于15m，该层在全线均有分布。</w:t>
            </w:r>
          </w:p>
          <w:p w14:paraId="603BE5D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⑶</w:t>
            </w:r>
            <w:r>
              <w:rPr>
                <w:rFonts w:hint="default" w:ascii="Times New Roman" w:hAnsi="Times New Roman" w:cs="Times New Roman"/>
                <w:b/>
                <w:bCs/>
                <w:color w:val="auto"/>
                <w:sz w:val="24"/>
                <w:highlight w:val="none"/>
              </w:rPr>
              <w:t>气候气象</w:t>
            </w:r>
          </w:p>
          <w:p w14:paraId="5395DA7C">
            <w:pPr>
              <w:adjustRightInd w:val="0"/>
              <w:snapToGrid w:val="0"/>
              <w:spacing w:line="360" w:lineRule="auto"/>
              <w:ind w:firstLine="480" w:firstLineChars="200"/>
              <w:outlineLvl w:val="0"/>
              <w:rPr>
                <w:rFonts w:hint="default" w:ascii="Times New Roman" w:hAnsi="Times New Roman" w:cs="Times New Roman"/>
                <w:color w:val="auto"/>
                <w:kern w:val="0"/>
                <w:sz w:val="24"/>
                <w:szCs w:val="18"/>
                <w:highlight w:val="none"/>
                <w:lang w:val="en-US" w:eastAsia="zh-CN"/>
              </w:rPr>
            </w:pPr>
            <w:bookmarkStart w:id="98" w:name="_Toc152582979"/>
            <w:bookmarkStart w:id="99" w:name="_Toc23562"/>
            <w:bookmarkStart w:id="100" w:name="_Toc10925"/>
            <w:bookmarkStart w:id="101" w:name="_Toc19999"/>
            <w:bookmarkStart w:id="102" w:name="_Toc20462"/>
            <w:bookmarkStart w:id="103" w:name="_Toc5775"/>
            <w:bookmarkStart w:id="104" w:name="_Toc5572"/>
            <w:bookmarkStart w:id="105" w:name="_Toc29320"/>
            <w:bookmarkStart w:id="106" w:name="_Toc32680"/>
            <w:bookmarkStart w:id="107" w:name="_Toc14444"/>
            <w:bookmarkStart w:id="108" w:name="_Toc11303"/>
            <w:bookmarkStart w:id="109" w:name="_Toc19484"/>
            <w:r>
              <w:rPr>
                <w:rFonts w:hint="default" w:ascii="Times New Roman" w:hAnsi="Times New Roman" w:cs="Times New Roman"/>
                <w:color w:val="auto"/>
                <w:sz w:val="24"/>
                <w:highlight w:val="none"/>
              </w:rPr>
              <w:t>本</w:t>
            </w:r>
            <w:r>
              <w:rPr>
                <w:rFonts w:hint="default" w:ascii="Times New Roman" w:hAnsi="Times New Roman" w:cs="Times New Roman"/>
                <w:color w:val="auto"/>
                <w:sz w:val="24"/>
                <w:highlight w:val="none"/>
                <w:lang w:val="en-US" w:eastAsia="zh-CN"/>
              </w:rPr>
              <w:t>工程</w:t>
            </w:r>
            <w:r>
              <w:rPr>
                <w:rFonts w:hint="default" w:ascii="Times New Roman" w:hAnsi="Times New Roman" w:cs="Times New Roman"/>
                <w:color w:val="auto"/>
                <w:sz w:val="24"/>
                <w:highlight w:val="none"/>
              </w:rPr>
              <w:t>位于</w:t>
            </w:r>
            <w:bookmarkEnd w:id="98"/>
            <w:bookmarkEnd w:id="99"/>
            <w:bookmarkEnd w:id="100"/>
            <w:bookmarkEnd w:id="101"/>
            <w:bookmarkEnd w:id="102"/>
            <w:bookmarkEnd w:id="103"/>
            <w:bookmarkEnd w:id="104"/>
            <w:bookmarkStart w:id="110" w:name="_Toc152582981"/>
            <w:r>
              <w:rPr>
                <w:rFonts w:hint="default" w:ascii="Times New Roman" w:hAnsi="Times New Roman" w:cs="Times New Roman"/>
                <w:color w:val="auto"/>
                <w:sz w:val="24"/>
                <w:highlight w:val="none"/>
                <w:lang w:eastAsia="zh-CN"/>
              </w:rPr>
              <w:t>宁夏回族自治区固原市原州区、彭阳县</w:t>
            </w:r>
            <w:r>
              <w:rPr>
                <w:rFonts w:hint="default" w:ascii="Times New Roman" w:hAnsi="Times New Roman" w:cs="Times New Roman"/>
                <w:color w:val="auto"/>
                <w:sz w:val="24"/>
                <w:highlight w:val="none"/>
                <w:lang w:val="en-US" w:eastAsia="zh-CN"/>
              </w:rPr>
              <w:t>，</w:t>
            </w:r>
            <w:bookmarkEnd w:id="110"/>
            <w:r>
              <w:rPr>
                <w:rFonts w:hint="default" w:ascii="Times New Roman" w:hAnsi="Times New Roman" w:cs="Times New Roman"/>
                <w:color w:val="auto"/>
                <w:sz w:val="24"/>
                <w:highlight w:val="none"/>
                <w:lang w:val="en-US" w:eastAsia="zh-CN"/>
              </w:rPr>
              <w:t>属温带半干旱气候。全年大部分时间受高压空西北风的环流影响，受青藏高原大气团的控制，境内降水少、蒸发量大，干燥度较高，大陆性气候特征明显，四季气候分明</w:t>
            </w:r>
            <w:r>
              <w:rPr>
                <w:rFonts w:hint="eastAsia" w:cs="Times New Roman"/>
                <w:color w:val="auto"/>
                <w:sz w:val="24"/>
                <w:highlight w:val="none"/>
                <w:lang w:val="en-US" w:eastAsia="zh-CN"/>
              </w:rPr>
              <w:t>。</w:t>
            </w:r>
            <w:r>
              <w:rPr>
                <w:rFonts w:hint="default" w:ascii="Times New Roman" w:hAnsi="Times New Roman" w:cs="Times New Roman"/>
                <w:color w:val="auto"/>
                <w:kern w:val="0"/>
                <w:sz w:val="24"/>
                <w:szCs w:val="18"/>
                <w:highlight w:val="none"/>
                <w:lang w:val="en-US" w:eastAsia="zh-CN"/>
              </w:rPr>
              <w:t>固原市气象站地理位置为东经106.2</w:t>
            </w:r>
            <w:r>
              <w:rPr>
                <w:rFonts w:hint="eastAsia" w:cs="Times New Roman"/>
                <w:color w:val="auto"/>
                <w:kern w:val="0"/>
                <w:sz w:val="24"/>
                <w:szCs w:val="18"/>
                <w:highlight w:val="none"/>
                <w:lang w:val="en-US" w:eastAsia="zh-CN"/>
              </w:rPr>
              <w:t>7</w:t>
            </w:r>
            <w:r>
              <w:rPr>
                <w:rFonts w:hint="default" w:ascii="Times New Roman" w:hAnsi="Times New Roman" w:cs="Times New Roman"/>
                <w:color w:val="auto"/>
                <w:kern w:val="0"/>
                <w:sz w:val="24"/>
                <w:szCs w:val="18"/>
                <w:highlight w:val="none"/>
                <w:lang w:val="en-US" w:eastAsia="zh-CN"/>
              </w:rPr>
              <w:t>°，北纬3</w:t>
            </w:r>
            <w:r>
              <w:rPr>
                <w:rFonts w:hint="eastAsia" w:cs="Times New Roman"/>
                <w:color w:val="auto"/>
                <w:kern w:val="0"/>
                <w:sz w:val="24"/>
                <w:szCs w:val="18"/>
                <w:highlight w:val="none"/>
                <w:lang w:val="en-US" w:eastAsia="zh-CN"/>
              </w:rPr>
              <w:t>6.00</w:t>
            </w:r>
            <w:r>
              <w:rPr>
                <w:rFonts w:hint="default" w:ascii="Times New Roman" w:hAnsi="Times New Roman" w:cs="Times New Roman"/>
                <w:color w:val="auto"/>
                <w:kern w:val="0"/>
                <w:sz w:val="24"/>
                <w:szCs w:val="18"/>
                <w:highlight w:val="none"/>
                <w:lang w:val="en-US" w:eastAsia="zh-CN"/>
              </w:rPr>
              <w:t>°，海拔17</w:t>
            </w:r>
            <w:r>
              <w:rPr>
                <w:rFonts w:hint="eastAsia" w:cs="Times New Roman"/>
                <w:color w:val="auto"/>
                <w:kern w:val="0"/>
                <w:sz w:val="24"/>
                <w:szCs w:val="18"/>
                <w:highlight w:val="none"/>
                <w:lang w:val="en-US" w:eastAsia="zh-CN"/>
              </w:rPr>
              <w:t>54</w:t>
            </w:r>
            <w:r>
              <w:rPr>
                <w:rFonts w:hint="default" w:ascii="Times New Roman" w:hAnsi="Times New Roman" w:cs="Times New Roman"/>
                <w:color w:val="auto"/>
                <w:kern w:val="0"/>
                <w:sz w:val="24"/>
                <w:szCs w:val="18"/>
                <w:highlight w:val="none"/>
                <w:lang w:val="en-US" w:eastAsia="zh-CN"/>
              </w:rPr>
              <w:t>m</w:t>
            </w:r>
            <w:r>
              <w:rPr>
                <w:rFonts w:hint="eastAsia" w:cs="Times New Roman"/>
                <w:color w:val="auto"/>
                <w:kern w:val="0"/>
                <w:sz w:val="24"/>
                <w:szCs w:val="18"/>
                <w:highlight w:val="none"/>
                <w:lang w:val="en-US" w:eastAsia="zh-CN"/>
              </w:rPr>
              <w:t>；彭阳县</w:t>
            </w:r>
            <w:r>
              <w:rPr>
                <w:rFonts w:hint="default" w:ascii="Times New Roman" w:hAnsi="Times New Roman" w:cs="Times New Roman"/>
                <w:color w:val="auto"/>
                <w:kern w:val="0"/>
                <w:sz w:val="24"/>
                <w:szCs w:val="18"/>
                <w:highlight w:val="none"/>
                <w:lang w:val="en-US" w:eastAsia="zh-CN"/>
              </w:rPr>
              <w:t>气象站地理位置为东经106.</w:t>
            </w:r>
            <w:r>
              <w:rPr>
                <w:rFonts w:hint="eastAsia" w:cs="Times New Roman"/>
                <w:color w:val="auto"/>
                <w:kern w:val="0"/>
                <w:sz w:val="24"/>
                <w:szCs w:val="18"/>
                <w:highlight w:val="none"/>
                <w:lang w:val="en-US" w:eastAsia="zh-CN"/>
              </w:rPr>
              <w:t>13</w:t>
            </w:r>
            <w:r>
              <w:rPr>
                <w:rFonts w:hint="default" w:ascii="Times New Roman" w:hAnsi="Times New Roman" w:cs="Times New Roman"/>
                <w:color w:val="auto"/>
                <w:kern w:val="0"/>
                <w:sz w:val="24"/>
                <w:szCs w:val="18"/>
                <w:highlight w:val="none"/>
                <w:lang w:val="en-US" w:eastAsia="zh-CN"/>
              </w:rPr>
              <w:t>°，北纬3</w:t>
            </w:r>
            <w:r>
              <w:rPr>
                <w:rFonts w:hint="eastAsia" w:cs="Times New Roman"/>
                <w:color w:val="auto"/>
                <w:kern w:val="0"/>
                <w:sz w:val="24"/>
                <w:szCs w:val="18"/>
                <w:highlight w:val="none"/>
                <w:lang w:val="en-US" w:eastAsia="zh-CN"/>
              </w:rPr>
              <w:t>8.29</w:t>
            </w:r>
            <w:r>
              <w:rPr>
                <w:rFonts w:hint="default" w:ascii="Times New Roman" w:hAnsi="Times New Roman" w:cs="Times New Roman"/>
                <w:color w:val="auto"/>
                <w:kern w:val="0"/>
                <w:sz w:val="24"/>
                <w:szCs w:val="18"/>
                <w:highlight w:val="none"/>
                <w:lang w:val="en-US" w:eastAsia="zh-CN"/>
              </w:rPr>
              <w:t>°，海拔1</w:t>
            </w:r>
            <w:r>
              <w:rPr>
                <w:rFonts w:hint="eastAsia" w:cs="Times New Roman"/>
                <w:color w:val="auto"/>
                <w:kern w:val="0"/>
                <w:sz w:val="24"/>
                <w:szCs w:val="18"/>
                <w:highlight w:val="none"/>
                <w:lang w:val="en-US" w:eastAsia="zh-CN"/>
              </w:rPr>
              <w:t>112.7</w:t>
            </w:r>
            <w:r>
              <w:rPr>
                <w:rFonts w:hint="default" w:ascii="Times New Roman" w:hAnsi="Times New Roman" w:cs="Times New Roman"/>
                <w:color w:val="auto"/>
                <w:kern w:val="0"/>
                <w:sz w:val="24"/>
                <w:szCs w:val="18"/>
                <w:highlight w:val="none"/>
                <w:lang w:val="en-US" w:eastAsia="zh-CN"/>
              </w:rPr>
              <w:t>m。固原市气象站和彭阳县气象站2004—2023年近20年气象要素统计见表3-1。</w:t>
            </w:r>
            <w:bookmarkEnd w:id="105"/>
            <w:bookmarkEnd w:id="106"/>
            <w:bookmarkEnd w:id="107"/>
          </w:p>
          <w:bookmarkEnd w:id="108"/>
          <w:bookmarkEnd w:id="109"/>
          <w:p w14:paraId="0CAB8253">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1  固原市、彭阳县近</w:t>
            </w:r>
            <w:r>
              <w:rPr>
                <w:rFonts w:hint="default" w:ascii="Times New Roman" w:hAnsi="Times New Roman" w:eastAsia="宋体" w:cs="Times New Roman"/>
                <w:b/>
                <w:bCs/>
                <w:color w:val="auto"/>
                <w:sz w:val="24"/>
                <w:highlight w:val="none"/>
              </w:rPr>
              <w:t>20年主要气候特征统计表（200</w:t>
            </w:r>
            <w:r>
              <w:rPr>
                <w:rFonts w:hint="eastAsia"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年</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202</w:t>
            </w:r>
            <w:r>
              <w:rPr>
                <w:rFonts w:hint="eastAsia"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年）</w:t>
            </w:r>
          </w:p>
          <w:tbl>
            <w:tblPr>
              <w:tblStyle w:val="83"/>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376"/>
              <w:gridCol w:w="3437"/>
              <w:gridCol w:w="1863"/>
              <w:gridCol w:w="1874"/>
            </w:tblGrid>
            <w:tr w14:paraId="2F4628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123" w:type="dxa"/>
                  <w:gridSpan w:val="2"/>
                  <w:tcBorders>
                    <w:tl2br w:val="nil"/>
                    <w:tr2bl w:val="nil"/>
                  </w:tcBorders>
                  <w:noWrap w:val="0"/>
                  <w:vAlign w:val="center"/>
                </w:tcPr>
                <w:p w14:paraId="5538AADA">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站名</w:t>
                  </w:r>
                </w:p>
              </w:tc>
              <w:tc>
                <w:tcPr>
                  <w:tcW w:w="1983" w:type="dxa"/>
                  <w:tcBorders>
                    <w:tl2br w:val="nil"/>
                    <w:tr2bl w:val="nil"/>
                  </w:tcBorders>
                  <w:noWrap w:val="0"/>
                  <w:vAlign w:val="center"/>
                </w:tcPr>
                <w:p w14:paraId="12856984">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5"/>
                      <w:sz w:val="21"/>
                      <w:szCs w:val="21"/>
                    </w:rPr>
                    <w:t>固原</w:t>
                  </w:r>
                  <w:r>
                    <w:rPr>
                      <w:rFonts w:hint="default" w:ascii="Times New Roman" w:hAnsi="Times New Roman" w:eastAsia="宋体" w:cs="Times New Roman"/>
                      <w:b/>
                      <w:bCs/>
                      <w:color w:val="auto"/>
                      <w:spacing w:val="-5"/>
                      <w:sz w:val="21"/>
                      <w:szCs w:val="21"/>
                      <w:lang w:val="en-US" w:eastAsia="zh-CN"/>
                    </w:rPr>
                    <w:t>市</w:t>
                  </w:r>
                  <w:r>
                    <w:rPr>
                      <w:rFonts w:hint="default" w:ascii="Times New Roman" w:hAnsi="Times New Roman" w:eastAsia="宋体" w:cs="Times New Roman"/>
                      <w:b/>
                      <w:bCs/>
                      <w:color w:val="auto"/>
                      <w:spacing w:val="-5"/>
                      <w:sz w:val="21"/>
                      <w:szCs w:val="21"/>
                    </w:rPr>
                    <w:t>气象站</w:t>
                  </w:r>
                </w:p>
              </w:tc>
              <w:tc>
                <w:tcPr>
                  <w:tcW w:w="1995" w:type="dxa"/>
                  <w:tcBorders>
                    <w:tl2br w:val="nil"/>
                    <w:tr2bl w:val="nil"/>
                  </w:tcBorders>
                  <w:noWrap w:val="0"/>
                  <w:vAlign w:val="center"/>
                </w:tcPr>
                <w:p w14:paraId="27F08E13">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彭阳</w:t>
                  </w:r>
                  <w:r>
                    <w:rPr>
                      <w:rFonts w:hint="default" w:ascii="Times New Roman" w:hAnsi="Times New Roman" w:cs="Times New Roman"/>
                      <w:b/>
                      <w:bCs/>
                      <w:color w:val="auto"/>
                      <w:spacing w:val="4"/>
                      <w:sz w:val="21"/>
                      <w:szCs w:val="21"/>
                      <w:lang w:val="en-US" w:eastAsia="zh-CN"/>
                    </w:rPr>
                    <w:t>县</w:t>
                  </w:r>
                  <w:r>
                    <w:rPr>
                      <w:rFonts w:hint="default" w:ascii="Times New Roman" w:hAnsi="Times New Roman" w:eastAsia="宋体" w:cs="Times New Roman"/>
                      <w:b/>
                      <w:bCs/>
                      <w:color w:val="auto"/>
                      <w:spacing w:val="-5"/>
                      <w:sz w:val="21"/>
                      <w:szCs w:val="21"/>
                    </w:rPr>
                    <w:t>气象站</w:t>
                  </w:r>
                </w:p>
              </w:tc>
            </w:tr>
            <w:tr w14:paraId="75D141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123" w:type="dxa"/>
                  <w:gridSpan w:val="2"/>
                  <w:tcBorders>
                    <w:tl2br w:val="nil"/>
                    <w:tr2bl w:val="nil"/>
                  </w:tcBorders>
                  <w:noWrap w:val="0"/>
                  <w:vAlign w:val="center"/>
                </w:tcPr>
                <w:p w14:paraId="4BE5D6B4">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8"/>
                      <w:sz w:val="21"/>
                      <w:szCs w:val="21"/>
                    </w:rPr>
                    <w:t>平均气压（</w:t>
                  </w:r>
                  <w:r>
                    <w:rPr>
                      <w:rFonts w:hint="default" w:ascii="Times New Roman" w:hAnsi="Times New Roman" w:eastAsia="宋体" w:cs="Times New Roman"/>
                      <w:b w:val="0"/>
                      <w:bCs w:val="0"/>
                      <w:color w:val="auto"/>
                      <w:sz w:val="21"/>
                      <w:szCs w:val="21"/>
                    </w:rPr>
                    <w:t>hPa</w:t>
                  </w:r>
                  <w:r>
                    <w:rPr>
                      <w:rFonts w:hint="default" w:ascii="Times New Roman" w:hAnsi="Times New Roman" w:eastAsia="宋体" w:cs="Times New Roman"/>
                      <w:b w:val="0"/>
                      <w:bCs w:val="0"/>
                      <w:color w:val="auto"/>
                      <w:spacing w:val="8"/>
                      <w:sz w:val="21"/>
                      <w:szCs w:val="21"/>
                    </w:rPr>
                    <w:t>）</w:t>
                  </w:r>
                </w:p>
              </w:tc>
              <w:tc>
                <w:tcPr>
                  <w:tcW w:w="1983" w:type="dxa"/>
                  <w:tcBorders>
                    <w:tl2br w:val="nil"/>
                    <w:tr2bl w:val="nil"/>
                  </w:tcBorders>
                  <w:noWrap w:val="0"/>
                  <w:vAlign w:val="center"/>
                </w:tcPr>
                <w:p w14:paraId="38C6EF85">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825</w:t>
                  </w:r>
                </w:p>
              </w:tc>
              <w:tc>
                <w:tcPr>
                  <w:tcW w:w="1995" w:type="dxa"/>
                  <w:tcBorders>
                    <w:tl2br w:val="nil"/>
                    <w:tr2bl w:val="nil"/>
                  </w:tcBorders>
                  <w:noWrap w:val="0"/>
                  <w:vAlign w:val="center"/>
                </w:tcPr>
                <w:p w14:paraId="6E6E251D">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852.5</w:t>
                  </w:r>
                </w:p>
              </w:tc>
            </w:tr>
            <w:tr w14:paraId="446088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465" w:type="dxa"/>
                  <w:vMerge w:val="restart"/>
                  <w:tcBorders>
                    <w:tl2br w:val="nil"/>
                    <w:tr2bl w:val="nil"/>
                  </w:tcBorders>
                  <w:noWrap w:val="0"/>
                  <w:vAlign w:val="center"/>
                </w:tcPr>
                <w:p w14:paraId="40A1B24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p>
                <w:p w14:paraId="3042A5E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p>
                <w:p w14:paraId="53019CC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p>
                <w:p w14:paraId="0A30E608">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pacing w:val="5"/>
                      <w:sz w:val="21"/>
                      <w:szCs w:val="21"/>
                    </w:rPr>
                    <w:t>气温</w:t>
                  </w:r>
                  <w:r>
                    <w:rPr>
                      <w:rFonts w:hint="default" w:ascii="Times New Roman" w:hAnsi="Times New Roman" w:eastAsia="宋体" w:cs="Times New Roman"/>
                      <w:b w:val="0"/>
                      <w:bCs w:val="0"/>
                      <w:color w:val="auto"/>
                      <w:spacing w:val="5"/>
                      <w:sz w:val="21"/>
                      <w:szCs w:val="21"/>
                      <w:lang w:eastAsia="zh-CN"/>
                    </w:rPr>
                    <w:t>（</w:t>
                  </w:r>
                  <w:r>
                    <w:rPr>
                      <w:rFonts w:hint="default" w:ascii="Times New Roman" w:hAnsi="Times New Roman" w:eastAsia="宋体" w:cs="Times New Roman"/>
                      <w:b w:val="0"/>
                      <w:bCs w:val="0"/>
                      <w:color w:val="auto"/>
                      <w:spacing w:val="5"/>
                      <w:sz w:val="21"/>
                      <w:szCs w:val="21"/>
                    </w:rPr>
                    <w:t>℃</w:t>
                  </w:r>
                  <w:r>
                    <w:rPr>
                      <w:rFonts w:hint="default" w:ascii="Times New Roman" w:hAnsi="Times New Roman" w:eastAsia="宋体" w:cs="Times New Roman"/>
                      <w:b w:val="0"/>
                      <w:bCs w:val="0"/>
                      <w:color w:val="auto"/>
                      <w:spacing w:val="5"/>
                      <w:sz w:val="21"/>
                      <w:szCs w:val="21"/>
                      <w:lang w:eastAsia="zh-CN"/>
                    </w:rPr>
                    <w:t>）</w:t>
                  </w:r>
                </w:p>
              </w:tc>
              <w:tc>
                <w:tcPr>
                  <w:tcW w:w="3658" w:type="dxa"/>
                  <w:tcBorders>
                    <w:tl2br w:val="nil"/>
                    <w:tr2bl w:val="nil"/>
                  </w:tcBorders>
                  <w:noWrap w:val="0"/>
                  <w:vAlign w:val="center"/>
                </w:tcPr>
                <w:p w14:paraId="112A1D92">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平均</w:t>
                  </w:r>
                </w:p>
              </w:tc>
              <w:tc>
                <w:tcPr>
                  <w:tcW w:w="1983" w:type="dxa"/>
                  <w:tcBorders>
                    <w:tl2br w:val="nil"/>
                    <w:tr2bl w:val="nil"/>
                  </w:tcBorders>
                  <w:noWrap w:val="0"/>
                  <w:vAlign w:val="center"/>
                </w:tcPr>
                <w:p w14:paraId="666C33CF">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6.7</w:t>
                  </w:r>
                </w:p>
              </w:tc>
              <w:tc>
                <w:tcPr>
                  <w:tcW w:w="1995" w:type="dxa"/>
                  <w:tcBorders>
                    <w:tl2br w:val="nil"/>
                    <w:tr2bl w:val="nil"/>
                  </w:tcBorders>
                  <w:noWrap w:val="0"/>
                  <w:vAlign w:val="center"/>
                </w:tcPr>
                <w:p w14:paraId="030C2577">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7.7</w:t>
                  </w:r>
                </w:p>
              </w:tc>
            </w:tr>
            <w:tr w14:paraId="6C7453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465" w:type="dxa"/>
                  <w:vMerge w:val="continue"/>
                  <w:tcBorders>
                    <w:tl2br w:val="nil"/>
                    <w:tr2bl w:val="nil"/>
                  </w:tcBorders>
                  <w:noWrap w:val="0"/>
                  <w:vAlign w:val="center"/>
                </w:tcPr>
                <w:p w14:paraId="3FF5706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p>
              </w:tc>
              <w:tc>
                <w:tcPr>
                  <w:tcW w:w="3658" w:type="dxa"/>
                  <w:tcBorders>
                    <w:tl2br w:val="nil"/>
                    <w:tr2bl w:val="nil"/>
                  </w:tcBorders>
                  <w:noWrap w:val="0"/>
                  <w:vAlign w:val="center"/>
                </w:tcPr>
                <w:p w14:paraId="312EA623">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7"/>
                      <w:sz w:val="21"/>
                      <w:szCs w:val="21"/>
                    </w:rPr>
                    <w:t>最大日温差</w:t>
                  </w:r>
                </w:p>
              </w:tc>
              <w:tc>
                <w:tcPr>
                  <w:tcW w:w="1983" w:type="dxa"/>
                  <w:tcBorders>
                    <w:tl2br w:val="nil"/>
                    <w:tr2bl w:val="nil"/>
                  </w:tcBorders>
                  <w:noWrap w:val="0"/>
                  <w:vAlign w:val="center"/>
                </w:tcPr>
                <w:p w14:paraId="257EC13F">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26.2</w:t>
                  </w:r>
                </w:p>
              </w:tc>
              <w:tc>
                <w:tcPr>
                  <w:tcW w:w="1995" w:type="dxa"/>
                  <w:tcBorders>
                    <w:tl2br w:val="nil"/>
                    <w:tr2bl w:val="nil"/>
                  </w:tcBorders>
                  <w:noWrap w:val="0"/>
                  <w:vAlign w:val="center"/>
                </w:tcPr>
                <w:p w14:paraId="6777A173">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31.2</w:t>
                  </w:r>
                </w:p>
              </w:tc>
            </w:tr>
            <w:tr w14:paraId="4BBD71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465" w:type="dxa"/>
                  <w:vMerge w:val="continue"/>
                  <w:tcBorders>
                    <w:tl2br w:val="nil"/>
                    <w:tr2bl w:val="nil"/>
                  </w:tcBorders>
                  <w:noWrap w:val="0"/>
                  <w:vAlign w:val="center"/>
                </w:tcPr>
                <w:p w14:paraId="44CEFA1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p>
              </w:tc>
              <w:tc>
                <w:tcPr>
                  <w:tcW w:w="3658" w:type="dxa"/>
                  <w:tcBorders>
                    <w:tl2br w:val="nil"/>
                    <w:tr2bl w:val="nil"/>
                  </w:tcBorders>
                  <w:noWrap w:val="0"/>
                  <w:vAlign w:val="center"/>
                </w:tcPr>
                <w:p w14:paraId="2E9908D3">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7"/>
                      <w:sz w:val="21"/>
                      <w:szCs w:val="21"/>
                    </w:rPr>
                    <w:t>极端最高气温</w:t>
                  </w:r>
                </w:p>
              </w:tc>
              <w:tc>
                <w:tcPr>
                  <w:tcW w:w="1983" w:type="dxa"/>
                  <w:tcBorders>
                    <w:tl2br w:val="nil"/>
                    <w:tr2bl w:val="nil"/>
                  </w:tcBorders>
                  <w:noWrap w:val="0"/>
                  <w:vAlign w:val="center"/>
                </w:tcPr>
                <w:p w14:paraId="44FC3F70">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34.1</w:t>
                  </w:r>
                </w:p>
              </w:tc>
              <w:tc>
                <w:tcPr>
                  <w:tcW w:w="1995" w:type="dxa"/>
                  <w:tcBorders>
                    <w:tl2br w:val="nil"/>
                    <w:tr2bl w:val="nil"/>
                  </w:tcBorders>
                  <w:noWrap w:val="0"/>
                  <w:vAlign w:val="center"/>
                </w:tcPr>
                <w:p w14:paraId="62EF9262">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35.6</w:t>
                  </w:r>
                </w:p>
              </w:tc>
            </w:tr>
            <w:tr w14:paraId="107754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465" w:type="dxa"/>
                  <w:vMerge w:val="continue"/>
                  <w:tcBorders>
                    <w:tl2br w:val="nil"/>
                    <w:tr2bl w:val="nil"/>
                  </w:tcBorders>
                  <w:noWrap w:val="0"/>
                  <w:vAlign w:val="center"/>
                </w:tcPr>
                <w:p w14:paraId="22738CD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p>
              </w:tc>
              <w:tc>
                <w:tcPr>
                  <w:tcW w:w="3658" w:type="dxa"/>
                  <w:tcBorders>
                    <w:tl2br w:val="nil"/>
                    <w:tr2bl w:val="nil"/>
                  </w:tcBorders>
                  <w:noWrap w:val="0"/>
                  <w:vAlign w:val="center"/>
                </w:tcPr>
                <w:p w14:paraId="6FF45CB7">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7"/>
                      <w:sz w:val="21"/>
                      <w:szCs w:val="21"/>
                    </w:rPr>
                    <w:t>极端最低气温</w:t>
                  </w:r>
                </w:p>
              </w:tc>
              <w:tc>
                <w:tcPr>
                  <w:tcW w:w="1983" w:type="dxa"/>
                  <w:tcBorders>
                    <w:tl2br w:val="nil"/>
                    <w:tr2bl w:val="nil"/>
                  </w:tcBorders>
                  <w:noWrap w:val="0"/>
                  <w:vAlign w:val="center"/>
                </w:tcPr>
                <w:p w14:paraId="17E0962C">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-30.9</w:t>
                  </w:r>
                </w:p>
              </w:tc>
              <w:tc>
                <w:tcPr>
                  <w:tcW w:w="1995" w:type="dxa"/>
                  <w:tcBorders>
                    <w:tl2br w:val="nil"/>
                    <w:tr2bl w:val="nil"/>
                  </w:tcBorders>
                  <w:noWrap w:val="0"/>
                  <w:vAlign w:val="center"/>
                </w:tcPr>
                <w:p w14:paraId="607ABD05">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-32.3</w:t>
                  </w:r>
                </w:p>
              </w:tc>
            </w:tr>
            <w:tr w14:paraId="3B3173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123" w:type="dxa"/>
                  <w:gridSpan w:val="2"/>
                  <w:tcBorders>
                    <w:tl2br w:val="nil"/>
                    <w:tr2bl w:val="nil"/>
                  </w:tcBorders>
                  <w:noWrap w:val="0"/>
                  <w:vAlign w:val="center"/>
                </w:tcPr>
                <w:p w14:paraId="4605D8C2">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7"/>
                      <w:sz w:val="21"/>
                      <w:szCs w:val="21"/>
                    </w:rPr>
                    <w:t>平均相对湿度（%）</w:t>
                  </w:r>
                </w:p>
              </w:tc>
              <w:tc>
                <w:tcPr>
                  <w:tcW w:w="1983" w:type="dxa"/>
                  <w:tcBorders>
                    <w:tl2br w:val="nil"/>
                    <w:tr2bl w:val="nil"/>
                  </w:tcBorders>
                  <w:noWrap w:val="0"/>
                  <w:vAlign w:val="center"/>
                </w:tcPr>
                <w:p w14:paraId="0DC48CEA">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61.6</w:t>
                  </w:r>
                </w:p>
              </w:tc>
              <w:tc>
                <w:tcPr>
                  <w:tcW w:w="1995" w:type="dxa"/>
                  <w:tcBorders>
                    <w:tl2br w:val="nil"/>
                    <w:tr2bl w:val="nil"/>
                  </w:tcBorders>
                  <w:noWrap w:val="0"/>
                  <w:vAlign w:val="center"/>
                </w:tcPr>
                <w:p w14:paraId="081F1DC0">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65.0</w:t>
                  </w:r>
                </w:p>
              </w:tc>
            </w:tr>
            <w:tr w14:paraId="6CF747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123" w:type="dxa"/>
                  <w:gridSpan w:val="2"/>
                  <w:tcBorders>
                    <w:tl2br w:val="nil"/>
                    <w:tr2bl w:val="nil"/>
                  </w:tcBorders>
                  <w:noWrap w:val="0"/>
                  <w:vAlign w:val="center"/>
                </w:tcPr>
                <w:p w14:paraId="38F246C8">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8"/>
                      <w:sz w:val="21"/>
                      <w:szCs w:val="21"/>
                    </w:rPr>
                    <w:t>年平均降水量（</w:t>
                  </w:r>
                  <w:r>
                    <w:rPr>
                      <w:rFonts w:hint="default" w:ascii="Times New Roman" w:hAnsi="Times New Roman" w:eastAsia="宋体" w:cs="Times New Roman"/>
                      <w:b w:val="0"/>
                      <w:bCs w:val="0"/>
                      <w:color w:val="auto"/>
                      <w:sz w:val="21"/>
                      <w:szCs w:val="21"/>
                    </w:rPr>
                    <w:t>mm</w:t>
                  </w:r>
                  <w:r>
                    <w:rPr>
                      <w:rFonts w:hint="default" w:ascii="Times New Roman" w:hAnsi="Times New Roman" w:eastAsia="宋体" w:cs="Times New Roman"/>
                      <w:b w:val="0"/>
                      <w:bCs w:val="0"/>
                      <w:color w:val="auto"/>
                      <w:spacing w:val="8"/>
                      <w:sz w:val="21"/>
                      <w:szCs w:val="21"/>
                    </w:rPr>
                    <w:t>）</w:t>
                  </w:r>
                </w:p>
              </w:tc>
              <w:tc>
                <w:tcPr>
                  <w:tcW w:w="1983" w:type="dxa"/>
                  <w:tcBorders>
                    <w:tl2br w:val="nil"/>
                    <w:tr2bl w:val="nil"/>
                  </w:tcBorders>
                  <w:noWrap w:val="0"/>
                  <w:vAlign w:val="center"/>
                </w:tcPr>
                <w:p w14:paraId="37886246">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435.6</w:t>
                  </w:r>
                </w:p>
              </w:tc>
              <w:tc>
                <w:tcPr>
                  <w:tcW w:w="1995" w:type="dxa"/>
                  <w:tcBorders>
                    <w:tl2br w:val="nil"/>
                    <w:tr2bl w:val="nil"/>
                  </w:tcBorders>
                  <w:noWrap w:val="0"/>
                  <w:vAlign w:val="center"/>
                </w:tcPr>
                <w:p w14:paraId="1E3851E5">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408.6</w:t>
                  </w:r>
                </w:p>
              </w:tc>
            </w:tr>
            <w:tr w14:paraId="2B0931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123" w:type="dxa"/>
                  <w:gridSpan w:val="2"/>
                  <w:tcBorders>
                    <w:tl2br w:val="nil"/>
                    <w:tr2bl w:val="nil"/>
                  </w:tcBorders>
                  <w:noWrap w:val="0"/>
                  <w:vAlign w:val="center"/>
                </w:tcPr>
                <w:p w14:paraId="6F9CF7EE">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8"/>
                      <w:sz w:val="21"/>
                      <w:szCs w:val="21"/>
                    </w:rPr>
                    <w:t>最大日降水量（</w:t>
                  </w:r>
                  <w:r>
                    <w:rPr>
                      <w:rFonts w:hint="default" w:ascii="Times New Roman" w:hAnsi="Times New Roman" w:eastAsia="宋体" w:cs="Times New Roman"/>
                      <w:b w:val="0"/>
                      <w:bCs w:val="0"/>
                      <w:color w:val="auto"/>
                      <w:sz w:val="21"/>
                      <w:szCs w:val="21"/>
                    </w:rPr>
                    <w:t>mm</w:t>
                  </w:r>
                  <w:r>
                    <w:rPr>
                      <w:rFonts w:hint="default" w:ascii="Times New Roman" w:hAnsi="Times New Roman" w:eastAsia="宋体" w:cs="Times New Roman"/>
                      <w:b w:val="0"/>
                      <w:bCs w:val="0"/>
                      <w:color w:val="auto"/>
                      <w:spacing w:val="8"/>
                      <w:sz w:val="21"/>
                      <w:szCs w:val="21"/>
                    </w:rPr>
                    <w:t>）</w:t>
                  </w:r>
                </w:p>
              </w:tc>
              <w:tc>
                <w:tcPr>
                  <w:tcW w:w="1983" w:type="dxa"/>
                  <w:tcBorders>
                    <w:tl2br w:val="nil"/>
                    <w:tr2bl w:val="nil"/>
                  </w:tcBorders>
                  <w:noWrap w:val="0"/>
                  <w:vAlign w:val="center"/>
                </w:tcPr>
                <w:p w14:paraId="6C02A18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98.1</w:t>
                  </w:r>
                </w:p>
              </w:tc>
              <w:tc>
                <w:tcPr>
                  <w:tcW w:w="1995" w:type="dxa"/>
                  <w:tcBorders>
                    <w:tl2br w:val="nil"/>
                    <w:tr2bl w:val="nil"/>
                  </w:tcBorders>
                  <w:noWrap w:val="0"/>
                  <w:vAlign w:val="center"/>
                </w:tcPr>
                <w:p w14:paraId="6CC2AD70">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94.4</w:t>
                  </w:r>
                </w:p>
              </w:tc>
            </w:tr>
            <w:tr w14:paraId="15ACA4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123" w:type="dxa"/>
                  <w:gridSpan w:val="2"/>
                  <w:tcBorders>
                    <w:tl2br w:val="nil"/>
                    <w:tr2bl w:val="nil"/>
                  </w:tcBorders>
                  <w:noWrap w:val="0"/>
                  <w:vAlign w:val="center"/>
                </w:tcPr>
                <w:p w14:paraId="39F4D4E2">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8"/>
                      <w:sz w:val="21"/>
                      <w:szCs w:val="21"/>
                    </w:rPr>
                    <w:t>年平均蒸发量（</w:t>
                  </w:r>
                  <w:r>
                    <w:rPr>
                      <w:rFonts w:hint="default" w:ascii="Times New Roman" w:hAnsi="Times New Roman" w:eastAsia="宋体" w:cs="Times New Roman"/>
                      <w:b w:val="0"/>
                      <w:bCs w:val="0"/>
                      <w:color w:val="auto"/>
                      <w:sz w:val="21"/>
                      <w:szCs w:val="21"/>
                    </w:rPr>
                    <w:t>mm</w:t>
                  </w:r>
                  <w:r>
                    <w:rPr>
                      <w:rFonts w:hint="default" w:ascii="Times New Roman" w:hAnsi="Times New Roman" w:eastAsia="宋体" w:cs="Times New Roman"/>
                      <w:b w:val="0"/>
                      <w:bCs w:val="0"/>
                      <w:color w:val="auto"/>
                      <w:spacing w:val="8"/>
                      <w:sz w:val="21"/>
                      <w:szCs w:val="21"/>
                    </w:rPr>
                    <w:t>）</w:t>
                  </w:r>
                </w:p>
              </w:tc>
              <w:tc>
                <w:tcPr>
                  <w:tcW w:w="1983" w:type="dxa"/>
                  <w:tcBorders>
                    <w:tl2br w:val="nil"/>
                    <w:tr2bl w:val="nil"/>
                  </w:tcBorders>
                  <w:noWrap w:val="0"/>
                  <w:vAlign w:val="center"/>
                </w:tcPr>
                <w:p w14:paraId="4DF40D34">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3"/>
                      <w:position w:val="1"/>
                      <w:sz w:val="21"/>
                      <w:szCs w:val="21"/>
                    </w:rPr>
                    <w:t>1581</w:t>
                  </w:r>
                </w:p>
              </w:tc>
              <w:tc>
                <w:tcPr>
                  <w:tcW w:w="1995" w:type="dxa"/>
                  <w:tcBorders>
                    <w:tl2br w:val="nil"/>
                    <w:tr2bl w:val="nil"/>
                  </w:tcBorders>
                  <w:noWrap w:val="0"/>
                  <w:vAlign w:val="center"/>
                </w:tcPr>
                <w:p w14:paraId="54404BE5">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3"/>
                      <w:position w:val="1"/>
                      <w:sz w:val="21"/>
                      <w:szCs w:val="21"/>
                    </w:rPr>
                    <w:t>1469</w:t>
                  </w:r>
                </w:p>
              </w:tc>
            </w:tr>
            <w:tr w14:paraId="7273B3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123" w:type="dxa"/>
                  <w:gridSpan w:val="2"/>
                  <w:tcBorders>
                    <w:tl2br w:val="nil"/>
                    <w:tr2bl w:val="nil"/>
                  </w:tcBorders>
                  <w:noWrap w:val="0"/>
                  <w:vAlign w:val="center"/>
                </w:tcPr>
                <w:p w14:paraId="4A2D2DF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最大冻土深度（</w:t>
                  </w:r>
                  <w:r>
                    <w:rPr>
                      <w:rFonts w:hint="default" w:ascii="Times New Roman" w:hAnsi="Times New Roman" w:eastAsia="宋体" w:cs="Times New Roman"/>
                      <w:b w:val="0"/>
                      <w:bCs w:val="0"/>
                      <w:color w:val="auto"/>
                      <w:spacing w:val="-51"/>
                      <w:sz w:val="21"/>
                      <w:szCs w:val="21"/>
                    </w:rPr>
                    <w:t xml:space="preserve"> </w:t>
                  </w:r>
                  <w:r>
                    <w:rPr>
                      <w:rFonts w:hint="default" w:ascii="Times New Roman" w:hAnsi="Times New Roman" w:eastAsia="宋体" w:cs="Times New Roman"/>
                      <w:b w:val="0"/>
                      <w:bCs w:val="0"/>
                      <w:color w:val="auto"/>
                      <w:sz w:val="21"/>
                      <w:szCs w:val="21"/>
                    </w:rPr>
                    <w:t>cm</w:t>
                  </w:r>
                  <w:r>
                    <w:rPr>
                      <w:rFonts w:hint="default" w:ascii="Times New Roman" w:hAnsi="Times New Roman" w:eastAsia="宋体" w:cs="Times New Roman"/>
                      <w:b w:val="0"/>
                      <w:bCs w:val="0"/>
                      <w:color w:val="auto"/>
                      <w:spacing w:val="2"/>
                      <w:sz w:val="21"/>
                      <w:szCs w:val="21"/>
                    </w:rPr>
                    <w:t>）</w:t>
                  </w:r>
                </w:p>
              </w:tc>
              <w:tc>
                <w:tcPr>
                  <w:tcW w:w="1983" w:type="dxa"/>
                  <w:tcBorders>
                    <w:tl2br w:val="nil"/>
                    <w:tr2bl w:val="nil"/>
                  </w:tcBorders>
                  <w:noWrap w:val="0"/>
                  <w:vAlign w:val="center"/>
                </w:tcPr>
                <w:p w14:paraId="0D9F563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4"/>
                      <w:position w:val="1"/>
                      <w:sz w:val="21"/>
                      <w:szCs w:val="21"/>
                    </w:rPr>
                    <w:t>121</w:t>
                  </w:r>
                </w:p>
              </w:tc>
              <w:tc>
                <w:tcPr>
                  <w:tcW w:w="1995" w:type="dxa"/>
                  <w:tcBorders>
                    <w:tl2br w:val="nil"/>
                    <w:tr2bl w:val="nil"/>
                  </w:tcBorders>
                  <w:noWrap w:val="0"/>
                  <w:vAlign w:val="center"/>
                </w:tcPr>
                <w:p w14:paraId="6242DC9E">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4"/>
                      <w:position w:val="1"/>
                      <w:sz w:val="21"/>
                      <w:szCs w:val="21"/>
                    </w:rPr>
                    <w:t>113</w:t>
                  </w:r>
                </w:p>
              </w:tc>
            </w:tr>
            <w:tr w14:paraId="6A11F8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123" w:type="dxa"/>
                  <w:gridSpan w:val="2"/>
                  <w:tcBorders>
                    <w:tl2br w:val="nil"/>
                    <w:tr2bl w:val="nil"/>
                  </w:tcBorders>
                  <w:noWrap w:val="0"/>
                  <w:vAlign w:val="center"/>
                </w:tcPr>
                <w:p w14:paraId="0DE17183">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50年一遇风压值（</w:t>
                  </w:r>
                  <w:r>
                    <w:rPr>
                      <w:rFonts w:hint="default" w:ascii="Times New Roman" w:hAnsi="Times New Roman" w:eastAsia="宋体" w:cs="Times New Roman"/>
                      <w:b w:val="0"/>
                      <w:bCs w:val="0"/>
                      <w:color w:val="auto"/>
                      <w:sz w:val="21"/>
                      <w:szCs w:val="21"/>
                    </w:rPr>
                    <w:t>kN</w:t>
                  </w:r>
                  <w:r>
                    <w:rPr>
                      <w:rFonts w:hint="default" w:ascii="Times New Roman" w:hAnsi="Times New Roman" w:eastAsia="宋体" w:cs="Times New Roman"/>
                      <w:b w:val="0"/>
                      <w:bCs w:val="0"/>
                      <w:color w:val="auto"/>
                      <w:spacing w:val="6"/>
                      <w:sz w:val="21"/>
                      <w:szCs w:val="21"/>
                    </w:rPr>
                    <w:t>/m</w:t>
                  </w:r>
                  <w:r>
                    <w:rPr>
                      <w:rFonts w:hint="default" w:ascii="Times New Roman" w:hAnsi="Times New Roman" w:eastAsia="宋体" w:cs="Times New Roman"/>
                      <w:b w:val="0"/>
                      <w:bCs w:val="0"/>
                      <w:color w:val="auto"/>
                      <w:spacing w:val="6"/>
                      <w:sz w:val="21"/>
                      <w:szCs w:val="21"/>
                      <w:vertAlign w:val="superscript"/>
                    </w:rPr>
                    <w:t>2</w:t>
                  </w:r>
                  <w:r>
                    <w:rPr>
                      <w:rFonts w:hint="default" w:ascii="Times New Roman" w:hAnsi="Times New Roman" w:eastAsia="宋体" w:cs="Times New Roman"/>
                      <w:b w:val="0"/>
                      <w:bCs w:val="0"/>
                      <w:color w:val="auto"/>
                      <w:spacing w:val="6"/>
                      <w:sz w:val="21"/>
                      <w:szCs w:val="21"/>
                    </w:rPr>
                    <w:t>）</w:t>
                  </w:r>
                </w:p>
              </w:tc>
              <w:tc>
                <w:tcPr>
                  <w:tcW w:w="1983" w:type="dxa"/>
                  <w:tcBorders>
                    <w:tl2br w:val="nil"/>
                    <w:tr2bl w:val="nil"/>
                  </w:tcBorders>
                  <w:noWrap w:val="0"/>
                  <w:vAlign w:val="center"/>
                </w:tcPr>
                <w:p w14:paraId="7CB20870">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0.35</w:t>
                  </w:r>
                </w:p>
              </w:tc>
              <w:tc>
                <w:tcPr>
                  <w:tcW w:w="1995" w:type="dxa"/>
                  <w:tcBorders>
                    <w:tl2br w:val="nil"/>
                    <w:tr2bl w:val="nil"/>
                  </w:tcBorders>
                  <w:noWrap w:val="0"/>
                  <w:vAlign w:val="center"/>
                </w:tcPr>
                <w:p w14:paraId="522D073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3"/>
                      <w:position w:val="-3"/>
                      <w:sz w:val="21"/>
                      <w:szCs w:val="21"/>
                    </w:rPr>
                    <w:t>-</w:t>
                  </w:r>
                </w:p>
              </w:tc>
            </w:tr>
            <w:tr w14:paraId="0344B1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123" w:type="dxa"/>
                  <w:gridSpan w:val="2"/>
                  <w:tcBorders>
                    <w:tl2br w:val="nil"/>
                    <w:tr2bl w:val="nil"/>
                  </w:tcBorders>
                  <w:noWrap w:val="0"/>
                  <w:vAlign w:val="center"/>
                </w:tcPr>
                <w:p w14:paraId="37928BE1">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50年一遇雪压值（</w:t>
                  </w:r>
                  <w:r>
                    <w:rPr>
                      <w:rFonts w:hint="default" w:ascii="Times New Roman" w:hAnsi="Times New Roman" w:eastAsia="宋体" w:cs="Times New Roman"/>
                      <w:b w:val="0"/>
                      <w:bCs w:val="0"/>
                      <w:color w:val="auto"/>
                      <w:sz w:val="21"/>
                      <w:szCs w:val="21"/>
                    </w:rPr>
                    <w:t>kN</w:t>
                  </w:r>
                  <w:r>
                    <w:rPr>
                      <w:rFonts w:hint="default" w:ascii="Times New Roman" w:hAnsi="Times New Roman" w:eastAsia="宋体" w:cs="Times New Roman"/>
                      <w:b w:val="0"/>
                      <w:bCs w:val="0"/>
                      <w:color w:val="auto"/>
                      <w:spacing w:val="6"/>
                      <w:sz w:val="21"/>
                      <w:szCs w:val="21"/>
                    </w:rPr>
                    <w:t>/m</w:t>
                  </w:r>
                  <w:r>
                    <w:rPr>
                      <w:rFonts w:hint="default" w:ascii="Times New Roman" w:hAnsi="Times New Roman" w:eastAsia="宋体" w:cs="Times New Roman"/>
                      <w:b w:val="0"/>
                      <w:bCs w:val="0"/>
                      <w:color w:val="auto"/>
                      <w:spacing w:val="6"/>
                      <w:sz w:val="21"/>
                      <w:szCs w:val="21"/>
                      <w:vertAlign w:val="superscript"/>
                    </w:rPr>
                    <w:t>2</w:t>
                  </w:r>
                  <w:r>
                    <w:rPr>
                      <w:rFonts w:hint="default" w:ascii="Times New Roman" w:hAnsi="Times New Roman" w:eastAsia="宋体" w:cs="Times New Roman"/>
                      <w:b w:val="0"/>
                      <w:bCs w:val="0"/>
                      <w:color w:val="auto"/>
                      <w:spacing w:val="6"/>
                      <w:sz w:val="21"/>
                      <w:szCs w:val="21"/>
                    </w:rPr>
                    <w:t>）</w:t>
                  </w:r>
                </w:p>
              </w:tc>
              <w:tc>
                <w:tcPr>
                  <w:tcW w:w="1983" w:type="dxa"/>
                  <w:tcBorders>
                    <w:tl2br w:val="nil"/>
                    <w:tr2bl w:val="nil"/>
                  </w:tcBorders>
                  <w:noWrap w:val="0"/>
                  <w:vAlign w:val="center"/>
                </w:tcPr>
                <w:p w14:paraId="3DA1588C">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0.40</w:t>
                  </w:r>
                </w:p>
              </w:tc>
              <w:tc>
                <w:tcPr>
                  <w:tcW w:w="1995" w:type="dxa"/>
                  <w:tcBorders>
                    <w:tl2br w:val="nil"/>
                    <w:tr2bl w:val="nil"/>
                  </w:tcBorders>
                  <w:noWrap w:val="0"/>
                  <w:vAlign w:val="center"/>
                </w:tcPr>
                <w:p w14:paraId="0BF69FEE">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3"/>
                      <w:position w:val="-3"/>
                      <w:sz w:val="21"/>
                      <w:szCs w:val="21"/>
                    </w:rPr>
                    <w:t>-</w:t>
                  </w:r>
                </w:p>
              </w:tc>
            </w:tr>
            <w:tr w14:paraId="67DD2A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465" w:type="dxa"/>
                  <w:vMerge w:val="restart"/>
                  <w:tcBorders>
                    <w:tl2br w:val="nil"/>
                    <w:tr2bl w:val="nil"/>
                  </w:tcBorders>
                  <w:noWrap w:val="0"/>
                  <w:vAlign w:val="center"/>
                </w:tcPr>
                <w:p w14:paraId="71EE55AC">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风</w:t>
                  </w:r>
                </w:p>
              </w:tc>
              <w:tc>
                <w:tcPr>
                  <w:tcW w:w="3658" w:type="dxa"/>
                  <w:tcBorders>
                    <w:tl2br w:val="nil"/>
                    <w:tr2bl w:val="nil"/>
                  </w:tcBorders>
                  <w:noWrap w:val="0"/>
                  <w:vAlign w:val="center"/>
                </w:tcPr>
                <w:p w14:paraId="58946107">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5"/>
                      <w:sz w:val="21"/>
                      <w:szCs w:val="21"/>
                    </w:rPr>
                    <w:t>平均风速</w:t>
                  </w:r>
                  <w:r>
                    <w:rPr>
                      <w:rFonts w:hint="default" w:ascii="Times New Roman" w:hAnsi="Times New Roman" w:eastAsia="宋体" w:cs="Times New Roman"/>
                      <w:b w:val="0"/>
                      <w:bCs w:val="0"/>
                      <w:color w:val="auto"/>
                      <w:spacing w:val="5"/>
                      <w:sz w:val="21"/>
                      <w:szCs w:val="21"/>
                      <w:lang w:eastAsia="zh-CN"/>
                    </w:rPr>
                    <w:t>（</w:t>
                  </w:r>
                  <w:r>
                    <w:rPr>
                      <w:rFonts w:hint="default" w:ascii="Times New Roman" w:hAnsi="Times New Roman" w:eastAsia="宋体" w:cs="Times New Roman"/>
                      <w:b w:val="0"/>
                      <w:bCs w:val="0"/>
                      <w:color w:val="auto"/>
                      <w:spacing w:val="5"/>
                      <w:sz w:val="21"/>
                      <w:szCs w:val="21"/>
                    </w:rPr>
                    <w:t>m/s</w:t>
                  </w:r>
                  <w:r>
                    <w:rPr>
                      <w:rFonts w:hint="default" w:ascii="Times New Roman" w:hAnsi="Times New Roman" w:eastAsia="宋体" w:cs="Times New Roman"/>
                      <w:b w:val="0"/>
                      <w:bCs w:val="0"/>
                      <w:color w:val="auto"/>
                      <w:spacing w:val="5"/>
                      <w:sz w:val="21"/>
                      <w:szCs w:val="21"/>
                      <w:lang w:eastAsia="zh-CN"/>
                    </w:rPr>
                    <w:t>）</w:t>
                  </w:r>
                </w:p>
              </w:tc>
              <w:tc>
                <w:tcPr>
                  <w:tcW w:w="1983" w:type="dxa"/>
                  <w:tcBorders>
                    <w:tl2br w:val="nil"/>
                    <w:tr2bl w:val="nil"/>
                  </w:tcBorders>
                  <w:noWrap w:val="0"/>
                  <w:vAlign w:val="center"/>
                </w:tcPr>
                <w:p w14:paraId="61BBDE18">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2.7</w:t>
                  </w:r>
                </w:p>
              </w:tc>
              <w:tc>
                <w:tcPr>
                  <w:tcW w:w="1995" w:type="dxa"/>
                  <w:tcBorders>
                    <w:tl2br w:val="nil"/>
                    <w:tr2bl w:val="nil"/>
                  </w:tcBorders>
                  <w:noWrap w:val="0"/>
                  <w:vAlign w:val="center"/>
                </w:tcPr>
                <w:p w14:paraId="45E5D6E6">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4"/>
                      <w:position w:val="1"/>
                      <w:sz w:val="21"/>
                      <w:szCs w:val="21"/>
                    </w:rPr>
                    <w:t>1.7</w:t>
                  </w:r>
                </w:p>
              </w:tc>
            </w:tr>
            <w:tr w14:paraId="4A7284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465" w:type="dxa"/>
                  <w:vMerge w:val="continue"/>
                  <w:tcBorders>
                    <w:tl2br w:val="nil"/>
                    <w:tr2bl w:val="nil"/>
                  </w:tcBorders>
                  <w:noWrap w:val="0"/>
                  <w:vAlign w:val="center"/>
                </w:tcPr>
                <w:p w14:paraId="4A3B703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p>
              </w:tc>
              <w:tc>
                <w:tcPr>
                  <w:tcW w:w="3658" w:type="dxa"/>
                  <w:tcBorders>
                    <w:tl2br w:val="nil"/>
                    <w:tr2bl w:val="nil"/>
                  </w:tcBorders>
                  <w:noWrap w:val="0"/>
                  <w:vAlign w:val="center"/>
                </w:tcPr>
                <w:p w14:paraId="5254B486">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5"/>
                      <w:sz w:val="21"/>
                      <w:szCs w:val="21"/>
                    </w:rPr>
                    <w:t>实测最大风速</w:t>
                  </w:r>
                  <w:r>
                    <w:rPr>
                      <w:rFonts w:hint="default" w:ascii="Times New Roman" w:hAnsi="Times New Roman" w:eastAsia="宋体" w:cs="Times New Roman"/>
                      <w:b w:val="0"/>
                      <w:bCs w:val="0"/>
                      <w:color w:val="auto"/>
                      <w:spacing w:val="5"/>
                      <w:sz w:val="21"/>
                      <w:szCs w:val="21"/>
                      <w:lang w:eastAsia="zh-CN"/>
                    </w:rPr>
                    <w:t>（</w:t>
                  </w:r>
                  <w:r>
                    <w:rPr>
                      <w:rFonts w:hint="default" w:ascii="Times New Roman" w:hAnsi="Times New Roman" w:eastAsia="宋体" w:cs="Times New Roman"/>
                      <w:b w:val="0"/>
                      <w:bCs w:val="0"/>
                      <w:color w:val="auto"/>
                      <w:spacing w:val="5"/>
                      <w:sz w:val="21"/>
                      <w:szCs w:val="21"/>
                    </w:rPr>
                    <w:t>m/s</w:t>
                  </w:r>
                  <w:r>
                    <w:rPr>
                      <w:rFonts w:hint="default" w:ascii="Times New Roman" w:hAnsi="Times New Roman" w:eastAsia="宋体" w:cs="Times New Roman"/>
                      <w:b w:val="0"/>
                      <w:bCs w:val="0"/>
                      <w:color w:val="auto"/>
                      <w:spacing w:val="5"/>
                      <w:sz w:val="21"/>
                      <w:szCs w:val="21"/>
                      <w:lang w:eastAsia="zh-CN"/>
                    </w:rPr>
                    <w:t>）</w:t>
                  </w:r>
                </w:p>
              </w:tc>
              <w:tc>
                <w:tcPr>
                  <w:tcW w:w="1983" w:type="dxa"/>
                  <w:tcBorders>
                    <w:tl2br w:val="nil"/>
                    <w:tr2bl w:val="nil"/>
                  </w:tcBorders>
                  <w:noWrap w:val="0"/>
                  <w:vAlign w:val="center"/>
                </w:tcPr>
                <w:p w14:paraId="4251DCD0">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21.7</w:t>
                  </w:r>
                </w:p>
              </w:tc>
              <w:tc>
                <w:tcPr>
                  <w:tcW w:w="1995" w:type="dxa"/>
                  <w:tcBorders>
                    <w:tl2br w:val="nil"/>
                    <w:tr2bl w:val="nil"/>
                  </w:tcBorders>
                  <w:noWrap w:val="0"/>
                  <w:vAlign w:val="center"/>
                </w:tcPr>
                <w:p w14:paraId="29D1799B">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3"/>
                      <w:position w:val="1"/>
                      <w:sz w:val="21"/>
                      <w:szCs w:val="21"/>
                    </w:rPr>
                    <w:t>16.0</w:t>
                  </w:r>
                </w:p>
              </w:tc>
            </w:tr>
            <w:tr w14:paraId="4A63EF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465" w:type="dxa"/>
                  <w:tcBorders>
                    <w:tl2br w:val="nil"/>
                    <w:tr2bl w:val="nil"/>
                  </w:tcBorders>
                  <w:noWrap w:val="0"/>
                  <w:vAlign w:val="center"/>
                </w:tcPr>
                <w:p w14:paraId="70DAF238">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3"/>
                      <w:sz w:val="21"/>
                      <w:szCs w:val="21"/>
                    </w:rPr>
                    <w:t>雷暴（d）</w:t>
                  </w:r>
                </w:p>
              </w:tc>
              <w:tc>
                <w:tcPr>
                  <w:tcW w:w="3658" w:type="dxa"/>
                  <w:tcBorders>
                    <w:tl2br w:val="nil"/>
                    <w:tr2bl w:val="nil"/>
                  </w:tcBorders>
                  <w:noWrap w:val="0"/>
                  <w:vAlign w:val="center"/>
                </w:tcPr>
                <w:p w14:paraId="1D10051A">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5"/>
                      <w:sz w:val="21"/>
                      <w:szCs w:val="21"/>
                    </w:rPr>
                    <w:t>平均</w:t>
                  </w:r>
                </w:p>
              </w:tc>
              <w:tc>
                <w:tcPr>
                  <w:tcW w:w="1983" w:type="dxa"/>
                  <w:tcBorders>
                    <w:tl2br w:val="nil"/>
                    <w:tr2bl w:val="nil"/>
                  </w:tcBorders>
                  <w:noWrap w:val="0"/>
                  <w:vAlign w:val="center"/>
                </w:tcPr>
                <w:p w14:paraId="76AC90FB">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26.5</w:t>
                  </w:r>
                </w:p>
              </w:tc>
              <w:tc>
                <w:tcPr>
                  <w:tcW w:w="1995" w:type="dxa"/>
                  <w:tcBorders>
                    <w:tl2br w:val="nil"/>
                    <w:tr2bl w:val="nil"/>
                  </w:tcBorders>
                  <w:noWrap w:val="0"/>
                  <w:vAlign w:val="center"/>
                </w:tcPr>
                <w:p w14:paraId="0A86221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28.0</w:t>
                  </w:r>
                </w:p>
              </w:tc>
            </w:tr>
          </w:tbl>
          <w:p w14:paraId="39664F8C">
            <w:pPr>
              <w:pStyle w:val="12"/>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kern w:val="0"/>
                <w:sz w:val="24"/>
                <w:highlight w:val="none"/>
                <w:lang w:eastAsia="zh-CN"/>
              </w:rPr>
            </w:pPr>
            <w:r>
              <w:rPr>
                <w:rFonts w:hint="default" w:ascii="Times New Roman" w:hAnsi="Times New Roman" w:eastAsia="宋体" w:cs="Times New Roman"/>
                <w:b/>
                <w:bCs/>
                <w:color w:val="auto"/>
                <w:kern w:val="0"/>
                <w:sz w:val="24"/>
                <w:highlight w:val="none"/>
                <w:lang w:eastAsia="zh-CN"/>
              </w:rPr>
              <w:t>⑷</w:t>
            </w:r>
            <w:r>
              <w:rPr>
                <w:rFonts w:hint="default" w:ascii="Times New Roman" w:hAnsi="Times New Roman" w:eastAsia="宋体" w:cs="Times New Roman"/>
                <w:b/>
                <w:bCs/>
                <w:color w:val="auto"/>
                <w:kern w:val="0"/>
                <w:sz w:val="24"/>
                <w:highlight w:val="none"/>
              </w:rPr>
              <w:t>水文</w:t>
            </w:r>
            <w:r>
              <w:rPr>
                <w:rFonts w:hint="default" w:ascii="Times New Roman" w:hAnsi="Times New Roman" w:eastAsia="宋体" w:cs="Times New Roman"/>
                <w:b/>
                <w:bCs/>
                <w:color w:val="auto"/>
                <w:kern w:val="0"/>
                <w:sz w:val="24"/>
                <w:highlight w:val="none"/>
                <w:lang w:eastAsia="zh-CN"/>
              </w:rPr>
              <w:t>条件</w:t>
            </w:r>
          </w:p>
          <w:p w14:paraId="3E99F364">
            <w:pPr>
              <w:spacing w:line="360" w:lineRule="auto"/>
              <w:ind w:firstLine="480" w:firstLineChars="200"/>
              <w:jc w:val="both"/>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根据现场勘察，沿线所有塔位勘察深度内未见地下水，地下水埋深普遍大于 15m。地下水补给方式主要为大气降水、农田灌溉为主，排泄方式主要为蒸发、侧向渗透。由于部分塔位位于山间沟谷洼地，地势低洼，易汇水，不排除受季节性降雨形成上层滞水，上层滞水的勘查难度较大，无固定水位，勘察期间N9、N20、N30、N33、N53下部土质湿</w:t>
            </w:r>
            <w:r>
              <w:rPr>
                <w:rFonts w:hint="eastAsia" w:cs="Times New Roman"/>
                <w:color w:val="auto"/>
                <w:kern w:val="0"/>
                <w:sz w:val="24"/>
                <w:highlight w:val="none"/>
                <w:lang w:val="en-US" w:eastAsia="zh-CN"/>
              </w:rPr>
              <w:t>，</w:t>
            </w:r>
            <w:r>
              <w:rPr>
                <w:rFonts w:hint="default" w:ascii="Times New Roman" w:hAnsi="Times New Roman" w:cs="Times New Roman"/>
                <w:color w:val="auto"/>
                <w:kern w:val="0"/>
                <w:sz w:val="24"/>
                <w:highlight w:val="none"/>
                <w:lang w:val="en-US" w:eastAsia="zh-CN"/>
              </w:rPr>
              <w:t>含水量高。主要是由于粉土层内局部黏粒含量较高，透水性差，农田容易形成滞水。</w:t>
            </w:r>
          </w:p>
          <w:p w14:paraId="4F6B5399">
            <w:pPr>
              <w:spacing w:line="360" w:lineRule="auto"/>
              <w:ind w:firstLine="480" w:firstLineChars="200"/>
              <w:jc w:val="both"/>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本项目电压等级为110</w:t>
            </w:r>
            <w:r>
              <w:rPr>
                <w:rFonts w:hint="eastAsia" w:cs="Times New Roman"/>
                <w:color w:val="auto"/>
                <w:kern w:val="0"/>
                <w:sz w:val="24"/>
                <w:highlight w:val="none"/>
                <w:lang w:val="en-US" w:eastAsia="zh-CN"/>
              </w:rPr>
              <w:t>千伏</w:t>
            </w:r>
            <w:r>
              <w:rPr>
                <w:rFonts w:hint="default" w:ascii="Times New Roman" w:hAnsi="Times New Roman" w:cs="Times New Roman"/>
                <w:color w:val="auto"/>
                <w:kern w:val="0"/>
                <w:sz w:val="24"/>
                <w:highlight w:val="none"/>
                <w:lang w:val="en-US" w:eastAsia="zh-CN"/>
              </w:rPr>
              <w:t>，根据《220kV及以下架空送电线路勘测技术规程》</w:t>
            </w:r>
            <w:r>
              <w:rPr>
                <w:rFonts w:hint="eastAsia" w:cs="Times New Roman"/>
                <w:color w:val="auto"/>
                <w:kern w:val="0"/>
                <w:sz w:val="24"/>
                <w:highlight w:val="none"/>
                <w:lang w:val="en-US" w:eastAsia="zh-CN"/>
              </w:rPr>
              <w:t>（</w:t>
            </w:r>
            <w:r>
              <w:rPr>
                <w:rFonts w:hint="default" w:ascii="Times New Roman" w:hAnsi="Times New Roman" w:cs="Times New Roman"/>
                <w:color w:val="auto"/>
                <w:kern w:val="0"/>
                <w:sz w:val="24"/>
                <w:highlight w:val="none"/>
                <w:lang w:val="en-US" w:eastAsia="zh-CN"/>
              </w:rPr>
              <w:t>DL/T5076-2008</w:t>
            </w:r>
            <w:r>
              <w:rPr>
                <w:rFonts w:hint="eastAsia" w:cs="Times New Roman"/>
                <w:color w:val="auto"/>
                <w:kern w:val="0"/>
                <w:sz w:val="24"/>
                <w:highlight w:val="none"/>
                <w:lang w:val="en-US" w:eastAsia="zh-CN"/>
              </w:rPr>
              <w:t>）</w:t>
            </w:r>
            <w:r>
              <w:rPr>
                <w:rFonts w:hint="default" w:ascii="Times New Roman" w:hAnsi="Times New Roman" w:cs="Times New Roman"/>
                <w:color w:val="auto"/>
                <w:kern w:val="0"/>
                <w:sz w:val="24"/>
                <w:highlight w:val="none"/>
                <w:lang w:val="en-US" w:eastAsia="zh-CN"/>
              </w:rPr>
              <w:t xml:space="preserve">第5.4.3条规定，本工程防洪标准为30年一遇。 </w:t>
            </w:r>
          </w:p>
          <w:p w14:paraId="22A98849">
            <w:pPr>
              <w:spacing w:line="360" w:lineRule="auto"/>
              <w:ind w:firstLine="480" w:firstLineChars="200"/>
              <w:jc w:val="left"/>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本线路沿线主要跨河川河、川口河及部分冲沟等水体，跨越宽度10-150m不等，</w:t>
            </w:r>
            <w:r>
              <w:rPr>
                <w:rFonts w:hint="default" w:ascii="Times New Roman" w:hAnsi="Times New Roman" w:eastAsia="宋体" w:cs="Times New Roman"/>
                <w:snapToGrid w:val="0"/>
                <w:color w:val="auto"/>
                <w:kern w:val="0"/>
                <w:sz w:val="24"/>
                <w:szCs w:val="24"/>
                <w:lang w:val="en-US" w:eastAsia="en-US" w:bidi="ar-SA"/>
              </w:rPr>
              <w:t>采用高跨一档方式通过</w:t>
            </w:r>
            <w:r>
              <w:rPr>
                <w:rFonts w:hint="default" w:ascii="Times New Roman" w:hAnsi="Times New Roman"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en-US" w:bidi="ar-SA"/>
              </w:rPr>
              <w:t>不</w:t>
            </w:r>
            <w:r>
              <w:rPr>
                <w:rFonts w:hint="default" w:ascii="Times New Roman" w:hAnsi="Times New Roman" w:eastAsia="宋体" w:cs="Times New Roman"/>
                <w:snapToGrid w:val="0"/>
                <w:color w:val="auto"/>
                <w:spacing w:val="-3"/>
                <w:kern w:val="0"/>
                <w:sz w:val="24"/>
                <w:szCs w:val="24"/>
                <w:lang w:val="en-US" w:eastAsia="en-US" w:bidi="ar-SA"/>
              </w:rPr>
              <w:t>在河道范围内立塔，</w:t>
            </w:r>
            <w:r>
              <w:rPr>
                <w:rFonts w:hint="default" w:ascii="Times New Roman" w:hAnsi="Times New Roman" w:cs="Times New Roman"/>
                <w:color w:val="auto"/>
                <w:kern w:val="0"/>
                <w:sz w:val="24"/>
                <w:highlight w:val="none"/>
                <w:lang w:val="en-US" w:eastAsia="zh-CN"/>
              </w:rPr>
              <w:t>杆塔距离岸边50m外，放置于地势较高、较为稳固的位置。</w:t>
            </w:r>
          </w:p>
          <w:p w14:paraId="746CE76C">
            <w:pPr>
              <w:spacing w:line="360" w:lineRule="auto"/>
              <w:ind w:firstLine="482"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eastAsia="zh-CN"/>
              </w:rPr>
              <w:t>2.</w:t>
            </w:r>
            <w:r>
              <w:rPr>
                <w:rFonts w:hint="default" w:ascii="Times New Roman" w:hAnsi="Times New Roman" w:cs="Times New Roman"/>
                <w:b/>
                <w:bCs/>
                <w:color w:val="auto"/>
                <w:kern w:val="0"/>
                <w:sz w:val="24"/>
                <w:highlight w:val="none"/>
              </w:rPr>
              <w:t>区域生态环境现状</w:t>
            </w:r>
          </w:p>
          <w:p w14:paraId="69696615">
            <w:pPr>
              <w:adjustRightInd w:val="0"/>
              <w:snapToGrid w:val="0"/>
              <w:spacing w:line="360" w:lineRule="auto"/>
              <w:ind w:firstLine="482" w:firstLineChars="200"/>
              <w:jc w:val="left"/>
              <w:rPr>
                <w:rFonts w:hint="default" w:ascii="Times New Roman" w:hAnsi="Times New Roman" w:cs="Times New Roman"/>
                <w:color w:val="auto"/>
                <w:kern w:val="0"/>
                <w:sz w:val="24"/>
                <w:highlight w:val="none"/>
              </w:rPr>
            </w:pPr>
            <w:bookmarkStart w:id="111" w:name="OLE_LINK64"/>
            <w:r>
              <w:rPr>
                <w:rFonts w:hint="default" w:ascii="Times New Roman" w:hAnsi="Times New Roman" w:cs="Times New Roman"/>
                <w:b/>
                <w:bCs/>
                <w:color w:val="auto"/>
                <w:kern w:val="0"/>
                <w:sz w:val="24"/>
                <w:highlight w:val="none"/>
                <w:lang w:eastAsia="zh-CN"/>
              </w:rPr>
              <w:t>⑴</w:t>
            </w:r>
            <w:bookmarkEnd w:id="111"/>
            <w:r>
              <w:rPr>
                <w:rFonts w:hint="default" w:ascii="Times New Roman" w:hAnsi="Times New Roman" w:cs="Times New Roman"/>
                <w:b/>
                <w:bCs/>
                <w:color w:val="auto"/>
                <w:kern w:val="0"/>
                <w:sz w:val="24"/>
                <w:highlight w:val="none"/>
              </w:rPr>
              <w:t>生态环境现状</w:t>
            </w:r>
          </w:p>
          <w:p w14:paraId="2EE1CE69">
            <w:pPr>
              <w:adjustRightInd w:val="0"/>
              <w:snapToGrid w:val="0"/>
              <w:spacing w:line="360" w:lineRule="auto"/>
              <w:ind w:firstLine="480" w:firstLineChars="200"/>
              <w:jc w:val="both"/>
              <w:rPr>
                <w:rFonts w:hint="default" w:ascii="Times New Roman" w:hAnsi="Times New Roman" w:cs="Times New Roman"/>
                <w:color w:val="auto"/>
                <w:sz w:val="24"/>
                <w:highlight w:val="none"/>
                <w:lang w:val="en-US" w:eastAsia="zh-CN"/>
              </w:rPr>
            </w:pPr>
            <w:bookmarkStart w:id="112" w:name="OLE_LINK22"/>
            <w:r>
              <w:rPr>
                <w:rFonts w:hint="default" w:ascii="Times New Roman" w:hAnsi="Times New Roman" w:cs="Times New Roman"/>
                <w:color w:val="auto"/>
                <w:sz w:val="24"/>
                <w:highlight w:val="none"/>
              </w:rPr>
              <w:t>本项目线路</w:t>
            </w:r>
            <w:bookmarkEnd w:id="112"/>
            <w:r>
              <w:rPr>
                <w:rFonts w:hint="default" w:ascii="Times New Roman" w:hAnsi="Times New Roman" w:cs="Times New Roman"/>
                <w:color w:val="auto"/>
                <w:sz w:val="24"/>
                <w:highlight w:val="none"/>
              </w:rPr>
              <w:t>所</w:t>
            </w:r>
            <w:r>
              <w:rPr>
                <w:rFonts w:hint="default" w:ascii="Times New Roman" w:hAnsi="Times New Roman" w:cs="Times New Roman"/>
                <w:color w:val="auto"/>
                <w:sz w:val="24"/>
                <w:highlight w:val="none"/>
                <w:lang w:val="en-US" w:eastAsia="zh-CN"/>
              </w:rPr>
              <w:t>经</w:t>
            </w:r>
            <w:r>
              <w:rPr>
                <w:rFonts w:hint="default" w:ascii="Times New Roman" w:hAnsi="Times New Roman" w:cs="Times New Roman"/>
                <w:color w:val="auto"/>
                <w:sz w:val="24"/>
                <w:highlight w:val="none"/>
              </w:rPr>
              <w:t>区域土壤类型主要为</w:t>
            </w:r>
            <w:r>
              <w:rPr>
                <w:rFonts w:hint="default" w:ascii="Times New Roman" w:hAnsi="Times New Roman" w:cs="Times New Roman"/>
                <w:color w:val="auto"/>
                <w:sz w:val="24"/>
                <w:highlight w:val="none"/>
                <w:lang w:val="en-US" w:eastAsia="zh-CN"/>
              </w:rPr>
              <w:t>黄绵土。黄绵土是在黄土母质上发育形成的，无明显的剖面，有机质含量较低，全钾含量较高。黄绵土结构疏松耕性良好，抗蚀性能差，常是发生严重水土流失的物质基础。输电线路沿线土层厚几米至数十米不等，旱地、水浇地表层熟土厚度30cm～50cm，其他草地表土厚度约5cm～15cm，果园表土厚度约10cm～20cm。</w:t>
            </w:r>
            <w:bookmarkStart w:id="113" w:name="OLE_LINK58"/>
            <w:r>
              <w:rPr>
                <w:rFonts w:hint="default" w:ascii="Times New Roman" w:hAnsi="Times New Roman" w:eastAsia="宋体" w:cs="Times New Roman"/>
                <w:color w:val="auto"/>
                <w:kern w:val="0"/>
                <w:sz w:val="24"/>
                <w:szCs w:val="24"/>
                <w:highlight w:val="none"/>
                <w:lang w:val="en-US" w:eastAsia="zh-CN" w:bidi="ar"/>
              </w:rPr>
              <w:t>经现场调查，</w:t>
            </w:r>
            <w:bookmarkEnd w:id="113"/>
            <w:r>
              <w:rPr>
                <w:rFonts w:hint="default" w:ascii="Times New Roman" w:hAnsi="Times New Roman" w:eastAsia="宋体" w:cs="Times New Roman"/>
                <w:color w:val="auto"/>
                <w:kern w:val="0"/>
                <w:sz w:val="24"/>
                <w:szCs w:val="24"/>
                <w:highlight w:val="none"/>
                <w:lang w:val="en-US" w:eastAsia="zh-CN" w:bidi="ar"/>
              </w:rPr>
              <w:t>本项目</w:t>
            </w:r>
            <w:r>
              <w:rPr>
                <w:rFonts w:hint="default" w:ascii="Times New Roman" w:hAnsi="Times New Roman" w:eastAsia="宋体" w:cs="Times New Roman"/>
                <w:color w:val="auto"/>
                <w:sz w:val="24"/>
                <w:highlight w:val="none"/>
                <w:lang w:val="en-US" w:eastAsia="zh-CN"/>
              </w:rPr>
              <w:t>所在区域</w:t>
            </w:r>
            <w:r>
              <w:rPr>
                <w:rFonts w:hint="default" w:ascii="Times New Roman" w:hAnsi="Times New Roman" w:cs="Times New Roman"/>
                <w:color w:val="auto"/>
                <w:sz w:val="24"/>
                <w:highlight w:val="none"/>
                <w:lang w:val="en-US" w:eastAsia="zh-CN"/>
              </w:rPr>
              <w:t>现状植物</w:t>
            </w:r>
            <w:r>
              <w:rPr>
                <w:rFonts w:hint="eastAsia" w:cs="Times New Roman"/>
                <w:color w:val="auto"/>
                <w:sz w:val="24"/>
                <w:highlight w:val="none"/>
                <w:lang w:val="en-US" w:eastAsia="zh-CN"/>
              </w:rPr>
              <w:t>森林植被主要以柠条锦鸡儿、沙棘、油松为主；</w:t>
            </w:r>
            <w:r>
              <w:rPr>
                <w:rFonts w:hint="default" w:ascii="Times New Roman" w:hAnsi="Times New Roman" w:cs="Times New Roman"/>
                <w:color w:val="auto"/>
                <w:sz w:val="24"/>
                <w:highlight w:val="none"/>
                <w:lang w:val="en-US" w:eastAsia="zh-CN"/>
              </w:rPr>
              <w:t>草地</w:t>
            </w:r>
            <w:r>
              <w:rPr>
                <w:rFonts w:hint="eastAsia" w:cs="Times New Roman"/>
                <w:color w:val="auto"/>
                <w:sz w:val="24"/>
                <w:highlight w:val="none"/>
                <w:lang w:val="en-US" w:eastAsia="zh-CN"/>
              </w:rPr>
              <w:t>植被以骆驼蓬群落、冰草群落为主；</w:t>
            </w:r>
            <w:r>
              <w:rPr>
                <w:rFonts w:hint="default" w:ascii="Times New Roman" w:hAnsi="Times New Roman" w:cs="Times New Roman"/>
                <w:color w:val="auto"/>
                <w:sz w:val="24"/>
                <w:highlight w:val="none"/>
                <w:lang w:val="en-US" w:eastAsia="zh-CN"/>
              </w:rPr>
              <w:t>农田内主要种植玉米等经济作物，果园主要为红梅杏树。通过对周边村民的询问调查，项目所在区域无大型野生动物分布，主要为小型爬行类动物、小型哺乳类动物及鸟类。其中爬行类动物主要有沙蜥、壁虎和蛇类；哺乳类动物主要有田鼠、黄鼠、沙鼠、野兔等；鸟类主要有乌鸦、喜鹊</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燕子等。</w:t>
            </w:r>
          </w:p>
          <w:p w14:paraId="360F78FD">
            <w:pPr>
              <w:keepNext w:val="0"/>
              <w:keepLines w:val="0"/>
              <w:pageBreakBefore w:val="0"/>
              <w:widowControl w:val="0"/>
              <w:tabs>
                <w:tab w:val="left" w:pos="614"/>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color w:val="auto"/>
                <w:sz w:val="24"/>
                <w:highlight w:val="none"/>
                <w:lang w:val="en-US" w:eastAsia="zh-CN"/>
              </w:rPr>
              <w:t>本项目云雾山330千伏变电站</w:t>
            </w:r>
            <w:r>
              <w:rPr>
                <w:rFonts w:hint="eastAsia" w:cs="Times New Roman"/>
                <w:color w:val="auto"/>
                <w:sz w:val="24"/>
                <w:highlight w:val="none"/>
                <w:lang w:val="en-US" w:eastAsia="zh-CN"/>
              </w:rPr>
              <w:t>间隔扩建工程生态影响评价范围内涉及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color w:val="auto"/>
                <w:sz w:val="24"/>
                <w:highlight w:val="none"/>
                <w:lang w:val="en-US" w:eastAsia="zh-CN"/>
              </w:rPr>
              <w:t>，但本次间隔扩建工程仅为站内施工，不在站外设置永久或临时占地，因此对站外</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bCs/>
                <w:color w:val="auto"/>
                <w:sz w:val="24"/>
                <w:szCs w:val="24"/>
                <w:highlight w:val="none"/>
                <w:lang w:val="en-US" w:eastAsia="zh-CN"/>
              </w:rPr>
              <w:t>影响轻微；</w:t>
            </w:r>
            <w:r>
              <w:rPr>
                <w:rFonts w:hint="default" w:ascii="Times New Roman" w:hAnsi="Times New Roman" w:cs="Times New Roman"/>
                <w:b w:val="0"/>
                <w:bCs w:val="0"/>
                <w:color w:val="auto"/>
                <w:kern w:val="0"/>
                <w:sz w:val="24"/>
                <w:szCs w:val="24"/>
                <w:highlight w:val="none"/>
                <w:lang w:val="en-US" w:eastAsia="zh-CN"/>
              </w:rPr>
              <w:t>输电线路穿越东南黄土高原丘陵水土保持生态保护红线</w:t>
            </w:r>
            <w:r>
              <w:rPr>
                <w:rFonts w:hint="eastAsia" w:cs="Times New Roman"/>
                <w:b w:val="0"/>
                <w:bCs w:val="0"/>
                <w:color w:val="auto"/>
                <w:kern w:val="0"/>
                <w:sz w:val="24"/>
                <w:szCs w:val="24"/>
                <w:highlight w:val="none"/>
                <w:lang w:val="en-US" w:eastAsia="zh-CN"/>
              </w:rPr>
              <w:t>10.514</w:t>
            </w:r>
            <w:r>
              <w:rPr>
                <w:rFonts w:hint="default" w:ascii="Times New Roman" w:hAnsi="Times New Roman" w:cs="Times New Roman"/>
                <w:b w:val="0"/>
                <w:bCs w:val="0"/>
                <w:color w:val="auto"/>
                <w:kern w:val="0"/>
                <w:sz w:val="24"/>
                <w:szCs w:val="24"/>
                <w:highlight w:val="none"/>
                <w:lang w:val="en-US" w:eastAsia="zh-CN"/>
              </w:rPr>
              <w:t>km，红线内立塔3</w:t>
            </w:r>
            <w:r>
              <w:rPr>
                <w:rFonts w:hint="eastAsia" w:cs="Times New Roman"/>
                <w:b w:val="0"/>
                <w:bCs w:val="0"/>
                <w:color w:val="auto"/>
                <w:kern w:val="0"/>
                <w:sz w:val="24"/>
                <w:szCs w:val="24"/>
                <w:highlight w:val="none"/>
                <w:lang w:val="en-US" w:eastAsia="zh-CN"/>
              </w:rPr>
              <w:t>5</w:t>
            </w:r>
            <w:r>
              <w:rPr>
                <w:rFonts w:hint="default" w:ascii="Times New Roman" w:hAnsi="Times New Roman" w:cs="Times New Roman"/>
                <w:b w:val="0"/>
                <w:bCs w:val="0"/>
                <w:color w:val="auto"/>
                <w:kern w:val="0"/>
                <w:sz w:val="24"/>
                <w:szCs w:val="24"/>
                <w:highlight w:val="none"/>
                <w:lang w:val="en-US" w:eastAsia="zh-CN"/>
              </w:rPr>
              <w:t>基，在红线内总占地面积3.1696hm</w:t>
            </w:r>
            <w:r>
              <w:rPr>
                <w:rFonts w:hint="default" w:ascii="Times New Roman" w:hAnsi="Times New Roman" w:cs="Times New Roman"/>
                <w:b w:val="0"/>
                <w:bCs w:val="0"/>
                <w:color w:val="auto"/>
                <w:kern w:val="0"/>
                <w:sz w:val="24"/>
                <w:szCs w:val="24"/>
                <w:highlight w:val="none"/>
                <w:vertAlign w:val="superscript"/>
                <w:lang w:val="en-US" w:eastAsia="zh-CN"/>
              </w:rPr>
              <w:t>2</w:t>
            </w:r>
            <w:r>
              <w:rPr>
                <w:rFonts w:hint="default" w:ascii="Times New Roman" w:hAnsi="Times New Roman" w:cs="Times New Roman"/>
                <w:b w:val="0"/>
                <w:bCs w:val="0"/>
                <w:color w:val="auto"/>
                <w:kern w:val="0"/>
                <w:sz w:val="24"/>
                <w:szCs w:val="24"/>
                <w:highlight w:val="none"/>
                <w:lang w:val="en-US" w:eastAsia="zh-CN"/>
              </w:rPr>
              <w:t>，具体内容详见生态</w:t>
            </w:r>
            <w:r>
              <w:rPr>
                <w:rFonts w:hint="eastAsia" w:cs="Times New Roman"/>
                <w:b w:val="0"/>
                <w:bCs w:val="0"/>
                <w:color w:val="auto"/>
                <w:kern w:val="0"/>
                <w:sz w:val="24"/>
                <w:szCs w:val="24"/>
                <w:highlight w:val="none"/>
                <w:lang w:val="en-US" w:eastAsia="zh-CN"/>
              </w:rPr>
              <w:t>专题评价</w:t>
            </w:r>
            <w:r>
              <w:rPr>
                <w:rFonts w:hint="default" w:ascii="Times New Roman" w:hAnsi="Times New Roman" w:cs="Times New Roman"/>
                <w:b w:val="0"/>
                <w:bCs w:val="0"/>
                <w:color w:val="auto"/>
                <w:kern w:val="0"/>
                <w:sz w:val="24"/>
                <w:szCs w:val="24"/>
                <w:highlight w:val="none"/>
                <w:lang w:val="en-US" w:eastAsia="zh-CN"/>
              </w:rPr>
              <w:t>。</w:t>
            </w:r>
          </w:p>
          <w:p w14:paraId="414CF650">
            <w:pPr>
              <w:adjustRightInd w:val="0"/>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eastAsia" w:cs="Times New Roman"/>
                <w:bCs/>
                <w:color w:val="auto"/>
                <w:sz w:val="24"/>
                <w:szCs w:val="24"/>
                <w:highlight w:val="none"/>
                <w:lang w:val="en-US" w:eastAsia="zh-CN"/>
              </w:rPr>
              <w:t>云雾山</w:t>
            </w:r>
            <w:r>
              <w:rPr>
                <w:rFonts w:hint="default" w:ascii="Times New Roman" w:hAnsi="Times New Roman" w:cs="Times New Roman"/>
                <w:color w:val="auto"/>
                <w:sz w:val="24"/>
                <w:highlight w:val="none"/>
                <w:lang w:val="en-US" w:eastAsia="zh-CN"/>
              </w:rPr>
              <w:t>330千伏变电站</w:t>
            </w:r>
            <w:r>
              <w:rPr>
                <w:rFonts w:hint="eastAsia" w:cs="Times New Roman"/>
                <w:color w:val="auto"/>
                <w:sz w:val="24"/>
                <w:highlight w:val="none"/>
                <w:lang w:val="en-US" w:eastAsia="zh-CN"/>
              </w:rPr>
              <w:t>间隔扩建工程和</w:t>
            </w:r>
            <w:r>
              <w:rPr>
                <w:rFonts w:hint="default" w:ascii="Times New Roman" w:hAnsi="Times New Roman" w:cs="Times New Roman"/>
                <w:color w:val="auto"/>
                <w:kern w:val="0"/>
                <w:sz w:val="24"/>
                <w:highlight w:val="none"/>
                <w:lang w:val="en-US" w:eastAsia="zh-CN"/>
              </w:rPr>
              <w:t>输电线路</w:t>
            </w:r>
            <w:r>
              <w:rPr>
                <w:rFonts w:hint="eastAsia" w:cs="Times New Roman"/>
                <w:color w:val="auto"/>
                <w:kern w:val="0"/>
                <w:sz w:val="24"/>
                <w:highlight w:val="none"/>
                <w:lang w:val="en-US" w:eastAsia="zh-CN"/>
              </w:rPr>
              <w:t>工程</w:t>
            </w:r>
            <w:r>
              <w:rPr>
                <w:rFonts w:hint="default" w:ascii="Times New Roman" w:hAnsi="Times New Roman" w:cs="Times New Roman"/>
                <w:color w:val="auto"/>
                <w:kern w:val="0"/>
                <w:sz w:val="24"/>
                <w:highlight w:val="none"/>
                <w:lang w:val="en-US" w:eastAsia="zh-CN"/>
              </w:rPr>
              <w:t>生态影响评价</w:t>
            </w:r>
            <w:r>
              <w:rPr>
                <w:rFonts w:hint="default" w:ascii="Times New Roman" w:hAnsi="Times New Roman" w:cs="Times New Roman"/>
                <w:color w:val="auto"/>
                <w:kern w:val="0"/>
                <w:sz w:val="24"/>
                <w:highlight w:val="none"/>
              </w:rPr>
              <w:t>范围内未发现国家级及自治区级保护的珍稀濒危动物栖息地和繁殖地。</w:t>
            </w:r>
          </w:p>
          <w:tbl>
            <w:tblPr>
              <w:tblStyle w:val="32"/>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2"/>
              <w:gridCol w:w="4252"/>
            </w:tblGrid>
            <w:tr w14:paraId="3230D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0" w:type="dxa"/>
                  <w:tcBorders>
                    <w:tl2br w:val="nil"/>
                    <w:tr2bl w:val="nil"/>
                  </w:tcBorders>
                  <w:noWrap w:val="0"/>
                  <w:vAlign w:val="top"/>
                </w:tcPr>
                <w:p w14:paraId="0830CCAB">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4"/>
                      <w:szCs w:val="24"/>
                      <w:highlight w:val="none"/>
                      <w:vertAlign w:val="baseline"/>
                      <w:lang w:val="en-US" w:eastAsia="zh-CN" w:bidi="ar"/>
                    </w:rPr>
                  </w:pPr>
                  <w:r>
                    <w:rPr>
                      <w:rFonts w:hint="default" w:ascii="Times New Roman" w:hAnsi="Times New Roman" w:eastAsia="宋体" w:cs="Times New Roman"/>
                      <w:color w:val="auto"/>
                      <w:vertAlign w:val="baseline"/>
                      <w:lang w:val="en-US" w:eastAsia="zh-CN"/>
                    </w:rPr>
                    <w:drawing>
                      <wp:inline distT="0" distB="0" distL="114300" distR="114300">
                        <wp:extent cx="2584450" cy="1764665"/>
                        <wp:effectExtent l="0" t="0" r="6350" b="635"/>
                        <wp:docPr id="3" name="图片 8" descr="2bbeb8f649428972023bbb40bc3b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2bbeb8f649428972023bbb40bc3b9318"/>
                                <pic:cNvPicPr>
                                  <a:picLocks noChangeAspect="1"/>
                                </pic:cNvPicPr>
                              </pic:nvPicPr>
                              <pic:blipFill>
                                <a:blip r:embed="rId44"/>
                                <a:stretch>
                                  <a:fillRect/>
                                </a:stretch>
                              </pic:blipFill>
                              <pic:spPr>
                                <a:xfrm>
                                  <a:off x="0" y="0"/>
                                  <a:ext cx="2584450" cy="1764665"/>
                                </a:xfrm>
                                <a:prstGeom prst="rect">
                                  <a:avLst/>
                                </a:prstGeom>
                                <a:noFill/>
                                <a:ln>
                                  <a:noFill/>
                                </a:ln>
                              </pic:spPr>
                            </pic:pic>
                          </a:graphicData>
                        </a:graphic>
                      </wp:inline>
                    </w:drawing>
                  </w:r>
                </w:p>
              </w:tc>
              <w:tc>
                <w:tcPr>
                  <w:tcW w:w="4110" w:type="dxa"/>
                  <w:tcBorders>
                    <w:tl2br w:val="nil"/>
                    <w:tr2bl w:val="nil"/>
                  </w:tcBorders>
                  <w:noWrap w:val="0"/>
                  <w:vAlign w:val="top"/>
                </w:tcPr>
                <w:p w14:paraId="19093871">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4"/>
                      <w:szCs w:val="24"/>
                      <w:highlight w:val="none"/>
                      <w:vertAlign w:val="baseline"/>
                      <w:lang w:val="en-US" w:eastAsia="zh-CN" w:bidi="ar"/>
                    </w:rPr>
                  </w:pPr>
                  <w:r>
                    <w:rPr>
                      <w:rFonts w:hint="default" w:ascii="Times New Roman" w:hAnsi="Times New Roman" w:cs="Times New Roman"/>
                      <w:color w:val="auto"/>
                      <w:vertAlign w:val="baseline"/>
                      <w:lang w:val="en-US" w:eastAsia="zh-CN"/>
                    </w:rPr>
                    <w:drawing>
                      <wp:inline distT="0" distB="0" distL="114300" distR="114300">
                        <wp:extent cx="2580640" cy="1762125"/>
                        <wp:effectExtent l="0" t="0" r="10160" b="9525"/>
                        <wp:docPr id="4" name="图片 13" descr="924fecaf30ffee508690a41ad5636b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descr="924fecaf30ffee508690a41ad5636b23"/>
                                <pic:cNvPicPr>
                                  <a:picLocks noChangeAspect="1"/>
                                </pic:cNvPicPr>
                              </pic:nvPicPr>
                              <pic:blipFill>
                                <a:blip r:embed="rId45"/>
                                <a:stretch>
                                  <a:fillRect/>
                                </a:stretch>
                              </pic:blipFill>
                              <pic:spPr>
                                <a:xfrm>
                                  <a:off x="0" y="0"/>
                                  <a:ext cx="2580640" cy="1762125"/>
                                </a:xfrm>
                                <a:prstGeom prst="rect">
                                  <a:avLst/>
                                </a:prstGeom>
                                <a:noFill/>
                                <a:ln>
                                  <a:noFill/>
                                </a:ln>
                              </pic:spPr>
                            </pic:pic>
                          </a:graphicData>
                        </a:graphic>
                      </wp:inline>
                    </w:drawing>
                  </w:r>
                </w:p>
              </w:tc>
            </w:tr>
            <w:tr w14:paraId="6D9AD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0" w:type="dxa"/>
                  <w:tcBorders>
                    <w:tl2br w:val="nil"/>
                    <w:tr2bl w:val="nil"/>
                  </w:tcBorders>
                  <w:noWrap w:val="0"/>
                  <w:vAlign w:val="top"/>
                </w:tcPr>
                <w:p w14:paraId="7E856A0B">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4"/>
                      <w:szCs w:val="24"/>
                      <w:highlight w:val="none"/>
                      <w:vertAlign w:val="baseline"/>
                      <w:lang w:val="en-US" w:eastAsia="zh-CN" w:bidi="ar"/>
                    </w:rPr>
                  </w:pPr>
                  <w:r>
                    <w:rPr>
                      <w:rFonts w:hint="default" w:ascii="Times New Roman" w:hAnsi="Times New Roman" w:cs="Times New Roman"/>
                      <w:color w:val="auto"/>
                      <w:vertAlign w:val="baseline"/>
                      <w:lang w:val="en-US" w:eastAsia="zh-CN"/>
                    </w:rPr>
                    <w:drawing>
                      <wp:inline distT="0" distB="0" distL="114300" distR="114300">
                        <wp:extent cx="2581275" cy="1762760"/>
                        <wp:effectExtent l="0" t="0" r="9525" b="2540"/>
                        <wp:docPr id="5" name="图片 14" descr="a4174ec571d307d3aabd3f618bd8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 descr="a4174ec571d307d3aabd3f618bd85357"/>
                                <pic:cNvPicPr>
                                  <a:picLocks noChangeAspect="1"/>
                                </pic:cNvPicPr>
                              </pic:nvPicPr>
                              <pic:blipFill>
                                <a:blip r:embed="rId46"/>
                                <a:stretch>
                                  <a:fillRect/>
                                </a:stretch>
                              </pic:blipFill>
                              <pic:spPr>
                                <a:xfrm>
                                  <a:off x="0" y="0"/>
                                  <a:ext cx="2581275" cy="1762760"/>
                                </a:xfrm>
                                <a:prstGeom prst="rect">
                                  <a:avLst/>
                                </a:prstGeom>
                                <a:noFill/>
                                <a:ln>
                                  <a:noFill/>
                                </a:ln>
                              </pic:spPr>
                            </pic:pic>
                          </a:graphicData>
                        </a:graphic>
                      </wp:inline>
                    </w:drawing>
                  </w:r>
                </w:p>
              </w:tc>
              <w:tc>
                <w:tcPr>
                  <w:tcW w:w="4110" w:type="dxa"/>
                  <w:tcBorders>
                    <w:tl2br w:val="nil"/>
                    <w:tr2bl w:val="nil"/>
                  </w:tcBorders>
                  <w:noWrap w:val="0"/>
                  <w:vAlign w:val="top"/>
                </w:tcPr>
                <w:p w14:paraId="5082F23C">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4"/>
                      <w:szCs w:val="24"/>
                      <w:highlight w:val="none"/>
                      <w:vertAlign w:val="baseline"/>
                      <w:lang w:val="en-US" w:eastAsia="zh-CN" w:bidi="ar"/>
                    </w:rPr>
                  </w:pPr>
                  <w:r>
                    <w:rPr>
                      <w:rFonts w:hint="default" w:ascii="Times New Roman" w:hAnsi="Times New Roman" w:cs="Times New Roman"/>
                      <w:color w:val="auto"/>
                      <w:vertAlign w:val="baseline"/>
                      <w:lang w:val="en-US" w:eastAsia="zh-CN"/>
                    </w:rPr>
                    <w:drawing>
                      <wp:inline distT="0" distB="0" distL="114300" distR="114300">
                        <wp:extent cx="2585720" cy="1762760"/>
                        <wp:effectExtent l="0" t="0" r="5080" b="2540"/>
                        <wp:docPr id="6" name="图片 15" descr="d72cdf9304c3898be4c6fa41f4c46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 descr="d72cdf9304c3898be4c6fa41f4c46601"/>
                                <pic:cNvPicPr>
                                  <a:picLocks noChangeAspect="1"/>
                                </pic:cNvPicPr>
                              </pic:nvPicPr>
                              <pic:blipFill>
                                <a:blip r:embed="rId47"/>
                                <a:stretch>
                                  <a:fillRect/>
                                </a:stretch>
                              </pic:blipFill>
                              <pic:spPr>
                                <a:xfrm>
                                  <a:off x="0" y="0"/>
                                  <a:ext cx="2585720" cy="1762760"/>
                                </a:xfrm>
                                <a:prstGeom prst="rect">
                                  <a:avLst/>
                                </a:prstGeom>
                                <a:noFill/>
                                <a:ln>
                                  <a:noFill/>
                                </a:ln>
                              </pic:spPr>
                            </pic:pic>
                          </a:graphicData>
                        </a:graphic>
                      </wp:inline>
                    </w:drawing>
                  </w:r>
                </w:p>
              </w:tc>
            </w:tr>
            <w:tr w14:paraId="21B54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20" w:type="dxa"/>
                  <w:gridSpan w:val="2"/>
                  <w:tcBorders>
                    <w:tl2br w:val="nil"/>
                    <w:tr2bl w:val="nil"/>
                  </w:tcBorders>
                  <w:noWrap w:val="0"/>
                  <w:vAlign w:val="top"/>
                </w:tcPr>
                <w:p w14:paraId="326333F4">
                  <w:pPr>
                    <w:keepNext w:val="0"/>
                    <w:keepLines w:val="0"/>
                    <w:pageBreakBefore w:val="0"/>
                    <w:widowControl w:val="0"/>
                    <w:tabs>
                      <w:tab w:val="left" w:pos="420"/>
                      <w:tab w:val="left" w:pos="840"/>
                      <w:tab w:val="left" w:pos="12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4"/>
                      <w:szCs w:val="24"/>
                      <w:highlight w:val="none"/>
                      <w:vertAlign w:val="baseline"/>
                      <w:lang w:val="en-US" w:eastAsia="zh-CN" w:bidi="ar"/>
                    </w:rPr>
                  </w:pPr>
                  <w:r>
                    <w:rPr>
                      <w:rFonts w:hint="eastAsia" w:cs="Times New Roman"/>
                      <w:b/>
                      <w:bCs/>
                      <w:color w:val="auto"/>
                      <w:kern w:val="0"/>
                      <w:sz w:val="24"/>
                      <w:highlight w:val="none"/>
                      <w:vertAlign w:val="baseline"/>
                      <w:lang w:val="en-US" w:eastAsia="zh-CN"/>
                    </w:rPr>
                    <w:t xml:space="preserve">图3-2  </w:t>
                  </w:r>
                  <w:r>
                    <w:rPr>
                      <w:rFonts w:hint="default" w:ascii="Times New Roman" w:hAnsi="Times New Roman" w:eastAsia="宋体" w:cs="Times New Roman"/>
                      <w:b/>
                      <w:bCs/>
                      <w:color w:val="auto"/>
                      <w:kern w:val="0"/>
                      <w:sz w:val="24"/>
                      <w:highlight w:val="none"/>
                      <w:vertAlign w:val="baseline"/>
                      <w:lang w:val="en-US" w:eastAsia="zh-CN"/>
                    </w:rPr>
                    <w:t>沿线植被分布情况</w:t>
                  </w:r>
                </w:p>
              </w:tc>
            </w:tr>
          </w:tbl>
          <w:p w14:paraId="24F15F6F">
            <w:pPr>
              <w:keepNext w:val="0"/>
              <w:keepLines w:val="0"/>
              <w:pageBreakBefore w:val="0"/>
              <w:widowControl w:val="0"/>
              <w:tabs>
                <w:tab w:val="left" w:pos="614"/>
              </w:tabs>
              <w:kinsoku/>
              <w:wordWrap/>
              <w:overflowPunct/>
              <w:topLinePunct w:val="0"/>
              <w:autoSpaceDE/>
              <w:autoSpaceDN/>
              <w:bidi w:val="0"/>
              <w:adjustRightInd w:val="0"/>
              <w:snapToGrid w:val="0"/>
              <w:spacing w:before="157" w:beforeLines="50" w:line="360" w:lineRule="auto"/>
              <w:ind w:firstLine="482" w:firstLineChars="200"/>
              <w:jc w:val="both"/>
              <w:textAlignment w:val="auto"/>
              <w:rPr>
                <w:rFonts w:hint="default" w:ascii="Times New Roman" w:hAnsi="Times New Roman" w:eastAsia="宋体" w:cs="Times New Roman"/>
                <w:b/>
                <w:bCs/>
                <w:color w:val="auto"/>
                <w:kern w:val="0"/>
                <w:sz w:val="24"/>
                <w:highlight w:val="none"/>
                <w:lang w:eastAsia="zh-CN"/>
              </w:rPr>
            </w:pPr>
            <w:r>
              <w:rPr>
                <w:rFonts w:hint="default" w:ascii="Times New Roman" w:hAnsi="Times New Roman" w:cs="Times New Roman"/>
                <w:b/>
                <w:bCs/>
                <w:color w:val="auto"/>
                <w:kern w:val="0"/>
                <w:sz w:val="24"/>
                <w:highlight w:val="none"/>
                <w:lang w:eastAsia="zh-CN"/>
              </w:rPr>
              <w:t>⑵</w:t>
            </w:r>
            <w:r>
              <w:rPr>
                <w:rFonts w:hint="default" w:ascii="Times New Roman" w:hAnsi="Times New Roman" w:cs="Times New Roman"/>
                <w:b/>
                <w:bCs/>
                <w:color w:val="auto"/>
                <w:kern w:val="0"/>
                <w:sz w:val="24"/>
                <w:highlight w:val="none"/>
              </w:rPr>
              <w:t>主体功能</w:t>
            </w:r>
            <w:r>
              <w:rPr>
                <w:rFonts w:hint="default" w:ascii="Times New Roman" w:hAnsi="Times New Roman" w:cs="Times New Roman"/>
                <w:b/>
                <w:bCs/>
                <w:color w:val="auto"/>
                <w:kern w:val="0"/>
                <w:sz w:val="24"/>
                <w:highlight w:val="none"/>
                <w:lang w:eastAsia="zh-CN"/>
              </w:rPr>
              <w:t>区划</w:t>
            </w:r>
          </w:p>
          <w:p w14:paraId="75955AB2">
            <w:pPr>
              <w:adjustRightInd w:val="0"/>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eastAsia="宋体" w:cs="Times New Roman"/>
                <w:color w:val="auto"/>
                <w:kern w:val="2"/>
                <w:sz w:val="24"/>
                <w:szCs w:val="24"/>
                <w:highlight w:val="none"/>
                <w:lang w:val="en-US" w:eastAsia="zh-CN" w:bidi="ar-SA"/>
              </w:rPr>
              <w:t>本项目</w:t>
            </w:r>
            <w:r>
              <w:rPr>
                <w:rFonts w:hint="default" w:ascii="Times New Roman" w:hAnsi="Times New Roman" w:cs="Times New Roman"/>
                <w:color w:val="auto"/>
                <w:sz w:val="24"/>
                <w:highlight w:val="none"/>
                <w:lang w:val="en-US" w:eastAsia="zh-CN"/>
              </w:rPr>
              <w:t>输电线路</w:t>
            </w:r>
            <w:r>
              <w:rPr>
                <w:rFonts w:hint="default" w:ascii="Times New Roman" w:hAnsi="Times New Roman" w:eastAsia="宋体" w:cs="Times New Roman"/>
                <w:color w:val="auto"/>
                <w:kern w:val="2"/>
                <w:sz w:val="24"/>
                <w:szCs w:val="24"/>
                <w:highlight w:val="none"/>
                <w:lang w:val="en-US" w:eastAsia="zh-CN" w:bidi="ar-SA"/>
              </w:rPr>
              <w:t>所</w:t>
            </w:r>
            <w:r>
              <w:rPr>
                <w:rFonts w:hint="default" w:ascii="Times New Roman" w:hAnsi="Times New Roman" w:cs="Times New Roman"/>
                <w:color w:val="auto"/>
                <w:sz w:val="24"/>
                <w:highlight w:val="none"/>
              </w:rPr>
              <w:t>经</w:t>
            </w:r>
            <w:r>
              <w:rPr>
                <w:rFonts w:hint="default" w:ascii="Times New Roman" w:hAnsi="Times New Roman" w:eastAsia="宋体" w:cs="Times New Roman"/>
                <w:color w:val="auto"/>
                <w:kern w:val="2"/>
                <w:sz w:val="24"/>
                <w:szCs w:val="24"/>
                <w:highlight w:val="none"/>
                <w:lang w:val="en-US" w:eastAsia="zh-CN" w:bidi="ar-SA"/>
              </w:rPr>
              <w:t>区域位于《宁夏回族自治区主体功能区规划》中的“国家重点生态功能区”“省级重点生态功能区”。省级重点生态功能区定位：保障国家生态安全的重要区域，西北重要的生态功能区，人与自然和谐相处的示范区。</w:t>
            </w:r>
            <w:r>
              <w:rPr>
                <w:rFonts w:hint="default" w:ascii="Times New Roman" w:hAnsi="Times New Roman" w:cs="Times New Roman"/>
                <w:bCs/>
                <w:color w:val="auto"/>
                <w:sz w:val="24"/>
                <w:highlight w:val="none"/>
              </w:rPr>
              <w:t>符合</w:t>
            </w:r>
            <w:r>
              <w:rPr>
                <w:rFonts w:hint="default" w:ascii="Times New Roman" w:hAnsi="Times New Roman" w:cs="Times New Roman"/>
                <w:color w:val="auto"/>
                <w:kern w:val="0"/>
                <w:sz w:val="24"/>
                <w:highlight w:val="none"/>
              </w:rPr>
              <w:t>宁夏回族自治区主体功能区规划的要求</w:t>
            </w:r>
            <w:r>
              <w:rPr>
                <w:rFonts w:hint="default" w:ascii="Times New Roman" w:hAnsi="Times New Roman" w:cs="Times New Roman"/>
                <w:bCs/>
                <w:color w:val="auto"/>
                <w:sz w:val="24"/>
                <w:highlight w:val="none"/>
              </w:rPr>
              <w:t>。</w:t>
            </w:r>
            <w:r>
              <w:rPr>
                <w:rFonts w:hint="default" w:ascii="Times New Roman" w:hAnsi="Times New Roman" w:cs="Times New Roman"/>
                <w:color w:val="auto"/>
                <w:kern w:val="0"/>
                <w:sz w:val="24"/>
                <w:highlight w:val="none"/>
              </w:rPr>
              <w:t>项目与宁夏主体功能区划相对位置关系</w:t>
            </w:r>
            <w:r>
              <w:rPr>
                <w:rFonts w:hint="default" w:ascii="Times New Roman" w:hAnsi="Times New Roman" w:cs="Times New Roman"/>
                <w:color w:val="auto"/>
                <w:kern w:val="0"/>
                <w:sz w:val="24"/>
                <w:highlight w:val="none"/>
                <w:lang w:val="en-US" w:eastAsia="zh-CN"/>
              </w:rPr>
              <w:t>详</w:t>
            </w:r>
            <w:r>
              <w:rPr>
                <w:rFonts w:hint="default" w:ascii="Times New Roman" w:hAnsi="Times New Roman" w:cs="Times New Roman"/>
                <w:color w:val="auto"/>
                <w:kern w:val="0"/>
                <w:sz w:val="24"/>
                <w:highlight w:val="none"/>
              </w:rPr>
              <w:t>见</w:t>
            </w:r>
            <w:r>
              <w:rPr>
                <w:rFonts w:hint="default" w:ascii="Times New Roman" w:hAnsi="Times New Roman" w:cs="Times New Roman"/>
                <w:b w:val="0"/>
                <w:bCs w:val="0"/>
                <w:color w:val="auto"/>
                <w:kern w:val="0"/>
                <w:sz w:val="24"/>
                <w:highlight w:val="none"/>
                <w:lang w:val="en-US" w:eastAsia="zh-CN"/>
              </w:rPr>
              <w:t>附图3-1</w:t>
            </w:r>
            <w:r>
              <w:rPr>
                <w:rFonts w:hint="default" w:ascii="Times New Roman" w:hAnsi="Times New Roman" w:cs="Times New Roman"/>
                <w:b w:val="0"/>
                <w:bCs w:val="0"/>
                <w:color w:val="auto"/>
                <w:kern w:val="0"/>
                <w:sz w:val="24"/>
                <w:highlight w:val="none"/>
              </w:rPr>
              <w:t>。</w:t>
            </w:r>
          </w:p>
          <w:p w14:paraId="6C73216A">
            <w:pPr>
              <w:adjustRightInd w:val="0"/>
              <w:snapToGrid w:val="0"/>
              <w:spacing w:line="360" w:lineRule="auto"/>
              <w:ind w:firstLine="482"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eastAsia="zh-CN"/>
              </w:rPr>
              <w:t>⑶</w:t>
            </w:r>
            <w:r>
              <w:rPr>
                <w:rFonts w:hint="default" w:ascii="Times New Roman" w:hAnsi="Times New Roman" w:cs="Times New Roman"/>
                <w:b/>
                <w:bCs/>
                <w:color w:val="auto"/>
                <w:kern w:val="0"/>
                <w:sz w:val="24"/>
                <w:highlight w:val="none"/>
              </w:rPr>
              <w:t>生态功能定位</w:t>
            </w:r>
          </w:p>
          <w:p w14:paraId="222B2026">
            <w:pPr>
              <w:spacing w:line="360" w:lineRule="auto"/>
              <w:jc w:val="both"/>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sz w:val="24"/>
                <w:szCs w:val="24"/>
                <w:highlight w:val="none"/>
                <w:shd w:val="clear" w:color="auto" w:fill="auto"/>
                <w:lang w:val="en-US" w:eastAsia="zh-CN" w:bidi="ar-SA"/>
              </w:rPr>
              <w:t xml:space="preserve">    根据《宁夏</w:t>
            </w:r>
            <w:r>
              <w:rPr>
                <w:rFonts w:hint="default" w:ascii="Times New Roman" w:hAnsi="Times New Roman" w:eastAsia="宋体" w:cs="Times New Roman"/>
                <w:color w:val="auto"/>
                <w:sz w:val="24"/>
                <w:highlight w:val="none"/>
              </w:rPr>
              <w:t>回族自治区</w:t>
            </w:r>
            <w:r>
              <w:rPr>
                <w:rFonts w:hint="default" w:ascii="Times New Roman" w:hAnsi="Times New Roman" w:eastAsia="宋体" w:cs="Times New Roman"/>
                <w:color w:val="auto"/>
                <w:kern w:val="2"/>
                <w:sz w:val="24"/>
                <w:szCs w:val="24"/>
                <w:highlight w:val="none"/>
                <w:shd w:val="clear" w:color="auto" w:fill="auto"/>
                <w:lang w:val="en-US" w:eastAsia="zh-CN" w:bidi="ar-SA"/>
              </w:rPr>
              <w:t>生态功能区划》（2003.10），宁夏生态功能区划共划分3个一级区，10个二级区，37个三级区。对照宁夏生态功能区划图可知，本项目位于I3-1原东彭北梁峁丘陵强度水土流失治理生态功能区。</w:t>
            </w:r>
            <w:r>
              <w:rPr>
                <w:rFonts w:hint="default" w:ascii="Times New Roman" w:hAnsi="Times New Roman" w:cs="Times New Roman"/>
                <w:color w:val="auto"/>
                <w:kern w:val="0"/>
                <w:sz w:val="24"/>
                <w:highlight w:val="none"/>
              </w:rPr>
              <w:t>本</w:t>
            </w:r>
            <w:r>
              <w:rPr>
                <w:rFonts w:hint="default" w:ascii="Times New Roman" w:hAnsi="Times New Roman" w:eastAsia="宋体" w:cs="Times New Roman"/>
                <w:color w:val="auto"/>
                <w:kern w:val="2"/>
                <w:sz w:val="24"/>
                <w:szCs w:val="24"/>
                <w:highlight w:val="none"/>
                <w:shd w:val="clear" w:color="auto" w:fill="auto"/>
                <w:lang w:val="en-US" w:eastAsia="zh-CN" w:bidi="ar-SA"/>
              </w:rPr>
              <w:t>项目与宁夏生态功能区划位置关系</w:t>
            </w:r>
            <w:r>
              <w:rPr>
                <w:rFonts w:hint="default" w:ascii="Times New Roman" w:hAnsi="Times New Roman" w:cs="Times New Roman"/>
                <w:color w:val="auto"/>
                <w:kern w:val="0"/>
                <w:sz w:val="24"/>
                <w:highlight w:val="none"/>
                <w:lang w:val="en-US" w:eastAsia="zh-CN"/>
              </w:rPr>
              <w:t>详</w:t>
            </w:r>
            <w:r>
              <w:rPr>
                <w:rFonts w:hint="default" w:ascii="Times New Roman" w:hAnsi="Times New Roman" w:cs="Times New Roman"/>
                <w:color w:val="auto"/>
                <w:kern w:val="0"/>
                <w:sz w:val="24"/>
                <w:highlight w:val="none"/>
              </w:rPr>
              <w:t>见</w:t>
            </w:r>
            <w:r>
              <w:rPr>
                <w:rFonts w:hint="default" w:ascii="Times New Roman" w:hAnsi="Times New Roman" w:cs="Times New Roman"/>
                <w:b w:val="0"/>
                <w:bCs w:val="0"/>
                <w:color w:val="auto"/>
                <w:kern w:val="0"/>
                <w:sz w:val="24"/>
                <w:highlight w:val="none"/>
                <w:lang w:val="en-US" w:eastAsia="zh-CN"/>
              </w:rPr>
              <w:t>附图</w:t>
            </w:r>
            <w:r>
              <w:rPr>
                <w:rFonts w:hint="default" w:ascii="Times New Roman" w:hAnsi="Times New Roman" w:eastAsia="宋体" w:cs="Times New Roman"/>
                <w:color w:val="auto"/>
                <w:kern w:val="2"/>
                <w:sz w:val="24"/>
                <w:szCs w:val="24"/>
                <w:highlight w:val="none"/>
                <w:shd w:val="clear" w:color="auto" w:fill="auto"/>
                <w:lang w:val="en-US" w:eastAsia="zh-CN" w:bidi="ar-SA"/>
              </w:rPr>
              <w:t>3-2。</w:t>
            </w:r>
          </w:p>
          <w:p w14:paraId="702748B3">
            <w:pPr>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3-2</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eastAsia="zh-CN"/>
              </w:rPr>
              <w:t>本项目所在区域主体功能区划</w:t>
            </w:r>
            <w:r>
              <w:rPr>
                <w:rFonts w:hint="default" w:ascii="Times New Roman" w:hAnsi="Times New Roman" w:eastAsia="宋体" w:cs="Times New Roman"/>
                <w:b/>
                <w:bCs/>
                <w:color w:val="auto"/>
                <w:sz w:val="24"/>
                <w:highlight w:val="none"/>
              </w:rPr>
              <w:t>表</w:t>
            </w:r>
          </w:p>
          <w:tbl>
            <w:tblPr>
              <w:tblStyle w:val="32"/>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4"/>
              <w:gridCol w:w="946"/>
              <w:gridCol w:w="1345"/>
              <w:gridCol w:w="5259"/>
            </w:tblGrid>
            <w:tr w14:paraId="45D06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23" w:type="dxa"/>
                  <w:tcBorders>
                    <w:tl2br w:val="nil"/>
                    <w:tr2bl w:val="nil"/>
                  </w:tcBorders>
                  <w:noWrap w:val="0"/>
                  <w:vAlign w:val="center"/>
                </w:tcPr>
                <w:p w14:paraId="6DF53F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vertAlign w:val="baseline"/>
                      <w:lang w:eastAsia="zh-CN"/>
                    </w:rPr>
                  </w:pPr>
                  <w:r>
                    <w:rPr>
                      <w:rFonts w:hint="default" w:ascii="Times New Roman" w:hAnsi="Times New Roman" w:eastAsia="宋体" w:cs="Times New Roman"/>
                      <w:b/>
                      <w:bCs/>
                      <w:color w:val="auto"/>
                      <w:sz w:val="21"/>
                      <w:szCs w:val="21"/>
                      <w:highlight w:val="none"/>
                      <w:shd w:val="clear" w:color="auto" w:fill="auto"/>
                      <w:vertAlign w:val="baseline"/>
                      <w:lang w:eastAsia="zh-CN"/>
                    </w:rPr>
                    <w:t>一级区</w:t>
                  </w:r>
                </w:p>
              </w:tc>
              <w:tc>
                <w:tcPr>
                  <w:tcW w:w="914" w:type="dxa"/>
                  <w:tcBorders>
                    <w:tl2br w:val="nil"/>
                    <w:tr2bl w:val="nil"/>
                  </w:tcBorders>
                  <w:noWrap w:val="0"/>
                  <w:vAlign w:val="center"/>
                </w:tcPr>
                <w:p w14:paraId="4E43BC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vertAlign w:val="baseline"/>
                      <w:lang w:eastAsia="zh-CN"/>
                    </w:rPr>
                  </w:pPr>
                  <w:r>
                    <w:rPr>
                      <w:rFonts w:hint="default" w:ascii="Times New Roman" w:hAnsi="Times New Roman" w:eastAsia="宋体" w:cs="Times New Roman"/>
                      <w:b/>
                      <w:bCs/>
                      <w:color w:val="auto"/>
                      <w:sz w:val="21"/>
                      <w:szCs w:val="21"/>
                      <w:highlight w:val="none"/>
                      <w:shd w:val="clear" w:color="auto" w:fill="auto"/>
                      <w:vertAlign w:val="baseline"/>
                      <w:lang w:eastAsia="zh-CN"/>
                    </w:rPr>
                    <w:t>二级区</w:t>
                  </w:r>
                </w:p>
              </w:tc>
              <w:tc>
                <w:tcPr>
                  <w:tcW w:w="1300" w:type="dxa"/>
                  <w:tcBorders>
                    <w:tl2br w:val="nil"/>
                    <w:tr2bl w:val="nil"/>
                  </w:tcBorders>
                  <w:noWrap w:val="0"/>
                  <w:vAlign w:val="center"/>
                </w:tcPr>
                <w:p w14:paraId="3866CB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vertAlign w:val="baseline"/>
                      <w:lang w:eastAsia="zh-CN"/>
                    </w:rPr>
                  </w:pPr>
                  <w:r>
                    <w:rPr>
                      <w:rFonts w:hint="default" w:ascii="Times New Roman" w:hAnsi="Times New Roman" w:eastAsia="宋体" w:cs="Times New Roman"/>
                      <w:b/>
                      <w:bCs/>
                      <w:color w:val="auto"/>
                      <w:sz w:val="21"/>
                      <w:szCs w:val="21"/>
                      <w:highlight w:val="none"/>
                      <w:shd w:val="clear" w:color="auto" w:fill="auto"/>
                      <w:vertAlign w:val="baseline"/>
                      <w:lang w:eastAsia="zh-CN"/>
                    </w:rPr>
                    <w:t>三级区</w:t>
                  </w:r>
                </w:p>
              </w:tc>
              <w:tc>
                <w:tcPr>
                  <w:tcW w:w="5083" w:type="dxa"/>
                  <w:tcBorders>
                    <w:tl2br w:val="nil"/>
                    <w:tr2bl w:val="nil"/>
                  </w:tcBorders>
                  <w:noWrap w:val="0"/>
                  <w:vAlign w:val="center"/>
                </w:tcPr>
                <w:p w14:paraId="0C49FD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vertAlign w:val="baseline"/>
                      <w:lang w:eastAsia="zh-CN"/>
                    </w:rPr>
                  </w:pPr>
                  <w:r>
                    <w:rPr>
                      <w:rFonts w:hint="default" w:ascii="Times New Roman" w:hAnsi="Times New Roman" w:eastAsia="宋体" w:cs="Times New Roman"/>
                      <w:b/>
                      <w:bCs/>
                      <w:color w:val="auto"/>
                      <w:sz w:val="21"/>
                      <w:szCs w:val="21"/>
                      <w:highlight w:val="none"/>
                      <w:shd w:val="clear" w:color="auto" w:fill="auto"/>
                      <w:vertAlign w:val="baseline"/>
                      <w:lang w:eastAsia="zh-CN"/>
                    </w:rPr>
                    <w:t>主要生态特点、问题及措施</w:t>
                  </w:r>
                </w:p>
              </w:tc>
            </w:tr>
            <w:tr w14:paraId="5D2C3A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923" w:type="dxa"/>
                  <w:tcBorders>
                    <w:tl2br w:val="nil"/>
                    <w:tr2bl w:val="nil"/>
                  </w:tcBorders>
                  <w:noWrap w:val="0"/>
                  <w:vAlign w:val="center"/>
                </w:tcPr>
                <w:p w14:paraId="472DAB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shd w:val="clear" w:color="auto" w:fill="auto"/>
                      <w:vertAlign w:val="baseline"/>
                      <w:lang w:val="en-US" w:eastAsia="zh-CN"/>
                    </w:rPr>
                  </w:pPr>
                  <w:r>
                    <w:rPr>
                      <w:rFonts w:hint="default" w:ascii="Times New Roman" w:hAnsi="Times New Roman" w:eastAsia="宋体" w:cs="Times New Roman"/>
                      <w:color w:val="auto"/>
                      <w:kern w:val="0"/>
                      <w:sz w:val="21"/>
                      <w:szCs w:val="21"/>
                      <w:highlight w:val="none"/>
                      <w:shd w:val="clear" w:color="auto" w:fill="auto"/>
                      <w:vertAlign w:val="baseline"/>
                      <w:lang w:val="en-US" w:eastAsia="zh-CN"/>
                    </w:rPr>
                    <w:t>南部</w:t>
                  </w:r>
                  <w:r>
                    <w:rPr>
                      <w:rFonts w:hint="default" w:ascii="Times New Roman" w:hAnsi="Times New Roman" w:eastAsia="宋体" w:cs="Times New Roman"/>
                      <w:color w:val="auto"/>
                      <w:kern w:val="0"/>
                      <w:sz w:val="21"/>
                      <w:szCs w:val="21"/>
                      <w:highlight w:val="none"/>
                      <w:shd w:val="clear" w:color="auto" w:fill="auto"/>
                      <w:lang w:val="en-US" w:eastAsia="zh-CN"/>
                    </w:rPr>
                    <w:t>黄土丘陵水土流失区</w:t>
                  </w:r>
                </w:p>
              </w:tc>
              <w:tc>
                <w:tcPr>
                  <w:tcW w:w="914" w:type="dxa"/>
                  <w:tcBorders>
                    <w:tl2br w:val="nil"/>
                    <w:tr2bl w:val="nil"/>
                  </w:tcBorders>
                  <w:noWrap w:val="0"/>
                  <w:vAlign w:val="center"/>
                </w:tcPr>
                <w:p w14:paraId="276CB1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shd w:val="clear" w:color="auto" w:fill="auto"/>
                      <w:vertAlign w:val="baseline"/>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原彭黄土丘陵牧林农生态亚区</w:t>
                  </w:r>
                </w:p>
              </w:tc>
              <w:tc>
                <w:tcPr>
                  <w:tcW w:w="1300" w:type="dxa"/>
                  <w:tcBorders>
                    <w:tl2br w:val="nil"/>
                    <w:tr2bl w:val="nil"/>
                  </w:tcBorders>
                  <w:noWrap w:val="0"/>
                  <w:vAlign w:val="center"/>
                </w:tcPr>
                <w:p w14:paraId="53C191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color w:val="auto"/>
                      <w:kern w:val="0"/>
                      <w:sz w:val="24"/>
                      <w:szCs w:val="24"/>
                      <w:highlight w:val="none"/>
                      <w:shd w:val="clear" w:color="auto" w:fill="auto"/>
                    </w:rPr>
                  </w:pPr>
                  <w:r>
                    <w:rPr>
                      <w:rFonts w:hint="default" w:ascii="Times New Roman" w:hAnsi="Times New Roman" w:eastAsia="宋体" w:cs="Times New Roman"/>
                      <w:color w:val="auto"/>
                      <w:kern w:val="0"/>
                      <w:sz w:val="21"/>
                      <w:szCs w:val="21"/>
                      <w:highlight w:val="none"/>
                      <w:shd w:val="clear" w:color="auto" w:fill="auto"/>
                      <w:lang w:val="en-US" w:eastAsia="zh-CN"/>
                    </w:rPr>
                    <w:t>I 3-1原东彭北梁峁丘陵强度水土流失治理生态功能区</w:t>
                  </w:r>
                </w:p>
              </w:tc>
              <w:tc>
                <w:tcPr>
                  <w:tcW w:w="5083" w:type="dxa"/>
                  <w:tcBorders>
                    <w:tl2br w:val="nil"/>
                    <w:tr2bl w:val="nil"/>
                  </w:tcBorders>
                  <w:noWrap w:val="0"/>
                  <w:vAlign w:val="center"/>
                </w:tcPr>
                <w:p w14:paraId="4D9A3797">
                  <w:pPr>
                    <w:jc w:val="both"/>
                    <w:rPr>
                      <w:rFonts w:hint="default" w:ascii="Times New Roman" w:hAnsi="Times New Roman" w:eastAsia="宋体" w:cs="Times New Roman"/>
                      <w:color w:val="auto"/>
                      <w:kern w:val="0"/>
                      <w:sz w:val="21"/>
                      <w:szCs w:val="21"/>
                      <w:highlight w:val="none"/>
                      <w:shd w:val="clear" w:color="auto" w:fill="auto"/>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本生态功能区属典型的黄土梁峁丘陵地貌，间有小型川、涧地和残塬，还有炭山等中低山地。地形切割较深，水土流失严重，水土流失是该区最敏感的生态问题之一，超载放牧，草场退化严重是问题之二。治理措施主要有；加强小流域综合治理，退耕还林还草。</w:t>
                  </w:r>
                </w:p>
              </w:tc>
            </w:tr>
          </w:tbl>
          <w:p w14:paraId="0D6AA45C">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本项目占地面积小，输电线路为点状施工，采用挖孔桩基础，施工作业量小，施工时间短，施工结束后及时恢复临时用地原有地貌的植被，对周边生态环境影响较小。本项目已制定植被恢复方案，施工期按照区域生态功能治理措施为原则，结合本项目实际占地类型，对沿线</w:t>
            </w:r>
            <w:r>
              <w:rPr>
                <w:rFonts w:hint="eastAsia" w:cs="Times New Roman"/>
                <w:bCs/>
                <w:color w:val="auto"/>
                <w:sz w:val="24"/>
                <w:highlight w:val="none"/>
                <w:lang w:val="en-US" w:eastAsia="zh-CN"/>
              </w:rPr>
              <w:t>临时</w:t>
            </w:r>
            <w:r>
              <w:rPr>
                <w:rFonts w:hint="default" w:ascii="Times New Roman" w:hAnsi="Times New Roman" w:cs="Times New Roman"/>
                <w:bCs/>
                <w:color w:val="auto"/>
                <w:sz w:val="24"/>
                <w:highlight w:val="none"/>
                <w:lang w:val="en-US" w:eastAsia="zh-CN"/>
              </w:rPr>
              <w:t>占用耕地、林地、园地和草地恢复其原有</w:t>
            </w:r>
            <w:r>
              <w:rPr>
                <w:rFonts w:hint="eastAsia" w:cs="Times New Roman"/>
                <w:bCs/>
                <w:color w:val="auto"/>
                <w:sz w:val="24"/>
                <w:highlight w:val="none"/>
                <w:lang w:val="en-US" w:eastAsia="zh-CN"/>
              </w:rPr>
              <w:t>土地功能</w:t>
            </w:r>
            <w:r>
              <w:rPr>
                <w:rFonts w:hint="default" w:ascii="Times New Roman" w:hAnsi="Times New Roman" w:cs="Times New Roman"/>
                <w:bCs/>
                <w:color w:val="auto"/>
                <w:sz w:val="24"/>
                <w:highlight w:val="none"/>
                <w:lang w:val="en-US" w:eastAsia="zh-CN"/>
              </w:rPr>
              <w:t>，形成与周边生态环境相协调的植物群落及生态系统。同时采用工程措施与植被措施相结合的水土流失防治措施，可有效减少项目建设区域水土流失问题。因此，本项目的建设与《宁夏回族自治区生态功能区划》相符。</w:t>
            </w:r>
          </w:p>
          <w:p w14:paraId="292A77D1">
            <w:pPr>
              <w:adjustRightInd w:val="0"/>
              <w:snapToGrid w:val="0"/>
              <w:spacing w:line="360" w:lineRule="auto"/>
              <w:ind w:firstLine="482"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eastAsia="zh-CN"/>
              </w:rPr>
              <w:t>⑷</w:t>
            </w:r>
            <w:r>
              <w:rPr>
                <w:rFonts w:hint="default" w:ascii="Times New Roman" w:hAnsi="Times New Roman" w:cs="Times New Roman"/>
                <w:b/>
                <w:bCs/>
                <w:color w:val="auto"/>
                <w:kern w:val="0"/>
                <w:sz w:val="24"/>
                <w:highlight w:val="none"/>
              </w:rPr>
              <w:t>项目区域土地利用类型</w:t>
            </w:r>
          </w:p>
          <w:p w14:paraId="7A79D996">
            <w:pPr>
              <w:pStyle w:val="13"/>
              <w:spacing w:after="0" w:line="360" w:lineRule="auto"/>
              <w:ind w:left="0" w:leftChars="0" w:firstLine="480" w:firstLineChars="200"/>
              <w:rPr>
                <w:rFonts w:hint="default" w:ascii="Times New Roman" w:hAnsi="Times New Roman" w:eastAsia="黑体" w:cs="Times New Roman"/>
                <w:b/>
                <w:bCs/>
                <w:color w:val="auto"/>
                <w:sz w:val="24"/>
                <w:highlight w:val="none"/>
              </w:rPr>
            </w:pPr>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项目所在</w:t>
            </w:r>
            <w:r>
              <w:rPr>
                <w:rFonts w:hint="default" w:ascii="Times New Roman" w:hAnsi="Times New Roman" w:cs="Times New Roman"/>
                <w:color w:val="auto"/>
                <w:kern w:val="0"/>
                <w:sz w:val="24"/>
                <w:highlight w:val="none"/>
              </w:rPr>
              <w:t>区域的土地利用类型为</w:t>
            </w:r>
            <w:r>
              <w:rPr>
                <w:rFonts w:hint="default" w:ascii="Times New Roman" w:hAnsi="Times New Roman" w:cs="Times New Roman"/>
                <w:bCs/>
                <w:color w:val="auto"/>
                <w:sz w:val="24"/>
                <w:highlight w:val="none"/>
                <w:lang w:val="en-US" w:eastAsia="zh-CN"/>
              </w:rPr>
              <w:t>旱地、水浇地、灌木林地、乔木林地、其他</w:t>
            </w:r>
            <w:r>
              <w:rPr>
                <w:rFonts w:hint="default" w:ascii="Times New Roman" w:hAnsi="Times New Roman" w:eastAsia="宋体" w:cs="Times New Roman"/>
                <w:color w:val="auto"/>
                <w:sz w:val="24"/>
                <w:highlight w:val="none"/>
                <w:lang w:val="en-US" w:eastAsia="zh-CN"/>
              </w:rPr>
              <w:t>林地、人工牧草地、天然牧草地、其他草地、果园和农村道路</w:t>
            </w:r>
            <w:r>
              <w:rPr>
                <w:rFonts w:hint="default" w:ascii="Times New Roman" w:hAnsi="Times New Roman" w:cs="Times New Roman"/>
                <w:color w:val="auto"/>
                <w:kern w:val="0"/>
                <w:sz w:val="24"/>
                <w:highlight w:val="none"/>
              </w:rPr>
              <w:t>，项目区域土地利用类型详见</w:t>
            </w:r>
            <w:r>
              <w:rPr>
                <w:rFonts w:hint="eastAsia" w:cs="Times New Roman"/>
                <w:b w:val="0"/>
                <w:bCs w:val="0"/>
                <w:color w:val="auto"/>
                <w:kern w:val="0"/>
                <w:sz w:val="24"/>
                <w:highlight w:val="none"/>
                <w:lang w:val="en-US" w:eastAsia="zh-CN"/>
              </w:rPr>
              <w:t>生态专题报告专题图2-2</w:t>
            </w:r>
            <w:r>
              <w:rPr>
                <w:rFonts w:hint="default" w:ascii="Times New Roman" w:hAnsi="Times New Roman" w:cs="Times New Roman"/>
                <w:color w:val="auto"/>
                <w:kern w:val="0"/>
                <w:sz w:val="24"/>
                <w:highlight w:val="none"/>
              </w:rPr>
              <w:t>。</w:t>
            </w:r>
          </w:p>
          <w:p w14:paraId="5FDDF0D4">
            <w:pPr>
              <w:adjustRightInd w:val="0"/>
              <w:snapToGrid w:val="0"/>
              <w:spacing w:line="360" w:lineRule="auto"/>
              <w:ind w:firstLine="482"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eastAsia="zh-CN"/>
              </w:rPr>
              <w:t>⑸</w:t>
            </w:r>
            <w:r>
              <w:rPr>
                <w:rFonts w:hint="default" w:ascii="Times New Roman" w:hAnsi="Times New Roman" w:cs="Times New Roman"/>
                <w:b/>
                <w:bCs/>
                <w:color w:val="auto"/>
                <w:kern w:val="0"/>
                <w:sz w:val="24"/>
                <w:highlight w:val="none"/>
              </w:rPr>
              <w:t>项目区域植被类型</w:t>
            </w:r>
          </w:p>
          <w:p w14:paraId="1FE42958">
            <w:pPr>
              <w:pStyle w:val="13"/>
              <w:spacing w:after="0" w:line="360" w:lineRule="auto"/>
              <w:ind w:left="0" w:leftChars="0"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本项目所在区域位于《宁夏植被图》中</w:t>
            </w:r>
            <w:r>
              <w:rPr>
                <w:rFonts w:hint="default" w:ascii="Times New Roman" w:hAnsi="Times New Roman" w:cs="Times New Roman"/>
                <w:color w:val="auto"/>
                <w:kern w:val="0"/>
                <w:sz w:val="24"/>
                <w:highlight w:val="none"/>
                <w:lang w:val="en-US" w:eastAsia="zh-CN"/>
              </w:rPr>
              <w:t>I</w:t>
            </w:r>
            <w:r>
              <w:rPr>
                <w:rFonts w:hint="default" w:ascii="Times New Roman" w:hAnsi="Times New Roman" w:cs="Times New Roman"/>
                <w:color w:val="auto"/>
                <w:kern w:val="0"/>
                <w:sz w:val="24"/>
                <w:highlight w:val="none"/>
              </w:rPr>
              <w:t>温带</w:t>
            </w:r>
            <w:r>
              <w:rPr>
                <w:rFonts w:hint="default" w:ascii="Times New Roman" w:hAnsi="Times New Roman" w:cs="Times New Roman"/>
                <w:color w:val="auto"/>
                <w:kern w:val="0"/>
                <w:sz w:val="24"/>
                <w:highlight w:val="none"/>
                <w:lang w:val="en-US" w:eastAsia="zh-CN"/>
              </w:rPr>
              <w:t>草原</w:t>
            </w:r>
            <w:r>
              <w:rPr>
                <w:rFonts w:hint="default" w:ascii="Times New Roman" w:hAnsi="Times New Roman" w:cs="Times New Roman"/>
                <w:color w:val="auto"/>
                <w:kern w:val="0"/>
                <w:sz w:val="24"/>
                <w:highlight w:val="none"/>
              </w:rPr>
              <w:t>区域的</w:t>
            </w:r>
            <w:bookmarkStart w:id="114" w:name="OLE_LINK55"/>
            <w:r>
              <w:rPr>
                <w:rFonts w:hint="default" w:ascii="Times New Roman" w:hAnsi="Times New Roman" w:cs="Times New Roman"/>
                <w:color w:val="auto"/>
                <w:kern w:val="0"/>
                <w:sz w:val="24"/>
                <w:highlight w:val="none"/>
              </w:rPr>
              <w:t>固原中部灌丛草原小区</w:t>
            </w:r>
            <w:r>
              <w:rPr>
                <w:rFonts w:hint="default" w:ascii="Times New Roman" w:hAnsi="Times New Roman" w:eastAsia="宋体" w:cs="Times New Roman"/>
                <w:color w:val="auto"/>
                <w:kern w:val="0"/>
                <w:sz w:val="24"/>
                <w:szCs w:val="24"/>
                <w:highlight w:val="none"/>
                <w:lang w:val="en-US" w:eastAsia="zh-CN" w:bidi="ar"/>
              </w:rPr>
              <w:t>（IAL1c）</w:t>
            </w:r>
            <w:bookmarkEnd w:id="114"/>
            <w:r>
              <w:rPr>
                <w:rFonts w:hint="default" w:ascii="Times New Roman" w:hAnsi="Times New Roman" w:eastAsia="宋体" w:cs="Times New Roman"/>
                <w:color w:val="auto"/>
                <w:kern w:val="0"/>
                <w:sz w:val="24"/>
                <w:szCs w:val="24"/>
                <w:highlight w:val="none"/>
                <w:lang w:val="en-US" w:eastAsia="zh-CN" w:bidi="ar"/>
              </w:rPr>
              <w:t>，自然植被属于V</w:t>
            </w:r>
            <w:r>
              <w:rPr>
                <w:rFonts w:hint="default" w:ascii="Times New Roman" w:hAnsi="Times New Roman" w:eastAsia="宋体" w:cs="Times New Roman"/>
                <w:color w:val="auto"/>
                <w:kern w:val="0"/>
                <w:sz w:val="24"/>
                <w:highlight w:val="none"/>
                <w:lang w:val="en-US" w:eastAsia="zh-CN"/>
              </w:rPr>
              <w:t>草原</w:t>
            </w:r>
            <w:r>
              <w:rPr>
                <w:rFonts w:hint="default" w:ascii="Times New Roman" w:hAnsi="Times New Roman" w:eastAsia="宋体" w:cs="Times New Roman"/>
                <w:color w:val="auto"/>
                <w:kern w:val="0"/>
                <w:sz w:val="24"/>
                <w:szCs w:val="24"/>
                <w:highlight w:val="none"/>
                <w:lang w:val="en-US" w:eastAsia="zh-CN" w:bidi="ar"/>
              </w:rPr>
              <w:t>，具体为百里香、星毛委陵菜、长茅草草原。</w:t>
            </w:r>
            <w:bookmarkStart w:id="115" w:name="OLE_LINK26"/>
            <w:r>
              <w:rPr>
                <w:rFonts w:hint="default" w:ascii="Times New Roman" w:hAnsi="Times New Roman" w:eastAsia="宋体" w:cs="Times New Roman"/>
                <w:color w:val="auto"/>
                <w:kern w:val="0"/>
                <w:sz w:val="24"/>
                <w:szCs w:val="24"/>
                <w:highlight w:val="none"/>
                <w:lang w:val="en-US" w:eastAsia="zh-CN" w:bidi="ar"/>
              </w:rPr>
              <w:t>本</w:t>
            </w:r>
            <w:r>
              <w:rPr>
                <w:rFonts w:hint="default" w:ascii="Times New Roman" w:hAnsi="Times New Roman" w:cs="Times New Roman"/>
                <w:color w:val="auto"/>
                <w:sz w:val="24"/>
                <w:highlight w:val="none"/>
                <w:lang w:val="en-US" w:eastAsia="zh-CN"/>
              </w:rPr>
              <w:t>项目所在区域现状植物</w:t>
            </w:r>
            <w:r>
              <w:rPr>
                <w:rFonts w:hint="eastAsia" w:cs="Times New Roman"/>
                <w:color w:val="auto"/>
                <w:sz w:val="24"/>
                <w:highlight w:val="none"/>
                <w:lang w:val="en-US" w:eastAsia="zh-CN"/>
              </w:rPr>
              <w:t>森林植被主要以柠条锦鸡儿、沙棘、油松为主；</w:t>
            </w:r>
            <w:r>
              <w:rPr>
                <w:rFonts w:hint="default" w:ascii="Times New Roman" w:hAnsi="Times New Roman" w:cs="Times New Roman"/>
                <w:color w:val="auto"/>
                <w:sz w:val="24"/>
                <w:highlight w:val="none"/>
                <w:lang w:val="en-US" w:eastAsia="zh-CN"/>
              </w:rPr>
              <w:t>草地</w:t>
            </w:r>
            <w:r>
              <w:rPr>
                <w:rFonts w:hint="eastAsia" w:cs="Times New Roman"/>
                <w:color w:val="auto"/>
                <w:sz w:val="24"/>
                <w:highlight w:val="none"/>
                <w:lang w:val="en-US" w:eastAsia="zh-CN"/>
              </w:rPr>
              <w:t>植被以骆驼蓬群落、冰草群落为主；</w:t>
            </w:r>
            <w:r>
              <w:rPr>
                <w:rFonts w:hint="default" w:ascii="Times New Roman" w:hAnsi="Times New Roman" w:cs="Times New Roman"/>
                <w:color w:val="auto"/>
                <w:sz w:val="24"/>
                <w:highlight w:val="none"/>
                <w:lang w:val="en-US" w:eastAsia="zh-CN"/>
              </w:rPr>
              <w:t>农田内主要种植玉米等经济作物，果园主要为红梅杏树。</w:t>
            </w:r>
            <w:r>
              <w:rPr>
                <w:rFonts w:hint="default" w:ascii="Times New Roman" w:hAnsi="Times New Roman" w:cs="Times New Roman"/>
                <w:color w:val="auto"/>
                <w:kern w:val="0"/>
                <w:sz w:val="24"/>
                <w:highlight w:val="none"/>
              </w:rPr>
              <w:t>项目区域植被类型详见</w:t>
            </w:r>
            <w:r>
              <w:rPr>
                <w:rFonts w:hint="eastAsia" w:cs="Times New Roman"/>
                <w:b w:val="0"/>
                <w:bCs w:val="0"/>
                <w:color w:val="auto"/>
                <w:kern w:val="0"/>
                <w:sz w:val="24"/>
                <w:highlight w:val="none"/>
                <w:lang w:val="en-US" w:eastAsia="zh-CN"/>
              </w:rPr>
              <w:t>生态专题报告专题图2-3</w:t>
            </w:r>
            <w:r>
              <w:rPr>
                <w:rFonts w:hint="default" w:ascii="Times New Roman" w:hAnsi="Times New Roman" w:cs="Times New Roman"/>
                <w:color w:val="auto"/>
                <w:kern w:val="0"/>
                <w:sz w:val="24"/>
                <w:highlight w:val="none"/>
              </w:rPr>
              <w:t>。</w:t>
            </w:r>
            <w:bookmarkEnd w:id="115"/>
          </w:p>
          <w:p w14:paraId="1DA1B006">
            <w:pPr>
              <w:adjustRightInd w:val="0"/>
              <w:snapToGrid w:val="0"/>
              <w:spacing w:line="360" w:lineRule="auto"/>
              <w:ind w:firstLine="482"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eastAsia="zh-CN"/>
              </w:rPr>
              <w:t>⑹</w:t>
            </w:r>
            <w:r>
              <w:rPr>
                <w:rFonts w:hint="default" w:ascii="Times New Roman" w:hAnsi="Times New Roman" w:cs="Times New Roman"/>
                <w:b/>
                <w:bCs/>
                <w:color w:val="auto"/>
                <w:kern w:val="0"/>
                <w:sz w:val="24"/>
                <w:highlight w:val="none"/>
              </w:rPr>
              <w:t>项目区域野生动物</w:t>
            </w:r>
          </w:p>
          <w:p w14:paraId="4722DC97">
            <w:pPr>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lang w:val="en-US" w:eastAsia="zh-CN"/>
              </w:rPr>
              <w:t>通过对周边村民的询问调查，项目所在区域无大型野生动物分布，主要为小型爬行类动物、小型哺乳类动物及鸟类。其中爬行类动物主要有沙蜥、壁虎和蛇类；哺乳类动物主要有田鼠、黄鼠、沙鼠、野兔等；鸟类主要有乌鸦、喜鹊、燕子等。本项目生态影响评价范围内未发现国家及地方珍稀保护动植物分布。</w:t>
            </w:r>
          </w:p>
          <w:p w14:paraId="53004BEB">
            <w:pPr>
              <w:adjustRightInd w:val="0"/>
              <w:snapToGrid w:val="0"/>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 w:val="24"/>
                <w:highlight w:val="none"/>
                <w:lang w:val="en-US" w:eastAsia="zh-CN"/>
              </w:rPr>
              <w:t>本项目</w:t>
            </w:r>
            <w:r>
              <w:rPr>
                <w:rFonts w:hint="default" w:ascii="Times New Roman" w:hAnsi="Times New Roman" w:cs="Times New Roman"/>
                <w:color w:val="auto"/>
                <w:kern w:val="0"/>
                <w:sz w:val="24"/>
                <w:highlight w:val="none"/>
                <w:lang w:val="en-US" w:eastAsia="zh-CN"/>
              </w:rPr>
              <w:t>输电线路路径生态影响评价</w:t>
            </w:r>
            <w:r>
              <w:rPr>
                <w:rFonts w:hint="default" w:ascii="Times New Roman" w:hAnsi="Times New Roman" w:cs="Times New Roman"/>
                <w:color w:val="auto"/>
                <w:kern w:val="0"/>
                <w:sz w:val="24"/>
                <w:highlight w:val="none"/>
              </w:rPr>
              <w:t>范围内未发现国家级及自治区级保护的珍稀濒危动物栖息地和繁殖地。</w:t>
            </w:r>
          </w:p>
          <w:p w14:paraId="558893B9">
            <w:pPr>
              <w:adjustRightInd w:val="0"/>
              <w:snapToGrid w:val="0"/>
              <w:spacing w:line="360" w:lineRule="auto"/>
              <w:ind w:firstLine="482"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eastAsia="zh-CN"/>
              </w:rPr>
              <w:t>3.</w:t>
            </w:r>
            <w:r>
              <w:rPr>
                <w:rFonts w:hint="default" w:ascii="Times New Roman" w:hAnsi="Times New Roman" w:cs="Times New Roman"/>
                <w:b/>
                <w:bCs/>
                <w:color w:val="auto"/>
                <w:kern w:val="0"/>
                <w:sz w:val="24"/>
                <w:highlight w:val="none"/>
              </w:rPr>
              <w:t>区域环境质量现状</w:t>
            </w:r>
          </w:p>
          <w:p w14:paraId="71033757">
            <w:pPr>
              <w:adjustRightInd w:val="0"/>
              <w:snapToGrid w:val="0"/>
              <w:spacing w:line="360" w:lineRule="auto"/>
              <w:ind w:firstLine="482" w:firstLineChars="200"/>
              <w:jc w:val="left"/>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eastAsia="zh-CN"/>
              </w:rPr>
              <w:t>⑴</w:t>
            </w:r>
            <w:r>
              <w:rPr>
                <w:rFonts w:hint="default" w:ascii="Times New Roman" w:hAnsi="Times New Roman" w:eastAsia="宋体" w:cs="Times New Roman"/>
                <w:b/>
                <w:bCs/>
                <w:color w:val="auto"/>
                <w:kern w:val="0"/>
                <w:sz w:val="24"/>
                <w:highlight w:val="none"/>
                <w:lang w:val="en-US" w:eastAsia="zh-CN"/>
              </w:rPr>
              <w:t>环境空气质量现状</w:t>
            </w:r>
          </w:p>
          <w:p w14:paraId="0576C29B">
            <w:pPr>
              <w:snapToGrid w:val="0"/>
              <w:spacing w:line="360" w:lineRule="auto"/>
              <w:ind w:firstLine="480" w:firstLineChars="200"/>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lang w:val="en-US" w:eastAsia="zh-CN"/>
              </w:rPr>
              <w:t>本</w:t>
            </w:r>
            <w:r>
              <w:rPr>
                <w:rFonts w:hint="default" w:ascii="Times New Roman" w:hAnsi="Times New Roman" w:eastAsia="宋体" w:cs="Times New Roman"/>
                <w:color w:val="auto"/>
                <w:sz w:val="24"/>
                <w:szCs w:val="24"/>
                <w:highlight w:val="none"/>
                <w:shd w:val="clear" w:color="auto" w:fill="auto"/>
              </w:rPr>
              <w:t>项目</w:t>
            </w:r>
            <w:r>
              <w:rPr>
                <w:rFonts w:hint="default" w:ascii="Times New Roman" w:hAnsi="Times New Roman" w:eastAsia="宋体" w:cs="Times New Roman"/>
                <w:color w:val="auto"/>
                <w:sz w:val="24"/>
                <w:szCs w:val="24"/>
                <w:highlight w:val="none"/>
                <w:shd w:val="clear" w:color="auto" w:fill="auto"/>
                <w:lang w:val="en-US" w:eastAsia="zh-CN"/>
              </w:rPr>
              <w:t>位于宁夏回族自治区固原市原州区、彭阳县</w:t>
            </w:r>
            <w:r>
              <w:rPr>
                <w:rFonts w:hint="default" w:ascii="Times New Roman" w:hAnsi="Times New Roman" w:eastAsia="宋体" w:cs="Times New Roman"/>
                <w:color w:val="auto"/>
                <w:sz w:val="24"/>
                <w:szCs w:val="24"/>
                <w:highlight w:val="none"/>
                <w:shd w:val="clear" w:color="auto" w:fill="auto"/>
              </w:rPr>
              <w:t>，优先采用宁夏回族自治区生态环境厅公开发布的《</w:t>
            </w:r>
            <w:r>
              <w:rPr>
                <w:rFonts w:hint="default" w:ascii="Times New Roman" w:hAnsi="Times New Roman" w:eastAsia="宋体" w:cs="Times New Roman"/>
                <w:color w:val="auto"/>
                <w:sz w:val="24"/>
                <w:szCs w:val="24"/>
                <w:highlight w:val="none"/>
                <w:shd w:val="clear" w:color="auto" w:fill="auto"/>
                <w:lang w:val="en-US" w:eastAsia="zh-CN"/>
              </w:rPr>
              <w:t>2024宁夏生</w:t>
            </w:r>
            <w:r>
              <w:rPr>
                <w:rFonts w:hint="default" w:ascii="Times New Roman" w:hAnsi="Times New Roman" w:eastAsia="宋体" w:cs="Times New Roman"/>
                <w:color w:val="auto"/>
                <w:sz w:val="24"/>
                <w:szCs w:val="24"/>
                <w:highlight w:val="none"/>
                <w:shd w:val="clear" w:color="auto" w:fill="auto"/>
                <w:lang w:eastAsia="zh-CN"/>
              </w:rPr>
              <w:t>态环境质量</w:t>
            </w:r>
            <w:r>
              <w:rPr>
                <w:rFonts w:hint="default" w:ascii="Times New Roman" w:hAnsi="Times New Roman" w:eastAsia="宋体" w:cs="Times New Roman"/>
                <w:color w:val="auto"/>
                <w:sz w:val="24"/>
                <w:szCs w:val="24"/>
                <w:highlight w:val="none"/>
                <w:shd w:val="clear" w:color="auto" w:fill="auto"/>
                <w:lang w:val="en-US" w:eastAsia="zh-CN"/>
              </w:rPr>
              <w:t>状况</w:t>
            </w:r>
            <w:r>
              <w:rPr>
                <w:rFonts w:hint="default" w:ascii="Times New Roman" w:hAnsi="Times New Roman" w:eastAsia="宋体" w:cs="Times New Roman"/>
                <w:color w:val="auto"/>
                <w:sz w:val="24"/>
                <w:szCs w:val="24"/>
                <w:highlight w:val="none"/>
                <w:shd w:val="clear" w:color="auto" w:fill="auto"/>
              </w:rPr>
              <w:t>》</w:t>
            </w:r>
            <w:r>
              <w:rPr>
                <w:rFonts w:hint="default" w:ascii="Times New Roman" w:hAnsi="Times New Roman" w:eastAsia="宋体" w:cs="Times New Roman"/>
                <w:color w:val="auto"/>
                <w:sz w:val="24"/>
                <w:szCs w:val="24"/>
                <w:highlight w:val="none"/>
                <w:shd w:val="clear" w:color="auto" w:fill="auto"/>
                <w:lang w:val="en-US" w:eastAsia="zh-CN"/>
              </w:rPr>
              <w:t>固原市原州区、彭阳县2024</w:t>
            </w:r>
            <w:r>
              <w:rPr>
                <w:rFonts w:hint="default" w:ascii="Times New Roman" w:hAnsi="Times New Roman" w:eastAsia="宋体" w:cs="Times New Roman"/>
                <w:color w:val="auto"/>
                <w:sz w:val="24"/>
                <w:szCs w:val="24"/>
                <w:highlight w:val="none"/>
                <w:shd w:val="clear" w:color="auto" w:fill="auto"/>
              </w:rPr>
              <w:t>年环境空气监测数据和结论</w:t>
            </w:r>
            <w:r>
              <w:rPr>
                <w:rFonts w:hint="default" w:ascii="Times New Roman" w:hAnsi="Times New Roman" w:eastAsia="宋体" w:cs="Times New Roman"/>
                <w:color w:val="auto"/>
                <w:sz w:val="24"/>
                <w:szCs w:val="24"/>
                <w:highlight w:val="none"/>
                <w:shd w:val="clear" w:color="auto" w:fill="auto"/>
                <w:lang w:eastAsia="zh-CN"/>
              </w:rPr>
              <w:t>（PM</w:t>
            </w:r>
            <w:r>
              <w:rPr>
                <w:rFonts w:hint="default" w:ascii="Times New Roman" w:hAnsi="Times New Roman" w:eastAsia="宋体" w:cs="Times New Roman"/>
                <w:color w:val="auto"/>
                <w:sz w:val="24"/>
                <w:szCs w:val="24"/>
                <w:highlight w:val="none"/>
                <w:shd w:val="clear" w:color="auto" w:fill="auto"/>
                <w:vertAlign w:val="subscript"/>
                <w:lang w:eastAsia="zh-CN"/>
              </w:rPr>
              <w:t>2.5</w:t>
            </w:r>
            <w:r>
              <w:rPr>
                <w:rFonts w:hint="default" w:ascii="Times New Roman" w:hAnsi="Times New Roman" w:eastAsia="宋体" w:cs="Times New Roman"/>
                <w:color w:val="auto"/>
                <w:sz w:val="24"/>
                <w:szCs w:val="24"/>
                <w:highlight w:val="none"/>
                <w:shd w:val="clear" w:color="auto" w:fill="auto"/>
                <w:lang w:val="en-US" w:eastAsia="zh-CN"/>
              </w:rPr>
              <w:t>为</w:t>
            </w:r>
            <w:r>
              <w:rPr>
                <w:rFonts w:hint="default" w:ascii="Times New Roman" w:hAnsi="Times New Roman" w:eastAsia="宋体" w:cs="Times New Roman"/>
                <w:color w:val="auto"/>
                <w:sz w:val="24"/>
                <w:szCs w:val="24"/>
                <w:highlight w:val="none"/>
                <w:shd w:val="clear" w:color="auto" w:fill="auto"/>
                <w:lang w:eastAsia="zh-CN"/>
              </w:rPr>
              <w:t>剔除沙尘天气</w:t>
            </w:r>
            <w:r>
              <w:rPr>
                <w:rFonts w:hint="default" w:ascii="Times New Roman" w:hAnsi="Times New Roman" w:eastAsia="宋体" w:cs="Times New Roman"/>
                <w:color w:val="auto"/>
                <w:sz w:val="24"/>
                <w:szCs w:val="24"/>
                <w:highlight w:val="none"/>
                <w:shd w:val="clear" w:color="auto" w:fill="auto"/>
                <w:lang w:val="en-US" w:eastAsia="zh-CN"/>
              </w:rPr>
              <w:t>数据</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作为本次评价依据，评价基准年为20</w:t>
            </w:r>
            <w:r>
              <w:rPr>
                <w:rFonts w:hint="default" w:ascii="Times New Roman" w:hAnsi="Times New Roman" w:eastAsia="宋体" w:cs="Times New Roman"/>
                <w:color w:val="auto"/>
                <w:sz w:val="24"/>
                <w:szCs w:val="24"/>
                <w:highlight w:val="none"/>
                <w:shd w:val="clear" w:color="auto" w:fill="auto"/>
                <w:lang w:val="en-US" w:eastAsia="zh-CN"/>
              </w:rPr>
              <w:t>24</w:t>
            </w:r>
            <w:r>
              <w:rPr>
                <w:rFonts w:hint="default" w:ascii="Times New Roman" w:hAnsi="Times New Roman" w:eastAsia="宋体" w:cs="Times New Roman"/>
                <w:color w:val="auto"/>
                <w:sz w:val="24"/>
                <w:szCs w:val="24"/>
                <w:highlight w:val="none"/>
                <w:shd w:val="clear" w:color="auto" w:fill="auto"/>
              </w:rPr>
              <w:t>年。具体监测结果统计见表</w:t>
            </w:r>
            <w:r>
              <w:rPr>
                <w:rFonts w:hint="default" w:ascii="Times New Roman" w:hAnsi="Times New Roman" w:eastAsia="宋体" w:cs="Times New Roman"/>
                <w:color w:val="auto"/>
                <w:sz w:val="24"/>
                <w:szCs w:val="24"/>
                <w:highlight w:val="none"/>
                <w:shd w:val="clear" w:color="auto" w:fill="auto"/>
                <w:lang w:val="en-US" w:eastAsia="zh-CN"/>
              </w:rPr>
              <w:t>3-3</w:t>
            </w:r>
            <w:r>
              <w:rPr>
                <w:rFonts w:hint="default" w:ascii="Times New Roman" w:hAnsi="Times New Roman" w:eastAsia="宋体" w:cs="Times New Roman"/>
                <w:color w:val="auto"/>
                <w:sz w:val="24"/>
                <w:szCs w:val="24"/>
                <w:highlight w:val="none"/>
                <w:shd w:val="clear" w:color="auto" w:fill="auto"/>
              </w:rPr>
              <w:t>。</w:t>
            </w:r>
          </w:p>
          <w:p w14:paraId="45E0BF6C">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3-3</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202</w:t>
            </w:r>
            <w:r>
              <w:rPr>
                <w:rFonts w:hint="eastAsia"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年</w:t>
            </w:r>
            <w:r>
              <w:rPr>
                <w:rFonts w:hint="default" w:ascii="Times New Roman" w:hAnsi="Times New Roman" w:eastAsia="宋体" w:cs="Times New Roman"/>
                <w:b/>
                <w:bCs/>
                <w:color w:val="auto"/>
                <w:sz w:val="24"/>
                <w:highlight w:val="none"/>
                <w:lang w:val="en-US" w:eastAsia="zh-CN"/>
              </w:rPr>
              <w:t>固原市原州区</w:t>
            </w:r>
            <w:r>
              <w:rPr>
                <w:rFonts w:hint="default" w:ascii="Times New Roman" w:hAnsi="Times New Roman" w:eastAsia="宋体" w:cs="Times New Roman"/>
                <w:b/>
                <w:bCs/>
                <w:color w:val="auto"/>
                <w:sz w:val="24"/>
                <w:highlight w:val="none"/>
              </w:rPr>
              <w:t>环境空气质量监测结果统计表</w:t>
            </w:r>
          </w:p>
          <w:tbl>
            <w:tblPr>
              <w:tblStyle w:val="31"/>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6"/>
              <w:gridCol w:w="2462"/>
              <w:gridCol w:w="1164"/>
              <w:gridCol w:w="1133"/>
              <w:gridCol w:w="957"/>
              <w:gridCol w:w="829"/>
              <w:gridCol w:w="1023"/>
            </w:tblGrid>
            <w:tr w14:paraId="75B9F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8504" w:type="dxa"/>
                  <w:gridSpan w:val="7"/>
                  <w:tcBorders>
                    <w:tl2br w:val="nil"/>
                    <w:tr2bl w:val="nil"/>
                  </w:tcBorders>
                  <w:noWrap w:val="0"/>
                  <w:vAlign w:val="center"/>
                </w:tcPr>
                <w:p w14:paraId="3C2619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auto"/>
                      <w:kern w:val="0"/>
                      <w:szCs w:val="21"/>
                      <w:highlight w:val="none"/>
                      <w:shd w:val="clear" w:color="auto" w:fill="auto"/>
                      <w:lang w:val="en-US" w:eastAsia="zh-CN"/>
                    </w:rPr>
                  </w:pPr>
                  <w:r>
                    <w:rPr>
                      <w:rFonts w:hint="default" w:ascii="Times New Roman" w:hAnsi="Times New Roman" w:cs="Times New Roman"/>
                      <w:b/>
                      <w:bCs/>
                      <w:snapToGrid w:val="0"/>
                      <w:color w:val="auto"/>
                      <w:kern w:val="0"/>
                      <w:szCs w:val="21"/>
                      <w:highlight w:val="none"/>
                      <w:shd w:val="clear" w:color="auto" w:fill="auto"/>
                      <w:lang w:val="en-US" w:eastAsia="zh-CN"/>
                    </w:rPr>
                    <w:t>原州区</w:t>
                  </w:r>
                </w:p>
              </w:tc>
            </w:tr>
            <w:tr w14:paraId="378AC4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936" w:type="dxa"/>
                  <w:tcBorders>
                    <w:tl2br w:val="nil"/>
                    <w:tr2bl w:val="nil"/>
                  </w:tcBorders>
                  <w:noWrap w:val="0"/>
                  <w:vAlign w:val="center"/>
                </w:tcPr>
                <w:p w14:paraId="09F4FA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napToGrid w:val="0"/>
                      <w:color w:val="auto"/>
                      <w:kern w:val="0"/>
                      <w:szCs w:val="21"/>
                      <w:highlight w:val="none"/>
                      <w:shd w:val="clear" w:color="auto" w:fill="auto"/>
                    </w:rPr>
                  </w:pPr>
                  <w:r>
                    <w:rPr>
                      <w:rFonts w:hint="default" w:ascii="Times New Roman" w:hAnsi="Times New Roman" w:cs="Times New Roman"/>
                      <w:b/>
                      <w:bCs/>
                      <w:snapToGrid w:val="0"/>
                      <w:color w:val="auto"/>
                      <w:kern w:val="0"/>
                      <w:szCs w:val="21"/>
                      <w:highlight w:val="none"/>
                      <w:shd w:val="clear" w:color="auto" w:fill="auto"/>
                    </w:rPr>
                    <w:t>污染物</w:t>
                  </w:r>
                </w:p>
              </w:tc>
              <w:tc>
                <w:tcPr>
                  <w:tcW w:w="2462" w:type="dxa"/>
                  <w:tcBorders>
                    <w:tl2br w:val="nil"/>
                    <w:tr2bl w:val="nil"/>
                  </w:tcBorders>
                  <w:noWrap w:val="0"/>
                  <w:vAlign w:val="center"/>
                </w:tcPr>
                <w:p w14:paraId="442A66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napToGrid w:val="0"/>
                      <w:color w:val="auto"/>
                      <w:kern w:val="0"/>
                      <w:szCs w:val="21"/>
                      <w:highlight w:val="none"/>
                      <w:shd w:val="clear" w:color="auto" w:fill="auto"/>
                    </w:rPr>
                  </w:pPr>
                  <w:r>
                    <w:rPr>
                      <w:rFonts w:hint="default" w:ascii="Times New Roman" w:hAnsi="Times New Roman" w:cs="Times New Roman"/>
                      <w:b/>
                      <w:bCs/>
                      <w:snapToGrid w:val="0"/>
                      <w:color w:val="auto"/>
                      <w:kern w:val="0"/>
                      <w:szCs w:val="21"/>
                      <w:highlight w:val="none"/>
                      <w:shd w:val="clear" w:color="auto" w:fill="auto"/>
                    </w:rPr>
                    <w:t>年评价指标</w:t>
                  </w:r>
                </w:p>
              </w:tc>
              <w:tc>
                <w:tcPr>
                  <w:tcW w:w="1164" w:type="dxa"/>
                  <w:tcBorders>
                    <w:tl2br w:val="nil"/>
                    <w:tr2bl w:val="nil"/>
                  </w:tcBorders>
                  <w:noWrap w:val="0"/>
                  <w:vAlign w:val="center"/>
                </w:tcPr>
                <w:p w14:paraId="071978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auto"/>
                      <w:kern w:val="0"/>
                      <w:szCs w:val="21"/>
                      <w:highlight w:val="none"/>
                      <w:shd w:val="clear" w:color="auto" w:fill="auto"/>
                      <w:lang w:eastAsia="zh-CN"/>
                    </w:rPr>
                  </w:pPr>
                  <w:r>
                    <w:rPr>
                      <w:rFonts w:hint="default" w:ascii="Times New Roman" w:hAnsi="Times New Roman" w:cs="Times New Roman"/>
                      <w:b/>
                      <w:bCs/>
                      <w:snapToGrid w:val="0"/>
                      <w:color w:val="auto"/>
                      <w:kern w:val="0"/>
                      <w:szCs w:val="21"/>
                      <w:highlight w:val="none"/>
                      <w:shd w:val="clear" w:color="auto" w:fill="auto"/>
                    </w:rPr>
                    <w:t>现状浓度</w:t>
                  </w:r>
                  <w:r>
                    <w:rPr>
                      <w:rFonts w:hint="default" w:ascii="Times New Roman" w:hAnsi="Times New Roman" w:cs="Times New Roman"/>
                      <w:b/>
                      <w:bCs/>
                      <w:snapToGrid w:val="0"/>
                      <w:color w:val="auto"/>
                      <w:kern w:val="0"/>
                      <w:szCs w:val="21"/>
                      <w:highlight w:val="none"/>
                      <w:shd w:val="clear" w:color="auto" w:fill="auto"/>
                      <w:lang w:eastAsia="zh-CN"/>
                    </w:rPr>
                    <w:t>（</w:t>
                  </w:r>
                  <w:r>
                    <w:rPr>
                      <w:rFonts w:hint="default" w:ascii="Times New Roman" w:hAnsi="Times New Roman" w:cs="Times New Roman"/>
                      <w:b/>
                      <w:bCs/>
                      <w:snapToGrid w:val="0"/>
                      <w:color w:val="auto"/>
                      <w:kern w:val="0"/>
                      <w:szCs w:val="21"/>
                      <w:highlight w:val="none"/>
                      <w:shd w:val="clear" w:color="auto" w:fill="auto"/>
                    </w:rPr>
                    <w:t>μg/m</w:t>
                  </w:r>
                  <w:r>
                    <w:rPr>
                      <w:rFonts w:hint="default" w:ascii="Times New Roman" w:hAnsi="Times New Roman" w:cs="Times New Roman"/>
                      <w:b/>
                      <w:bCs/>
                      <w:snapToGrid w:val="0"/>
                      <w:color w:val="auto"/>
                      <w:kern w:val="0"/>
                      <w:szCs w:val="21"/>
                      <w:highlight w:val="none"/>
                      <w:shd w:val="clear" w:color="auto" w:fill="auto"/>
                      <w:vertAlign w:val="superscript"/>
                    </w:rPr>
                    <w:t>3</w:t>
                  </w:r>
                  <w:r>
                    <w:rPr>
                      <w:rFonts w:hint="default" w:ascii="Times New Roman" w:hAnsi="Times New Roman" w:cs="Times New Roman"/>
                      <w:b/>
                      <w:bCs/>
                      <w:snapToGrid w:val="0"/>
                      <w:color w:val="auto"/>
                      <w:kern w:val="0"/>
                      <w:szCs w:val="21"/>
                      <w:highlight w:val="none"/>
                      <w:shd w:val="clear" w:color="auto" w:fill="auto"/>
                      <w:lang w:eastAsia="zh-CN"/>
                    </w:rPr>
                    <w:t>）</w:t>
                  </w:r>
                </w:p>
              </w:tc>
              <w:tc>
                <w:tcPr>
                  <w:tcW w:w="1133" w:type="dxa"/>
                  <w:tcBorders>
                    <w:tl2br w:val="nil"/>
                    <w:tr2bl w:val="nil"/>
                  </w:tcBorders>
                  <w:noWrap w:val="0"/>
                  <w:vAlign w:val="center"/>
                </w:tcPr>
                <w:p w14:paraId="651F67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auto"/>
                      <w:kern w:val="0"/>
                      <w:szCs w:val="21"/>
                      <w:highlight w:val="none"/>
                      <w:shd w:val="clear" w:color="auto" w:fill="auto"/>
                      <w:lang w:eastAsia="zh-CN"/>
                    </w:rPr>
                  </w:pPr>
                  <w:r>
                    <w:rPr>
                      <w:rFonts w:hint="default" w:ascii="Times New Roman" w:hAnsi="Times New Roman" w:cs="Times New Roman"/>
                      <w:b/>
                      <w:bCs/>
                      <w:snapToGrid w:val="0"/>
                      <w:color w:val="auto"/>
                      <w:kern w:val="0"/>
                      <w:szCs w:val="21"/>
                      <w:highlight w:val="none"/>
                      <w:shd w:val="clear" w:color="auto" w:fill="auto"/>
                    </w:rPr>
                    <w:t>标准值</w:t>
                  </w:r>
                  <w:r>
                    <w:rPr>
                      <w:rFonts w:hint="default" w:ascii="Times New Roman" w:hAnsi="Times New Roman" w:cs="Times New Roman"/>
                      <w:b/>
                      <w:bCs/>
                      <w:snapToGrid w:val="0"/>
                      <w:color w:val="auto"/>
                      <w:kern w:val="0"/>
                      <w:szCs w:val="21"/>
                      <w:highlight w:val="none"/>
                      <w:shd w:val="clear" w:color="auto" w:fill="auto"/>
                      <w:lang w:eastAsia="zh-CN"/>
                    </w:rPr>
                    <w:t>（</w:t>
                  </w:r>
                  <w:r>
                    <w:rPr>
                      <w:rFonts w:hint="default" w:ascii="Times New Roman" w:hAnsi="Times New Roman" w:cs="Times New Roman"/>
                      <w:b/>
                      <w:bCs/>
                      <w:snapToGrid w:val="0"/>
                      <w:color w:val="auto"/>
                      <w:kern w:val="0"/>
                      <w:szCs w:val="21"/>
                      <w:highlight w:val="none"/>
                      <w:shd w:val="clear" w:color="auto" w:fill="auto"/>
                    </w:rPr>
                    <w:t>μg/m</w:t>
                  </w:r>
                  <w:r>
                    <w:rPr>
                      <w:rFonts w:hint="default" w:ascii="Times New Roman" w:hAnsi="Times New Roman" w:cs="Times New Roman"/>
                      <w:b/>
                      <w:bCs/>
                      <w:snapToGrid w:val="0"/>
                      <w:color w:val="auto"/>
                      <w:kern w:val="0"/>
                      <w:szCs w:val="21"/>
                      <w:highlight w:val="none"/>
                      <w:shd w:val="clear" w:color="auto" w:fill="auto"/>
                      <w:vertAlign w:val="superscript"/>
                    </w:rPr>
                    <w:t>3</w:t>
                  </w:r>
                  <w:r>
                    <w:rPr>
                      <w:rFonts w:hint="default" w:ascii="Times New Roman" w:hAnsi="Times New Roman" w:cs="Times New Roman"/>
                      <w:b/>
                      <w:bCs/>
                      <w:snapToGrid w:val="0"/>
                      <w:color w:val="auto"/>
                      <w:kern w:val="0"/>
                      <w:szCs w:val="21"/>
                      <w:highlight w:val="none"/>
                      <w:shd w:val="clear" w:color="auto" w:fill="auto"/>
                      <w:lang w:eastAsia="zh-CN"/>
                    </w:rPr>
                    <w:t>）</w:t>
                  </w:r>
                </w:p>
              </w:tc>
              <w:tc>
                <w:tcPr>
                  <w:tcW w:w="957" w:type="dxa"/>
                  <w:tcBorders>
                    <w:tl2br w:val="nil"/>
                    <w:tr2bl w:val="nil"/>
                  </w:tcBorders>
                  <w:noWrap w:val="0"/>
                  <w:vAlign w:val="center"/>
                </w:tcPr>
                <w:p w14:paraId="4E055B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napToGrid w:val="0"/>
                      <w:color w:val="auto"/>
                      <w:kern w:val="0"/>
                      <w:szCs w:val="21"/>
                      <w:highlight w:val="none"/>
                      <w:shd w:val="clear" w:color="auto" w:fill="auto"/>
                    </w:rPr>
                  </w:pPr>
                  <w:r>
                    <w:rPr>
                      <w:rFonts w:hint="default" w:ascii="Times New Roman" w:hAnsi="Times New Roman" w:cs="Times New Roman"/>
                      <w:b/>
                      <w:bCs/>
                      <w:snapToGrid w:val="0"/>
                      <w:color w:val="auto"/>
                      <w:kern w:val="0"/>
                      <w:szCs w:val="21"/>
                      <w:highlight w:val="none"/>
                      <w:shd w:val="clear" w:color="auto" w:fill="auto"/>
                    </w:rPr>
                    <w:t>占标率</w:t>
                  </w:r>
                  <w:r>
                    <w:rPr>
                      <w:rFonts w:hint="default" w:ascii="Times New Roman" w:hAnsi="Times New Roman" w:cs="Times New Roman"/>
                      <w:b/>
                      <w:bCs/>
                      <w:snapToGrid w:val="0"/>
                      <w:color w:val="auto"/>
                      <w:kern w:val="0"/>
                      <w:szCs w:val="21"/>
                      <w:highlight w:val="none"/>
                      <w:shd w:val="clear" w:color="auto" w:fill="auto"/>
                      <w:lang w:eastAsia="zh-CN"/>
                    </w:rPr>
                    <w:t>（</w:t>
                  </w:r>
                  <w:r>
                    <w:rPr>
                      <w:rFonts w:hint="default" w:ascii="Times New Roman" w:hAnsi="Times New Roman" w:cs="Times New Roman"/>
                      <w:b/>
                      <w:bCs/>
                      <w:snapToGrid w:val="0"/>
                      <w:color w:val="auto"/>
                      <w:kern w:val="0"/>
                      <w:szCs w:val="21"/>
                      <w:highlight w:val="none"/>
                      <w:shd w:val="clear" w:color="auto" w:fill="auto"/>
                    </w:rPr>
                    <w:t>%</w:t>
                  </w:r>
                  <w:r>
                    <w:rPr>
                      <w:rFonts w:hint="default" w:ascii="Times New Roman" w:hAnsi="Times New Roman" w:cs="Times New Roman"/>
                      <w:b/>
                      <w:bCs/>
                      <w:snapToGrid w:val="0"/>
                      <w:color w:val="auto"/>
                      <w:kern w:val="0"/>
                      <w:szCs w:val="21"/>
                      <w:highlight w:val="none"/>
                      <w:shd w:val="clear" w:color="auto" w:fill="auto"/>
                      <w:lang w:eastAsia="zh-CN"/>
                    </w:rPr>
                    <w:t>）</w:t>
                  </w:r>
                </w:p>
              </w:tc>
              <w:tc>
                <w:tcPr>
                  <w:tcW w:w="829" w:type="dxa"/>
                  <w:tcBorders>
                    <w:tl2br w:val="nil"/>
                    <w:tr2bl w:val="nil"/>
                  </w:tcBorders>
                  <w:noWrap w:val="0"/>
                  <w:vAlign w:val="center"/>
                </w:tcPr>
                <w:p w14:paraId="46CE46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auto"/>
                      <w:kern w:val="0"/>
                      <w:szCs w:val="21"/>
                      <w:highlight w:val="none"/>
                      <w:shd w:val="clear" w:color="auto" w:fill="auto"/>
                      <w:lang w:val="en-US" w:eastAsia="zh-CN"/>
                    </w:rPr>
                  </w:pPr>
                  <w:r>
                    <w:rPr>
                      <w:rFonts w:hint="default" w:ascii="Times New Roman" w:hAnsi="Times New Roman" w:cs="Times New Roman"/>
                      <w:b/>
                      <w:bCs/>
                      <w:snapToGrid w:val="0"/>
                      <w:color w:val="auto"/>
                      <w:kern w:val="0"/>
                      <w:szCs w:val="21"/>
                      <w:highlight w:val="none"/>
                      <w:shd w:val="clear" w:color="auto" w:fill="auto"/>
                      <w:lang w:val="en-US" w:eastAsia="zh-CN"/>
                    </w:rPr>
                    <w:t>超标倍数</w:t>
                  </w:r>
                </w:p>
              </w:tc>
              <w:tc>
                <w:tcPr>
                  <w:tcW w:w="1023" w:type="dxa"/>
                  <w:tcBorders>
                    <w:tl2br w:val="nil"/>
                    <w:tr2bl w:val="nil"/>
                  </w:tcBorders>
                  <w:noWrap w:val="0"/>
                  <w:vAlign w:val="center"/>
                </w:tcPr>
                <w:p w14:paraId="4FC552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napToGrid w:val="0"/>
                      <w:color w:val="auto"/>
                      <w:kern w:val="0"/>
                      <w:szCs w:val="21"/>
                      <w:highlight w:val="none"/>
                      <w:shd w:val="clear" w:color="auto" w:fill="auto"/>
                    </w:rPr>
                  </w:pPr>
                  <w:r>
                    <w:rPr>
                      <w:rFonts w:hint="default" w:ascii="Times New Roman" w:hAnsi="Times New Roman" w:cs="Times New Roman"/>
                      <w:b/>
                      <w:bCs/>
                      <w:snapToGrid w:val="0"/>
                      <w:color w:val="auto"/>
                      <w:kern w:val="0"/>
                      <w:szCs w:val="21"/>
                      <w:highlight w:val="none"/>
                      <w:shd w:val="clear" w:color="auto" w:fill="auto"/>
                    </w:rPr>
                    <w:t>达标</w:t>
                  </w:r>
                </w:p>
                <w:p w14:paraId="0EB889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napToGrid w:val="0"/>
                      <w:color w:val="auto"/>
                      <w:kern w:val="0"/>
                      <w:szCs w:val="21"/>
                      <w:highlight w:val="none"/>
                      <w:shd w:val="clear" w:color="auto" w:fill="auto"/>
                    </w:rPr>
                  </w:pPr>
                  <w:r>
                    <w:rPr>
                      <w:rFonts w:hint="default" w:ascii="Times New Roman" w:hAnsi="Times New Roman" w:cs="Times New Roman"/>
                      <w:b/>
                      <w:bCs/>
                      <w:snapToGrid w:val="0"/>
                      <w:color w:val="auto"/>
                      <w:kern w:val="0"/>
                      <w:szCs w:val="21"/>
                      <w:highlight w:val="none"/>
                      <w:shd w:val="clear" w:color="auto" w:fill="auto"/>
                    </w:rPr>
                    <w:t>情况</w:t>
                  </w:r>
                </w:p>
              </w:tc>
            </w:tr>
            <w:tr w14:paraId="03F9BA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2EAFD4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b/>
                      <w:color w:val="auto"/>
                      <w:szCs w:val="21"/>
                      <w:highlight w:val="none"/>
                      <w:shd w:val="clear" w:color="auto" w:fill="auto"/>
                    </w:rPr>
                    <w:t>PM</w:t>
                  </w:r>
                  <w:r>
                    <w:rPr>
                      <w:rFonts w:hint="default" w:ascii="Times New Roman" w:hAnsi="Times New Roman" w:eastAsia="宋体" w:cs="Times New Roman"/>
                      <w:b/>
                      <w:color w:val="auto"/>
                      <w:szCs w:val="21"/>
                      <w:highlight w:val="none"/>
                      <w:shd w:val="clear" w:color="auto" w:fill="auto"/>
                      <w:vertAlign w:val="subscript"/>
                    </w:rPr>
                    <w:t>10</w:t>
                  </w:r>
                </w:p>
              </w:tc>
              <w:tc>
                <w:tcPr>
                  <w:tcW w:w="2462" w:type="dxa"/>
                  <w:tcBorders>
                    <w:tl2br w:val="nil"/>
                    <w:tr2bl w:val="nil"/>
                  </w:tcBorders>
                  <w:noWrap w:val="0"/>
                  <w:vAlign w:val="center"/>
                </w:tcPr>
                <w:p w14:paraId="7F255E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年平均浓度</w:t>
                  </w:r>
                </w:p>
              </w:tc>
              <w:tc>
                <w:tcPr>
                  <w:tcW w:w="1164" w:type="dxa"/>
                  <w:tcBorders>
                    <w:tl2br w:val="nil"/>
                    <w:tr2bl w:val="nil"/>
                  </w:tcBorders>
                  <w:noWrap w:val="0"/>
                  <w:vAlign w:val="center"/>
                </w:tcPr>
                <w:p w14:paraId="55EA89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61</w:t>
                  </w:r>
                </w:p>
              </w:tc>
              <w:tc>
                <w:tcPr>
                  <w:tcW w:w="1133" w:type="dxa"/>
                  <w:tcBorders>
                    <w:tl2br w:val="nil"/>
                    <w:tr2bl w:val="nil"/>
                  </w:tcBorders>
                  <w:noWrap w:val="0"/>
                  <w:vAlign w:val="center"/>
                </w:tcPr>
                <w:p w14:paraId="14AB9A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eastAsia" w:cs="Times New Roman"/>
                      <w:color w:val="auto"/>
                      <w:szCs w:val="21"/>
                      <w:highlight w:val="none"/>
                      <w:shd w:val="clear" w:color="auto" w:fill="auto"/>
                      <w:lang w:val="en-US" w:eastAsia="zh-CN"/>
                    </w:rPr>
                    <w:t>6</w:t>
                  </w:r>
                  <w:r>
                    <w:rPr>
                      <w:rFonts w:hint="default" w:ascii="Times New Roman" w:hAnsi="Times New Roman" w:eastAsia="宋体" w:cs="Times New Roman"/>
                      <w:color w:val="auto"/>
                      <w:szCs w:val="21"/>
                      <w:highlight w:val="none"/>
                      <w:shd w:val="clear" w:color="auto" w:fill="auto"/>
                    </w:rPr>
                    <w:t>0</w:t>
                  </w:r>
                </w:p>
              </w:tc>
              <w:tc>
                <w:tcPr>
                  <w:tcW w:w="957" w:type="dxa"/>
                  <w:tcBorders>
                    <w:tl2br w:val="nil"/>
                    <w:tr2bl w:val="nil"/>
                  </w:tcBorders>
                  <w:noWrap w:val="0"/>
                  <w:vAlign w:val="center"/>
                </w:tcPr>
                <w:p w14:paraId="0D03B8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eastAsia" w:cs="Times New Roman"/>
                      <w:snapToGrid w:val="0"/>
                      <w:color w:val="auto"/>
                      <w:kern w:val="0"/>
                      <w:szCs w:val="21"/>
                      <w:highlight w:val="none"/>
                      <w:shd w:val="clear" w:color="auto" w:fill="auto"/>
                      <w:lang w:val="en-US" w:eastAsia="zh-CN"/>
                    </w:rPr>
                    <w:t>101.7</w:t>
                  </w:r>
                </w:p>
              </w:tc>
              <w:tc>
                <w:tcPr>
                  <w:tcW w:w="829" w:type="dxa"/>
                  <w:tcBorders>
                    <w:tl2br w:val="nil"/>
                    <w:tr2bl w:val="nil"/>
                  </w:tcBorders>
                  <w:noWrap w:val="0"/>
                  <w:vAlign w:val="center"/>
                </w:tcPr>
                <w:p w14:paraId="166AD4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eastAsia" w:cs="Times New Roman"/>
                      <w:snapToGrid w:val="0"/>
                      <w:color w:val="auto"/>
                      <w:kern w:val="0"/>
                      <w:szCs w:val="21"/>
                      <w:highlight w:val="none"/>
                      <w:shd w:val="clear" w:color="auto" w:fill="auto"/>
                      <w:lang w:val="en-US" w:eastAsia="zh-CN"/>
                    </w:rPr>
                    <w:t>1.67</w:t>
                  </w:r>
                </w:p>
              </w:tc>
              <w:tc>
                <w:tcPr>
                  <w:tcW w:w="1023" w:type="dxa"/>
                  <w:tcBorders>
                    <w:tl2br w:val="nil"/>
                    <w:tr2bl w:val="nil"/>
                  </w:tcBorders>
                  <w:noWrap w:val="0"/>
                  <w:vAlign w:val="center"/>
                </w:tcPr>
                <w:p w14:paraId="0F99E1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eastAsia" w:cs="Times New Roman"/>
                      <w:color w:val="auto"/>
                      <w:szCs w:val="21"/>
                      <w:highlight w:val="none"/>
                      <w:shd w:val="clear" w:color="auto" w:fill="auto"/>
                      <w:lang w:val="en-US" w:eastAsia="zh-CN"/>
                    </w:rPr>
                    <w:t>不</w:t>
                  </w:r>
                  <w:r>
                    <w:rPr>
                      <w:rFonts w:hint="default" w:ascii="Times New Roman" w:hAnsi="Times New Roman" w:eastAsia="宋体" w:cs="Times New Roman"/>
                      <w:color w:val="auto"/>
                      <w:szCs w:val="21"/>
                      <w:highlight w:val="none"/>
                      <w:shd w:val="clear" w:color="auto" w:fill="auto"/>
                    </w:rPr>
                    <w:t>达标</w:t>
                  </w:r>
                </w:p>
              </w:tc>
            </w:tr>
            <w:tr w14:paraId="74F31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03F6D5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b/>
                      <w:color w:val="auto"/>
                      <w:szCs w:val="21"/>
                      <w:highlight w:val="none"/>
                      <w:shd w:val="clear" w:color="auto" w:fill="auto"/>
                    </w:rPr>
                    <w:t>PM</w:t>
                  </w:r>
                  <w:r>
                    <w:rPr>
                      <w:rFonts w:hint="default" w:ascii="Times New Roman" w:hAnsi="Times New Roman" w:eastAsia="宋体" w:cs="Times New Roman"/>
                      <w:b/>
                      <w:color w:val="auto"/>
                      <w:szCs w:val="21"/>
                      <w:highlight w:val="none"/>
                      <w:shd w:val="clear" w:color="auto" w:fill="auto"/>
                      <w:vertAlign w:val="subscript"/>
                    </w:rPr>
                    <w:t>2.5</w:t>
                  </w:r>
                </w:p>
              </w:tc>
              <w:tc>
                <w:tcPr>
                  <w:tcW w:w="2462" w:type="dxa"/>
                  <w:tcBorders>
                    <w:tl2br w:val="nil"/>
                    <w:tr2bl w:val="nil"/>
                  </w:tcBorders>
                  <w:noWrap w:val="0"/>
                  <w:vAlign w:val="center"/>
                </w:tcPr>
                <w:p w14:paraId="4EAE43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年平均浓度</w:t>
                  </w:r>
                </w:p>
              </w:tc>
              <w:tc>
                <w:tcPr>
                  <w:tcW w:w="1164" w:type="dxa"/>
                  <w:tcBorders>
                    <w:tl2br w:val="nil"/>
                    <w:tr2bl w:val="nil"/>
                  </w:tcBorders>
                  <w:noWrap w:val="0"/>
                  <w:vAlign w:val="center"/>
                </w:tcPr>
                <w:p w14:paraId="028DAC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22</w:t>
                  </w:r>
                </w:p>
              </w:tc>
              <w:tc>
                <w:tcPr>
                  <w:tcW w:w="1133" w:type="dxa"/>
                  <w:tcBorders>
                    <w:tl2br w:val="nil"/>
                    <w:tr2bl w:val="nil"/>
                  </w:tcBorders>
                  <w:noWrap w:val="0"/>
                  <w:vAlign w:val="center"/>
                </w:tcPr>
                <w:p w14:paraId="240749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0"/>
                      <w:szCs w:val="21"/>
                      <w:highlight w:val="none"/>
                      <w:shd w:val="clear" w:color="auto" w:fill="auto"/>
                      <w:lang w:eastAsia="zh-CN"/>
                    </w:rPr>
                  </w:pPr>
                  <w:r>
                    <w:rPr>
                      <w:rFonts w:hint="default" w:ascii="Times New Roman" w:hAnsi="Times New Roman" w:eastAsia="宋体" w:cs="Times New Roman"/>
                      <w:color w:val="auto"/>
                      <w:szCs w:val="21"/>
                      <w:highlight w:val="none"/>
                      <w:shd w:val="clear" w:color="auto" w:fill="auto"/>
                    </w:rPr>
                    <w:t>3</w:t>
                  </w:r>
                  <w:r>
                    <w:rPr>
                      <w:rFonts w:hint="eastAsia" w:cs="Times New Roman"/>
                      <w:color w:val="auto"/>
                      <w:szCs w:val="21"/>
                      <w:highlight w:val="none"/>
                      <w:shd w:val="clear" w:color="auto" w:fill="auto"/>
                      <w:lang w:val="en-US" w:eastAsia="zh-CN"/>
                    </w:rPr>
                    <w:t>0</w:t>
                  </w:r>
                </w:p>
              </w:tc>
              <w:tc>
                <w:tcPr>
                  <w:tcW w:w="957" w:type="dxa"/>
                  <w:tcBorders>
                    <w:tl2br w:val="nil"/>
                    <w:tr2bl w:val="nil"/>
                  </w:tcBorders>
                  <w:noWrap w:val="0"/>
                  <w:vAlign w:val="center"/>
                </w:tcPr>
                <w:p w14:paraId="1D1672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eastAsia" w:cs="Times New Roman"/>
                      <w:snapToGrid w:val="0"/>
                      <w:color w:val="auto"/>
                      <w:kern w:val="0"/>
                      <w:szCs w:val="21"/>
                      <w:highlight w:val="none"/>
                      <w:shd w:val="clear" w:color="auto" w:fill="auto"/>
                      <w:lang w:val="en-US" w:eastAsia="zh-CN"/>
                    </w:rPr>
                    <w:t>73.33</w:t>
                  </w:r>
                </w:p>
              </w:tc>
              <w:tc>
                <w:tcPr>
                  <w:tcW w:w="829" w:type="dxa"/>
                  <w:tcBorders>
                    <w:tl2br w:val="nil"/>
                    <w:tr2bl w:val="nil"/>
                  </w:tcBorders>
                  <w:noWrap w:val="0"/>
                  <w:vAlign w:val="center"/>
                </w:tcPr>
                <w:p w14:paraId="712B7E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4086AF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74098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7C1189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b/>
                      <w:color w:val="auto"/>
                      <w:szCs w:val="21"/>
                      <w:highlight w:val="none"/>
                      <w:shd w:val="clear" w:color="auto" w:fill="auto"/>
                    </w:rPr>
                    <w:t>SO</w:t>
                  </w:r>
                  <w:r>
                    <w:rPr>
                      <w:rFonts w:hint="default" w:ascii="Times New Roman" w:hAnsi="Times New Roman" w:eastAsia="宋体" w:cs="Times New Roman"/>
                      <w:b/>
                      <w:color w:val="auto"/>
                      <w:szCs w:val="21"/>
                      <w:highlight w:val="none"/>
                      <w:shd w:val="clear" w:color="auto" w:fill="auto"/>
                      <w:vertAlign w:val="subscript"/>
                    </w:rPr>
                    <w:t>2</w:t>
                  </w:r>
                </w:p>
              </w:tc>
              <w:tc>
                <w:tcPr>
                  <w:tcW w:w="2462" w:type="dxa"/>
                  <w:tcBorders>
                    <w:tl2br w:val="nil"/>
                    <w:tr2bl w:val="nil"/>
                  </w:tcBorders>
                  <w:noWrap w:val="0"/>
                  <w:vAlign w:val="center"/>
                </w:tcPr>
                <w:p w14:paraId="4779B9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年平均浓度</w:t>
                  </w:r>
                </w:p>
              </w:tc>
              <w:tc>
                <w:tcPr>
                  <w:tcW w:w="1164" w:type="dxa"/>
                  <w:tcBorders>
                    <w:tl2br w:val="nil"/>
                    <w:tr2bl w:val="nil"/>
                  </w:tcBorders>
                  <w:noWrap w:val="0"/>
                  <w:vAlign w:val="center"/>
                </w:tcPr>
                <w:p w14:paraId="3BA36A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6</w:t>
                  </w:r>
                </w:p>
              </w:tc>
              <w:tc>
                <w:tcPr>
                  <w:tcW w:w="1133" w:type="dxa"/>
                  <w:tcBorders>
                    <w:tl2br w:val="nil"/>
                    <w:tr2bl w:val="nil"/>
                  </w:tcBorders>
                  <w:noWrap w:val="0"/>
                  <w:vAlign w:val="center"/>
                </w:tcPr>
                <w:p w14:paraId="714691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60</w:t>
                  </w:r>
                </w:p>
              </w:tc>
              <w:tc>
                <w:tcPr>
                  <w:tcW w:w="957" w:type="dxa"/>
                  <w:tcBorders>
                    <w:tl2br w:val="nil"/>
                    <w:tr2bl w:val="nil"/>
                  </w:tcBorders>
                  <w:noWrap w:val="0"/>
                  <w:vAlign w:val="center"/>
                </w:tcPr>
                <w:p w14:paraId="640C08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10.00</w:t>
                  </w:r>
                </w:p>
              </w:tc>
              <w:tc>
                <w:tcPr>
                  <w:tcW w:w="829" w:type="dxa"/>
                  <w:tcBorders>
                    <w:tl2br w:val="nil"/>
                    <w:tr2bl w:val="nil"/>
                  </w:tcBorders>
                  <w:noWrap w:val="0"/>
                  <w:vAlign w:val="center"/>
                </w:tcPr>
                <w:p w14:paraId="5EA4DC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3E3B38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7C9EEF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304479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b/>
                      <w:color w:val="auto"/>
                      <w:szCs w:val="21"/>
                      <w:highlight w:val="none"/>
                      <w:shd w:val="clear" w:color="auto" w:fill="auto"/>
                    </w:rPr>
                    <w:t>NO</w:t>
                  </w:r>
                  <w:r>
                    <w:rPr>
                      <w:rFonts w:hint="default" w:ascii="Times New Roman" w:hAnsi="Times New Roman" w:eastAsia="宋体" w:cs="Times New Roman"/>
                      <w:b/>
                      <w:color w:val="auto"/>
                      <w:szCs w:val="21"/>
                      <w:highlight w:val="none"/>
                      <w:shd w:val="clear" w:color="auto" w:fill="auto"/>
                      <w:vertAlign w:val="subscript"/>
                    </w:rPr>
                    <w:t>2</w:t>
                  </w:r>
                </w:p>
              </w:tc>
              <w:tc>
                <w:tcPr>
                  <w:tcW w:w="2462" w:type="dxa"/>
                  <w:tcBorders>
                    <w:tl2br w:val="nil"/>
                    <w:tr2bl w:val="nil"/>
                  </w:tcBorders>
                  <w:noWrap w:val="0"/>
                  <w:vAlign w:val="center"/>
                </w:tcPr>
                <w:p w14:paraId="72A95C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年平均浓度</w:t>
                  </w:r>
                </w:p>
              </w:tc>
              <w:tc>
                <w:tcPr>
                  <w:tcW w:w="1164" w:type="dxa"/>
                  <w:tcBorders>
                    <w:tl2br w:val="nil"/>
                    <w:tr2bl w:val="nil"/>
                  </w:tcBorders>
                  <w:noWrap w:val="0"/>
                  <w:vAlign w:val="center"/>
                </w:tcPr>
                <w:p w14:paraId="5A53A2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17</w:t>
                  </w:r>
                </w:p>
              </w:tc>
              <w:tc>
                <w:tcPr>
                  <w:tcW w:w="1133" w:type="dxa"/>
                  <w:tcBorders>
                    <w:tl2br w:val="nil"/>
                    <w:tr2bl w:val="nil"/>
                  </w:tcBorders>
                  <w:noWrap w:val="0"/>
                  <w:vAlign w:val="center"/>
                </w:tcPr>
                <w:p w14:paraId="55DB7B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40</w:t>
                  </w:r>
                </w:p>
              </w:tc>
              <w:tc>
                <w:tcPr>
                  <w:tcW w:w="957" w:type="dxa"/>
                  <w:tcBorders>
                    <w:tl2br w:val="nil"/>
                    <w:tr2bl w:val="nil"/>
                  </w:tcBorders>
                  <w:noWrap w:val="0"/>
                  <w:vAlign w:val="center"/>
                </w:tcPr>
                <w:p w14:paraId="2AC42B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42.50</w:t>
                  </w:r>
                </w:p>
              </w:tc>
              <w:tc>
                <w:tcPr>
                  <w:tcW w:w="829" w:type="dxa"/>
                  <w:tcBorders>
                    <w:tl2br w:val="nil"/>
                    <w:tr2bl w:val="nil"/>
                  </w:tcBorders>
                  <w:noWrap w:val="0"/>
                  <w:vAlign w:val="center"/>
                </w:tcPr>
                <w:p w14:paraId="0CCF6A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693537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64350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2D9C60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b/>
                      <w:color w:val="auto"/>
                      <w:szCs w:val="21"/>
                      <w:highlight w:val="none"/>
                      <w:shd w:val="clear" w:color="auto" w:fill="auto"/>
                    </w:rPr>
                    <w:t>CO</w:t>
                  </w:r>
                </w:p>
              </w:tc>
              <w:tc>
                <w:tcPr>
                  <w:tcW w:w="2462" w:type="dxa"/>
                  <w:tcBorders>
                    <w:tl2br w:val="nil"/>
                    <w:tr2bl w:val="nil"/>
                  </w:tcBorders>
                  <w:noWrap w:val="0"/>
                  <w:vAlign w:val="center"/>
                </w:tcPr>
                <w:p w14:paraId="504429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eastAsia="zh-CN"/>
                    </w:rPr>
                  </w:pPr>
                  <w:r>
                    <w:rPr>
                      <w:rFonts w:hint="default" w:ascii="Times New Roman" w:hAnsi="Times New Roman" w:eastAsia="宋体" w:cs="Times New Roman"/>
                      <w:color w:val="auto"/>
                      <w:highlight w:val="none"/>
                      <w:shd w:val="clear" w:color="auto" w:fill="auto"/>
                    </w:rPr>
                    <w:t>24小时平均第95百分位数</w:t>
                  </w:r>
                  <w:r>
                    <w:rPr>
                      <w:rFonts w:hint="default" w:ascii="Times New Roman" w:hAnsi="Times New Roman" w:eastAsia="宋体" w:cs="Times New Roman"/>
                      <w:color w:val="auto"/>
                      <w:spacing w:val="-20"/>
                      <w:szCs w:val="21"/>
                      <w:highlight w:val="none"/>
                      <w:shd w:val="clear" w:color="auto" w:fill="auto"/>
                      <w:lang w:eastAsia="zh-CN"/>
                    </w:rPr>
                    <w:t>（</w:t>
                  </w:r>
                  <w:r>
                    <w:rPr>
                      <w:rFonts w:hint="default" w:ascii="Times New Roman" w:hAnsi="Times New Roman" w:eastAsia="宋体" w:cs="Times New Roman"/>
                      <w:color w:val="auto"/>
                      <w:spacing w:val="-20"/>
                      <w:szCs w:val="21"/>
                      <w:highlight w:val="none"/>
                      <w:shd w:val="clear" w:color="auto" w:fill="auto"/>
                    </w:rPr>
                    <w:t>mg /m</w:t>
                  </w:r>
                  <w:r>
                    <w:rPr>
                      <w:rFonts w:hint="default" w:ascii="Times New Roman" w:hAnsi="Times New Roman" w:eastAsia="宋体" w:cs="Times New Roman"/>
                      <w:color w:val="auto"/>
                      <w:spacing w:val="-20"/>
                      <w:szCs w:val="21"/>
                      <w:highlight w:val="none"/>
                      <w:shd w:val="clear" w:color="auto" w:fill="auto"/>
                      <w:vertAlign w:val="superscript"/>
                    </w:rPr>
                    <w:t>3</w:t>
                  </w:r>
                  <w:r>
                    <w:rPr>
                      <w:rFonts w:hint="default" w:ascii="Times New Roman" w:hAnsi="Times New Roman" w:eastAsia="宋体" w:cs="Times New Roman"/>
                      <w:color w:val="auto"/>
                      <w:spacing w:val="-20"/>
                      <w:szCs w:val="21"/>
                      <w:highlight w:val="none"/>
                      <w:shd w:val="clear" w:color="auto" w:fill="auto"/>
                      <w:lang w:eastAsia="zh-CN"/>
                    </w:rPr>
                    <w:t>）</w:t>
                  </w:r>
                </w:p>
              </w:tc>
              <w:tc>
                <w:tcPr>
                  <w:tcW w:w="1164" w:type="dxa"/>
                  <w:tcBorders>
                    <w:tl2br w:val="nil"/>
                    <w:tr2bl w:val="nil"/>
                  </w:tcBorders>
                  <w:noWrap w:val="0"/>
                  <w:vAlign w:val="center"/>
                </w:tcPr>
                <w:p w14:paraId="5A5A68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1.0</w:t>
                  </w:r>
                </w:p>
              </w:tc>
              <w:tc>
                <w:tcPr>
                  <w:tcW w:w="1133" w:type="dxa"/>
                  <w:tcBorders>
                    <w:tl2br w:val="nil"/>
                    <w:tr2bl w:val="nil"/>
                  </w:tcBorders>
                  <w:noWrap w:val="0"/>
                  <w:vAlign w:val="center"/>
                </w:tcPr>
                <w:p w14:paraId="1ACAEA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4.0</w:t>
                  </w:r>
                </w:p>
              </w:tc>
              <w:tc>
                <w:tcPr>
                  <w:tcW w:w="957" w:type="dxa"/>
                  <w:tcBorders>
                    <w:tl2br w:val="nil"/>
                    <w:tr2bl w:val="nil"/>
                  </w:tcBorders>
                  <w:noWrap w:val="0"/>
                  <w:vAlign w:val="center"/>
                </w:tcPr>
                <w:p w14:paraId="0747B2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25.00</w:t>
                  </w:r>
                </w:p>
              </w:tc>
              <w:tc>
                <w:tcPr>
                  <w:tcW w:w="829" w:type="dxa"/>
                  <w:tcBorders>
                    <w:tl2br w:val="nil"/>
                    <w:tr2bl w:val="nil"/>
                  </w:tcBorders>
                  <w:noWrap w:val="0"/>
                  <w:vAlign w:val="center"/>
                </w:tcPr>
                <w:p w14:paraId="3FC7FC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052895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7C785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7F539D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b/>
                      <w:color w:val="auto"/>
                      <w:szCs w:val="21"/>
                      <w:highlight w:val="none"/>
                      <w:shd w:val="clear" w:color="auto" w:fill="auto"/>
                    </w:rPr>
                    <w:t>O</w:t>
                  </w:r>
                  <w:r>
                    <w:rPr>
                      <w:rFonts w:hint="default" w:ascii="Times New Roman" w:hAnsi="Times New Roman" w:eastAsia="宋体" w:cs="Times New Roman"/>
                      <w:b/>
                      <w:color w:val="auto"/>
                      <w:szCs w:val="21"/>
                      <w:highlight w:val="none"/>
                      <w:shd w:val="clear" w:color="auto" w:fill="auto"/>
                      <w:vertAlign w:val="subscript"/>
                    </w:rPr>
                    <w:t>3</w:t>
                  </w:r>
                </w:p>
              </w:tc>
              <w:tc>
                <w:tcPr>
                  <w:tcW w:w="2462" w:type="dxa"/>
                  <w:tcBorders>
                    <w:tl2br w:val="nil"/>
                    <w:tr2bl w:val="nil"/>
                  </w:tcBorders>
                  <w:noWrap w:val="0"/>
                  <w:vAlign w:val="center"/>
                </w:tcPr>
                <w:p w14:paraId="29C561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highlight w:val="none"/>
                      <w:shd w:val="clear" w:color="auto" w:fill="auto"/>
                    </w:rPr>
                    <w:t>日最大8小时滑动平均值的第90百分位数</w:t>
                  </w:r>
                </w:p>
              </w:tc>
              <w:tc>
                <w:tcPr>
                  <w:tcW w:w="1164" w:type="dxa"/>
                  <w:tcBorders>
                    <w:tl2br w:val="nil"/>
                    <w:tr2bl w:val="nil"/>
                  </w:tcBorders>
                  <w:noWrap w:val="0"/>
                  <w:vAlign w:val="center"/>
                </w:tcPr>
                <w:p w14:paraId="6738DA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136</w:t>
                  </w:r>
                </w:p>
              </w:tc>
              <w:tc>
                <w:tcPr>
                  <w:tcW w:w="1133" w:type="dxa"/>
                  <w:tcBorders>
                    <w:tl2br w:val="nil"/>
                    <w:tr2bl w:val="nil"/>
                  </w:tcBorders>
                  <w:noWrap w:val="0"/>
                  <w:vAlign w:val="center"/>
                </w:tcPr>
                <w:p w14:paraId="673ACF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160</w:t>
                  </w:r>
                </w:p>
              </w:tc>
              <w:tc>
                <w:tcPr>
                  <w:tcW w:w="957" w:type="dxa"/>
                  <w:tcBorders>
                    <w:tl2br w:val="nil"/>
                    <w:tr2bl w:val="nil"/>
                  </w:tcBorders>
                  <w:noWrap w:val="0"/>
                  <w:vAlign w:val="center"/>
                </w:tcPr>
                <w:p w14:paraId="0DA17A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85.00</w:t>
                  </w:r>
                </w:p>
              </w:tc>
              <w:tc>
                <w:tcPr>
                  <w:tcW w:w="829" w:type="dxa"/>
                  <w:tcBorders>
                    <w:tl2br w:val="nil"/>
                    <w:tr2bl w:val="nil"/>
                  </w:tcBorders>
                  <w:noWrap w:val="0"/>
                  <w:vAlign w:val="center"/>
                </w:tcPr>
                <w:p w14:paraId="577375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07080D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2AE36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04" w:type="dxa"/>
                  <w:gridSpan w:val="7"/>
                  <w:tcBorders>
                    <w:tl2br w:val="nil"/>
                    <w:tr2bl w:val="nil"/>
                  </w:tcBorders>
                  <w:noWrap w:val="0"/>
                  <w:vAlign w:val="center"/>
                </w:tcPr>
                <w:p w14:paraId="1DE9F1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b/>
                      <w:bCs/>
                      <w:color w:val="auto"/>
                      <w:szCs w:val="21"/>
                      <w:highlight w:val="none"/>
                      <w:shd w:val="clear" w:color="auto" w:fill="auto"/>
                      <w:lang w:val="en-US" w:eastAsia="zh-CN"/>
                    </w:rPr>
                    <w:t>彭阳县</w:t>
                  </w:r>
                </w:p>
              </w:tc>
            </w:tr>
            <w:tr w14:paraId="2E6E09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69F88B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napToGrid w:val="0"/>
                      <w:color w:val="auto"/>
                      <w:kern w:val="0"/>
                      <w:sz w:val="21"/>
                      <w:szCs w:val="21"/>
                      <w:highlight w:val="none"/>
                      <w:shd w:val="clear" w:color="auto" w:fill="auto"/>
                      <w:lang w:val="en-US" w:eastAsia="zh-CN" w:bidi="ar-SA"/>
                    </w:rPr>
                  </w:pPr>
                  <w:r>
                    <w:rPr>
                      <w:rFonts w:hint="default" w:ascii="Times New Roman" w:hAnsi="Times New Roman" w:cs="Times New Roman"/>
                      <w:b/>
                      <w:bCs/>
                      <w:snapToGrid w:val="0"/>
                      <w:color w:val="auto"/>
                      <w:kern w:val="0"/>
                      <w:szCs w:val="21"/>
                      <w:highlight w:val="none"/>
                      <w:shd w:val="clear" w:color="auto" w:fill="auto"/>
                    </w:rPr>
                    <w:t>污染物</w:t>
                  </w:r>
                </w:p>
              </w:tc>
              <w:tc>
                <w:tcPr>
                  <w:tcW w:w="2462" w:type="dxa"/>
                  <w:tcBorders>
                    <w:tl2br w:val="nil"/>
                    <w:tr2bl w:val="nil"/>
                  </w:tcBorders>
                  <w:noWrap w:val="0"/>
                  <w:vAlign w:val="center"/>
                </w:tcPr>
                <w:p w14:paraId="5C64B0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napToGrid w:val="0"/>
                      <w:color w:val="auto"/>
                      <w:kern w:val="0"/>
                      <w:sz w:val="21"/>
                      <w:szCs w:val="21"/>
                      <w:highlight w:val="none"/>
                      <w:shd w:val="clear" w:color="auto" w:fill="auto"/>
                      <w:lang w:val="en-US" w:eastAsia="zh-CN" w:bidi="ar-SA"/>
                    </w:rPr>
                  </w:pPr>
                  <w:r>
                    <w:rPr>
                      <w:rFonts w:hint="default" w:ascii="Times New Roman" w:hAnsi="Times New Roman" w:cs="Times New Roman"/>
                      <w:b/>
                      <w:bCs/>
                      <w:snapToGrid w:val="0"/>
                      <w:color w:val="auto"/>
                      <w:kern w:val="0"/>
                      <w:szCs w:val="21"/>
                      <w:highlight w:val="none"/>
                      <w:shd w:val="clear" w:color="auto" w:fill="auto"/>
                    </w:rPr>
                    <w:t>年评价指标</w:t>
                  </w:r>
                </w:p>
              </w:tc>
              <w:tc>
                <w:tcPr>
                  <w:tcW w:w="1164" w:type="dxa"/>
                  <w:tcBorders>
                    <w:tl2br w:val="nil"/>
                    <w:tr2bl w:val="nil"/>
                  </w:tcBorders>
                  <w:noWrap w:val="0"/>
                  <w:vAlign w:val="center"/>
                </w:tcPr>
                <w:p w14:paraId="483009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b/>
                      <w:bCs/>
                      <w:snapToGrid w:val="0"/>
                      <w:color w:val="auto"/>
                      <w:kern w:val="0"/>
                      <w:szCs w:val="21"/>
                      <w:highlight w:val="none"/>
                      <w:shd w:val="clear" w:color="auto" w:fill="auto"/>
                    </w:rPr>
                    <w:t>现状浓度</w:t>
                  </w:r>
                  <w:r>
                    <w:rPr>
                      <w:rFonts w:hint="default" w:ascii="Times New Roman" w:hAnsi="Times New Roman" w:cs="Times New Roman"/>
                      <w:b/>
                      <w:bCs/>
                      <w:snapToGrid w:val="0"/>
                      <w:color w:val="auto"/>
                      <w:kern w:val="0"/>
                      <w:szCs w:val="21"/>
                      <w:highlight w:val="none"/>
                      <w:shd w:val="clear" w:color="auto" w:fill="auto"/>
                      <w:lang w:eastAsia="zh-CN"/>
                    </w:rPr>
                    <w:t>（</w:t>
                  </w:r>
                  <w:r>
                    <w:rPr>
                      <w:rFonts w:hint="default" w:ascii="Times New Roman" w:hAnsi="Times New Roman" w:cs="Times New Roman"/>
                      <w:b/>
                      <w:bCs/>
                      <w:snapToGrid w:val="0"/>
                      <w:color w:val="auto"/>
                      <w:kern w:val="0"/>
                      <w:szCs w:val="21"/>
                      <w:highlight w:val="none"/>
                      <w:shd w:val="clear" w:color="auto" w:fill="auto"/>
                    </w:rPr>
                    <w:t>μg/m</w:t>
                  </w:r>
                  <w:r>
                    <w:rPr>
                      <w:rFonts w:hint="default" w:ascii="Times New Roman" w:hAnsi="Times New Roman" w:cs="Times New Roman"/>
                      <w:b/>
                      <w:bCs/>
                      <w:snapToGrid w:val="0"/>
                      <w:color w:val="auto"/>
                      <w:kern w:val="0"/>
                      <w:szCs w:val="21"/>
                      <w:highlight w:val="none"/>
                      <w:shd w:val="clear" w:color="auto" w:fill="auto"/>
                      <w:vertAlign w:val="superscript"/>
                    </w:rPr>
                    <w:t>3</w:t>
                  </w:r>
                  <w:r>
                    <w:rPr>
                      <w:rFonts w:hint="default" w:ascii="Times New Roman" w:hAnsi="Times New Roman" w:cs="Times New Roman"/>
                      <w:b/>
                      <w:bCs/>
                      <w:snapToGrid w:val="0"/>
                      <w:color w:val="auto"/>
                      <w:kern w:val="0"/>
                      <w:szCs w:val="21"/>
                      <w:highlight w:val="none"/>
                      <w:shd w:val="clear" w:color="auto" w:fill="auto"/>
                      <w:lang w:eastAsia="zh-CN"/>
                    </w:rPr>
                    <w:t>）</w:t>
                  </w:r>
                </w:p>
              </w:tc>
              <w:tc>
                <w:tcPr>
                  <w:tcW w:w="1133" w:type="dxa"/>
                  <w:tcBorders>
                    <w:tl2br w:val="nil"/>
                    <w:tr2bl w:val="nil"/>
                  </w:tcBorders>
                  <w:noWrap w:val="0"/>
                  <w:vAlign w:val="center"/>
                </w:tcPr>
                <w:p w14:paraId="1E9BC1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shd w:val="clear" w:color="auto" w:fill="auto"/>
                    </w:rPr>
                  </w:pPr>
                  <w:r>
                    <w:rPr>
                      <w:rFonts w:hint="default" w:ascii="Times New Roman" w:hAnsi="Times New Roman" w:cs="Times New Roman"/>
                      <w:b/>
                      <w:bCs/>
                      <w:snapToGrid w:val="0"/>
                      <w:color w:val="auto"/>
                      <w:kern w:val="0"/>
                      <w:szCs w:val="21"/>
                      <w:highlight w:val="none"/>
                      <w:shd w:val="clear" w:color="auto" w:fill="auto"/>
                    </w:rPr>
                    <w:t>标准值</w:t>
                  </w:r>
                  <w:r>
                    <w:rPr>
                      <w:rFonts w:hint="default" w:ascii="Times New Roman" w:hAnsi="Times New Roman" w:cs="Times New Roman"/>
                      <w:b/>
                      <w:bCs/>
                      <w:snapToGrid w:val="0"/>
                      <w:color w:val="auto"/>
                      <w:kern w:val="0"/>
                      <w:szCs w:val="21"/>
                      <w:highlight w:val="none"/>
                      <w:shd w:val="clear" w:color="auto" w:fill="auto"/>
                      <w:lang w:eastAsia="zh-CN"/>
                    </w:rPr>
                    <w:t>（</w:t>
                  </w:r>
                  <w:r>
                    <w:rPr>
                      <w:rFonts w:hint="default" w:ascii="Times New Roman" w:hAnsi="Times New Roman" w:cs="Times New Roman"/>
                      <w:b/>
                      <w:bCs/>
                      <w:snapToGrid w:val="0"/>
                      <w:color w:val="auto"/>
                      <w:kern w:val="0"/>
                      <w:szCs w:val="21"/>
                      <w:highlight w:val="none"/>
                      <w:shd w:val="clear" w:color="auto" w:fill="auto"/>
                    </w:rPr>
                    <w:t>μg/m</w:t>
                  </w:r>
                  <w:r>
                    <w:rPr>
                      <w:rFonts w:hint="default" w:ascii="Times New Roman" w:hAnsi="Times New Roman" w:cs="Times New Roman"/>
                      <w:b/>
                      <w:bCs/>
                      <w:snapToGrid w:val="0"/>
                      <w:color w:val="auto"/>
                      <w:kern w:val="0"/>
                      <w:szCs w:val="21"/>
                      <w:highlight w:val="none"/>
                      <w:shd w:val="clear" w:color="auto" w:fill="auto"/>
                      <w:vertAlign w:val="superscript"/>
                    </w:rPr>
                    <w:t>3</w:t>
                  </w:r>
                  <w:r>
                    <w:rPr>
                      <w:rFonts w:hint="default" w:ascii="Times New Roman" w:hAnsi="Times New Roman" w:cs="Times New Roman"/>
                      <w:b/>
                      <w:bCs/>
                      <w:snapToGrid w:val="0"/>
                      <w:color w:val="auto"/>
                      <w:kern w:val="0"/>
                      <w:szCs w:val="21"/>
                      <w:highlight w:val="none"/>
                      <w:shd w:val="clear" w:color="auto" w:fill="auto"/>
                      <w:lang w:eastAsia="zh-CN"/>
                    </w:rPr>
                    <w:t>）</w:t>
                  </w:r>
                </w:p>
              </w:tc>
              <w:tc>
                <w:tcPr>
                  <w:tcW w:w="957" w:type="dxa"/>
                  <w:tcBorders>
                    <w:tl2br w:val="nil"/>
                    <w:tr2bl w:val="nil"/>
                  </w:tcBorders>
                  <w:noWrap w:val="0"/>
                  <w:vAlign w:val="center"/>
                </w:tcPr>
                <w:p w14:paraId="75BEA4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b/>
                      <w:bCs/>
                      <w:snapToGrid w:val="0"/>
                      <w:color w:val="auto"/>
                      <w:kern w:val="0"/>
                      <w:szCs w:val="21"/>
                      <w:highlight w:val="none"/>
                      <w:shd w:val="clear" w:color="auto" w:fill="auto"/>
                    </w:rPr>
                    <w:t>占标率</w:t>
                  </w:r>
                  <w:r>
                    <w:rPr>
                      <w:rFonts w:hint="default" w:ascii="Times New Roman" w:hAnsi="Times New Roman" w:cs="Times New Roman"/>
                      <w:b/>
                      <w:bCs/>
                      <w:snapToGrid w:val="0"/>
                      <w:color w:val="auto"/>
                      <w:kern w:val="0"/>
                      <w:szCs w:val="21"/>
                      <w:highlight w:val="none"/>
                      <w:shd w:val="clear" w:color="auto" w:fill="auto"/>
                      <w:lang w:eastAsia="zh-CN"/>
                    </w:rPr>
                    <w:t>（</w:t>
                  </w:r>
                  <w:r>
                    <w:rPr>
                      <w:rFonts w:hint="default" w:ascii="Times New Roman" w:hAnsi="Times New Roman" w:cs="Times New Roman"/>
                      <w:b/>
                      <w:bCs/>
                      <w:snapToGrid w:val="0"/>
                      <w:color w:val="auto"/>
                      <w:kern w:val="0"/>
                      <w:szCs w:val="21"/>
                      <w:highlight w:val="none"/>
                      <w:shd w:val="clear" w:color="auto" w:fill="auto"/>
                    </w:rPr>
                    <w:t>%</w:t>
                  </w:r>
                  <w:r>
                    <w:rPr>
                      <w:rFonts w:hint="default" w:ascii="Times New Roman" w:hAnsi="Times New Roman" w:cs="Times New Roman"/>
                      <w:b/>
                      <w:bCs/>
                      <w:snapToGrid w:val="0"/>
                      <w:color w:val="auto"/>
                      <w:kern w:val="0"/>
                      <w:szCs w:val="21"/>
                      <w:highlight w:val="none"/>
                      <w:shd w:val="clear" w:color="auto" w:fill="auto"/>
                      <w:lang w:eastAsia="zh-CN"/>
                    </w:rPr>
                    <w:t>）</w:t>
                  </w:r>
                </w:p>
              </w:tc>
              <w:tc>
                <w:tcPr>
                  <w:tcW w:w="829" w:type="dxa"/>
                  <w:tcBorders>
                    <w:tl2br w:val="nil"/>
                    <w:tr2bl w:val="nil"/>
                  </w:tcBorders>
                  <w:noWrap w:val="0"/>
                  <w:vAlign w:val="center"/>
                </w:tcPr>
                <w:p w14:paraId="588F74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b/>
                      <w:bCs/>
                      <w:snapToGrid w:val="0"/>
                      <w:color w:val="auto"/>
                      <w:kern w:val="0"/>
                      <w:szCs w:val="21"/>
                      <w:highlight w:val="none"/>
                      <w:shd w:val="clear" w:color="auto" w:fill="auto"/>
                      <w:lang w:val="en-US" w:eastAsia="zh-CN"/>
                    </w:rPr>
                    <w:t>超标倍数</w:t>
                  </w:r>
                </w:p>
              </w:tc>
              <w:tc>
                <w:tcPr>
                  <w:tcW w:w="1023" w:type="dxa"/>
                  <w:tcBorders>
                    <w:tl2br w:val="nil"/>
                    <w:tr2bl w:val="nil"/>
                  </w:tcBorders>
                  <w:noWrap w:val="0"/>
                  <w:vAlign w:val="center"/>
                </w:tcPr>
                <w:p w14:paraId="272B00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shd w:val="clear" w:color="auto" w:fill="auto"/>
                    </w:rPr>
                  </w:pPr>
                  <w:r>
                    <w:rPr>
                      <w:rFonts w:hint="default" w:ascii="Times New Roman" w:hAnsi="Times New Roman" w:cs="Times New Roman"/>
                      <w:b/>
                      <w:bCs/>
                      <w:snapToGrid w:val="0"/>
                      <w:color w:val="auto"/>
                      <w:kern w:val="0"/>
                      <w:szCs w:val="21"/>
                      <w:highlight w:val="none"/>
                      <w:shd w:val="clear" w:color="auto" w:fill="auto"/>
                    </w:rPr>
                    <w:t>达标情况</w:t>
                  </w:r>
                </w:p>
              </w:tc>
            </w:tr>
            <w:tr w14:paraId="25D68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6C0CD7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b/>
                      <w:color w:val="auto"/>
                      <w:szCs w:val="21"/>
                      <w:highlight w:val="none"/>
                      <w:shd w:val="clear" w:color="auto" w:fill="auto"/>
                    </w:rPr>
                    <w:t>PM</w:t>
                  </w:r>
                  <w:r>
                    <w:rPr>
                      <w:rFonts w:hint="default" w:ascii="Times New Roman" w:hAnsi="Times New Roman" w:eastAsia="宋体" w:cs="Times New Roman"/>
                      <w:b/>
                      <w:color w:val="auto"/>
                      <w:szCs w:val="21"/>
                      <w:highlight w:val="none"/>
                      <w:shd w:val="clear" w:color="auto" w:fill="auto"/>
                      <w:vertAlign w:val="subscript"/>
                    </w:rPr>
                    <w:t>10</w:t>
                  </w:r>
                </w:p>
              </w:tc>
              <w:tc>
                <w:tcPr>
                  <w:tcW w:w="2462" w:type="dxa"/>
                  <w:tcBorders>
                    <w:tl2br w:val="nil"/>
                    <w:tr2bl w:val="nil"/>
                  </w:tcBorders>
                  <w:noWrap w:val="0"/>
                  <w:vAlign w:val="center"/>
                </w:tcPr>
                <w:p w14:paraId="18135C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年平均浓度</w:t>
                  </w:r>
                </w:p>
              </w:tc>
              <w:tc>
                <w:tcPr>
                  <w:tcW w:w="1164" w:type="dxa"/>
                  <w:tcBorders>
                    <w:tl2br w:val="nil"/>
                    <w:tr2bl w:val="nil"/>
                  </w:tcBorders>
                  <w:noWrap w:val="0"/>
                  <w:vAlign w:val="center"/>
                </w:tcPr>
                <w:p w14:paraId="370BEF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58</w:t>
                  </w:r>
                </w:p>
              </w:tc>
              <w:tc>
                <w:tcPr>
                  <w:tcW w:w="1133" w:type="dxa"/>
                  <w:tcBorders>
                    <w:tl2br w:val="nil"/>
                    <w:tr2bl w:val="nil"/>
                  </w:tcBorders>
                  <w:noWrap w:val="0"/>
                  <w:vAlign w:val="center"/>
                </w:tcPr>
                <w:p w14:paraId="201FAB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eastAsia" w:cs="Times New Roman"/>
                      <w:color w:val="auto"/>
                      <w:szCs w:val="21"/>
                      <w:highlight w:val="none"/>
                      <w:shd w:val="clear" w:color="auto" w:fill="auto"/>
                      <w:lang w:val="en-US" w:eastAsia="zh-CN"/>
                    </w:rPr>
                    <w:t>6</w:t>
                  </w:r>
                  <w:r>
                    <w:rPr>
                      <w:rFonts w:hint="default" w:ascii="Times New Roman" w:hAnsi="Times New Roman" w:eastAsia="宋体" w:cs="Times New Roman"/>
                      <w:color w:val="auto"/>
                      <w:szCs w:val="21"/>
                      <w:highlight w:val="none"/>
                      <w:shd w:val="clear" w:color="auto" w:fill="auto"/>
                    </w:rPr>
                    <w:t>0</w:t>
                  </w:r>
                </w:p>
              </w:tc>
              <w:tc>
                <w:tcPr>
                  <w:tcW w:w="957" w:type="dxa"/>
                  <w:tcBorders>
                    <w:tl2br w:val="nil"/>
                    <w:tr2bl w:val="nil"/>
                  </w:tcBorders>
                  <w:noWrap w:val="0"/>
                  <w:vAlign w:val="center"/>
                </w:tcPr>
                <w:p w14:paraId="7110F8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eastAsia" w:cs="Times New Roman"/>
                      <w:snapToGrid w:val="0"/>
                      <w:color w:val="auto"/>
                      <w:kern w:val="0"/>
                      <w:szCs w:val="21"/>
                      <w:highlight w:val="none"/>
                      <w:shd w:val="clear" w:color="auto" w:fill="auto"/>
                      <w:lang w:val="en-US" w:eastAsia="zh-CN"/>
                    </w:rPr>
                    <w:t>96.67</w:t>
                  </w:r>
                </w:p>
              </w:tc>
              <w:tc>
                <w:tcPr>
                  <w:tcW w:w="829" w:type="dxa"/>
                  <w:tcBorders>
                    <w:tl2br w:val="nil"/>
                    <w:tr2bl w:val="nil"/>
                  </w:tcBorders>
                  <w:noWrap w:val="0"/>
                  <w:vAlign w:val="center"/>
                </w:tcPr>
                <w:p w14:paraId="1B0DB2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1202FB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0897C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61B450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b/>
                      <w:color w:val="auto"/>
                      <w:szCs w:val="21"/>
                      <w:highlight w:val="none"/>
                      <w:shd w:val="clear" w:color="auto" w:fill="auto"/>
                    </w:rPr>
                    <w:t>PM</w:t>
                  </w:r>
                  <w:r>
                    <w:rPr>
                      <w:rFonts w:hint="default" w:ascii="Times New Roman" w:hAnsi="Times New Roman" w:eastAsia="宋体" w:cs="Times New Roman"/>
                      <w:b/>
                      <w:color w:val="auto"/>
                      <w:szCs w:val="21"/>
                      <w:highlight w:val="none"/>
                      <w:shd w:val="clear" w:color="auto" w:fill="auto"/>
                      <w:vertAlign w:val="subscript"/>
                    </w:rPr>
                    <w:t>2.5</w:t>
                  </w:r>
                </w:p>
              </w:tc>
              <w:tc>
                <w:tcPr>
                  <w:tcW w:w="2462" w:type="dxa"/>
                  <w:tcBorders>
                    <w:tl2br w:val="nil"/>
                    <w:tr2bl w:val="nil"/>
                  </w:tcBorders>
                  <w:noWrap w:val="0"/>
                  <w:vAlign w:val="center"/>
                </w:tcPr>
                <w:p w14:paraId="1AC446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年平均浓度</w:t>
                  </w:r>
                </w:p>
              </w:tc>
              <w:tc>
                <w:tcPr>
                  <w:tcW w:w="1164" w:type="dxa"/>
                  <w:tcBorders>
                    <w:tl2br w:val="nil"/>
                    <w:tr2bl w:val="nil"/>
                  </w:tcBorders>
                  <w:noWrap w:val="0"/>
                  <w:vAlign w:val="center"/>
                </w:tcPr>
                <w:p w14:paraId="52989F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24</w:t>
                  </w:r>
                </w:p>
              </w:tc>
              <w:tc>
                <w:tcPr>
                  <w:tcW w:w="1133" w:type="dxa"/>
                  <w:tcBorders>
                    <w:tl2br w:val="nil"/>
                    <w:tr2bl w:val="nil"/>
                  </w:tcBorders>
                  <w:noWrap w:val="0"/>
                  <w:vAlign w:val="center"/>
                </w:tcPr>
                <w:p w14:paraId="264170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3</w:t>
                  </w:r>
                  <w:r>
                    <w:rPr>
                      <w:rFonts w:hint="eastAsia" w:cs="Times New Roman"/>
                      <w:color w:val="auto"/>
                      <w:szCs w:val="21"/>
                      <w:highlight w:val="none"/>
                      <w:shd w:val="clear" w:color="auto" w:fill="auto"/>
                      <w:lang w:val="en-US" w:eastAsia="zh-CN"/>
                    </w:rPr>
                    <w:t>0</w:t>
                  </w:r>
                </w:p>
              </w:tc>
              <w:tc>
                <w:tcPr>
                  <w:tcW w:w="957" w:type="dxa"/>
                  <w:tcBorders>
                    <w:tl2br w:val="nil"/>
                    <w:tr2bl w:val="nil"/>
                  </w:tcBorders>
                  <w:noWrap w:val="0"/>
                  <w:vAlign w:val="center"/>
                </w:tcPr>
                <w:p w14:paraId="02AD55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eastAsia" w:cs="Times New Roman"/>
                      <w:snapToGrid w:val="0"/>
                      <w:color w:val="auto"/>
                      <w:kern w:val="0"/>
                      <w:szCs w:val="21"/>
                      <w:highlight w:val="none"/>
                      <w:shd w:val="clear" w:color="auto" w:fill="auto"/>
                      <w:lang w:val="en-US" w:eastAsia="zh-CN"/>
                    </w:rPr>
                    <w:t>80.00</w:t>
                  </w:r>
                </w:p>
              </w:tc>
              <w:tc>
                <w:tcPr>
                  <w:tcW w:w="829" w:type="dxa"/>
                  <w:tcBorders>
                    <w:tl2br w:val="nil"/>
                    <w:tr2bl w:val="nil"/>
                  </w:tcBorders>
                  <w:noWrap w:val="0"/>
                  <w:vAlign w:val="center"/>
                </w:tcPr>
                <w:p w14:paraId="0CDCDA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5728EF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673EC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36C166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b/>
                      <w:color w:val="auto"/>
                      <w:szCs w:val="21"/>
                      <w:highlight w:val="none"/>
                      <w:shd w:val="clear" w:color="auto" w:fill="auto"/>
                    </w:rPr>
                    <w:t>SO</w:t>
                  </w:r>
                  <w:r>
                    <w:rPr>
                      <w:rFonts w:hint="default" w:ascii="Times New Roman" w:hAnsi="Times New Roman" w:eastAsia="宋体" w:cs="Times New Roman"/>
                      <w:b/>
                      <w:color w:val="auto"/>
                      <w:szCs w:val="21"/>
                      <w:highlight w:val="none"/>
                      <w:shd w:val="clear" w:color="auto" w:fill="auto"/>
                      <w:vertAlign w:val="subscript"/>
                    </w:rPr>
                    <w:t>2</w:t>
                  </w:r>
                </w:p>
              </w:tc>
              <w:tc>
                <w:tcPr>
                  <w:tcW w:w="2462" w:type="dxa"/>
                  <w:tcBorders>
                    <w:tl2br w:val="nil"/>
                    <w:tr2bl w:val="nil"/>
                  </w:tcBorders>
                  <w:noWrap w:val="0"/>
                  <w:vAlign w:val="center"/>
                </w:tcPr>
                <w:p w14:paraId="2D45F2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年平均浓度</w:t>
                  </w:r>
                </w:p>
              </w:tc>
              <w:tc>
                <w:tcPr>
                  <w:tcW w:w="1164" w:type="dxa"/>
                  <w:tcBorders>
                    <w:tl2br w:val="nil"/>
                    <w:tr2bl w:val="nil"/>
                  </w:tcBorders>
                  <w:noWrap w:val="0"/>
                  <w:vAlign w:val="center"/>
                </w:tcPr>
                <w:p w14:paraId="280F4B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4</w:t>
                  </w:r>
                </w:p>
              </w:tc>
              <w:tc>
                <w:tcPr>
                  <w:tcW w:w="1133" w:type="dxa"/>
                  <w:tcBorders>
                    <w:tl2br w:val="nil"/>
                    <w:tr2bl w:val="nil"/>
                  </w:tcBorders>
                  <w:noWrap w:val="0"/>
                  <w:vAlign w:val="center"/>
                </w:tcPr>
                <w:p w14:paraId="38A9E4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60</w:t>
                  </w:r>
                </w:p>
              </w:tc>
              <w:tc>
                <w:tcPr>
                  <w:tcW w:w="957" w:type="dxa"/>
                  <w:tcBorders>
                    <w:tl2br w:val="nil"/>
                    <w:tr2bl w:val="nil"/>
                  </w:tcBorders>
                  <w:noWrap w:val="0"/>
                  <w:vAlign w:val="center"/>
                </w:tcPr>
                <w:p w14:paraId="4A93F3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6.67</w:t>
                  </w:r>
                </w:p>
              </w:tc>
              <w:tc>
                <w:tcPr>
                  <w:tcW w:w="829" w:type="dxa"/>
                  <w:tcBorders>
                    <w:tl2br w:val="nil"/>
                    <w:tr2bl w:val="nil"/>
                  </w:tcBorders>
                  <w:noWrap w:val="0"/>
                  <w:vAlign w:val="center"/>
                </w:tcPr>
                <w:p w14:paraId="2068FD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eastAsia="宋体"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14A44D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591C0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4213F9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b/>
                      <w:color w:val="auto"/>
                      <w:szCs w:val="21"/>
                      <w:highlight w:val="none"/>
                      <w:shd w:val="clear" w:color="auto" w:fill="auto"/>
                    </w:rPr>
                    <w:t>NO</w:t>
                  </w:r>
                  <w:r>
                    <w:rPr>
                      <w:rFonts w:hint="default" w:ascii="Times New Roman" w:hAnsi="Times New Roman" w:eastAsia="宋体" w:cs="Times New Roman"/>
                      <w:b/>
                      <w:color w:val="auto"/>
                      <w:szCs w:val="21"/>
                      <w:highlight w:val="none"/>
                      <w:shd w:val="clear" w:color="auto" w:fill="auto"/>
                      <w:vertAlign w:val="subscript"/>
                    </w:rPr>
                    <w:t>2</w:t>
                  </w:r>
                </w:p>
              </w:tc>
              <w:tc>
                <w:tcPr>
                  <w:tcW w:w="2462" w:type="dxa"/>
                  <w:tcBorders>
                    <w:tl2br w:val="nil"/>
                    <w:tr2bl w:val="nil"/>
                  </w:tcBorders>
                  <w:noWrap w:val="0"/>
                  <w:vAlign w:val="center"/>
                </w:tcPr>
                <w:p w14:paraId="646766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年平均浓度</w:t>
                  </w:r>
                </w:p>
              </w:tc>
              <w:tc>
                <w:tcPr>
                  <w:tcW w:w="1164" w:type="dxa"/>
                  <w:tcBorders>
                    <w:tl2br w:val="nil"/>
                    <w:tr2bl w:val="nil"/>
                  </w:tcBorders>
                  <w:noWrap w:val="0"/>
                  <w:vAlign w:val="center"/>
                </w:tcPr>
                <w:p w14:paraId="6A210E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10</w:t>
                  </w:r>
                </w:p>
              </w:tc>
              <w:tc>
                <w:tcPr>
                  <w:tcW w:w="1133" w:type="dxa"/>
                  <w:tcBorders>
                    <w:tl2br w:val="nil"/>
                    <w:tr2bl w:val="nil"/>
                  </w:tcBorders>
                  <w:noWrap w:val="0"/>
                  <w:vAlign w:val="center"/>
                </w:tcPr>
                <w:p w14:paraId="660B53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40</w:t>
                  </w:r>
                </w:p>
              </w:tc>
              <w:tc>
                <w:tcPr>
                  <w:tcW w:w="957" w:type="dxa"/>
                  <w:tcBorders>
                    <w:tl2br w:val="nil"/>
                    <w:tr2bl w:val="nil"/>
                  </w:tcBorders>
                  <w:noWrap w:val="0"/>
                  <w:vAlign w:val="center"/>
                </w:tcPr>
                <w:p w14:paraId="65B14A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25.00</w:t>
                  </w:r>
                </w:p>
              </w:tc>
              <w:tc>
                <w:tcPr>
                  <w:tcW w:w="829" w:type="dxa"/>
                  <w:tcBorders>
                    <w:tl2br w:val="nil"/>
                    <w:tr2bl w:val="nil"/>
                  </w:tcBorders>
                  <w:noWrap w:val="0"/>
                  <w:vAlign w:val="center"/>
                </w:tcPr>
                <w:p w14:paraId="618630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2A145F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24CB4D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6A6BCF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b/>
                      <w:color w:val="auto"/>
                      <w:szCs w:val="21"/>
                      <w:highlight w:val="none"/>
                      <w:shd w:val="clear" w:color="auto" w:fill="auto"/>
                    </w:rPr>
                    <w:t>CO</w:t>
                  </w:r>
                </w:p>
              </w:tc>
              <w:tc>
                <w:tcPr>
                  <w:tcW w:w="2462" w:type="dxa"/>
                  <w:tcBorders>
                    <w:tl2br w:val="nil"/>
                    <w:tr2bl w:val="nil"/>
                  </w:tcBorders>
                  <w:noWrap w:val="0"/>
                  <w:vAlign w:val="center"/>
                </w:tcPr>
                <w:p w14:paraId="674755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highlight w:val="none"/>
                      <w:shd w:val="clear" w:color="auto" w:fill="auto"/>
                    </w:rPr>
                    <w:t>24小时平均第95百分位数</w:t>
                  </w:r>
                  <w:r>
                    <w:rPr>
                      <w:rFonts w:hint="default" w:ascii="Times New Roman" w:hAnsi="Times New Roman" w:eastAsia="宋体" w:cs="Times New Roman"/>
                      <w:color w:val="auto"/>
                      <w:spacing w:val="-20"/>
                      <w:szCs w:val="21"/>
                      <w:highlight w:val="none"/>
                      <w:shd w:val="clear" w:color="auto" w:fill="auto"/>
                      <w:lang w:eastAsia="zh-CN"/>
                    </w:rPr>
                    <w:t>（</w:t>
                  </w:r>
                  <w:r>
                    <w:rPr>
                      <w:rFonts w:hint="default" w:ascii="Times New Roman" w:hAnsi="Times New Roman" w:eastAsia="宋体" w:cs="Times New Roman"/>
                      <w:color w:val="auto"/>
                      <w:spacing w:val="-20"/>
                      <w:szCs w:val="21"/>
                      <w:highlight w:val="none"/>
                      <w:shd w:val="clear" w:color="auto" w:fill="auto"/>
                    </w:rPr>
                    <w:t>mg /m</w:t>
                  </w:r>
                  <w:r>
                    <w:rPr>
                      <w:rFonts w:hint="default" w:ascii="Times New Roman" w:hAnsi="Times New Roman" w:eastAsia="宋体" w:cs="Times New Roman"/>
                      <w:color w:val="auto"/>
                      <w:spacing w:val="-20"/>
                      <w:szCs w:val="21"/>
                      <w:highlight w:val="none"/>
                      <w:shd w:val="clear" w:color="auto" w:fill="auto"/>
                      <w:vertAlign w:val="superscript"/>
                    </w:rPr>
                    <w:t>3</w:t>
                  </w:r>
                  <w:r>
                    <w:rPr>
                      <w:rFonts w:hint="default" w:ascii="Times New Roman" w:hAnsi="Times New Roman" w:eastAsia="宋体" w:cs="Times New Roman"/>
                      <w:color w:val="auto"/>
                      <w:spacing w:val="-20"/>
                      <w:szCs w:val="21"/>
                      <w:highlight w:val="none"/>
                      <w:shd w:val="clear" w:color="auto" w:fill="auto"/>
                      <w:lang w:eastAsia="zh-CN"/>
                    </w:rPr>
                    <w:t>）</w:t>
                  </w:r>
                </w:p>
              </w:tc>
              <w:tc>
                <w:tcPr>
                  <w:tcW w:w="1164" w:type="dxa"/>
                  <w:tcBorders>
                    <w:tl2br w:val="nil"/>
                    <w:tr2bl w:val="nil"/>
                  </w:tcBorders>
                  <w:noWrap w:val="0"/>
                  <w:vAlign w:val="center"/>
                </w:tcPr>
                <w:p w14:paraId="2646D0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0.9</w:t>
                  </w:r>
                </w:p>
              </w:tc>
              <w:tc>
                <w:tcPr>
                  <w:tcW w:w="1133" w:type="dxa"/>
                  <w:tcBorders>
                    <w:tl2br w:val="nil"/>
                    <w:tr2bl w:val="nil"/>
                  </w:tcBorders>
                  <w:noWrap w:val="0"/>
                  <w:vAlign w:val="center"/>
                </w:tcPr>
                <w:p w14:paraId="70F036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4.0</w:t>
                  </w:r>
                </w:p>
              </w:tc>
              <w:tc>
                <w:tcPr>
                  <w:tcW w:w="957" w:type="dxa"/>
                  <w:tcBorders>
                    <w:tl2br w:val="nil"/>
                    <w:tr2bl w:val="nil"/>
                  </w:tcBorders>
                  <w:noWrap w:val="0"/>
                  <w:vAlign w:val="center"/>
                </w:tcPr>
                <w:p w14:paraId="48BC6B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22.50</w:t>
                  </w:r>
                </w:p>
              </w:tc>
              <w:tc>
                <w:tcPr>
                  <w:tcW w:w="829" w:type="dxa"/>
                  <w:tcBorders>
                    <w:tl2br w:val="nil"/>
                    <w:tr2bl w:val="nil"/>
                  </w:tcBorders>
                  <w:noWrap w:val="0"/>
                  <w:vAlign w:val="center"/>
                </w:tcPr>
                <w:p w14:paraId="59ABF9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56D962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r w14:paraId="15D3A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6" w:type="dxa"/>
                  <w:tcBorders>
                    <w:tl2br w:val="nil"/>
                    <w:tr2bl w:val="nil"/>
                  </w:tcBorders>
                  <w:noWrap w:val="0"/>
                  <w:vAlign w:val="center"/>
                </w:tcPr>
                <w:p w14:paraId="34149D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b/>
                      <w:color w:val="auto"/>
                      <w:szCs w:val="21"/>
                      <w:highlight w:val="none"/>
                      <w:shd w:val="clear" w:color="auto" w:fill="auto"/>
                    </w:rPr>
                    <w:t>O</w:t>
                  </w:r>
                  <w:r>
                    <w:rPr>
                      <w:rFonts w:hint="default" w:ascii="Times New Roman" w:hAnsi="Times New Roman" w:eastAsia="宋体" w:cs="Times New Roman"/>
                      <w:b/>
                      <w:color w:val="auto"/>
                      <w:szCs w:val="21"/>
                      <w:highlight w:val="none"/>
                      <w:shd w:val="clear" w:color="auto" w:fill="auto"/>
                      <w:vertAlign w:val="subscript"/>
                    </w:rPr>
                    <w:t>3</w:t>
                  </w:r>
                </w:p>
              </w:tc>
              <w:tc>
                <w:tcPr>
                  <w:tcW w:w="2462" w:type="dxa"/>
                  <w:tcBorders>
                    <w:tl2br w:val="nil"/>
                    <w:tr2bl w:val="nil"/>
                  </w:tcBorders>
                  <w:noWrap w:val="0"/>
                  <w:vAlign w:val="center"/>
                </w:tcPr>
                <w:p w14:paraId="5B519B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highlight w:val="none"/>
                      <w:shd w:val="clear" w:color="auto" w:fill="auto"/>
                    </w:rPr>
                    <w:t>日最大8小时滑动平均值的第90百分位数</w:t>
                  </w:r>
                </w:p>
              </w:tc>
              <w:tc>
                <w:tcPr>
                  <w:tcW w:w="1164" w:type="dxa"/>
                  <w:tcBorders>
                    <w:tl2br w:val="nil"/>
                    <w:tr2bl w:val="nil"/>
                  </w:tcBorders>
                  <w:noWrap w:val="0"/>
                  <w:vAlign w:val="center"/>
                </w:tcPr>
                <w:p w14:paraId="245CD4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134</w:t>
                  </w:r>
                </w:p>
              </w:tc>
              <w:tc>
                <w:tcPr>
                  <w:tcW w:w="1133" w:type="dxa"/>
                  <w:tcBorders>
                    <w:tl2br w:val="nil"/>
                    <w:tr2bl w:val="nil"/>
                  </w:tcBorders>
                  <w:noWrap w:val="0"/>
                  <w:vAlign w:val="center"/>
                </w:tcPr>
                <w:p w14:paraId="594673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160</w:t>
                  </w:r>
                </w:p>
              </w:tc>
              <w:tc>
                <w:tcPr>
                  <w:tcW w:w="957" w:type="dxa"/>
                  <w:tcBorders>
                    <w:tl2br w:val="nil"/>
                    <w:tr2bl w:val="nil"/>
                  </w:tcBorders>
                  <w:noWrap w:val="0"/>
                  <w:vAlign w:val="center"/>
                </w:tcPr>
                <w:p w14:paraId="34E8A0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83.75</w:t>
                  </w:r>
                </w:p>
              </w:tc>
              <w:tc>
                <w:tcPr>
                  <w:tcW w:w="829" w:type="dxa"/>
                  <w:tcBorders>
                    <w:tl2br w:val="nil"/>
                    <w:tr2bl w:val="nil"/>
                  </w:tcBorders>
                  <w:noWrap w:val="0"/>
                  <w:vAlign w:val="center"/>
                </w:tcPr>
                <w:p w14:paraId="170A60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0"/>
                      <w:szCs w:val="21"/>
                      <w:highlight w:val="none"/>
                      <w:shd w:val="clear" w:color="auto" w:fill="auto"/>
                      <w:lang w:val="en-US" w:eastAsia="zh-CN"/>
                    </w:rPr>
                  </w:pPr>
                  <w:r>
                    <w:rPr>
                      <w:rFonts w:hint="default" w:ascii="Times New Roman" w:hAnsi="Times New Roman" w:cs="Times New Roman"/>
                      <w:snapToGrid w:val="0"/>
                      <w:color w:val="auto"/>
                      <w:kern w:val="0"/>
                      <w:szCs w:val="21"/>
                      <w:highlight w:val="none"/>
                      <w:shd w:val="clear" w:color="auto" w:fill="auto"/>
                      <w:lang w:val="en-US" w:eastAsia="zh-CN"/>
                    </w:rPr>
                    <w:t>/</w:t>
                  </w:r>
                </w:p>
              </w:tc>
              <w:tc>
                <w:tcPr>
                  <w:tcW w:w="1023" w:type="dxa"/>
                  <w:tcBorders>
                    <w:tl2br w:val="nil"/>
                    <w:tr2bl w:val="nil"/>
                  </w:tcBorders>
                  <w:noWrap w:val="0"/>
                  <w:vAlign w:val="center"/>
                </w:tcPr>
                <w:p w14:paraId="322CA7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达标</w:t>
                  </w:r>
                </w:p>
              </w:tc>
            </w:tr>
          </w:tbl>
          <w:p w14:paraId="06647697">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eastAsia="宋体" w:cs="Times New Roman"/>
                <w:color w:val="auto"/>
                <w:sz w:val="24"/>
                <w:szCs w:val="24"/>
                <w:lang w:bidi="en-US"/>
              </w:rPr>
              <w:t>根据</w:t>
            </w:r>
            <w:r>
              <w:rPr>
                <w:rFonts w:hint="default" w:ascii="Times New Roman" w:hAnsi="Times New Roman" w:eastAsia="宋体" w:cs="Times New Roman"/>
                <w:color w:val="auto"/>
                <w:sz w:val="24"/>
                <w:szCs w:val="24"/>
              </w:rPr>
              <w:t>《202</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年宁夏生态环境质量状况》</w:t>
            </w:r>
            <w:r>
              <w:rPr>
                <w:rFonts w:hint="default" w:ascii="Times New Roman" w:hAnsi="Times New Roman" w:eastAsia="宋体" w:cs="Times New Roman"/>
                <w:color w:val="auto"/>
                <w:sz w:val="24"/>
                <w:szCs w:val="24"/>
                <w:lang w:bidi="en-US"/>
              </w:rPr>
              <w:t>公开的区域环境空气质量数据可以看出，PM</w:t>
            </w:r>
            <w:r>
              <w:rPr>
                <w:rFonts w:hint="default" w:ascii="Times New Roman" w:hAnsi="Times New Roman" w:eastAsia="宋体" w:cs="Times New Roman"/>
                <w:color w:val="auto"/>
                <w:sz w:val="24"/>
                <w:szCs w:val="24"/>
                <w:vertAlign w:val="subscript"/>
                <w:lang w:bidi="en-US"/>
              </w:rPr>
              <w:t>2.5</w:t>
            </w:r>
            <w:r>
              <w:rPr>
                <w:rFonts w:hint="default" w:ascii="Times New Roman" w:hAnsi="Times New Roman" w:eastAsia="宋体" w:cs="Times New Roman"/>
                <w:color w:val="auto"/>
                <w:sz w:val="24"/>
                <w:szCs w:val="24"/>
                <w:lang w:bidi="en-US"/>
              </w:rPr>
              <w:t>剔除沙尘影响后，</w:t>
            </w:r>
            <w:r>
              <w:rPr>
                <w:rFonts w:hint="eastAsia" w:cs="Times New Roman"/>
                <w:color w:val="auto"/>
                <w:sz w:val="24"/>
                <w:szCs w:val="24"/>
                <w:lang w:val="en-US" w:eastAsia="zh-CN"/>
              </w:rPr>
              <w:t>原州区</w:t>
            </w:r>
            <w:r>
              <w:rPr>
                <w:rFonts w:hint="default" w:ascii="Times New Roman" w:hAnsi="Times New Roman" w:eastAsia="宋体" w:cs="Times New Roman"/>
                <w:color w:val="auto"/>
                <w:sz w:val="24"/>
                <w:szCs w:val="24"/>
                <w:lang w:bidi="en-US"/>
              </w:rPr>
              <w:t>PM</w:t>
            </w:r>
            <w:r>
              <w:rPr>
                <w:rFonts w:hint="default" w:ascii="Times New Roman" w:hAnsi="Times New Roman" w:eastAsia="宋体" w:cs="Times New Roman"/>
                <w:color w:val="auto"/>
                <w:sz w:val="24"/>
                <w:szCs w:val="24"/>
                <w:vertAlign w:val="subscript"/>
                <w:lang w:bidi="en-US"/>
              </w:rPr>
              <w:t>2.5</w:t>
            </w:r>
            <w:r>
              <w:rPr>
                <w:rFonts w:hint="default" w:ascii="Times New Roman" w:hAnsi="Times New Roman" w:eastAsia="宋体" w:cs="Times New Roman"/>
                <w:color w:val="auto"/>
                <w:sz w:val="24"/>
                <w:szCs w:val="24"/>
                <w:lang w:bidi="en-US"/>
              </w:rPr>
              <w:t>、SO</w:t>
            </w:r>
            <w:r>
              <w:rPr>
                <w:rFonts w:hint="default" w:ascii="Times New Roman" w:hAnsi="Times New Roman" w:eastAsia="宋体" w:cs="Times New Roman"/>
                <w:color w:val="auto"/>
                <w:sz w:val="24"/>
                <w:szCs w:val="24"/>
                <w:vertAlign w:val="subscript"/>
                <w:lang w:bidi="en-US"/>
              </w:rPr>
              <w:t>2</w:t>
            </w:r>
            <w:r>
              <w:rPr>
                <w:rFonts w:hint="default" w:ascii="Times New Roman" w:hAnsi="Times New Roman" w:eastAsia="宋体" w:cs="Times New Roman"/>
                <w:color w:val="auto"/>
                <w:sz w:val="24"/>
                <w:szCs w:val="24"/>
                <w:lang w:bidi="en-US"/>
              </w:rPr>
              <w:t>、NO</w:t>
            </w:r>
            <w:r>
              <w:rPr>
                <w:rFonts w:hint="default" w:ascii="Times New Roman" w:hAnsi="Times New Roman" w:eastAsia="宋体" w:cs="Times New Roman"/>
                <w:color w:val="auto"/>
                <w:sz w:val="24"/>
                <w:szCs w:val="24"/>
                <w:vertAlign w:val="subscript"/>
                <w:lang w:bidi="en-US"/>
              </w:rPr>
              <w:t>2</w:t>
            </w:r>
            <w:r>
              <w:rPr>
                <w:rFonts w:hint="default" w:ascii="Times New Roman" w:hAnsi="Times New Roman" w:eastAsia="宋体" w:cs="Times New Roman"/>
                <w:color w:val="auto"/>
                <w:sz w:val="24"/>
                <w:szCs w:val="24"/>
                <w:lang w:bidi="en-US"/>
              </w:rPr>
              <w:t>、年均值、O</w:t>
            </w:r>
            <w:r>
              <w:rPr>
                <w:rFonts w:hint="default" w:ascii="Times New Roman" w:hAnsi="Times New Roman" w:eastAsia="宋体" w:cs="Times New Roman"/>
                <w:color w:val="auto"/>
                <w:sz w:val="24"/>
                <w:szCs w:val="24"/>
                <w:vertAlign w:val="subscript"/>
                <w:lang w:bidi="en-US"/>
              </w:rPr>
              <w:t>3</w:t>
            </w:r>
            <w:r>
              <w:rPr>
                <w:rFonts w:hint="default" w:ascii="Times New Roman" w:hAnsi="Times New Roman" w:eastAsia="宋体" w:cs="Times New Roman"/>
                <w:color w:val="auto"/>
                <w:sz w:val="24"/>
                <w:szCs w:val="24"/>
                <w:lang w:bidi="en-US"/>
              </w:rPr>
              <w:t>日最大8h滑动平均值的第90百分位数、CO</w:t>
            </w:r>
            <w:r>
              <w:rPr>
                <w:rFonts w:hint="eastAsia" w:ascii="Times New Roman" w:hAnsi="Times New Roman" w:eastAsia="宋体" w:cs="Times New Roman"/>
                <w:color w:val="auto"/>
                <w:sz w:val="24"/>
                <w:szCs w:val="24"/>
                <w:lang w:val="en-US" w:eastAsia="zh-CN" w:bidi="en-US"/>
              </w:rPr>
              <w:t>的</w:t>
            </w:r>
            <w:r>
              <w:rPr>
                <w:rFonts w:hint="default" w:ascii="Times New Roman" w:hAnsi="Times New Roman" w:eastAsia="宋体" w:cs="Times New Roman"/>
                <w:color w:val="auto"/>
                <w:sz w:val="24"/>
                <w:szCs w:val="24"/>
                <w:lang w:bidi="en-US"/>
              </w:rPr>
              <w:t>24h平均第95百分位数</w:t>
            </w:r>
            <w:r>
              <w:rPr>
                <w:rFonts w:hint="eastAsia" w:ascii="Times New Roman" w:hAnsi="Times New Roman" w:eastAsia="宋体" w:cs="Times New Roman"/>
                <w:color w:val="auto"/>
                <w:sz w:val="24"/>
                <w:szCs w:val="24"/>
                <w:lang w:val="en-US" w:eastAsia="zh-CN" w:bidi="en-US"/>
              </w:rPr>
              <w:t>均</w:t>
            </w:r>
            <w:r>
              <w:rPr>
                <w:rFonts w:hint="default" w:ascii="Times New Roman" w:hAnsi="Times New Roman" w:eastAsia="宋体" w:cs="Times New Roman"/>
                <w:color w:val="auto"/>
                <w:sz w:val="24"/>
                <w:szCs w:val="24"/>
                <w:lang w:bidi="en-US"/>
              </w:rPr>
              <w:t>满足《环境空气质量标准》（GB3095-20</w:t>
            </w:r>
            <w:r>
              <w:rPr>
                <w:rFonts w:hint="eastAsia" w:ascii="Times New Roman" w:hAnsi="Times New Roman" w:eastAsia="宋体" w:cs="Times New Roman"/>
                <w:color w:val="auto"/>
                <w:sz w:val="24"/>
                <w:szCs w:val="24"/>
                <w:lang w:val="en-US" w:eastAsia="zh-CN" w:bidi="en-US"/>
              </w:rPr>
              <w:t>26</w:t>
            </w:r>
            <w:r>
              <w:rPr>
                <w:rFonts w:hint="default" w:ascii="Times New Roman" w:hAnsi="Times New Roman" w:eastAsia="宋体" w:cs="Times New Roman"/>
                <w:color w:val="auto"/>
                <w:sz w:val="24"/>
                <w:szCs w:val="24"/>
                <w:lang w:bidi="en-US"/>
              </w:rPr>
              <w:t>）</w:t>
            </w:r>
            <w:r>
              <w:rPr>
                <w:rFonts w:hint="eastAsia" w:ascii="Times New Roman" w:hAnsi="Times New Roman" w:cs="Times New Roman"/>
                <w:color w:val="auto"/>
                <w:sz w:val="24"/>
                <w:highlight w:val="none"/>
                <w:lang w:val="en-US" w:eastAsia="zh-CN"/>
              </w:rPr>
              <w:t>表1</w:t>
            </w:r>
            <w:r>
              <w:rPr>
                <w:rFonts w:hint="default" w:ascii="Times New Roman" w:hAnsi="Times New Roman" w:eastAsia="宋体" w:cs="Times New Roman"/>
                <w:color w:val="auto"/>
                <w:sz w:val="24"/>
                <w:szCs w:val="24"/>
                <w:lang w:bidi="en-US"/>
              </w:rPr>
              <w:t>中二级标准要求，</w:t>
            </w:r>
            <w:r>
              <w:rPr>
                <w:rFonts w:hint="default" w:ascii="Times New Roman" w:hAnsi="Times New Roman" w:cs="Times New Roman"/>
                <w:color w:val="auto"/>
                <w:kern w:val="0"/>
                <w:sz w:val="24"/>
                <w:highlight w:val="none"/>
                <w:lang w:val="en-US" w:eastAsia="zh-CN"/>
              </w:rPr>
              <w:t>PM</w:t>
            </w:r>
            <w:r>
              <w:rPr>
                <w:rFonts w:hint="default" w:ascii="Times New Roman" w:hAnsi="Times New Roman" w:cs="Times New Roman"/>
                <w:color w:val="auto"/>
                <w:kern w:val="0"/>
                <w:sz w:val="24"/>
                <w:highlight w:val="none"/>
                <w:vertAlign w:val="subscript"/>
                <w:lang w:val="en-US" w:eastAsia="zh-CN"/>
              </w:rPr>
              <w:t>10</w:t>
            </w:r>
            <w:r>
              <w:rPr>
                <w:rFonts w:hint="default" w:ascii="Times New Roman" w:hAnsi="Times New Roman" w:cs="Times New Roman"/>
                <w:color w:val="auto"/>
                <w:kern w:val="0"/>
                <w:sz w:val="24"/>
                <w:highlight w:val="none"/>
                <w:vertAlign w:val="baseline"/>
                <w:lang w:val="en-US" w:eastAsia="zh-CN"/>
              </w:rPr>
              <w:t>年均浓度为</w:t>
            </w:r>
            <w:r>
              <w:rPr>
                <w:rFonts w:hint="eastAsia" w:cs="Times New Roman"/>
                <w:color w:val="auto"/>
                <w:sz w:val="24"/>
                <w:highlight w:val="none"/>
                <w:lang w:val="en-US" w:eastAsia="zh-CN"/>
              </w:rPr>
              <w:t>61</w:t>
            </w:r>
            <w:r>
              <w:rPr>
                <w:rFonts w:hint="default" w:ascii="Times New Roman" w:hAnsi="Times New Roman" w:cs="Times New Roman"/>
                <w:color w:val="auto"/>
                <w:sz w:val="24"/>
                <w:highlight w:val="none"/>
              </w:rPr>
              <w:t>μg/m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rPr>
              <w:t>超过《环境空气质量标准》（GB3095-20</w:t>
            </w:r>
            <w:r>
              <w:rPr>
                <w:rFonts w:hint="eastAsia" w:ascii="Times New Roman" w:hAnsi="Times New Roman" w:cs="Times New Roman"/>
                <w:color w:val="auto"/>
                <w:sz w:val="24"/>
                <w:highlight w:val="none"/>
                <w:lang w:val="en-US" w:eastAsia="zh-CN"/>
              </w:rPr>
              <w:t>26</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表1</w:t>
            </w:r>
            <w:r>
              <w:rPr>
                <w:rFonts w:hint="default" w:ascii="Times New Roman" w:hAnsi="Times New Roman" w:cs="Times New Roman"/>
                <w:color w:val="auto"/>
                <w:sz w:val="24"/>
                <w:highlight w:val="none"/>
              </w:rPr>
              <w:t>中二级标准限值</w:t>
            </w:r>
            <w:r>
              <w:rPr>
                <w:rFonts w:hint="default" w:ascii="Times New Roman" w:hAnsi="Times New Roman" w:cs="Times New Roman"/>
                <w:color w:val="auto"/>
                <w:kern w:val="0"/>
                <w:sz w:val="24"/>
                <w:highlight w:val="none"/>
                <w:vertAlign w:val="baseline"/>
                <w:lang w:val="en-US" w:eastAsia="zh-CN"/>
              </w:rPr>
              <w:t>。</w:t>
            </w:r>
            <w:r>
              <w:rPr>
                <w:rFonts w:hint="default" w:ascii="Times New Roman" w:hAnsi="Times New Roman" w:cs="Times New Roman"/>
                <w:color w:val="auto"/>
                <w:sz w:val="24"/>
                <w:highlight w:val="none"/>
              </w:rPr>
              <w:t>因此，判定</w:t>
            </w:r>
            <w:r>
              <w:rPr>
                <w:rFonts w:hint="eastAsia" w:cs="Times New Roman"/>
                <w:color w:val="auto"/>
                <w:sz w:val="24"/>
                <w:szCs w:val="24"/>
                <w:lang w:val="en-US" w:eastAsia="zh-CN"/>
              </w:rPr>
              <w:t>原州区</w:t>
            </w:r>
            <w:r>
              <w:rPr>
                <w:rFonts w:hint="default" w:ascii="Times New Roman" w:hAnsi="Times New Roman" w:cs="Times New Roman"/>
                <w:color w:val="auto"/>
                <w:sz w:val="24"/>
                <w:highlight w:val="none"/>
              </w:rPr>
              <w:t>为不达标区域</w:t>
            </w:r>
            <w:r>
              <w:rPr>
                <w:rFonts w:hint="default" w:ascii="Times New Roman" w:hAnsi="Times New Roman" w:cs="Times New Roman"/>
                <w:bCs/>
                <w:color w:val="auto"/>
                <w:sz w:val="24"/>
                <w:highlight w:val="none"/>
              </w:rPr>
              <w:t>。PM</w:t>
            </w:r>
            <w:r>
              <w:rPr>
                <w:rFonts w:hint="eastAsia" w:ascii="Times New Roman" w:hAnsi="Times New Roman" w:cs="Times New Roman"/>
                <w:bCs/>
                <w:color w:val="auto"/>
                <w:sz w:val="24"/>
                <w:highlight w:val="none"/>
                <w:vertAlign w:val="subscript"/>
                <w:lang w:val="en-US" w:eastAsia="zh-CN"/>
              </w:rPr>
              <w:t>10</w:t>
            </w:r>
            <w:r>
              <w:rPr>
                <w:rFonts w:hint="default" w:ascii="Times New Roman" w:hAnsi="Times New Roman" w:cs="Times New Roman"/>
                <w:bCs/>
                <w:color w:val="auto"/>
                <w:sz w:val="24"/>
                <w:highlight w:val="none"/>
              </w:rPr>
              <w:t>超标原因主要为自然和地理因素，由于评价区气候干燥，多风多尘，降水量少而蒸发量大所致。</w:t>
            </w:r>
          </w:p>
          <w:p w14:paraId="6FF2F12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eastAsia="宋体" w:cs="Times New Roman"/>
                <w:color w:val="auto"/>
                <w:sz w:val="24"/>
                <w:szCs w:val="24"/>
                <w:highlight w:val="none"/>
                <w:shd w:val="clear" w:color="auto" w:fill="auto"/>
                <w:lang w:val="en-US" w:eastAsia="zh-CN"/>
              </w:rPr>
              <w:t>彭阳县</w:t>
            </w:r>
            <w:r>
              <w:rPr>
                <w:rFonts w:hint="default" w:ascii="Times New Roman" w:hAnsi="Times New Roman" w:cs="Times New Roman"/>
                <w:color w:val="auto"/>
                <w:sz w:val="24"/>
                <w:highlight w:val="none"/>
              </w:rPr>
              <w:t>202</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年PM</w:t>
            </w:r>
            <w:r>
              <w:rPr>
                <w:rFonts w:hint="default" w:ascii="Times New Roman" w:hAnsi="Times New Roman" w:cs="Times New Roman"/>
                <w:color w:val="auto"/>
                <w:sz w:val="24"/>
                <w:highlight w:val="none"/>
                <w:vertAlign w:val="subscript"/>
              </w:rPr>
              <w:t>2.5</w:t>
            </w:r>
            <w:r>
              <w:rPr>
                <w:rFonts w:hint="default" w:ascii="Times New Roman" w:hAnsi="Times New Roman" w:cs="Times New Roman"/>
                <w:color w:val="auto"/>
                <w:sz w:val="24"/>
                <w:highlight w:val="none"/>
              </w:rPr>
              <w:t>、</w:t>
            </w:r>
            <w:r>
              <w:rPr>
                <w:rFonts w:hint="default" w:ascii="Times New Roman" w:hAnsi="Times New Roman" w:cs="Times New Roman"/>
                <w:color w:val="auto"/>
                <w:kern w:val="0"/>
                <w:sz w:val="24"/>
                <w:highlight w:val="none"/>
                <w:lang w:val="en-US" w:eastAsia="zh-CN"/>
              </w:rPr>
              <w:t>PM</w:t>
            </w:r>
            <w:r>
              <w:rPr>
                <w:rFonts w:hint="default" w:ascii="Times New Roman" w:hAnsi="Times New Roman" w:cs="Times New Roman"/>
                <w:color w:val="auto"/>
                <w:kern w:val="0"/>
                <w:sz w:val="24"/>
                <w:highlight w:val="none"/>
                <w:vertAlign w:val="subscript"/>
                <w:lang w:val="en-US" w:eastAsia="zh-CN"/>
              </w:rPr>
              <w:t>10</w:t>
            </w:r>
            <w:r>
              <w:rPr>
                <w:rFonts w:hint="default" w:ascii="Times New Roman" w:hAnsi="Times New Roman" w:cs="Times New Roman"/>
                <w:color w:val="auto"/>
                <w:kern w:val="0"/>
                <w:sz w:val="24"/>
                <w:highlight w:val="none"/>
                <w:vertAlign w:val="baseline"/>
                <w:lang w:val="en-US" w:eastAsia="zh-CN"/>
              </w:rPr>
              <w:t>、</w:t>
            </w:r>
            <w:r>
              <w:rPr>
                <w:rFonts w:hint="default" w:ascii="Times New Roman" w:hAnsi="Times New Roman" w:cs="Times New Roman"/>
                <w:color w:val="auto"/>
                <w:sz w:val="24"/>
                <w:highlight w:val="none"/>
              </w:rPr>
              <w:t>SO</w:t>
            </w:r>
            <w:r>
              <w:rPr>
                <w:rFonts w:hint="default" w:ascii="Times New Roman" w:hAnsi="Times New Roman" w:cs="Times New Roman"/>
                <w:color w:val="auto"/>
                <w:sz w:val="24"/>
                <w:highlight w:val="none"/>
                <w:vertAlign w:val="subscript"/>
                <w:lang w:eastAsia="zh-CN"/>
              </w:rPr>
              <w:t>2.</w:t>
            </w:r>
            <w:r>
              <w:rPr>
                <w:rFonts w:hint="default" w:ascii="Times New Roman" w:hAnsi="Times New Roman" w:cs="Times New Roman"/>
                <w:color w:val="auto"/>
                <w:sz w:val="24"/>
                <w:highlight w:val="none"/>
                <w:vertAlign w:val="baseline"/>
                <w:lang w:val="en-US" w:eastAsia="zh-CN"/>
              </w:rPr>
              <w:t>和</w:t>
            </w:r>
            <w:r>
              <w:rPr>
                <w:rFonts w:hint="default" w:ascii="Times New Roman" w:hAnsi="Times New Roman" w:cs="Times New Roman"/>
                <w:color w:val="auto"/>
                <w:sz w:val="24"/>
                <w:highlight w:val="none"/>
              </w:rPr>
              <w:t>NO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年均浓度及CO、O</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特定百分位数浓度均符合《环境空气质量标准》（GB3095-20</w:t>
            </w:r>
            <w:r>
              <w:rPr>
                <w:rFonts w:hint="eastAsia" w:ascii="Times New Roman" w:hAnsi="Times New Roman" w:cs="Times New Roman"/>
                <w:color w:val="auto"/>
                <w:sz w:val="24"/>
                <w:highlight w:val="none"/>
                <w:lang w:val="en-US" w:eastAsia="zh-CN"/>
              </w:rPr>
              <w:t>26</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表1</w:t>
            </w:r>
            <w:r>
              <w:rPr>
                <w:rFonts w:hint="default" w:ascii="Times New Roman" w:hAnsi="Times New Roman" w:cs="Times New Roman"/>
                <w:color w:val="auto"/>
                <w:sz w:val="24"/>
                <w:highlight w:val="none"/>
              </w:rPr>
              <w:t>中二级标准限值</w:t>
            </w:r>
            <w:r>
              <w:rPr>
                <w:rFonts w:hint="default" w:ascii="Times New Roman" w:hAnsi="Times New Roman" w:cs="Times New Roman"/>
                <w:color w:val="auto"/>
                <w:kern w:val="0"/>
                <w:sz w:val="24"/>
                <w:highlight w:val="none"/>
                <w:vertAlign w:val="baseline"/>
                <w:lang w:val="en-US" w:eastAsia="zh-CN"/>
              </w:rPr>
              <w:t>。</w:t>
            </w:r>
            <w:r>
              <w:rPr>
                <w:rFonts w:hint="default" w:ascii="Times New Roman" w:hAnsi="Times New Roman" w:cs="Times New Roman"/>
                <w:color w:val="auto"/>
                <w:sz w:val="24"/>
                <w:highlight w:val="none"/>
              </w:rPr>
              <w:t>因此，判定项目所在区域为达标区域</w:t>
            </w:r>
            <w:r>
              <w:rPr>
                <w:rFonts w:hint="default" w:ascii="Times New Roman" w:hAnsi="Times New Roman" w:cs="Times New Roman"/>
                <w:bCs/>
                <w:color w:val="auto"/>
                <w:sz w:val="24"/>
                <w:highlight w:val="none"/>
              </w:rPr>
              <w:t>。</w:t>
            </w:r>
          </w:p>
          <w:p w14:paraId="2A0DD235">
            <w:pPr>
              <w:adjustRightInd w:val="0"/>
              <w:snapToGrid w:val="0"/>
              <w:spacing w:line="360" w:lineRule="auto"/>
              <w:ind w:firstLine="482" w:firstLineChars="200"/>
              <w:jc w:val="left"/>
              <w:rPr>
                <w:rFonts w:hint="default" w:ascii="Times New Roman" w:hAnsi="Times New Roman" w:cs="Times New Roman"/>
                <w:b/>
                <w:bCs/>
                <w:color w:val="auto"/>
                <w:kern w:val="0"/>
                <w:sz w:val="24"/>
                <w:highlight w:val="none"/>
                <w:lang w:val="en-US" w:eastAsia="zh-CN"/>
              </w:rPr>
            </w:pPr>
            <w:r>
              <w:rPr>
                <w:rFonts w:hint="default" w:ascii="Times New Roman" w:hAnsi="Times New Roman" w:eastAsia="宋体" w:cs="Times New Roman"/>
                <w:b/>
                <w:bCs/>
                <w:color w:val="auto"/>
                <w:kern w:val="0"/>
                <w:sz w:val="24"/>
                <w:highlight w:val="none"/>
                <w:lang w:eastAsia="zh-CN"/>
              </w:rPr>
              <w:t>⑵</w:t>
            </w:r>
            <w:r>
              <w:rPr>
                <w:rFonts w:hint="default" w:ascii="Times New Roman" w:hAnsi="Times New Roman" w:cs="Times New Roman"/>
                <w:b/>
                <w:bCs/>
                <w:color w:val="auto"/>
                <w:kern w:val="0"/>
                <w:sz w:val="24"/>
                <w:highlight w:val="none"/>
                <w:lang w:val="en-US" w:eastAsia="zh-CN"/>
              </w:rPr>
              <w:t>地表水环境现状</w:t>
            </w:r>
          </w:p>
          <w:p w14:paraId="6F8FB72D">
            <w:pPr>
              <w:spacing w:line="360" w:lineRule="auto"/>
              <w:ind w:firstLine="480" w:firstLineChars="200"/>
              <w:jc w:val="both"/>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本线路沿线主要跨河川河、川口河及部分冲沟等水体，跨越宽度10-150m不等，</w:t>
            </w:r>
            <w:r>
              <w:rPr>
                <w:rFonts w:hint="default" w:ascii="Times New Roman" w:hAnsi="Times New Roman" w:eastAsia="宋体" w:cs="Times New Roman"/>
                <w:snapToGrid w:val="0"/>
                <w:color w:val="auto"/>
                <w:kern w:val="0"/>
                <w:sz w:val="24"/>
                <w:szCs w:val="24"/>
                <w:lang w:val="en-US" w:eastAsia="en-US" w:bidi="ar-SA"/>
              </w:rPr>
              <w:t>采用高跨一档方式通过</w:t>
            </w:r>
            <w:r>
              <w:rPr>
                <w:rFonts w:hint="default" w:ascii="Times New Roman" w:hAnsi="Times New Roman"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en-US" w:bidi="ar-SA"/>
              </w:rPr>
              <w:t>不</w:t>
            </w:r>
            <w:r>
              <w:rPr>
                <w:rFonts w:hint="default" w:ascii="Times New Roman" w:hAnsi="Times New Roman" w:eastAsia="宋体" w:cs="Times New Roman"/>
                <w:snapToGrid w:val="0"/>
                <w:color w:val="auto"/>
                <w:spacing w:val="-3"/>
                <w:kern w:val="0"/>
                <w:sz w:val="24"/>
                <w:szCs w:val="24"/>
                <w:lang w:val="en-US" w:eastAsia="en-US" w:bidi="ar-SA"/>
              </w:rPr>
              <w:t>在河道范围内立塔，</w:t>
            </w:r>
            <w:r>
              <w:rPr>
                <w:rFonts w:hint="default" w:ascii="Times New Roman" w:hAnsi="Times New Roman" w:cs="Times New Roman"/>
                <w:color w:val="auto"/>
                <w:kern w:val="0"/>
                <w:sz w:val="24"/>
                <w:highlight w:val="none"/>
                <w:lang w:val="en-US" w:eastAsia="zh-CN"/>
              </w:rPr>
              <w:t>杆塔距离岸边50m外，放置于地势较高、较为稳固的位置。</w:t>
            </w:r>
            <w:r>
              <w:rPr>
                <w:rFonts w:hint="default" w:ascii="Times New Roman" w:hAnsi="Times New Roman" w:cs="Times New Roman"/>
                <w:color w:val="auto"/>
                <w:sz w:val="24"/>
              </w:rPr>
              <w:t>本次</w:t>
            </w:r>
            <w:r>
              <w:rPr>
                <w:rFonts w:hint="default" w:ascii="Times New Roman" w:hAnsi="Times New Roman" w:cs="Times New Roman"/>
                <w:color w:val="auto"/>
                <w:sz w:val="24"/>
                <w:lang w:val="en-US" w:eastAsia="zh-CN"/>
              </w:rPr>
              <w:t>水环境质量现状</w:t>
            </w:r>
            <w:r>
              <w:rPr>
                <w:rFonts w:hint="default" w:ascii="Times New Roman" w:hAnsi="Times New Roman" w:cs="Times New Roman"/>
                <w:color w:val="auto"/>
                <w:sz w:val="24"/>
              </w:rPr>
              <w:t>评价</w:t>
            </w:r>
            <w:r>
              <w:rPr>
                <w:rFonts w:hint="default" w:ascii="Times New Roman" w:hAnsi="Times New Roman" w:cs="Times New Roman"/>
                <w:color w:val="auto"/>
                <w:sz w:val="24"/>
                <w:lang w:val="en-US" w:eastAsia="zh-CN"/>
              </w:rPr>
              <w:t>引</w:t>
            </w:r>
            <w:r>
              <w:rPr>
                <w:rFonts w:hint="default" w:ascii="Times New Roman" w:hAnsi="Times New Roman" w:cs="Times New Roman"/>
                <w:color w:val="auto"/>
                <w:sz w:val="24"/>
              </w:rPr>
              <w:t>用</w:t>
            </w:r>
            <w:r>
              <w:rPr>
                <w:rFonts w:hint="default" w:ascii="Times New Roman" w:hAnsi="Times New Roman" w:cs="Times New Roman"/>
                <w:color w:val="auto"/>
                <w:kern w:val="1"/>
                <w:sz w:val="24"/>
              </w:rPr>
              <w:t>《202</w:t>
            </w:r>
            <w:r>
              <w:rPr>
                <w:rFonts w:hint="default" w:ascii="Times New Roman" w:hAnsi="Times New Roman" w:cs="Times New Roman"/>
                <w:color w:val="auto"/>
                <w:kern w:val="1"/>
                <w:sz w:val="24"/>
                <w:lang w:val="en-US" w:eastAsia="zh-CN"/>
              </w:rPr>
              <w:t>4</w:t>
            </w:r>
            <w:r>
              <w:rPr>
                <w:rFonts w:hint="default" w:ascii="Times New Roman" w:hAnsi="Times New Roman" w:cs="Times New Roman"/>
                <w:color w:val="auto"/>
                <w:kern w:val="1"/>
                <w:sz w:val="24"/>
              </w:rPr>
              <w:t>年</w:t>
            </w:r>
            <w:r>
              <w:rPr>
                <w:rFonts w:hint="default" w:ascii="Times New Roman" w:hAnsi="Times New Roman" w:eastAsia="宋体" w:cs="Times New Roman"/>
                <w:color w:val="auto"/>
                <w:sz w:val="24"/>
                <w:szCs w:val="24"/>
                <w:highlight w:val="none"/>
                <w:shd w:val="clear" w:color="auto" w:fill="auto"/>
                <w:lang w:val="en-US" w:eastAsia="zh-CN"/>
              </w:rPr>
              <w:t>宁夏生</w:t>
            </w:r>
            <w:r>
              <w:rPr>
                <w:rFonts w:hint="default" w:ascii="Times New Roman" w:hAnsi="Times New Roman" w:eastAsia="宋体" w:cs="Times New Roman"/>
                <w:color w:val="auto"/>
                <w:sz w:val="24"/>
                <w:szCs w:val="24"/>
                <w:highlight w:val="none"/>
                <w:shd w:val="clear" w:color="auto" w:fill="auto"/>
                <w:lang w:eastAsia="zh-CN"/>
              </w:rPr>
              <w:t>态环境质量</w:t>
            </w:r>
            <w:r>
              <w:rPr>
                <w:rFonts w:hint="default" w:ascii="Times New Roman" w:hAnsi="Times New Roman" w:eastAsia="宋体" w:cs="Times New Roman"/>
                <w:color w:val="auto"/>
                <w:sz w:val="24"/>
                <w:szCs w:val="24"/>
                <w:highlight w:val="none"/>
                <w:shd w:val="clear" w:color="auto" w:fill="auto"/>
                <w:lang w:val="en-US" w:eastAsia="zh-CN"/>
              </w:rPr>
              <w:t>状况</w:t>
            </w:r>
            <w:r>
              <w:rPr>
                <w:rFonts w:hint="default" w:ascii="Times New Roman" w:hAnsi="Times New Roman" w:cs="Times New Roman"/>
                <w:color w:val="auto"/>
                <w:kern w:val="1"/>
                <w:sz w:val="24"/>
              </w:rPr>
              <w:t>》</w:t>
            </w:r>
            <w:r>
              <w:rPr>
                <w:rFonts w:hint="default" w:ascii="Times New Roman" w:hAnsi="Times New Roman" w:cs="Times New Roman"/>
                <w:color w:val="auto"/>
                <w:kern w:val="1"/>
                <w:sz w:val="24"/>
                <w:lang w:val="en-US" w:eastAsia="zh-CN"/>
              </w:rPr>
              <w:t>报告，茹河乃家河水库断面水质为Ⅱ类，沟圈省界断面水质为Ⅲ类。与上年相比，茹河乃家河水库断面水质无明显变化，沟圈省界断面水质有所下降。</w:t>
            </w:r>
          </w:p>
          <w:p w14:paraId="52FBE819">
            <w:pPr>
              <w:adjustRightInd w:val="0"/>
              <w:snapToGrid w:val="0"/>
              <w:spacing w:line="360" w:lineRule="auto"/>
              <w:ind w:left="420" w:leftChars="200"/>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eastAsia="zh-CN"/>
              </w:rPr>
              <w:t>⑶</w:t>
            </w:r>
            <w:r>
              <w:rPr>
                <w:rFonts w:hint="default" w:ascii="Times New Roman" w:hAnsi="Times New Roman" w:cs="Times New Roman"/>
                <w:b/>
                <w:color w:val="auto"/>
                <w:sz w:val="24"/>
                <w:highlight w:val="none"/>
              </w:rPr>
              <w:t>地下水、土壤环境质量现状</w:t>
            </w:r>
          </w:p>
          <w:p w14:paraId="3D5D117E">
            <w:pPr>
              <w:pStyle w:val="12"/>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本项</w:t>
            </w:r>
            <w:r>
              <w:rPr>
                <w:rFonts w:hint="default" w:ascii="Times New Roman" w:hAnsi="Times New Roman" w:eastAsia="宋体" w:cs="Times New Roman"/>
                <w:color w:val="auto"/>
                <w:sz w:val="24"/>
                <w:highlight w:val="none"/>
              </w:rPr>
              <w:t>目</w:t>
            </w:r>
            <w:r>
              <w:rPr>
                <w:rFonts w:hint="default" w:ascii="Times New Roman" w:hAnsi="Times New Roman" w:eastAsia="宋体" w:cs="Times New Roman"/>
                <w:color w:val="auto"/>
                <w:sz w:val="24"/>
                <w:highlight w:val="none"/>
                <w:lang w:val="en-US" w:eastAsia="zh-CN"/>
              </w:rPr>
              <w:t>输电线路及间隔扩建</w:t>
            </w:r>
            <w:r>
              <w:rPr>
                <w:rFonts w:hint="default" w:ascii="Times New Roman" w:hAnsi="Times New Roman" w:eastAsia="宋体" w:cs="Times New Roman"/>
                <w:color w:val="auto"/>
                <w:sz w:val="24"/>
                <w:highlight w:val="none"/>
              </w:rPr>
              <w:t>工程不涉及重金属、持久性有机物等有毒有害物质，项目不存在地下水、土壤环境污染途径，根据《环境影响</w:t>
            </w:r>
            <w:r>
              <w:rPr>
                <w:rFonts w:hint="default" w:ascii="Times New Roman" w:hAnsi="Times New Roman" w:eastAsia="宋体" w:cs="Times New Roman"/>
                <w:color w:val="auto"/>
                <w:sz w:val="24"/>
                <w:highlight w:val="none"/>
                <w:lang w:eastAsia="zh-CN"/>
              </w:rPr>
              <w:t>评价</w:t>
            </w:r>
            <w:r>
              <w:rPr>
                <w:rFonts w:hint="default" w:ascii="Times New Roman" w:hAnsi="Times New Roman" w:eastAsia="宋体" w:cs="Times New Roman"/>
                <w:color w:val="auto"/>
                <w:sz w:val="24"/>
                <w:highlight w:val="none"/>
              </w:rPr>
              <w:t>技术</w:t>
            </w:r>
            <w:r>
              <w:rPr>
                <w:rFonts w:hint="default" w:ascii="Times New Roman" w:hAnsi="Times New Roman" w:eastAsia="宋体" w:cs="Times New Roman"/>
                <w:color w:val="auto"/>
                <w:sz w:val="24"/>
                <w:highlight w:val="none"/>
                <w:lang w:eastAsia="zh-CN"/>
              </w:rPr>
              <w:t>导则</w:t>
            </w:r>
            <w:r>
              <w:rPr>
                <w:rFonts w:hint="default" w:ascii="Times New Roman" w:hAnsi="Times New Roman" w:eastAsia="宋体" w:cs="Times New Roman"/>
                <w:color w:val="auto"/>
                <w:sz w:val="24"/>
                <w:highlight w:val="none"/>
                <w:lang w:val="en-US" w:eastAsia="zh-CN"/>
              </w:rPr>
              <w:t xml:space="preserve"> 输变电</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HJ24-2020</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的评价因子不涉及地下水</w:t>
            </w:r>
            <w:r>
              <w:rPr>
                <w:rFonts w:hint="default" w:ascii="Times New Roman" w:hAnsi="Times New Roman" w:eastAsia="宋体" w:cs="Times New Roman"/>
                <w:color w:val="auto"/>
                <w:sz w:val="24"/>
                <w:highlight w:val="none"/>
                <w:lang w:val="en-US" w:eastAsia="zh-CN"/>
              </w:rPr>
              <w:t>和</w:t>
            </w:r>
            <w:r>
              <w:rPr>
                <w:rFonts w:hint="default" w:ascii="Times New Roman" w:hAnsi="Times New Roman" w:eastAsia="宋体" w:cs="Times New Roman"/>
                <w:color w:val="auto"/>
                <w:sz w:val="24"/>
                <w:highlight w:val="none"/>
                <w:lang w:eastAsia="zh-CN"/>
              </w:rPr>
              <w:t>土壤。因此</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根据《建设项目环境影响报告表编制技术指南（生态影响型）（试行）》要求，</w:t>
            </w:r>
            <w:r>
              <w:rPr>
                <w:rFonts w:hint="default" w:ascii="Times New Roman" w:hAnsi="Times New Roman" w:eastAsia="宋体" w:cs="Times New Roman"/>
                <w:color w:val="auto"/>
                <w:sz w:val="24"/>
                <w:highlight w:val="none"/>
              </w:rPr>
              <w:t>本项目不开展地下水及土壤环境质量现状调查评价。</w:t>
            </w:r>
          </w:p>
          <w:p w14:paraId="0ED99BBE">
            <w:pPr>
              <w:adjustRightInd w:val="0"/>
              <w:snapToGrid w:val="0"/>
              <w:spacing w:line="360" w:lineRule="auto"/>
              <w:ind w:firstLine="482"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eastAsia="zh-CN"/>
              </w:rPr>
              <w:t>⑷</w:t>
            </w:r>
            <w:r>
              <w:rPr>
                <w:rFonts w:hint="default" w:ascii="Times New Roman" w:hAnsi="Times New Roman" w:cs="Times New Roman"/>
                <w:b/>
                <w:bCs/>
                <w:color w:val="auto"/>
                <w:kern w:val="0"/>
                <w:sz w:val="24"/>
                <w:highlight w:val="none"/>
              </w:rPr>
              <w:t>声环境</w:t>
            </w:r>
            <w:r>
              <w:rPr>
                <w:rFonts w:hint="default" w:ascii="Times New Roman" w:hAnsi="Times New Roman" w:cs="Times New Roman"/>
                <w:b/>
                <w:bCs/>
                <w:color w:val="auto"/>
                <w:kern w:val="0"/>
                <w:sz w:val="24"/>
                <w:highlight w:val="none"/>
                <w:lang w:eastAsia="zh-CN"/>
              </w:rPr>
              <w:t>质量</w:t>
            </w:r>
            <w:r>
              <w:rPr>
                <w:rFonts w:hint="default" w:ascii="Times New Roman" w:hAnsi="Times New Roman" w:cs="Times New Roman"/>
                <w:b/>
                <w:bCs/>
                <w:color w:val="auto"/>
                <w:kern w:val="0"/>
                <w:sz w:val="24"/>
                <w:highlight w:val="none"/>
              </w:rPr>
              <w:t>现状</w:t>
            </w:r>
          </w:p>
          <w:p w14:paraId="44014918">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为了解本项目运行前的声环境质量现状，我单位委托宁夏盛世蓝天环保技术有限公司于</w:t>
            </w:r>
            <w:r>
              <w:rPr>
                <w:rFonts w:hint="default" w:ascii="Times New Roman" w:hAnsi="Times New Roman" w:cs="Times New Roman"/>
                <w:bCs/>
                <w:color w:val="auto"/>
                <w:kern w:val="0"/>
                <w:sz w:val="24"/>
                <w:highlight w:val="none"/>
              </w:rPr>
              <w:t>202</w:t>
            </w:r>
            <w:r>
              <w:rPr>
                <w:rFonts w:hint="default" w:ascii="Times New Roman" w:hAnsi="Times New Roman" w:cs="Times New Roman"/>
                <w:bCs/>
                <w:color w:val="auto"/>
                <w:kern w:val="0"/>
                <w:sz w:val="24"/>
                <w:highlight w:val="none"/>
                <w:lang w:val="en-US" w:eastAsia="zh-CN"/>
              </w:rPr>
              <w:t>5</w:t>
            </w:r>
            <w:r>
              <w:rPr>
                <w:rFonts w:hint="default" w:ascii="Times New Roman" w:hAnsi="Times New Roman" w:cs="Times New Roman"/>
                <w:bCs/>
                <w:color w:val="auto"/>
                <w:kern w:val="0"/>
                <w:sz w:val="24"/>
                <w:highlight w:val="none"/>
              </w:rPr>
              <w:t>年</w:t>
            </w:r>
            <w:r>
              <w:rPr>
                <w:rFonts w:hint="default" w:ascii="Times New Roman" w:hAnsi="Times New Roman" w:cs="Times New Roman"/>
                <w:bCs/>
                <w:color w:val="auto"/>
                <w:kern w:val="0"/>
                <w:sz w:val="24"/>
                <w:highlight w:val="none"/>
                <w:lang w:val="en-US" w:eastAsia="zh-CN"/>
              </w:rPr>
              <w:t>9</w:t>
            </w:r>
            <w:r>
              <w:rPr>
                <w:rFonts w:hint="default" w:ascii="Times New Roman" w:hAnsi="Times New Roman" w:cs="Times New Roman"/>
                <w:bCs/>
                <w:color w:val="auto"/>
                <w:kern w:val="0"/>
                <w:sz w:val="24"/>
                <w:highlight w:val="none"/>
              </w:rPr>
              <w:t>月</w:t>
            </w:r>
            <w:r>
              <w:rPr>
                <w:rFonts w:hint="eastAsia" w:cs="Times New Roman"/>
                <w:bCs/>
                <w:color w:val="auto"/>
                <w:kern w:val="0"/>
                <w:sz w:val="24"/>
                <w:highlight w:val="none"/>
                <w:lang w:val="en-US" w:eastAsia="zh-CN"/>
              </w:rPr>
              <w:t>23~</w:t>
            </w:r>
            <w:r>
              <w:rPr>
                <w:rFonts w:hint="default" w:ascii="Times New Roman" w:hAnsi="Times New Roman" w:cs="Times New Roman"/>
                <w:bCs/>
                <w:color w:val="auto"/>
                <w:kern w:val="0"/>
                <w:sz w:val="24"/>
                <w:highlight w:val="none"/>
                <w:lang w:val="en-US" w:eastAsia="zh-CN"/>
              </w:rPr>
              <w:t>24</w:t>
            </w:r>
            <w:r>
              <w:rPr>
                <w:rFonts w:hint="default" w:ascii="Times New Roman" w:hAnsi="Times New Roman" w:cs="Times New Roman"/>
                <w:bCs/>
                <w:color w:val="auto"/>
                <w:kern w:val="0"/>
                <w:sz w:val="24"/>
                <w:highlight w:val="none"/>
              </w:rPr>
              <w:t>日</w:t>
            </w:r>
            <w:r>
              <w:rPr>
                <w:rFonts w:hint="default" w:ascii="Times New Roman" w:hAnsi="Times New Roman" w:cs="Times New Roman"/>
                <w:color w:val="auto"/>
                <w:kern w:val="0"/>
                <w:sz w:val="24"/>
                <w:highlight w:val="none"/>
              </w:rPr>
              <w:t>对项目周边的声环境进行了现状监测。</w:t>
            </w:r>
          </w:p>
          <w:p w14:paraId="5D838FE4">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1）</w:t>
            </w:r>
            <w:r>
              <w:rPr>
                <w:rFonts w:hint="default" w:ascii="Times New Roman" w:hAnsi="Times New Roman" w:cs="Times New Roman"/>
                <w:color w:val="auto"/>
                <w:kern w:val="0"/>
                <w:sz w:val="24"/>
                <w:highlight w:val="none"/>
              </w:rPr>
              <w:t>监测项目</w:t>
            </w:r>
          </w:p>
          <w:p w14:paraId="2895062A">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测量离地1.5m高度处的噪声。</w:t>
            </w:r>
          </w:p>
          <w:p w14:paraId="3D00D59B">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rPr>
              <w:t>监测方法</w:t>
            </w:r>
          </w:p>
          <w:p w14:paraId="228E7ED6">
            <w:pPr>
              <w:adjustRightInd w:val="0"/>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监测方法严格按照《声环境质量标准》（GB3096-2008）进行监测。</w:t>
            </w:r>
          </w:p>
          <w:p w14:paraId="1F3A1044">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3）</w:t>
            </w:r>
            <w:r>
              <w:rPr>
                <w:rFonts w:hint="default" w:ascii="Times New Roman" w:hAnsi="Times New Roman" w:cs="Times New Roman"/>
                <w:color w:val="auto"/>
                <w:kern w:val="0"/>
                <w:sz w:val="24"/>
                <w:highlight w:val="none"/>
              </w:rPr>
              <w:t>监测仪器</w:t>
            </w:r>
          </w:p>
          <w:p w14:paraId="41829310">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噪声监测仪器见表3-</w:t>
            </w:r>
            <w:r>
              <w:rPr>
                <w:rFonts w:hint="default"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w:t>
            </w:r>
          </w:p>
          <w:p w14:paraId="1E8239E8">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 xml:space="preserve">  监测仪器一览表</w:t>
            </w:r>
          </w:p>
          <w:tbl>
            <w:tblPr>
              <w:tblStyle w:val="31"/>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9"/>
              <w:gridCol w:w="1795"/>
              <w:gridCol w:w="1542"/>
              <w:gridCol w:w="1174"/>
              <w:gridCol w:w="3264"/>
            </w:tblGrid>
            <w:tr w14:paraId="68E052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709" w:type="dxa"/>
                  <w:noWrap w:val="0"/>
                  <w:vAlign w:val="center"/>
                </w:tcPr>
                <w:p w14:paraId="1C7ACE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项目</w:t>
                  </w:r>
                </w:p>
              </w:tc>
              <w:tc>
                <w:tcPr>
                  <w:tcW w:w="7561" w:type="dxa"/>
                  <w:gridSpan w:val="4"/>
                  <w:noWrap w:val="0"/>
                  <w:vAlign w:val="center"/>
                </w:tcPr>
                <w:p w14:paraId="736F70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噪声及气象参数</w:t>
                  </w:r>
                </w:p>
              </w:tc>
            </w:tr>
            <w:tr w14:paraId="73D742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709" w:type="dxa"/>
                  <w:vMerge w:val="restart"/>
                  <w:noWrap w:val="0"/>
                  <w:vAlign w:val="center"/>
                </w:tcPr>
                <w:p w14:paraId="2A68E5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宁夏盛世蓝天环保技术有限公司</w:t>
                  </w:r>
                </w:p>
              </w:tc>
              <w:tc>
                <w:tcPr>
                  <w:tcW w:w="1746" w:type="dxa"/>
                  <w:noWrap w:val="0"/>
                  <w:vAlign w:val="center"/>
                </w:tcPr>
                <w:p w14:paraId="26A67A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仪器名称及型号</w:t>
                  </w:r>
                </w:p>
              </w:tc>
              <w:tc>
                <w:tcPr>
                  <w:tcW w:w="1500" w:type="dxa"/>
                  <w:noWrap w:val="0"/>
                  <w:vAlign w:val="center"/>
                </w:tcPr>
                <w:p w14:paraId="1BB83B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测量范围</w:t>
                  </w:r>
                </w:p>
              </w:tc>
              <w:tc>
                <w:tcPr>
                  <w:tcW w:w="1142" w:type="dxa"/>
                  <w:noWrap w:val="0"/>
                  <w:vAlign w:val="center"/>
                </w:tcPr>
                <w:p w14:paraId="5FA612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生产厂家</w:t>
                  </w:r>
                </w:p>
              </w:tc>
              <w:tc>
                <w:tcPr>
                  <w:tcW w:w="3173" w:type="dxa"/>
                  <w:noWrap w:val="0"/>
                  <w:vAlign w:val="center"/>
                </w:tcPr>
                <w:p w14:paraId="6432E6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检定与校准</w:t>
                  </w:r>
                </w:p>
              </w:tc>
            </w:tr>
            <w:tr w14:paraId="039A41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709" w:type="dxa"/>
                  <w:vMerge w:val="continue"/>
                  <w:noWrap w:val="0"/>
                  <w:vAlign w:val="center"/>
                </w:tcPr>
                <w:p w14:paraId="3642217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p>
              </w:tc>
              <w:tc>
                <w:tcPr>
                  <w:tcW w:w="1746" w:type="dxa"/>
                  <w:noWrap w:val="0"/>
                  <w:vAlign w:val="center"/>
                </w:tcPr>
                <w:p w14:paraId="397A39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AHAI6256</w:t>
                  </w:r>
                </w:p>
                <w:p w14:paraId="539F87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eastAsia="宋体" w:cs="Times New Roman"/>
                      <w:b w:val="0"/>
                      <w:bCs w:val="0"/>
                      <w:color w:val="auto"/>
                      <w:kern w:val="2"/>
                      <w:sz w:val="21"/>
                      <w:szCs w:val="22"/>
                      <w:highlight w:val="none"/>
                      <w:lang w:val="en-US" w:eastAsia="zh-CN" w:bidi="ar-SA"/>
                    </w:rPr>
                    <w:t>噪声振动分析仪</w:t>
                  </w:r>
                </w:p>
              </w:tc>
              <w:tc>
                <w:tcPr>
                  <w:tcW w:w="1500" w:type="dxa"/>
                  <w:noWrap w:val="0"/>
                  <w:vAlign w:val="center"/>
                </w:tcPr>
                <w:p w14:paraId="130319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25dB~143dB</w:t>
                  </w:r>
                </w:p>
              </w:tc>
              <w:tc>
                <w:tcPr>
                  <w:tcW w:w="1142" w:type="dxa"/>
                  <w:noWrap w:val="0"/>
                  <w:vAlign w:val="center"/>
                </w:tcPr>
                <w:p w14:paraId="760EF9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杭州爱华智能科技有限公司</w:t>
                  </w:r>
                </w:p>
              </w:tc>
              <w:tc>
                <w:tcPr>
                  <w:tcW w:w="3173" w:type="dxa"/>
                  <w:noWrap w:val="0"/>
                  <w:vAlign w:val="center"/>
                </w:tcPr>
                <w:p w14:paraId="453A0D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出厂编号：22400231</w:t>
                  </w:r>
                </w:p>
                <w:p w14:paraId="34E6F2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设备编号：LT-04</w:t>
                  </w:r>
                </w:p>
                <w:p w14:paraId="351C55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检定单位：深圳市计量质量检测研究院</w:t>
                  </w:r>
                </w:p>
                <w:p w14:paraId="7CAD71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检定证书号：JL2502158598</w:t>
                  </w:r>
                </w:p>
                <w:p w14:paraId="6C0ECAB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auto"/>
                      <w:szCs w:val="21"/>
                      <w:highlight w:val="none"/>
                    </w:rPr>
                  </w:pPr>
                  <w:r>
                    <w:rPr>
                      <w:rFonts w:hint="default" w:ascii="Times New Roman" w:hAnsi="Times New Roman" w:eastAsia="宋体" w:cs="Times New Roman"/>
                      <w:b w:val="0"/>
                      <w:color w:val="auto"/>
                      <w:kern w:val="2"/>
                      <w:sz w:val="21"/>
                      <w:szCs w:val="22"/>
                      <w:highlight w:val="none"/>
                      <w:lang w:val="en-US" w:eastAsia="zh-CN" w:bidi="ar-SA"/>
                    </w:rPr>
                    <w:t>有效期：2025.3.23-2026.3.22</w:t>
                  </w:r>
                </w:p>
              </w:tc>
            </w:tr>
            <w:tr w14:paraId="0FEDF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709" w:type="dxa"/>
                  <w:vMerge w:val="continue"/>
                  <w:noWrap w:val="0"/>
                  <w:vAlign w:val="center"/>
                </w:tcPr>
                <w:p w14:paraId="6BE6943F">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p>
              </w:tc>
              <w:tc>
                <w:tcPr>
                  <w:tcW w:w="1746" w:type="dxa"/>
                  <w:noWrap w:val="0"/>
                  <w:vAlign w:val="center"/>
                </w:tcPr>
                <w:p w14:paraId="50B9CC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AWA6221A</w:t>
                  </w:r>
                </w:p>
                <w:p w14:paraId="3EC41E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声校准器</w:t>
                  </w:r>
                </w:p>
              </w:tc>
              <w:tc>
                <w:tcPr>
                  <w:tcW w:w="1500" w:type="dxa"/>
                  <w:noWrap w:val="0"/>
                  <w:vAlign w:val="center"/>
                </w:tcPr>
                <w:p w14:paraId="33BC65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标准声压级94.0dB</w:t>
                  </w:r>
                </w:p>
              </w:tc>
              <w:tc>
                <w:tcPr>
                  <w:tcW w:w="1142" w:type="dxa"/>
                  <w:noWrap w:val="0"/>
                  <w:vAlign w:val="center"/>
                </w:tcPr>
                <w:p w14:paraId="0F152C2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杭州爱华仪器有限公司</w:t>
                  </w:r>
                </w:p>
              </w:tc>
              <w:tc>
                <w:tcPr>
                  <w:tcW w:w="3173" w:type="dxa"/>
                  <w:noWrap w:val="0"/>
                  <w:vAlign w:val="center"/>
                </w:tcPr>
                <w:p w14:paraId="5CB2EB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出厂编号：1007026</w:t>
                  </w:r>
                </w:p>
                <w:p w14:paraId="5DDB31B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设备编号：LT-03-1</w:t>
                  </w:r>
                </w:p>
                <w:p w14:paraId="7E8827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检定单位：</w:t>
                  </w:r>
                  <w:r>
                    <w:rPr>
                      <w:rFonts w:hint="default" w:ascii="Times New Roman" w:hAnsi="Times New Roman" w:eastAsia="宋体" w:cs="Times New Roman"/>
                      <w:b w:val="0"/>
                      <w:color w:val="auto"/>
                      <w:kern w:val="2"/>
                      <w:sz w:val="21"/>
                      <w:szCs w:val="22"/>
                      <w:highlight w:val="none"/>
                      <w:lang w:val="en-US" w:eastAsia="zh-CN" w:bidi="ar-SA"/>
                    </w:rPr>
                    <w:t>深圳市计量质量检测研究院</w:t>
                  </w:r>
                </w:p>
                <w:p w14:paraId="753F877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检定证书号：JL2502158597</w:t>
                  </w:r>
                </w:p>
                <w:p w14:paraId="0BD8DB3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auto"/>
                      <w:szCs w:val="21"/>
                      <w:highlight w:val="none"/>
                    </w:rPr>
                  </w:pPr>
                  <w:r>
                    <w:rPr>
                      <w:rFonts w:hint="default" w:ascii="Times New Roman" w:hAnsi="Times New Roman" w:eastAsia="宋体" w:cs="Times New Roman"/>
                      <w:b w:val="0"/>
                      <w:bCs w:val="0"/>
                      <w:color w:val="auto"/>
                      <w:kern w:val="2"/>
                      <w:sz w:val="21"/>
                      <w:szCs w:val="22"/>
                      <w:highlight w:val="none"/>
                      <w:lang w:val="en-US" w:eastAsia="zh-CN" w:bidi="ar-SA"/>
                    </w:rPr>
                    <w:t>有效期：2025.3.23-2026.3.22</w:t>
                  </w:r>
                </w:p>
              </w:tc>
            </w:tr>
          </w:tbl>
          <w:p w14:paraId="7292F10A">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监测布点</w:t>
            </w:r>
          </w:p>
          <w:p w14:paraId="56D6B258">
            <w:pPr>
              <w:adjustRightInd w:val="0"/>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按照《环境影响评价技术导则 声环境》（HJ2.4-2021）布点。监测点布设尽量沿线路路径均匀布点，兼顾行政区及环境特征的代表性，距离地面1.5m的位置，本次</w:t>
            </w:r>
            <w:r>
              <w:rPr>
                <w:rFonts w:hint="default" w:ascii="Times New Roman" w:hAnsi="Times New Roman" w:cs="Times New Roman"/>
                <w:color w:val="auto"/>
                <w:kern w:val="0"/>
                <w:sz w:val="24"/>
                <w:highlight w:val="none"/>
                <w:lang w:eastAsia="zh-CN"/>
              </w:rPr>
              <w:t>共</w:t>
            </w:r>
            <w:r>
              <w:rPr>
                <w:rFonts w:hint="default" w:ascii="Times New Roman" w:hAnsi="Times New Roman" w:cs="Times New Roman"/>
                <w:color w:val="auto"/>
                <w:kern w:val="0"/>
                <w:sz w:val="24"/>
                <w:highlight w:val="none"/>
              </w:rPr>
              <w:t>布设</w:t>
            </w:r>
            <w:r>
              <w:rPr>
                <w:rFonts w:hint="eastAsia" w:cs="Times New Roman"/>
                <w:color w:val="auto"/>
                <w:kern w:val="0"/>
                <w:sz w:val="24"/>
                <w:highlight w:val="none"/>
                <w:lang w:val="en-US" w:eastAsia="zh-CN"/>
              </w:rPr>
              <w:t>21</w:t>
            </w:r>
            <w:r>
              <w:rPr>
                <w:rFonts w:hint="default" w:ascii="Times New Roman" w:hAnsi="Times New Roman" w:cs="Times New Roman"/>
                <w:color w:val="auto"/>
                <w:kern w:val="0"/>
                <w:sz w:val="24"/>
                <w:highlight w:val="none"/>
              </w:rPr>
              <w:t>个监测点</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监测点位详见</w:t>
            </w:r>
            <w:r>
              <w:rPr>
                <w:rFonts w:hint="default" w:ascii="Times New Roman" w:hAnsi="Times New Roman" w:cs="Times New Roman"/>
                <w:b w:val="0"/>
                <w:bCs w:val="0"/>
                <w:color w:val="auto"/>
                <w:kern w:val="0"/>
                <w:sz w:val="24"/>
                <w:highlight w:val="none"/>
              </w:rPr>
              <w:t>图</w:t>
            </w:r>
            <w:r>
              <w:rPr>
                <w:rFonts w:hint="default" w:ascii="Times New Roman" w:hAnsi="Times New Roman" w:cs="Times New Roman"/>
                <w:b w:val="0"/>
                <w:bCs w:val="0"/>
                <w:color w:val="auto"/>
                <w:kern w:val="0"/>
                <w:sz w:val="24"/>
                <w:highlight w:val="none"/>
                <w:lang w:val="en-US" w:eastAsia="zh-CN"/>
              </w:rPr>
              <w:t>3-</w:t>
            </w:r>
            <w:r>
              <w:rPr>
                <w:rFonts w:hint="eastAsia" w:cs="Times New Roman"/>
                <w:b w:val="0"/>
                <w:bCs w:val="0"/>
                <w:color w:val="auto"/>
                <w:kern w:val="0"/>
                <w:sz w:val="24"/>
                <w:highlight w:val="none"/>
                <w:lang w:val="en-US" w:eastAsia="zh-CN"/>
              </w:rPr>
              <w:t>3</w:t>
            </w:r>
            <w:r>
              <w:rPr>
                <w:rFonts w:hint="default" w:ascii="Times New Roman" w:hAnsi="Times New Roman" w:cs="Times New Roman"/>
                <w:color w:val="auto"/>
                <w:kern w:val="0"/>
                <w:sz w:val="24"/>
                <w:highlight w:val="none"/>
              </w:rPr>
              <w:t>。</w:t>
            </w:r>
          </w:p>
          <w:p w14:paraId="5F60C856">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drawing>
                <wp:inline distT="0" distB="0" distL="114300" distR="114300">
                  <wp:extent cx="5424170" cy="3802380"/>
                  <wp:effectExtent l="0" t="0" r="5080" b="7620"/>
                  <wp:docPr id="28" name="图片 28" descr="图3-3  云雾山330千伏变电站声环境现状监测点位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3-3  云雾山330千伏变电站声环境现状监测点位图副本"/>
                          <pic:cNvPicPr>
                            <a:picLocks noChangeAspect="1"/>
                          </pic:cNvPicPr>
                        </pic:nvPicPr>
                        <pic:blipFill>
                          <a:blip r:embed="rId48"/>
                          <a:stretch>
                            <a:fillRect/>
                          </a:stretch>
                        </pic:blipFill>
                        <pic:spPr>
                          <a:xfrm>
                            <a:off x="0" y="0"/>
                            <a:ext cx="5424170" cy="3802380"/>
                          </a:xfrm>
                          <a:prstGeom prst="rect">
                            <a:avLst/>
                          </a:prstGeom>
                        </pic:spPr>
                      </pic:pic>
                    </a:graphicData>
                  </a:graphic>
                </wp:inline>
              </w:drawing>
            </w:r>
          </w:p>
          <w:p w14:paraId="4207D53C">
            <w:pPr>
              <w:adjustRightInd w:val="0"/>
              <w:snapToGrid w:val="0"/>
              <w:spacing w:line="360" w:lineRule="auto"/>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kern w:val="0"/>
                <w:sz w:val="24"/>
                <w:highlight w:val="none"/>
              </w:rPr>
              <w:t>图</w:t>
            </w:r>
            <w:r>
              <w:rPr>
                <w:rFonts w:hint="default" w:ascii="Times New Roman" w:hAnsi="Times New Roman" w:cs="Times New Roman"/>
                <w:b/>
                <w:bCs/>
                <w:color w:val="auto"/>
                <w:kern w:val="0"/>
                <w:sz w:val="24"/>
                <w:highlight w:val="none"/>
                <w:lang w:val="en-US" w:eastAsia="zh-CN"/>
              </w:rPr>
              <w:t>3-</w:t>
            </w:r>
            <w:r>
              <w:rPr>
                <w:rFonts w:hint="eastAsia" w:cs="Times New Roman"/>
                <w:b/>
                <w:bCs/>
                <w:color w:val="auto"/>
                <w:kern w:val="0"/>
                <w:sz w:val="24"/>
                <w:highlight w:val="none"/>
                <w:lang w:val="en-US" w:eastAsia="zh-CN"/>
              </w:rPr>
              <w:t>3  云雾山330千伏变电站声环境质量现状监测点位图</w:t>
            </w:r>
          </w:p>
          <w:p w14:paraId="62D39907">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间隔扩建：</w:t>
            </w:r>
            <w:r>
              <w:rPr>
                <w:rFonts w:hint="default" w:ascii="Times New Roman" w:hAnsi="Times New Roman" w:cs="Times New Roman"/>
                <w:color w:val="auto"/>
                <w:kern w:val="0"/>
                <w:sz w:val="24"/>
              </w:rPr>
              <w:t>在</w:t>
            </w:r>
            <w:r>
              <w:rPr>
                <w:rFonts w:hint="default" w:ascii="Times New Roman" w:hAnsi="Times New Roman" w:cs="Times New Roman"/>
                <w:color w:val="auto"/>
                <w:kern w:val="0"/>
                <w:sz w:val="24"/>
                <w:lang w:val="en-US" w:eastAsia="zh-CN"/>
              </w:rPr>
              <w:t>云雾山</w:t>
            </w:r>
            <w:r>
              <w:rPr>
                <w:rFonts w:hint="default" w:ascii="Times New Roman" w:hAnsi="Times New Roman" w:cs="Times New Roman"/>
                <w:color w:val="auto"/>
                <w:kern w:val="0"/>
                <w:sz w:val="24"/>
              </w:rPr>
              <w:t>330</w:t>
            </w:r>
            <w:r>
              <w:rPr>
                <w:rFonts w:hint="default" w:ascii="Times New Roman" w:hAnsi="Times New Roman" w:cs="Times New Roman"/>
                <w:color w:val="auto"/>
                <w:sz w:val="24"/>
                <w:lang w:eastAsia="zh-CN"/>
              </w:rPr>
              <w:t>千伏</w:t>
            </w:r>
            <w:r>
              <w:rPr>
                <w:rFonts w:hint="default" w:ascii="Times New Roman" w:hAnsi="Times New Roman" w:cs="Times New Roman"/>
                <w:color w:val="auto"/>
                <w:kern w:val="0"/>
                <w:sz w:val="24"/>
              </w:rPr>
              <w:t>变电站厂界外侧1m处</w:t>
            </w:r>
            <w:r>
              <w:rPr>
                <w:rFonts w:hint="default" w:ascii="Times New Roman" w:hAnsi="Times New Roman" w:eastAsia="宋体" w:cs="Times New Roman"/>
                <w:color w:val="auto"/>
                <w:kern w:val="0"/>
                <w:sz w:val="24"/>
                <w:highlight w:val="none"/>
                <w:lang w:val="en-US" w:eastAsia="zh-CN"/>
              </w:rPr>
              <w:t>布设监测点</w:t>
            </w:r>
            <w:r>
              <w:rPr>
                <w:rFonts w:hint="default" w:ascii="Times New Roman" w:hAnsi="Times New Roman" w:cs="Times New Roman"/>
                <w:color w:val="auto"/>
                <w:kern w:val="0"/>
                <w:sz w:val="24"/>
              </w:rPr>
              <w:t>，共布设</w:t>
            </w:r>
            <w:r>
              <w:rPr>
                <w:rFonts w:hint="default" w:ascii="Times New Roman" w:hAnsi="Times New Roman" w:cs="Times New Roman"/>
                <w:color w:val="auto"/>
                <w:kern w:val="0"/>
                <w:sz w:val="24"/>
                <w:lang w:val="en-US" w:eastAsia="zh-CN"/>
              </w:rPr>
              <w:t>4</w:t>
            </w:r>
            <w:r>
              <w:rPr>
                <w:rFonts w:hint="default" w:ascii="Times New Roman" w:hAnsi="Times New Roman" w:cs="Times New Roman"/>
                <w:color w:val="auto"/>
                <w:kern w:val="0"/>
                <w:sz w:val="24"/>
              </w:rPr>
              <w:t>个监测点。</w:t>
            </w:r>
          </w:p>
          <w:p w14:paraId="217746EF">
            <w:pPr>
              <w:adjustRightInd w:val="0"/>
              <w:snapToGrid w:val="0"/>
              <w:spacing w:line="360" w:lineRule="auto"/>
              <w:ind w:firstLine="480" w:firstLineChars="200"/>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sz w:val="24"/>
                <w:highlight w:val="none"/>
                <w:lang w:val="en-US" w:eastAsia="zh-CN"/>
              </w:rPr>
              <w:t>输电线路</w:t>
            </w:r>
            <w:r>
              <w:rPr>
                <w:rFonts w:hint="default" w:ascii="Times New Roman" w:hAnsi="Times New Roman" w:eastAsia="宋体" w:cs="Times New Roman"/>
                <w:color w:val="auto"/>
                <w:kern w:val="0"/>
                <w:sz w:val="24"/>
                <w:highlight w:val="none"/>
              </w:rPr>
              <w:t>：</w:t>
            </w:r>
            <w:r>
              <w:rPr>
                <w:rFonts w:hint="default" w:ascii="Times New Roman" w:hAnsi="Times New Roman" w:cs="Times New Roman"/>
                <w:color w:val="auto"/>
                <w:kern w:val="0"/>
                <w:sz w:val="24"/>
                <w:highlight w:val="none"/>
                <w:lang w:val="en-US" w:eastAsia="zh-CN"/>
              </w:rPr>
              <w:t>本项目</w:t>
            </w:r>
            <w:r>
              <w:rPr>
                <w:rFonts w:hint="default" w:ascii="Times New Roman" w:hAnsi="Times New Roman" w:eastAsia="宋体" w:cs="Times New Roman"/>
                <w:color w:val="auto"/>
                <w:sz w:val="24"/>
                <w:highlight w:val="none"/>
              </w:rPr>
              <w:t>输电线路</w:t>
            </w:r>
            <w:r>
              <w:rPr>
                <w:rFonts w:hint="default" w:ascii="Times New Roman" w:hAnsi="Times New Roman" w:cs="Times New Roman"/>
                <w:color w:val="auto"/>
                <w:kern w:val="0"/>
                <w:sz w:val="24"/>
                <w:highlight w:val="none"/>
                <w:lang w:val="en-US" w:eastAsia="zh-CN"/>
              </w:rPr>
              <w:t>位于宁夏回族自治区固原市原州区、彭阳县，行政区划涉及固原市原州区河川乡、彭阳县王洼镇和交岔乡，</w:t>
            </w:r>
            <w:r>
              <w:rPr>
                <w:rFonts w:hint="default" w:ascii="Times New Roman" w:hAnsi="Times New Roman" w:eastAsia="宋体" w:cs="Times New Roman"/>
                <w:color w:val="auto"/>
                <w:kern w:val="0"/>
                <w:sz w:val="24"/>
                <w:highlight w:val="none"/>
              </w:rPr>
              <w:t>监测点布设尽量沿线路路径均匀布点，距离地面1.5m的位置，</w:t>
            </w:r>
            <w:r>
              <w:rPr>
                <w:rFonts w:hint="default" w:ascii="Times New Roman" w:hAnsi="Times New Roman" w:eastAsia="宋体" w:cs="Times New Roman"/>
                <w:color w:val="auto"/>
                <w:kern w:val="0"/>
                <w:sz w:val="24"/>
                <w:highlight w:val="none"/>
                <w:lang w:val="en-US" w:eastAsia="zh-CN"/>
              </w:rPr>
              <w:t>选择有代表性的监测点进行监测。本次在拟建架空线路双回路单侧挂线段（</w:t>
            </w:r>
            <w:r>
              <w:rPr>
                <w:rFonts w:hint="default" w:ascii="Times New Roman" w:hAnsi="Times New Roman" w:cs="Times New Roman"/>
                <w:color w:val="auto"/>
                <w:kern w:val="0"/>
                <w:sz w:val="24"/>
                <w:highlight w:val="none"/>
                <w:lang w:val="en-US" w:eastAsia="zh-CN"/>
              </w:rPr>
              <w:t>原州区河川乡</w:t>
            </w:r>
            <w:r>
              <w:rPr>
                <w:rFonts w:hint="default" w:ascii="Times New Roman" w:hAnsi="Times New Roman" w:eastAsia="宋体" w:cs="Times New Roman"/>
                <w:color w:val="auto"/>
                <w:kern w:val="0"/>
                <w:sz w:val="24"/>
                <w:highlight w:val="none"/>
                <w:lang w:val="en-US" w:eastAsia="zh-CN"/>
              </w:rPr>
              <w:t>）、单回路段（</w:t>
            </w:r>
            <w:r>
              <w:rPr>
                <w:rFonts w:hint="default" w:ascii="Times New Roman" w:hAnsi="Times New Roman" w:cs="Times New Roman"/>
                <w:color w:val="auto"/>
                <w:kern w:val="0"/>
                <w:sz w:val="24"/>
                <w:highlight w:val="none"/>
                <w:lang w:val="en-US" w:eastAsia="zh-CN"/>
              </w:rPr>
              <w:t>彭阳县</w:t>
            </w:r>
            <w:r>
              <w:rPr>
                <w:rFonts w:hint="default" w:ascii="Times New Roman" w:hAnsi="Times New Roman" w:eastAsia="宋体" w:cs="Times New Roman"/>
                <w:snapToGrid w:val="0"/>
                <w:color w:val="auto"/>
                <w:kern w:val="0"/>
                <w:sz w:val="24"/>
                <w:szCs w:val="24"/>
                <w:lang w:val="en-US" w:eastAsia="zh-CN" w:bidi="ar-SA"/>
              </w:rPr>
              <w:t>王洼镇</w:t>
            </w:r>
            <w:r>
              <w:rPr>
                <w:rFonts w:hint="default" w:ascii="Times New Roman" w:hAnsi="Times New Roman" w:eastAsia="宋体" w:cs="Times New Roman"/>
                <w:color w:val="auto"/>
                <w:kern w:val="0"/>
                <w:sz w:val="24"/>
                <w:highlight w:val="none"/>
                <w:lang w:val="en-US" w:eastAsia="zh-CN"/>
              </w:rPr>
              <w:t>）、单回路段（</w:t>
            </w:r>
            <w:r>
              <w:rPr>
                <w:rFonts w:hint="default" w:ascii="Times New Roman" w:hAnsi="Times New Roman" w:cs="Times New Roman"/>
                <w:color w:val="auto"/>
                <w:kern w:val="0"/>
                <w:sz w:val="24"/>
                <w:highlight w:val="none"/>
                <w:lang w:val="en-US" w:eastAsia="zh-CN"/>
              </w:rPr>
              <w:t>彭阳县交岔乡</w:t>
            </w:r>
            <w:r>
              <w:rPr>
                <w:rFonts w:hint="default" w:ascii="Times New Roman" w:hAnsi="Times New Roman" w:eastAsia="宋体"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zh-CN" w:bidi="ar-SA"/>
              </w:rPr>
              <w:t>钻越±1100千伏吉泉线处</w:t>
            </w:r>
            <w:r>
              <w:rPr>
                <w:rFonts w:hint="default" w:ascii="Times New Roman" w:hAnsi="Times New Roman" w:eastAsia="宋体"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zh-CN" w:bidi="ar-SA"/>
              </w:rPr>
              <w:t>钻越110千伏清李I线处</w:t>
            </w:r>
            <w:r>
              <w:rPr>
                <w:rFonts w:hint="default" w:ascii="Times New Roman" w:hAnsi="Times New Roman" w:eastAsia="宋体"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zh-CN" w:bidi="ar-SA"/>
              </w:rPr>
              <w:t>钻越110千伏至李线</w:t>
            </w:r>
            <w:r>
              <w:rPr>
                <w:rFonts w:hint="default" w:ascii="Times New Roman" w:hAnsi="Times New Roman" w:eastAsia="宋体" w:cs="Times New Roman"/>
                <w:color w:val="auto"/>
                <w:kern w:val="0"/>
                <w:sz w:val="24"/>
                <w:highlight w:val="none"/>
                <w:lang w:val="en-US" w:eastAsia="zh-CN"/>
              </w:rPr>
              <w:t>布设监测点，共计6个监测点。</w:t>
            </w:r>
          </w:p>
          <w:p w14:paraId="150E4E18">
            <w:pPr>
              <w:adjustRightInd w:val="0"/>
              <w:snapToGrid w:val="0"/>
              <w:spacing w:line="360" w:lineRule="auto"/>
              <w:ind w:firstLine="480" w:firstLineChars="200"/>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敏感目标：</w:t>
            </w:r>
            <w:r>
              <w:rPr>
                <w:rFonts w:hint="default" w:ascii="Times New Roman" w:hAnsi="Times New Roman" w:cs="Times New Roman"/>
                <w:color w:val="auto"/>
                <w:kern w:val="0"/>
                <w:sz w:val="24"/>
                <w:highlight w:val="none"/>
              </w:rPr>
              <w:t>①</w:t>
            </w:r>
            <w:r>
              <w:rPr>
                <w:rFonts w:hint="eastAsia" w:cs="Times New Roman"/>
                <w:color w:val="auto"/>
                <w:kern w:val="0"/>
                <w:sz w:val="24"/>
                <w:highlight w:val="none"/>
                <w:lang w:val="en-US" w:eastAsia="zh-CN"/>
              </w:rPr>
              <w:t>在云雾山330千伏变电站声敏感目标处</w:t>
            </w:r>
            <w:r>
              <w:rPr>
                <w:rFonts w:hint="default" w:ascii="Times New Roman" w:hAnsi="Times New Roman" w:eastAsia="宋体" w:cs="Times New Roman"/>
                <w:color w:val="auto"/>
                <w:kern w:val="0"/>
                <w:sz w:val="24"/>
                <w:highlight w:val="none"/>
                <w:lang w:val="en-US" w:eastAsia="zh-CN"/>
              </w:rPr>
              <w:t>布设监测点</w:t>
            </w:r>
            <w:r>
              <w:rPr>
                <w:rFonts w:hint="eastAsia" w:eastAsia="宋体" w:cs="Times New Roman"/>
                <w:color w:val="auto"/>
                <w:kern w:val="0"/>
                <w:sz w:val="24"/>
                <w:highlight w:val="none"/>
                <w:lang w:val="en-US" w:eastAsia="zh-CN"/>
              </w:rPr>
              <w:t>，共布设7</w:t>
            </w:r>
            <w:r>
              <w:rPr>
                <w:rFonts w:hint="default" w:ascii="Times New Roman" w:hAnsi="Times New Roman" w:eastAsia="宋体" w:cs="Times New Roman"/>
                <w:color w:val="auto"/>
                <w:kern w:val="0"/>
                <w:sz w:val="24"/>
                <w:highlight w:val="none"/>
                <w:lang w:val="en-US" w:eastAsia="zh-CN"/>
              </w:rPr>
              <w:t>个监测点。</w:t>
            </w:r>
            <w:r>
              <w:rPr>
                <w:rFonts w:hint="default" w:ascii="Times New Roman" w:hAnsi="Times New Roman" w:cs="Times New Roman"/>
                <w:color w:val="auto"/>
                <w:kern w:val="0"/>
                <w:sz w:val="24"/>
                <w:highlight w:val="none"/>
              </w:rPr>
              <w:t>②</w:t>
            </w:r>
            <w:r>
              <w:rPr>
                <w:rFonts w:hint="eastAsia" w:cs="Times New Roman"/>
                <w:color w:val="auto"/>
                <w:kern w:val="0"/>
                <w:sz w:val="24"/>
                <w:highlight w:val="none"/>
                <w:lang w:val="en-US" w:eastAsia="zh-CN"/>
              </w:rPr>
              <w:t>输电线路：新建线路在固原市原州区不涉及声敏感目标，但在彭阳县王洼镇和彭阳县王洼乡均涉及声敏感目标，本次在新建线路声敏感目标处</w:t>
            </w:r>
            <w:r>
              <w:rPr>
                <w:rFonts w:hint="default" w:ascii="Times New Roman" w:hAnsi="Times New Roman" w:eastAsia="宋体" w:cs="Times New Roman"/>
                <w:color w:val="auto"/>
                <w:kern w:val="0"/>
                <w:sz w:val="24"/>
                <w:highlight w:val="none"/>
                <w:lang w:val="en-US" w:eastAsia="zh-CN"/>
              </w:rPr>
              <w:t>布设监测点</w:t>
            </w:r>
            <w:r>
              <w:rPr>
                <w:rFonts w:hint="eastAsia" w:eastAsia="宋体" w:cs="Times New Roman"/>
                <w:color w:val="auto"/>
                <w:kern w:val="0"/>
                <w:sz w:val="24"/>
                <w:highlight w:val="none"/>
                <w:lang w:val="en-US" w:eastAsia="zh-CN"/>
              </w:rPr>
              <w:t>，共布设4</w:t>
            </w:r>
            <w:r>
              <w:rPr>
                <w:rFonts w:hint="default" w:ascii="Times New Roman" w:hAnsi="Times New Roman" w:eastAsia="宋体" w:cs="Times New Roman"/>
                <w:color w:val="auto"/>
                <w:kern w:val="0"/>
                <w:sz w:val="24"/>
                <w:highlight w:val="none"/>
                <w:lang w:val="en-US" w:eastAsia="zh-CN"/>
              </w:rPr>
              <w:t>个监测点</w:t>
            </w:r>
            <w:r>
              <w:rPr>
                <w:rFonts w:hint="eastAsia" w:cs="Times New Roman"/>
                <w:color w:val="auto"/>
                <w:kern w:val="0"/>
                <w:sz w:val="24"/>
                <w:highlight w:val="none"/>
                <w:lang w:val="en-US" w:eastAsia="zh-CN"/>
              </w:rPr>
              <w:t>。</w:t>
            </w:r>
            <w:r>
              <w:rPr>
                <w:rFonts w:hint="default" w:ascii="Times New Roman" w:hAnsi="Times New Roman" w:eastAsia="宋体" w:cs="Times New Roman"/>
                <w:color w:val="auto"/>
                <w:sz w:val="24"/>
                <w:highlight w:val="none"/>
                <w:lang w:eastAsia="zh-CN"/>
              </w:rPr>
              <w:t>③</w:t>
            </w:r>
            <w:r>
              <w:rPr>
                <w:rFonts w:hint="eastAsia" w:cs="Times New Roman"/>
                <w:color w:val="auto"/>
                <w:kern w:val="0"/>
                <w:sz w:val="24"/>
                <w:highlight w:val="none"/>
                <w:lang w:val="en-US" w:eastAsia="zh-CN"/>
              </w:rPr>
              <w:t>抬高改造工程位于彭阳县境内，不涉及声环境敏感目标。因此，本项目共设置11个声敏感目标监测点，具体</w:t>
            </w:r>
            <w:r>
              <w:rPr>
                <w:rFonts w:hint="default" w:ascii="Times New Roman" w:hAnsi="Times New Roman" w:cs="Times New Roman"/>
                <w:color w:val="auto"/>
                <w:sz w:val="24"/>
                <w:highlight w:val="none"/>
                <w:lang w:val="en-US" w:eastAsia="zh-CN"/>
              </w:rPr>
              <w:t>在声敏感目标处</w:t>
            </w:r>
            <w:r>
              <w:rPr>
                <w:rFonts w:hint="default" w:ascii="Times New Roman" w:hAnsi="Times New Roman" w:eastAsia="宋体" w:cs="Times New Roman"/>
                <w:color w:val="auto"/>
                <w:kern w:val="0"/>
                <w:sz w:val="24"/>
                <w:highlight w:val="none"/>
                <w:lang w:val="en-US" w:eastAsia="zh-CN"/>
              </w:rPr>
              <w:t>布设监测点，监测点选在距离本项目较近的环境敏感目标建筑物户外，距离墙壁1m处，距离地面1.5m的位置。</w:t>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r>
              <w:rPr>
                <w:rFonts w:hint="default" w:ascii="Times New Roman" w:hAnsi="Times New Roman" w:eastAsia="宋体" w:cs="Times New Roman"/>
                <w:color w:val="auto"/>
                <w:kern w:val="0"/>
                <w:sz w:val="24"/>
                <w:highlight w:val="none"/>
                <w:lang w:val="en-US" w:eastAsia="zh-CN"/>
              </w:rPr>
              <w:br w:type="textWrapping"/>
            </w:r>
          </w:p>
          <w:p w14:paraId="58AF1169">
            <w:pPr>
              <w:adjustRightInd w:val="0"/>
              <w:snapToGrid w:val="0"/>
              <w:spacing w:line="24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drawing>
                <wp:inline distT="0" distB="0" distL="114300" distR="114300">
                  <wp:extent cx="5425440" cy="7020560"/>
                  <wp:effectExtent l="0" t="0" r="3810" b="8890"/>
                  <wp:docPr id="36" name="图片 36" descr="图3-4   输电线路声环境质量现状监测点位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3-4   输电线路声环境质量现状监测点位图副本"/>
                          <pic:cNvPicPr>
                            <a:picLocks noChangeAspect="1"/>
                          </pic:cNvPicPr>
                        </pic:nvPicPr>
                        <pic:blipFill>
                          <a:blip r:embed="rId49"/>
                          <a:stretch>
                            <a:fillRect/>
                          </a:stretch>
                        </pic:blipFill>
                        <pic:spPr>
                          <a:xfrm>
                            <a:off x="0" y="0"/>
                            <a:ext cx="5425440" cy="7020560"/>
                          </a:xfrm>
                          <a:prstGeom prst="rect">
                            <a:avLst/>
                          </a:prstGeom>
                        </pic:spPr>
                      </pic:pic>
                    </a:graphicData>
                  </a:graphic>
                </wp:inline>
              </w:drawing>
            </w:r>
          </w:p>
          <w:p w14:paraId="04FF8EC4">
            <w:pPr>
              <w:adjustRightInd w:val="0"/>
              <w:snapToGrid w:val="0"/>
              <w:spacing w:line="360" w:lineRule="auto"/>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kern w:val="0"/>
                <w:sz w:val="24"/>
                <w:highlight w:val="none"/>
              </w:rPr>
              <w:t>图</w:t>
            </w:r>
            <w:r>
              <w:rPr>
                <w:rFonts w:hint="default" w:ascii="Times New Roman" w:hAnsi="Times New Roman" w:cs="Times New Roman"/>
                <w:b/>
                <w:bCs/>
                <w:color w:val="auto"/>
                <w:kern w:val="0"/>
                <w:sz w:val="24"/>
                <w:highlight w:val="none"/>
                <w:lang w:val="en-US" w:eastAsia="zh-CN"/>
              </w:rPr>
              <w:t>3-</w:t>
            </w:r>
            <w:r>
              <w:rPr>
                <w:rFonts w:hint="eastAsia" w:cs="Times New Roman"/>
                <w:b/>
                <w:bCs/>
                <w:color w:val="auto"/>
                <w:kern w:val="0"/>
                <w:sz w:val="24"/>
                <w:highlight w:val="none"/>
                <w:lang w:val="en-US" w:eastAsia="zh-CN"/>
              </w:rPr>
              <w:t>4  输电线路声环境质量现状监测点位图</w:t>
            </w:r>
          </w:p>
          <w:p w14:paraId="2BEE48BB">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5）</w:t>
            </w:r>
            <w:r>
              <w:rPr>
                <w:rFonts w:hint="default" w:ascii="Times New Roman" w:hAnsi="Times New Roman" w:cs="Times New Roman"/>
                <w:color w:val="auto"/>
                <w:kern w:val="0"/>
                <w:sz w:val="24"/>
                <w:highlight w:val="none"/>
              </w:rPr>
              <w:t>监测频次</w:t>
            </w:r>
          </w:p>
          <w:p w14:paraId="398DB68E">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每天监测2次，昼夜各1次，监测1天。</w:t>
            </w:r>
          </w:p>
          <w:p w14:paraId="75FE0092">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6）</w:t>
            </w:r>
            <w:r>
              <w:rPr>
                <w:rFonts w:hint="default" w:ascii="Times New Roman" w:hAnsi="Times New Roman" w:cs="Times New Roman"/>
                <w:color w:val="auto"/>
                <w:kern w:val="0"/>
                <w:sz w:val="24"/>
                <w:highlight w:val="none"/>
              </w:rPr>
              <w:t>监测条件</w:t>
            </w:r>
          </w:p>
          <w:p w14:paraId="019853A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表3-5  气象参数统计表</w:t>
            </w:r>
          </w:p>
          <w:tbl>
            <w:tblPr>
              <w:tblStyle w:val="32"/>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1"/>
              <w:gridCol w:w="1087"/>
              <w:gridCol w:w="700"/>
              <w:gridCol w:w="1194"/>
              <w:gridCol w:w="1692"/>
              <w:gridCol w:w="1352"/>
              <w:gridCol w:w="1328"/>
            </w:tblGrid>
            <w:tr w14:paraId="29411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30CEF60A">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监测日期</w:t>
                  </w:r>
                </w:p>
              </w:tc>
              <w:tc>
                <w:tcPr>
                  <w:tcW w:w="1087" w:type="dxa"/>
                  <w:tcBorders>
                    <w:tl2br w:val="nil"/>
                    <w:tr2bl w:val="nil"/>
                  </w:tcBorders>
                  <w:noWrap w:val="0"/>
                  <w:vAlign w:val="center"/>
                </w:tcPr>
                <w:p w14:paraId="169AFD30">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监测时段</w:t>
                  </w:r>
                </w:p>
              </w:tc>
              <w:tc>
                <w:tcPr>
                  <w:tcW w:w="700" w:type="dxa"/>
                  <w:tcBorders>
                    <w:tl2br w:val="nil"/>
                    <w:tr2bl w:val="nil"/>
                  </w:tcBorders>
                  <w:noWrap w:val="0"/>
                  <w:vAlign w:val="center"/>
                </w:tcPr>
                <w:p w14:paraId="5463C7FA">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天气</w:t>
                  </w:r>
                </w:p>
              </w:tc>
              <w:tc>
                <w:tcPr>
                  <w:tcW w:w="1194" w:type="dxa"/>
                  <w:tcBorders>
                    <w:tl2br w:val="nil"/>
                    <w:tr2bl w:val="nil"/>
                  </w:tcBorders>
                  <w:noWrap w:val="0"/>
                  <w:vAlign w:val="center"/>
                </w:tcPr>
                <w:p w14:paraId="2F8DA2F4">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气温（℃）</w:t>
                  </w:r>
                </w:p>
              </w:tc>
              <w:tc>
                <w:tcPr>
                  <w:tcW w:w="1692" w:type="dxa"/>
                  <w:tcBorders>
                    <w:tl2br w:val="nil"/>
                    <w:tr2bl w:val="nil"/>
                  </w:tcBorders>
                  <w:noWrap w:val="0"/>
                  <w:vAlign w:val="center"/>
                </w:tcPr>
                <w:p w14:paraId="5DA1DD45">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相对湿度（%）</w:t>
                  </w:r>
                </w:p>
              </w:tc>
              <w:tc>
                <w:tcPr>
                  <w:tcW w:w="1352" w:type="dxa"/>
                  <w:tcBorders>
                    <w:tl2br w:val="nil"/>
                    <w:tr2bl w:val="nil"/>
                  </w:tcBorders>
                  <w:noWrap w:val="0"/>
                  <w:vAlign w:val="center"/>
                </w:tcPr>
                <w:p w14:paraId="0E64F3EB">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气压（hPa）</w:t>
                  </w:r>
                </w:p>
              </w:tc>
              <w:tc>
                <w:tcPr>
                  <w:tcW w:w="1328" w:type="dxa"/>
                  <w:tcBorders>
                    <w:tl2br w:val="nil"/>
                    <w:tr2bl w:val="nil"/>
                  </w:tcBorders>
                  <w:noWrap w:val="0"/>
                  <w:vAlign w:val="center"/>
                </w:tcPr>
                <w:p w14:paraId="68AE0064">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风速（m/s）</w:t>
                  </w:r>
                </w:p>
              </w:tc>
            </w:tr>
            <w:tr w14:paraId="1AAC4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15ED1968">
                  <w:pPr>
                    <w:keepNext w:val="0"/>
                    <w:keepLines w:val="0"/>
                    <w:pageBreakBefore w:val="0"/>
                    <w:widowControl w:val="0"/>
                    <w:kinsoku w:val="0"/>
                    <w:wordWrap/>
                    <w:overflowPunct/>
                    <w:topLinePunct w:val="0"/>
                    <w:autoSpaceDE w:val="0"/>
                    <w:autoSpaceDN w:val="0"/>
                    <w:bidi w:val="0"/>
                    <w:adjustRightInd w:val="0"/>
                    <w:snapToGrid w:val="0"/>
                    <w:spacing w:line="22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2025.9.23</w:t>
                  </w:r>
                </w:p>
              </w:tc>
              <w:tc>
                <w:tcPr>
                  <w:tcW w:w="1087" w:type="dxa"/>
                  <w:tcBorders>
                    <w:tl2br w:val="nil"/>
                    <w:tr2bl w:val="nil"/>
                  </w:tcBorders>
                  <w:noWrap w:val="0"/>
                  <w:vAlign w:val="center"/>
                </w:tcPr>
                <w:p w14:paraId="5ABEA8D8">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昼间</w:t>
                  </w:r>
                </w:p>
              </w:tc>
              <w:tc>
                <w:tcPr>
                  <w:tcW w:w="700" w:type="dxa"/>
                  <w:tcBorders>
                    <w:tl2br w:val="nil"/>
                    <w:tr2bl w:val="nil"/>
                  </w:tcBorders>
                  <w:noWrap w:val="0"/>
                  <w:vAlign w:val="center"/>
                </w:tcPr>
                <w:p w14:paraId="1ECF27EC">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晴</w:t>
                  </w:r>
                </w:p>
              </w:tc>
              <w:tc>
                <w:tcPr>
                  <w:tcW w:w="1194" w:type="dxa"/>
                  <w:tcBorders>
                    <w:tl2br w:val="nil"/>
                    <w:tr2bl w:val="nil"/>
                  </w:tcBorders>
                  <w:noWrap w:val="0"/>
                  <w:vAlign w:val="center"/>
                </w:tcPr>
                <w:p w14:paraId="24E14888">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27.4-29.5</w:t>
                  </w:r>
                </w:p>
              </w:tc>
              <w:tc>
                <w:tcPr>
                  <w:tcW w:w="1692" w:type="dxa"/>
                  <w:tcBorders>
                    <w:tl2br w:val="nil"/>
                    <w:tr2bl w:val="nil"/>
                  </w:tcBorders>
                  <w:noWrap w:val="0"/>
                  <w:vAlign w:val="center"/>
                </w:tcPr>
                <w:p w14:paraId="6EEA9BAB">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36.2-38.6</w:t>
                  </w:r>
                </w:p>
              </w:tc>
              <w:tc>
                <w:tcPr>
                  <w:tcW w:w="1352" w:type="dxa"/>
                  <w:tcBorders>
                    <w:tl2br w:val="nil"/>
                    <w:tr2bl w:val="nil"/>
                  </w:tcBorders>
                  <w:noWrap w:val="0"/>
                  <w:vAlign w:val="center"/>
                </w:tcPr>
                <w:p w14:paraId="1335D0BA">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812.3-814.1</w:t>
                  </w:r>
                </w:p>
              </w:tc>
              <w:tc>
                <w:tcPr>
                  <w:tcW w:w="1328" w:type="dxa"/>
                  <w:tcBorders>
                    <w:tl2br w:val="nil"/>
                    <w:tr2bl w:val="nil"/>
                  </w:tcBorders>
                  <w:noWrap w:val="0"/>
                  <w:vAlign w:val="center"/>
                </w:tcPr>
                <w:p w14:paraId="7ECF7A38">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0.3-0.6</w:t>
                  </w:r>
                </w:p>
              </w:tc>
            </w:tr>
            <w:tr w14:paraId="7609FF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750E15BD">
                  <w:pPr>
                    <w:keepNext w:val="0"/>
                    <w:keepLines w:val="0"/>
                    <w:pageBreakBefore w:val="0"/>
                    <w:widowControl w:val="0"/>
                    <w:kinsoku w:val="0"/>
                    <w:wordWrap/>
                    <w:overflowPunct/>
                    <w:topLinePunct w:val="0"/>
                    <w:autoSpaceDE w:val="0"/>
                    <w:autoSpaceDN w:val="0"/>
                    <w:bidi w:val="0"/>
                    <w:adjustRightInd w:val="0"/>
                    <w:snapToGrid w:val="0"/>
                    <w:spacing w:line="22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2025.9.23</w:t>
                  </w:r>
                </w:p>
              </w:tc>
              <w:tc>
                <w:tcPr>
                  <w:tcW w:w="1087" w:type="dxa"/>
                  <w:tcBorders>
                    <w:tl2br w:val="nil"/>
                    <w:tr2bl w:val="nil"/>
                  </w:tcBorders>
                  <w:noWrap w:val="0"/>
                  <w:vAlign w:val="center"/>
                </w:tcPr>
                <w:p w14:paraId="3A69EA7F">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夜间</w:t>
                  </w:r>
                </w:p>
              </w:tc>
              <w:tc>
                <w:tcPr>
                  <w:tcW w:w="700" w:type="dxa"/>
                  <w:tcBorders>
                    <w:tl2br w:val="nil"/>
                    <w:tr2bl w:val="nil"/>
                  </w:tcBorders>
                  <w:noWrap w:val="0"/>
                  <w:vAlign w:val="center"/>
                </w:tcPr>
                <w:p w14:paraId="1A0683FF">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晴</w:t>
                  </w:r>
                </w:p>
              </w:tc>
              <w:tc>
                <w:tcPr>
                  <w:tcW w:w="1194" w:type="dxa"/>
                  <w:tcBorders>
                    <w:tl2br w:val="nil"/>
                    <w:tr2bl w:val="nil"/>
                  </w:tcBorders>
                  <w:noWrap w:val="0"/>
                  <w:vAlign w:val="center"/>
                </w:tcPr>
                <w:p w14:paraId="507BC001">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23.3-25.1</w:t>
                  </w:r>
                </w:p>
              </w:tc>
              <w:tc>
                <w:tcPr>
                  <w:tcW w:w="1692" w:type="dxa"/>
                  <w:tcBorders>
                    <w:tl2br w:val="nil"/>
                    <w:tr2bl w:val="nil"/>
                  </w:tcBorders>
                  <w:noWrap w:val="0"/>
                  <w:vAlign w:val="center"/>
                </w:tcPr>
                <w:p w14:paraId="6924D1BA">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39.5-41.4</w:t>
                  </w:r>
                </w:p>
              </w:tc>
              <w:tc>
                <w:tcPr>
                  <w:tcW w:w="1352" w:type="dxa"/>
                  <w:tcBorders>
                    <w:tl2br w:val="nil"/>
                    <w:tr2bl w:val="nil"/>
                  </w:tcBorders>
                  <w:noWrap w:val="0"/>
                  <w:vAlign w:val="center"/>
                </w:tcPr>
                <w:p w14:paraId="0C24F495">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815.7-817.3</w:t>
                  </w:r>
                </w:p>
              </w:tc>
              <w:tc>
                <w:tcPr>
                  <w:tcW w:w="1328" w:type="dxa"/>
                  <w:tcBorders>
                    <w:tl2br w:val="nil"/>
                    <w:tr2bl w:val="nil"/>
                  </w:tcBorders>
                  <w:noWrap w:val="0"/>
                  <w:vAlign w:val="center"/>
                </w:tcPr>
                <w:p w14:paraId="5CD8AE96">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0.4-0.8</w:t>
                  </w:r>
                </w:p>
              </w:tc>
            </w:tr>
            <w:tr w14:paraId="6308C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4065F784">
                  <w:pPr>
                    <w:keepNext w:val="0"/>
                    <w:keepLines w:val="0"/>
                    <w:pageBreakBefore w:val="0"/>
                    <w:widowControl w:val="0"/>
                    <w:kinsoku w:val="0"/>
                    <w:wordWrap/>
                    <w:overflowPunct/>
                    <w:topLinePunct w:val="0"/>
                    <w:autoSpaceDE w:val="0"/>
                    <w:autoSpaceDN w:val="0"/>
                    <w:bidi w:val="0"/>
                    <w:adjustRightInd w:val="0"/>
                    <w:snapToGrid w:val="0"/>
                    <w:spacing w:line="22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2025.9.24</w:t>
                  </w:r>
                </w:p>
              </w:tc>
              <w:tc>
                <w:tcPr>
                  <w:tcW w:w="1087" w:type="dxa"/>
                  <w:tcBorders>
                    <w:tl2br w:val="nil"/>
                    <w:tr2bl w:val="nil"/>
                  </w:tcBorders>
                  <w:noWrap w:val="0"/>
                  <w:vAlign w:val="center"/>
                </w:tcPr>
                <w:p w14:paraId="7BD53827">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昼间</w:t>
                  </w:r>
                </w:p>
              </w:tc>
              <w:tc>
                <w:tcPr>
                  <w:tcW w:w="700" w:type="dxa"/>
                  <w:tcBorders>
                    <w:tl2br w:val="nil"/>
                    <w:tr2bl w:val="nil"/>
                  </w:tcBorders>
                  <w:noWrap w:val="0"/>
                  <w:vAlign w:val="center"/>
                </w:tcPr>
                <w:p w14:paraId="1B5ED847">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晴</w:t>
                  </w:r>
                </w:p>
              </w:tc>
              <w:tc>
                <w:tcPr>
                  <w:tcW w:w="1194" w:type="dxa"/>
                  <w:tcBorders>
                    <w:tl2br w:val="nil"/>
                    <w:tr2bl w:val="nil"/>
                  </w:tcBorders>
                  <w:noWrap w:val="0"/>
                  <w:vAlign w:val="center"/>
                </w:tcPr>
                <w:p w14:paraId="1639A535">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26.5-28.7</w:t>
                  </w:r>
                </w:p>
              </w:tc>
              <w:tc>
                <w:tcPr>
                  <w:tcW w:w="1692" w:type="dxa"/>
                  <w:tcBorders>
                    <w:tl2br w:val="nil"/>
                    <w:tr2bl w:val="nil"/>
                  </w:tcBorders>
                  <w:noWrap w:val="0"/>
                  <w:vAlign w:val="center"/>
                </w:tcPr>
                <w:p w14:paraId="5D563910">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39.2-41.7</w:t>
                  </w:r>
                </w:p>
              </w:tc>
              <w:tc>
                <w:tcPr>
                  <w:tcW w:w="1352" w:type="dxa"/>
                  <w:tcBorders>
                    <w:tl2br w:val="nil"/>
                    <w:tr2bl w:val="nil"/>
                  </w:tcBorders>
                  <w:noWrap w:val="0"/>
                  <w:vAlign w:val="center"/>
                </w:tcPr>
                <w:p w14:paraId="4142CF45">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813.8-815.6</w:t>
                  </w:r>
                </w:p>
              </w:tc>
              <w:tc>
                <w:tcPr>
                  <w:tcW w:w="1328" w:type="dxa"/>
                  <w:tcBorders>
                    <w:tl2br w:val="nil"/>
                    <w:tr2bl w:val="nil"/>
                  </w:tcBorders>
                  <w:noWrap w:val="0"/>
                  <w:vAlign w:val="center"/>
                </w:tcPr>
                <w:p w14:paraId="39EEB276">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1.2-1.5</w:t>
                  </w:r>
                </w:p>
              </w:tc>
            </w:tr>
            <w:tr w14:paraId="7A2096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06236D04">
                  <w:pPr>
                    <w:keepNext w:val="0"/>
                    <w:keepLines w:val="0"/>
                    <w:pageBreakBefore w:val="0"/>
                    <w:widowControl w:val="0"/>
                    <w:kinsoku w:val="0"/>
                    <w:wordWrap/>
                    <w:overflowPunct/>
                    <w:topLinePunct w:val="0"/>
                    <w:autoSpaceDE w:val="0"/>
                    <w:autoSpaceDN w:val="0"/>
                    <w:bidi w:val="0"/>
                    <w:adjustRightInd w:val="0"/>
                    <w:snapToGrid w:val="0"/>
                    <w:spacing w:line="22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2025.9.24</w:t>
                  </w:r>
                </w:p>
              </w:tc>
              <w:tc>
                <w:tcPr>
                  <w:tcW w:w="1087" w:type="dxa"/>
                  <w:tcBorders>
                    <w:tl2br w:val="nil"/>
                    <w:tr2bl w:val="nil"/>
                  </w:tcBorders>
                  <w:noWrap w:val="0"/>
                  <w:vAlign w:val="center"/>
                </w:tcPr>
                <w:p w14:paraId="294E00E7">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夜间</w:t>
                  </w:r>
                </w:p>
              </w:tc>
              <w:tc>
                <w:tcPr>
                  <w:tcW w:w="700" w:type="dxa"/>
                  <w:tcBorders>
                    <w:tl2br w:val="nil"/>
                    <w:tr2bl w:val="nil"/>
                  </w:tcBorders>
                  <w:noWrap w:val="0"/>
                  <w:vAlign w:val="center"/>
                </w:tcPr>
                <w:p w14:paraId="63FE1955">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晴</w:t>
                  </w:r>
                </w:p>
              </w:tc>
              <w:tc>
                <w:tcPr>
                  <w:tcW w:w="1194" w:type="dxa"/>
                  <w:tcBorders>
                    <w:tl2br w:val="nil"/>
                    <w:tr2bl w:val="nil"/>
                  </w:tcBorders>
                  <w:noWrap w:val="0"/>
                  <w:vAlign w:val="center"/>
                </w:tcPr>
                <w:p w14:paraId="2DA007F6">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22.4-24.8</w:t>
                  </w:r>
                </w:p>
              </w:tc>
              <w:tc>
                <w:tcPr>
                  <w:tcW w:w="1692" w:type="dxa"/>
                  <w:tcBorders>
                    <w:tl2br w:val="nil"/>
                    <w:tr2bl w:val="nil"/>
                  </w:tcBorders>
                  <w:noWrap w:val="0"/>
                  <w:vAlign w:val="center"/>
                </w:tcPr>
                <w:p w14:paraId="30C321BD">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42.4-44.6</w:t>
                  </w:r>
                </w:p>
              </w:tc>
              <w:tc>
                <w:tcPr>
                  <w:tcW w:w="1352" w:type="dxa"/>
                  <w:tcBorders>
                    <w:tl2br w:val="nil"/>
                    <w:tr2bl w:val="nil"/>
                  </w:tcBorders>
                  <w:noWrap w:val="0"/>
                  <w:vAlign w:val="center"/>
                </w:tcPr>
                <w:p w14:paraId="27EE0EAB">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816.8-818.5</w:t>
                  </w:r>
                </w:p>
              </w:tc>
              <w:tc>
                <w:tcPr>
                  <w:tcW w:w="1328" w:type="dxa"/>
                  <w:tcBorders>
                    <w:tl2br w:val="nil"/>
                    <w:tr2bl w:val="nil"/>
                  </w:tcBorders>
                  <w:noWrap w:val="0"/>
                  <w:vAlign w:val="center"/>
                </w:tcPr>
                <w:p w14:paraId="00D8FEE0">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1.1-1.4</w:t>
                  </w:r>
                </w:p>
              </w:tc>
            </w:tr>
          </w:tbl>
          <w:p w14:paraId="3FC2D4D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eastAsia="宋体" w:cs="Times New Roman"/>
                <w:color w:val="auto"/>
                <w:kern w:val="0"/>
                <w:sz w:val="24"/>
                <w:highlight w:val="none"/>
                <w:lang w:val="en-US" w:eastAsia="zh-CN"/>
              </w:rPr>
              <w:t>7</w:t>
            </w:r>
            <w:r>
              <w:rPr>
                <w:rFonts w:hint="default" w:ascii="Times New Roman" w:hAnsi="Times New Roman" w:eastAsia="宋体" w:cs="Times New Roman"/>
                <w:color w:val="auto"/>
                <w:kern w:val="0"/>
                <w:sz w:val="24"/>
                <w:highlight w:val="none"/>
              </w:rPr>
              <w:t>）</w:t>
            </w:r>
            <w:r>
              <w:rPr>
                <w:rFonts w:hint="default" w:ascii="Times New Roman" w:hAnsi="Times New Roman" w:cs="Times New Roman"/>
                <w:color w:val="auto"/>
                <w:kern w:val="0"/>
                <w:sz w:val="24"/>
                <w:highlight w:val="none"/>
              </w:rPr>
              <w:t>质量控制</w:t>
            </w:r>
          </w:p>
          <w:p w14:paraId="1E91FB63">
            <w:pPr>
              <w:adjustRightInd w:val="0"/>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噪声测量仪器性能必须符合《声级计电声性能及测量方法》（GB/T3785-2010）规定，并在测量前后进行校准。</w:t>
            </w:r>
          </w:p>
          <w:p w14:paraId="47AE6F7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8）噪声测量现场校准情况</w:t>
            </w:r>
          </w:p>
          <w:p w14:paraId="0AD31FA6">
            <w:pPr>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表3-6  噪声测量现场校准情况一览表</w:t>
            </w:r>
          </w:p>
          <w:tbl>
            <w:tblPr>
              <w:tblStyle w:val="32"/>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2528"/>
              <w:gridCol w:w="2477"/>
              <w:gridCol w:w="2345"/>
            </w:tblGrid>
            <w:tr w14:paraId="7F30AC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89" w:type="dxa"/>
                  <w:tcBorders>
                    <w:tl2br w:val="nil"/>
                    <w:tr2bl w:val="nil"/>
                  </w:tcBorders>
                  <w:noWrap w:val="0"/>
                  <w:vAlign w:val="center"/>
                </w:tcPr>
                <w:p w14:paraId="692FF4F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测量日期</w:t>
                  </w:r>
                </w:p>
              </w:tc>
              <w:tc>
                <w:tcPr>
                  <w:tcW w:w="2614" w:type="dxa"/>
                  <w:tcBorders>
                    <w:tl2br w:val="nil"/>
                    <w:tr2bl w:val="nil"/>
                  </w:tcBorders>
                  <w:noWrap w:val="0"/>
                  <w:vAlign w:val="center"/>
                </w:tcPr>
                <w:p w14:paraId="1384116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u w:val="none" w:color="auto"/>
                      <w:lang w:val="en-US" w:eastAsia="en-US"/>
                    </w:rPr>
                  </w:pPr>
                  <w:r>
                    <w:rPr>
                      <w:rFonts w:hint="default" w:ascii="Times New Roman" w:hAnsi="Times New Roman" w:eastAsia="宋体" w:cs="Times New Roman"/>
                      <w:b/>
                      <w:bCs/>
                      <w:color w:val="auto"/>
                      <w:sz w:val="21"/>
                      <w:szCs w:val="21"/>
                      <w:highlight w:val="none"/>
                      <w:u w:val="none" w:color="auto"/>
                      <w:lang w:val="en-US" w:eastAsia="zh-CN"/>
                    </w:rPr>
                    <w:t>测量前校准示值dB(A)</w:t>
                  </w:r>
                </w:p>
              </w:tc>
              <w:tc>
                <w:tcPr>
                  <w:tcW w:w="2561" w:type="dxa"/>
                  <w:tcBorders>
                    <w:tl2br w:val="nil"/>
                    <w:tr2bl w:val="nil"/>
                  </w:tcBorders>
                  <w:noWrap w:val="0"/>
                  <w:vAlign w:val="center"/>
                </w:tcPr>
                <w:p w14:paraId="543EFD1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u w:val="none" w:color="auto"/>
                      <w:lang w:val="en-US" w:eastAsia="en-US"/>
                    </w:rPr>
                  </w:pPr>
                  <w:r>
                    <w:rPr>
                      <w:rFonts w:hint="default" w:ascii="Times New Roman" w:hAnsi="Times New Roman" w:eastAsia="宋体" w:cs="Times New Roman"/>
                      <w:b/>
                      <w:bCs/>
                      <w:color w:val="auto"/>
                      <w:sz w:val="21"/>
                      <w:szCs w:val="21"/>
                      <w:highlight w:val="none"/>
                      <w:u w:val="none" w:color="auto"/>
                      <w:lang w:val="en-US" w:eastAsia="zh-CN"/>
                    </w:rPr>
                    <w:t>测量后校准示值dB(A)</w:t>
                  </w:r>
                </w:p>
              </w:tc>
              <w:tc>
                <w:tcPr>
                  <w:tcW w:w="2423" w:type="dxa"/>
                  <w:tcBorders>
                    <w:tl2br w:val="nil"/>
                    <w:tr2bl w:val="nil"/>
                  </w:tcBorders>
                  <w:noWrap w:val="0"/>
                  <w:vAlign w:val="center"/>
                </w:tcPr>
                <w:p w14:paraId="359F89F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校准器声压级dB(A)</w:t>
                  </w:r>
                </w:p>
              </w:tc>
            </w:tr>
            <w:tr w14:paraId="77880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189" w:type="dxa"/>
                  <w:tcBorders>
                    <w:tl2br w:val="nil"/>
                    <w:tr2bl w:val="nil"/>
                  </w:tcBorders>
                  <w:noWrap w:val="0"/>
                  <w:vAlign w:val="center"/>
                </w:tcPr>
                <w:p w14:paraId="1C305866">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2025.9.23</w:t>
                  </w:r>
                </w:p>
              </w:tc>
              <w:tc>
                <w:tcPr>
                  <w:tcW w:w="2614" w:type="dxa"/>
                  <w:tcBorders>
                    <w:tl2br w:val="nil"/>
                    <w:tr2bl w:val="nil"/>
                  </w:tcBorders>
                  <w:noWrap w:val="0"/>
                  <w:vAlign w:val="center"/>
                </w:tcPr>
                <w:p w14:paraId="13C72958">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93.8</w:t>
                  </w:r>
                </w:p>
              </w:tc>
              <w:tc>
                <w:tcPr>
                  <w:tcW w:w="2561" w:type="dxa"/>
                  <w:tcBorders>
                    <w:tl2br w:val="nil"/>
                    <w:tr2bl w:val="nil"/>
                  </w:tcBorders>
                  <w:noWrap w:val="0"/>
                  <w:vAlign w:val="center"/>
                </w:tcPr>
                <w:p w14:paraId="47C51D84">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93.8</w:t>
                  </w:r>
                </w:p>
              </w:tc>
              <w:tc>
                <w:tcPr>
                  <w:tcW w:w="2423" w:type="dxa"/>
                  <w:tcBorders>
                    <w:tl2br w:val="nil"/>
                    <w:tr2bl w:val="nil"/>
                  </w:tcBorders>
                  <w:noWrap w:val="0"/>
                  <w:vAlign w:val="center"/>
                </w:tcPr>
                <w:p w14:paraId="1FC20965">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en-US"/>
                    </w:rPr>
                  </w:pPr>
                  <w:r>
                    <w:rPr>
                      <w:rFonts w:hint="default" w:ascii="Times New Roman" w:hAnsi="Times New Roman" w:eastAsia="宋体" w:cs="Times New Roman"/>
                      <w:color w:val="auto"/>
                      <w:sz w:val="21"/>
                      <w:szCs w:val="21"/>
                      <w:vertAlign w:val="baseline"/>
                      <w:lang w:val="en-US" w:eastAsia="zh-CN"/>
                    </w:rPr>
                    <w:t>94.0</w:t>
                  </w:r>
                </w:p>
              </w:tc>
            </w:tr>
            <w:tr w14:paraId="61250F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189" w:type="dxa"/>
                  <w:tcBorders>
                    <w:tl2br w:val="nil"/>
                    <w:tr2bl w:val="nil"/>
                  </w:tcBorders>
                  <w:noWrap w:val="0"/>
                  <w:vAlign w:val="center"/>
                </w:tcPr>
                <w:p w14:paraId="6023D249">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2025.9.24</w:t>
                  </w:r>
                </w:p>
              </w:tc>
              <w:tc>
                <w:tcPr>
                  <w:tcW w:w="2614" w:type="dxa"/>
                  <w:tcBorders>
                    <w:tl2br w:val="nil"/>
                    <w:tr2bl w:val="nil"/>
                  </w:tcBorders>
                  <w:noWrap w:val="0"/>
                  <w:vAlign w:val="center"/>
                </w:tcPr>
                <w:p w14:paraId="3336304E">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93.8</w:t>
                  </w:r>
                </w:p>
              </w:tc>
              <w:tc>
                <w:tcPr>
                  <w:tcW w:w="2561" w:type="dxa"/>
                  <w:tcBorders>
                    <w:tl2br w:val="nil"/>
                    <w:tr2bl w:val="nil"/>
                  </w:tcBorders>
                  <w:noWrap w:val="0"/>
                  <w:vAlign w:val="center"/>
                </w:tcPr>
                <w:p w14:paraId="22E962D1">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93.8</w:t>
                  </w:r>
                </w:p>
              </w:tc>
              <w:tc>
                <w:tcPr>
                  <w:tcW w:w="2423" w:type="dxa"/>
                  <w:tcBorders>
                    <w:tl2br w:val="nil"/>
                    <w:tr2bl w:val="nil"/>
                  </w:tcBorders>
                  <w:noWrap w:val="0"/>
                  <w:vAlign w:val="center"/>
                </w:tcPr>
                <w:p w14:paraId="53A8A7CA">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94.0</w:t>
                  </w:r>
                </w:p>
              </w:tc>
            </w:tr>
          </w:tbl>
          <w:p w14:paraId="0C0713D6">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9）</w:t>
            </w:r>
            <w:r>
              <w:rPr>
                <w:rFonts w:hint="default" w:ascii="Times New Roman" w:hAnsi="Times New Roman" w:cs="Times New Roman"/>
                <w:color w:val="auto"/>
                <w:kern w:val="0"/>
                <w:sz w:val="24"/>
                <w:highlight w:val="none"/>
              </w:rPr>
              <w:t>评价标准</w:t>
            </w:r>
          </w:p>
          <w:p w14:paraId="1DA6CDBC">
            <w:pPr>
              <w:adjustRightInd w:val="0"/>
              <w:snapToGrid w:val="0"/>
              <w:spacing w:line="360" w:lineRule="auto"/>
              <w:ind w:firstLine="480" w:firstLineChars="200"/>
              <w:jc w:val="both"/>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w:t>
            </w:r>
            <w:r>
              <w:rPr>
                <w:rFonts w:hint="default" w:ascii="Times New Roman" w:hAnsi="Times New Roman" w:eastAsia="宋体" w:cs="Times New Roman"/>
                <w:color w:val="auto"/>
                <w:kern w:val="0"/>
                <w:sz w:val="24"/>
                <w:szCs w:val="24"/>
                <w:lang w:val="en-US" w:eastAsia="zh-CN"/>
              </w:rPr>
              <w:t>固原市生态环境局关于</w:t>
            </w:r>
            <w:r>
              <w:rPr>
                <w:rFonts w:hint="default" w:ascii="Times New Roman" w:hAnsi="Times New Roman" w:eastAsia="宋体" w:cs="Times New Roman"/>
                <w:b w:val="0"/>
                <w:bCs w:val="0"/>
                <w:color w:val="auto"/>
                <w:sz w:val="24"/>
                <w:highlight w:val="none"/>
                <w:lang w:val="en-US" w:eastAsia="zh-CN"/>
              </w:rPr>
              <w:t>宁夏云雾山330千伏输变电工程的</w:t>
            </w:r>
            <w:r>
              <w:rPr>
                <w:rFonts w:hint="default" w:ascii="Times New Roman" w:hAnsi="Times New Roman" w:eastAsia="宋体" w:cs="Times New Roman"/>
                <w:color w:val="auto"/>
                <w:kern w:val="0"/>
                <w:sz w:val="24"/>
                <w:szCs w:val="24"/>
                <w:lang w:val="en-US" w:eastAsia="zh-CN"/>
              </w:rPr>
              <w:t>环评</w:t>
            </w:r>
            <w:r>
              <w:rPr>
                <w:rFonts w:hint="default" w:ascii="Times New Roman" w:hAnsi="Times New Roman" w:cs="Times New Roman"/>
                <w:color w:val="auto"/>
                <w:sz w:val="24"/>
                <w:szCs w:val="24"/>
              </w:rPr>
              <w:t>批复</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color w:val="auto"/>
                <w:sz w:val="24"/>
                <w:lang w:val="en-US" w:eastAsia="zh-CN"/>
              </w:rPr>
              <w:t>固环评审〔20</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4〕27号</w:t>
            </w:r>
            <w:r>
              <w:rPr>
                <w:rFonts w:hint="eastAsia" w:cs="Times New Roman"/>
                <w:color w:val="auto"/>
                <w:sz w:val="24"/>
                <w:lang w:val="en-US" w:eastAsia="zh-CN"/>
              </w:rPr>
              <w:t>，</w:t>
            </w:r>
            <w:r>
              <w:rPr>
                <w:rFonts w:hint="eastAsia" w:cs="Times New Roman"/>
                <w:b/>
                <w:bCs/>
                <w:color w:val="auto"/>
                <w:sz w:val="24"/>
                <w:lang w:val="en-US" w:eastAsia="zh-CN"/>
              </w:rPr>
              <w:t>详见附件7</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b w:val="0"/>
                <w:bCs w:val="0"/>
                <w:color w:val="auto"/>
                <w:sz w:val="24"/>
                <w:highlight w:val="none"/>
                <w:lang w:val="en-US" w:eastAsia="zh-CN"/>
              </w:rPr>
              <w:t>云雾山330千伏变电站</w:t>
            </w:r>
            <w:r>
              <w:rPr>
                <w:rFonts w:hint="default" w:ascii="Times New Roman" w:hAnsi="Times New Roman" w:eastAsia="宋体" w:cs="Times New Roman"/>
                <w:color w:val="auto"/>
                <w:sz w:val="24"/>
                <w:szCs w:val="24"/>
                <w:highlight w:val="none"/>
                <w:lang w:val="en-US" w:eastAsia="zh-CN"/>
              </w:rPr>
              <w:t>执行</w:t>
            </w:r>
            <w:r>
              <w:rPr>
                <w:rFonts w:hint="default" w:ascii="Times New Roman" w:hAnsi="Times New Roman" w:cs="Times New Roman"/>
                <w:color w:val="auto"/>
                <w:kern w:val="0"/>
                <w:sz w:val="24"/>
                <w:highlight w:val="none"/>
                <w:lang w:val="en-US" w:eastAsia="zh-CN"/>
              </w:rPr>
              <w:t>《工业企业厂界环境噪声排放标准》（GB12348-2008）中2类标准限值要求</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云雾山330千伏变电站声环境影响评价范围内声环境保护目标执行</w:t>
            </w:r>
            <w:r>
              <w:rPr>
                <w:rFonts w:hint="default" w:ascii="Times New Roman" w:hAnsi="Times New Roman" w:eastAsia="宋体" w:cs="Times New Roman"/>
                <w:color w:val="auto"/>
                <w:sz w:val="24"/>
                <w:szCs w:val="24"/>
                <w:highlight w:val="none"/>
                <w:lang w:val="en-US" w:eastAsia="zh-CN"/>
              </w:rPr>
              <w:t>《声环境质量标准》（GB3096-2008）1类标准。</w:t>
            </w:r>
          </w:p>
          <w:p w14:paraId="6F8FC3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w:t>
            </w:r>
            <w:r>
              <w:rPr>
                <w:rFonts w:hint="default" w:ascii="Times New Roman" w:hAnsi="Times New Roman" w:eastAsia="宋体" w:cs="Times New Roman"/>
                <w:b/>
                <w:color w:val="auto"/>
                <w:kern w:val="2"/>
                <w:sz w:val="24"/>
                <w:szCs w:val="24"/>
                <w:highlight w:val="none"/>
                <w:lang w:val="en-US" w:eastAsia="zh-CN"/>
              </w:rPr>
              <w:t>3</w:t>
            </w:r>
            <w:r>
              <w:rPr>
                <w:rFonts w:hint="default" w:ascii="Times New Roman" w:hAnsi="Times New Roman" w:eastAsia="宋体" w:cs="Times New Roman"/>
                <w:b/>
                <w:color w:val="auto"/>
                <w:kern w:val="2"/>
                <w:sz w:val="24"/>
                <w:szCs w:val="24"/>
                <w:highlight w:val="none"/>
              </w:rPr>
              <w:t>-</w:t>
            </w:r>
            <w:r>
              <w:rPr>
                <w:rFonts w:hint="default" w:ascii="Times New Roman" w:hAnsi="Times New Roman" w:eastAsia="宋体" w:cs="Times New Roman"/>
                <w:b/>
                <w:color w:val="auto"/>
                <w:kern w:val="2"/>
                <w:sz w:val="24"/>
                <w:szCs w:val="24"/>
                <w:highlight w:val="none"/>
                <w:lang w:val="en-US" w:eastAsia="zh-CN"/>
              </w:rPr>
              <w:t>7</w:t>
            </w:r>
            <w:r>
              <w:rPr>
                <w:rFonts w:hint="default" w:ascii="Times New Roman" w:hAnsi="Times New Roman" w:eastAsia="宋体" w:cs="Times New Roman"/>
                <w:b/>
                <w:color w:val="auto"/>
                <w:kern w:val="2"/>
                <w:sz w:val="24"/>
                <w:szCs w:val="24"/>
                <w:highlight w:val="none"/>
              </w:rPr>
              <w:t xml:space="preserve">  </w:t>
            </w:r>
            <w:r>
              <w:rPr>
                <w:rFonts w:hint="default" w:ascii="Times New Roman" w:hAnsi="Times New Roman" w:eastAsia="宋体" w:cs="Times New Roman"/>
                <w:b/>
                <w:color w:val="auto"/>
                <w:kern w:val="2"/>
                <w:sz w:val="24"/>
                <w:szCs w:val="24"/>
                <w:highlight w:val="none"/>
                <w:lang w:eastAsia="zh-CN"/>
              </w:rPr>
              <w:t>本项目</w:t>
            </w:r>
            <w:r>
              <w:rPr>
                <w:rFonts w:hint="default" w:ascii="Times New Roman" w:hAnsi="Times New Roman" w:eastAsia="宋体" w:cs="Times New Roman"/>
                <w:b/>
                <w:color w:val="auto"/>
                <w:kern w:val="2"/>
                <w:sz w:val="24"/>
                <w:szCs w:val="24"/>
                <w:highlight w:val="none"/>
                <w:lang w:val="en-US" w:eastAsia="zh-CN"/>
              </w:rPr>
              <w:t>间隔扩建工程</w:t>
            </w:r>
            <w:r>
              <w:rPr>
                <w:rFonts w:hint="default" w:ascii="Times New Roman" w:hAnsi="Times New Roman" w:eastAsia="宋体" w:cs="Times New Roman"/>
                <w:b/>
                <w:color w:val="auto"/>
                <w:kern w:val="2"/>
                <w:sz w:val="24"/>
                <w:szCs w:val="24"/>
                <w:highlight w:val="none"/>
              </w:rPr>
              <w:t>声环境评价标准一览表</w:t>
            </w:r>
          </w:p>
          <w:tbl>
            <w:tblPr>
              <w:tblStyle w:val="32"/>
              <w:tblW w:w="49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9"/>
              <w:gridCol w:w="1087"/>
              <w:gridCol w:w="3403"/>
              <w:gridCol w:w="1077"/>
              <w:gridCol w:w="1619"/>
            </w:tblGrid>
            <w:tr w14:paraId="6E99D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00" w:type="dxa"/>
                  <w:tcBorders>
                    <w:top w:val="single" w:color="auto" w:sz="12" w:space="0"/>
                  </w:tcBorders>
                  <w:noWrap w:val="0"/>
                  <w:vAlign w:val="center"/>
                </w:tcPr>
                <w:p w14:paraId="60568870">
                  <w:pPr>
                    <w:adjustRightInd/>
                    <w:spacing w:line="300" w:lineRule="exact"/>
                    <w:jc w:val="center"/>
                    <w:textAlignment w:val="auto"/>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名称</w:t>
                  </w:r>
                </w:p>
              </w:tc>
              <w:tc>
                <w:tcPr>
                  <w:tcW w:w="4493" w:type="dxa"/>
                  <w:gridSpan w:val="2"/>
                  <w:tcBorders>
                    <w:top w:val="single" w:color="auto" w:sz="12" w:space="0"/>
                  </w:tcBorders>
                  <w:noWrap w:val="0"/>
                  <w:vAlign w:val="center"/>
                </w:tcPr>
                <w:p w14:paraId="7C4D5BE2">
                  <w:pPr>
                    <w:adjustRightInd/>
                    <w:spacing w:line="300" w:lineRule="exact"/>
                    <w:jc w:val="center"/>
                    <w:textAlignment w:val="auto"/>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执行标准</w:t>
                  </w:r>
                </w:p>
              </w:tc>
              <w:tc>
                <w:tcPr>
                  <w:tcW w:w="1078" w:type="dxa"/>
                  <w:tcBorders>
                    <w:top w:val="single" w:color="auto" w:sz="12" w:space="0"/>
                  </w:tcBorders>
                  <w:noWrap w:val="0"/>
                  <w:vAlign w:val="center"/>
                </w:tcPr>
                <w:p w14:paraId="04F36A0D">
                  <w:pPr>
                    <w:adjustRightInd/>
                    <w:spacing w:line="300" w:lineRule="exact"/>
                    <w:jc w:val="center"/>
                    <w:textAlignment w:val="auto"/>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执行类别</w:t>
                  </w:r>
                </w:p>
              </w:tc>
              <w:tc>
                <w:tcPr>
                  <w:tcW w:w="1620" w:type="dxa"/>
                  <w:tcBorders>
                    <w:top w:val="single" w:color="auto" w:sz="12" w:space="0"/>
                    <w:right w:val="nil"/>
                  </w:tcBorders>
                  <w:noWrap w:val="0"/>
                  <w:vAlign w:val="center"/>
                </w:tcPr>
                <w:p w14:paraId="0D529E50">
                  <w:pPr>
                    <w:adjustRightInd/>
                    <w:spacing w:line="300" w:lineRule="exact"/>
                    <w:jc w:val="center"/>
                    <w:textAlignment w:val="auto"/>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噪声限值</w:t>
                  </w:r>
                </w:p>
              </w:tc>
            </w:tr>
            <w:tr w14:paraId="604CC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00" w:type="dxa"/>
                  <w:vMerge w:val="restart"/>
                  <w:tcBorders>
                    <w:left w:val="nil"/>
                  </w:tcBorders>
                  <w:noWrap w:val="0"/>
                  <w:vAlign w:val="center"/>
                </w:tcPr>
                <w:p w14:paraId="55FB1EBC">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云雾山330千伏变电站110千伏间隔扩建侧</w:t>
                  </w:r>
                </w:p>
              </w:tc>
              <w:tc>
                <w:tcPr>
                  <w:tcW w:w="1088" w:type="dxa"/>
                  <w:noWrap w:val="0"/>
                  <w:vAlign w:val="center"/>
                </w:tcPr>
                <w:p w14:paraId="41D230C6">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声环境保护目标</w:t>
                  </w:r>
                </w:p>
              </w:tc>
              <w:tc>
                <w:tcPr>
                  <w:tcW w:w="3405" w:type="dxa"/>
                  <w:noWrap w:val="0"/>
                  <w:vAlign w:val="center"/>
                </w:tcPr>
                <w:p w14:paraId="53FA30B5">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《声环境质量标准》GB3096-2008）</w:t>
                  </w:r>
                </w:p>
              </w:tc>
              <w:tc>
                <w:tcPr>
                  <w:tcW w:w="1078" w:type="dxa"/>
                  <w:noWrap w:val="0"/>
                  <w:vAlign w:val="center"/>
                </w:tcPr>
                <w:p w14:paraId="7BFD1C86">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1类</w:t>
                  </w:r>
                </w:p>
              </w:tc>
              <w:tc>
                <w:tcPr>
                  <w:tcW w:w="1620" w:type="dxa"/>
                  <w:tcBorders>
                    <w:right w:val="nil"/>
                  </w:tcBorders>
                  <w:noWrap w:val="0"/>
                  <w:vAlign w:val="center"/>
                </w:tcPr>
                <w:p w14:paraId="4F1FF892">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昼间55dB(A)</w:t>
                  </w:r>
                </w:p>
                <w:p w14:paraId="13AB6E1A">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夜间45dB(A)</w:t>
                  </w:r>
                </w:p>
              </w:tc>
            </w:tr>
            <w:tr w14:paraId="33022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00" w:type="dxa"/>
                  <w:vMerge w:val="continue"/>
                  <w:tcBorders>
                    <w:left w:val="nil"/>
                    <w:bottom w:val="single" w:color="auto" w:sz="12" w:space="0"/>
                  </w:tcBorders>
                  <w:noWrap w:val="0"/>
                  <w:vAlign w:val="center"/>
                </w:tcPr>
                <w:p w14:paraId="5EF65AD2">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1088" w:type="dxa"/>
                  <w:tcBorders>
                    <w:bottom w:val="single" w:color="auto" w:sz="12" w:space="0"/>
                  </w:tcBorders>
                  <w:noWrap w:val="0"/>
                  <w:vAlign w:val="center"/>
                </w:tcPr>
                <w:p w14:paraId="55DD441E">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变电站</w:t>
                  </w:r>
                </w:p>
              </w:tc>
              <w:tc>
                <w:tcPr>
                  <w:tcW w:w="3405" w:type="dxa"/>
                  <w:tcBorders>
                    <w:bottom w:val="single" w:color="auto" w:sz="12" w:space="0"/>
                  </w:tcBorders>
                  <w:noWrap w:val="0"/>
                  <w:vAlign w:val="center"/>
                </w:tcPr>
                <w:p w14:paraId="1AD2B85E">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《工业企业厂界环境噪声排放标准》（GB12348-2008）</w:t>
                  </w:r>
                </w:p>
              </w:tc>
              <w:tc>
                <w:tcPr>
                  <w:tcW w:w="1078" w:type="dxa"/>
                  <w:tcBorders>
                    <w:bottom w:val="single" w:color="auto" w:sz="12" w:space="0"/>
                  </w:tcBorders>
                  <w:noWrap w:val="0"/>
                  <w:vAlign w:val="center"/>
                </w:tcPr>
                <w:p w14:paraId="24534B77">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2类</w:t>
                  </w:r>
                </w:p>
              </w:tc>
              <w:tc>
                <w:tcPr>
                  <w:tcW w:w="1620" w:type="dxa"/>
                  <w:tcBorders>
                    <w:bottom w:val="single" w:color="auto" w:sz="12" w:space="0"/>
                    <w:right w:val="nil"/>
                  </w:tcBorders>
                  <w:noWrap w:val="0"/>
                  <w:vAlign w:val="center"/>
                </w:tcPr>
                <w:p w14:paraId="793BA844">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昼间60dB(A)</w:t>
                  </w:r>
                </w:p>
                <w:p w14:paraId="1A48BB29">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夜间50dB(A)</w:t>
                  </w:r>
                </w:p>
              </w:tc>
            </w:tr>
          </w:tbl>
          <w:p w14:paraId="4729F058">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根据</w:t>
            </w:r>
            <w:r>
              <w:rPr>
                <w:rFonts w:hint="default" w:ascii="Times New Roman" w:hAnsi="Times New Roman" w:eastAsia="宋体" w:cs="Times New Roman"/>
                <w:color w:val="auto"/>
                <w:sz w:val="24"/>
                <w:szCs w:val="24"/>
                <w:highlight w:val="none"/>
                <w:lang w:val="en-US" w:eastAsia="zh-CN"/>
              </w:rPr>
              <w:t>固原市人民</w:t>
            </w:r>
            <w:r>
              <w:rPr>
                <w:rFonts w:hint="default" w:ascii="Times New Roman" w:hAnsi="Times New Roman" w:eastAsia="宋体" w:cs="Times New Roman"/>
                <w:color w:val="auto"/>
                <w:sz w:val="24"/>
                <w:szCs w:val="24"/>
                <w:highlight w:val="none"/>
              </w:rPr>
              <w:t>政府办公室关于</w:t>
            </w:r>
            <w:r>
              <w:rPr>
                <w:rFonts w:hint="default" w:ascii="Times New Roman" w:hAnsi="Times New Roman" w:eastAsia="宋体" w:cs="Times New Roman"/>
                <w:color w:val="auto"/>
                <w:sz w:val="24"/>
                <w:szCs w:val="24"/>
                <w:highlight w:val="none"/>
                <w:lang w:val="en-US" w:eastAsia="zh-CN"/>
              </w:rPr>
              <w:t>修订《</w:t>
            </w:r>
            <w:r>
              <w:rPr>
                <w:rFonts w:hint="default" w:ascii="Times New Roman" w:hAnsi="Times New Roman" w:eastAsia="宋体" w:cs="Times New Roman"/>
                <w:color w:val="auto"/>
                <w:sz w:val="24"/>
                <w:szCs w:val="24"/>
                <w:highlight w:val="none"/>
                <w:lang w:eastAsia="zh-CN"/>
              </w:rPr>
              <w:t>固原</w:t>
            </w:r>
            <w:r>
              <w:rPr>
                <w:rFonts w:hint="default" w:ascii="Times New Roman" w:hAnsi="Times New Roman" w:eastAsia="宋体" w:cs="Times New Roman"/>
                <w:color w:val="auto"/>
                <w:sz w:val="24"/>
                <w:szCs w:val="24"/>
                <w:highlight w:val="none"/>
              </w:rPr>
              <w:t>市</w:t>
            </w:r>
            <w:r>
              <w:rPr>
                <w:rFonts w:hint="default" w:ascii="Times New Roman" w:hAnsi="Times New Roman" w:eastAsia="宋体" w:cs="Times New Roman"/>
                <w:color w:val="auto"/>
                <w:sz w:val="24"/>
                <w:szCs w:val="24"/>
                <w:highlight w:val="none"/>
                <w:lang w:val="en-US" w:eastAsia="zh-CN"/>
              </w:rPr>
              <w:t>区</w:t>
            </w:r>
            <w:r>
              <w:rPr>
                <w:rFonts w:hint="default" w:ascii="Times New Roman" w:hAnsi="Times New Roman" w:eastAsia="宋体" w:cs="Times New Roman"/>
                <w:color w:val="auto"/>
                <w:sz w:val="24"/>
                <w:szCs w:val="24"/>
                <w:highlight w:val="none"/>
              </w:rPr>
              <w:t>声环境功能区划分方案</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的通知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固</w:t>
            </w:r>
            <w:r>
              <w:rPr>
                <w:rFonts w:hint="default" w:ascii="Times New Roman" w:hAnsi="Times New Roman" w:eastAsia="宋体" w:cs="Times New Roman"/>
                <w:color w:val="auto"/>
                <w:sz w:val="24"/>
                <w:szCs w:val="24"/>
                <w:highlight w:val="none"/>
                <w:lang w:eastAsia="zh-CN"/>
              </w:rPr>
              <w:t>政办发〔2023〕</w:t>
            </w:r>
            <w:r>
              <w:rPr>
                <w:rFonts w:hint="default" w:ascii="Times New Roman" w:hAnsi="Times New Roman" w:eastAsia="宋体" w:cs="Times New Roman"/>
                <w:color w:val="auto"/>
                <w:sz w:val="24"/>
                <w:szCs w:val="24"/>
                <w:highlight w:val="none"/>
                <w:lang w:val="en-US" w:eastAsia="zh-CN"/>
              </w:rPr>
              <w:t>48</w:t>
            </w:r>
            <w:r>
              <w:rPr>
                <w:rFonts w:hint="default" w:ascii="Times New Roman" w:hAnsi="Times New Roman" w:eastAsia="宋体" w:cs="Times New Roman"/>
                <w:color w:val="auto"/>
                <w:sz w:val="24"/>
                <w:szCs w:val="24"/>
                <w:highlight w:val="none"/>
                <w:lang w:eastAsia="zh-CN"/>
              </w:rPr>
              <w:t>号，2023年12月</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日），</w:t>
            </w:r>
            <w:r>
              <w:rPr>
                <w:rFonts w:hint="default" w:ascii="Times New Roman" w:hAnsi="Times New Roman" w:eastAsia="宋体" w:cs="Times New Roman"/>
                <w:color w:val="auto"/>
                <w:sz w:val="24"/>
                <w:szCs w:val="24"/>
                <w:highlight w:val="none"/>
                <w:lang w:val="en-US" w:eastAsia="zh-CN"/>
              </w:rPr>
              <w:t>输电线路经过农村区域执行《声环境质量标准》（GB3096-2008）1类标准，经过居住、商业、工业混杂区执行《声环境质量标准》（GB3096-2008）2类标准，途经交通干线两侧相应范围内执行《声环境质量标准》（GB3096-2008）4a 类标准。</w:t>
            </w:r>
          </w:p>
          <w:p w14:paraId="7111B5D2">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 xml:space="preserve"> 本项目输电线路工程噪声</w:t>
            </w:r>
            <w:r>
              <w:rPr>
                <w:rFonts w:hint="default" w:ascii="Times New Roman" w:hAnsi="Times New Roman" w:eastAsia="宋体" w:cs="Times New Roman"/>
                <w:b/>
                <w:bCs/>
                <w:color w:val="auto"/>
                <w:sz w:val="24"/>
                <w:highlight w:val="none"/>
              </w:rPr>
              <w:t>评价标准一览表</w:t>
            </w:r>
          </w:p>
          <w:tbl>
            <w:tblPr>
              <w:tblStyle w:val="31"/>
              <w:tblW w:w="850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609"/>
              <w:gridCol w:w="1402"/>
              <w:gridCol w:w="2264"/>
              <w:gridCol w:w="2229"/>
            </w:tblGrid>
            <w:tr w14:paraId="7E0E94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609" w:type="dxa"/>
                  <w:vMerge w:val="restart"/>
                  <w:tcBorders>
                    <w:tl2br w:val="nil"/>
                    <w:tr2bl w:val="nil"/>
                  </w:tcBorders>
                  <w:noWrap w:val="0"/>
                  <w:vAlign w:val="center"/>
                </w:tcPr>
                <w:p w14:paraId="5842CF96">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b/>
                      <w:bCs w:val="0"/>
                      <w:color w:val="auto"/>
                      <w:szCs w:val="21"/>
                      <w:highlight w:val="none"/>
                      <w:shd w:val="clear" w:color="auto" w:fill="auto"/>
                      <w:lang w:val="en-US" w:eastAsia="zh-CN"/>
                    </w:rPr>
                  </w:pPr>
                  <w:r>
                    <w:rPr>
                      <w:rFonts w:hint="default" w:ascii="Times New Roman" w:hAnsi="Times New Roman" w:eastAsia="宋体" w:cs="Times New Roman"/>
                      <w:b/>
                      <w:bCs w:val="0"/>
                      <w:color w:val="auto"/>
                      <w:szCs w:val="21"/>
                      <w:highlight w:val="none"/>
                      <w:shd w:val="clear" w:color="auto" w:fill="auto"/>
                      <w:lang w:val="en-US" w:eastAsia="zh-CN"/>
                    </w:rPr>
                    <w:t>线路所在区域</w:t>
                  </w:r>
                </w:p>
              </w:tc>
              <w:tc>
                <w:tcPr>
                  <w:tcW w:w="1402" w:type="dxa"/>
                  <w:vMerge w:val="restart"/>
                  <w:tcBorders>
                    <w:tl2br w:val="nil"/>
                    <w:tr2bl w:val="nil"/>
                  </w:tcBorders>
                  <w:noWrap w:val="0"/>
                  <w:vAlign w:val="center"/>
                </w:tcPr>
                <w:p w14:paraId="4CE2A990">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r>
                    <w:rPr>
                      <w:rFonts w:hint="default" w:ascii="Times New Roman" w:hAnsi="Times New Roman" w:cs="Times New Roman"/>
                      <w:b/>
                      <w:color w:val="auto"/>
                      <w:szCs w:val="21"/>
                      <w:highlight w:val="none"/>
                      <w:shd w:val="clear" w:color="auto" w:fill="auto"/>
                    </w:rPr>
                    <w:t>声环境功能区类别</w:t>
                  </w:r>
                </w:p>
              </w:tc>
              <w:tc>
                <w:tcPr>
                  <w:tcW w:w="4493" w:type="dxa"/>
                  <w:gridSpan w:val="2"/>
                  <w:tcBorders>
                    <w:tl2br w:val="nil"/>
                    <w:tr2bl w:val="nil"/>
                  </w:tcBorders>
                  <w:noWrap w:val="0"/>
                  <w:vAlign w:val="center"/>
                </w:tcPr>
                <w:p w14:paraId="15ECB683">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r>
                    <w:rPr>
                      <w:rFonts w:hint="default" w:ascii="Times New Roman" w:hAnsi="Times New Roman" w:cs="Times New Roman"/>
                      <w:b/>
                      <w:color w:val="auto"/>
                      <w:szCs w:val="21"/>
                      <w:highlight w:val="none"/>
                      <w:shd w:val="clear" w:color="auto" w:fill="auto"/>
                    </w:rPr>
                    <w:t>《声环境质量标准》（GB3096-2008）限值</w:t>
                  </w:r>
                  <w:r>
                    <w:rPr>
                      <w:rFonts w:hint="default" w:ascii="Times New Roman" w:hAnsi="Times New Roman" w:cs="Times New Roman"/>
                      <w:b/>
                      <w:color w:val="auto"/>
                      <w:szCs w:val="21"/>
                      <w:highlight w:val="none"/>
                      <w:shd w:val="clear" w:color="auto" w:fill="auto"/>
                      <w:lang w:eastAsia="zh-CN"/>
                    </w:rPr>
                    <w:t>要求</w:t>
                  </w:r>
                </w:p>
              </w:tc>
            </w:tr>
            <w:tr w14:paraId="33C1AB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2609" w:type="dxa"/>
                  <w:vMerge w:val="continue"/>
                  <w:tcBorders>
                    <w:tl2br w:val="nil"/>
                    <w:tr2bl w:val="nil"/>
                  </w:tcBorders>
                  <w:noWrap w:val="0"/>
                  <w:vAlign w:val="center"/>
                </w:tcPr>
                <w:p w14:paraId="5FF9FAC8">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bCs w:val="0"/>
                      <w:color w:val="auto"/>
                      <w:szCs w:val="21"/>
                      <w:highlight w:val="none"/>
                      <w:shd w:val="clear" w:color="auto" w:fill="auto"/>
                    </w:rPr>
                  </w:pPr>
                </w:p>
              </w:tc>
              <w:tc>
                <w:tcPr>
                  <w:tcW w:w="1402" w:type="dxa"/>
                  <w:vMerge w:val="continue"/>
                  <w:tcBorders>
                    <w:tl2br w:val="nil"/>
                    <w:tr2bl w:val="nil"/>
                  </w:tcBorders>
                  <w:noWrap w:val="0"/>
                  <w:vAlign w:val="center"/>
                </w:tcPr>
                <w:p w14:paraId="00ACA26C">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p>
              </w:tc>
              <w:tc>
                <w:tcPr>
                  <w:tcW w:w="2264" w:type="dxa"/>
                  <w:tcBorders>
                    <w:tl2br w:val="nil"/>
                    <w:tr2bl w:val="nil"/>
                  </w:tcBorders>
                  <w:noWrap w:val="0"/>
                  <w:vAlign w:val="center"/>
                </w:tcPr>
                <w:p w14:paraId="28EAB380">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r>
                    <w:rPr>
                      <w:rFonts w:hint="default" w:ascii="Times New Roman" w:hAnsi="Times New Roman" w:cs="Times New Roman"/>
                      <w:b/>
                      <w:color w:val="auto"/>
                      <w:szCs w:val="21"/>
                      <w:highlight w:val="none"/>
                      <w:shd w:val="clear" w:color="auto" w:fill="auto"/>
                    </w:rPr>
                    <w:t>昼间</w:t>
                  </w:r>
                </w:p>
              </w:tc>
              <w:tc>
                <w:tcPr>
                  <w:tcW w:w="2229" w:type="dxa"/>
                  <w:tcBorders>
                    <w:tl2br w:val="nil"/>
                    <w:tr2bl w:val="nil"/>
                  </w:tcBorders>
                  <w:noWrap w:val="0"/>
                  <w:vAlign w:val="center"/>
                </w:tcPr>
                <w:p w14:paraId="7FAE1E9C">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r>
                    <w:rPr>
                      <w:rFonts w:hint="default" w:ascii="Times New Roman" w:hAnsi="Times New Roman" w:cs="Times New Roman"/>
                      <w:b/>
                      <w:color w:val="auto"/>
                      <w:szCs w:val="21"/>
                      <w:highlight w:val="none"/>
                      <w:shd w:val="clear" w:color="auto" w:fill="auto"/>
                    </w:rPr>
                    <w:t>夜间</w:t>
                  </w:r>
                </w:p>
              </w:tc>
            </w:tr>
            <w:tr w14:paraId="6356F0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609" w:type="dxa"/>
                  <w:tcBorders>
                    <w:tl2br w:val="nil"/>
                    <w:tr2bl w:val="nil"/>
                  </w:tcBorders>
                  <w:noWrap w:val="0"/>
                  <w:vAlign w:val="center"/>
                </w:tcPr>
                <w:p w14:paraId="711CFF36">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农村区域</w:t>
                  </w:r>
                </w:p>
              </w:tc>
              <w:tc>
                <w:tcPr>
                  <w:tcW w:w="1402" w:type="dxa"/>
                  <w:tcBorders>
                    <w:tl2br w:val="nil"/>
                    <w:tr2bl w:val="nil"/>
                  </w:tcBorders>
                  <w:noWrap w:val="0"/>
                  <w:vAlign w:val="center"/>
                </w:tcPr>
                <w:p w14:paraId="23B98249">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eastAsia="zh-CN"/>
                    </w:rPr>
                  </w:pPr>
                  <w:r>
                    <w:rPr>
                      <w:rFonts w:hint="default" w:ascii="Times New Roman" w:hAnsi="Times New Roman" w:cs="Times New Roman"/>
                      <w:color w:val="auto"/>
                      <w:szCs w:val="21"/>
                      <w:highlight w:val="none"/>
                      <w:shd w:val="clear" w:color="auto" w:fill="auto"/>
                      <w:lang w:val="en-US" w:eastAsia="zh-CN"/>
                    </w:rPr>
                    <w:t>1</w:t>
                  </w:r>
                  <w:r>
                    <w:rPr>
                      <w:rFonts w:hint="default" w:ascii="Times New Roman" w:hAnsi="Times New Roman" w:cs="Times New Roman"/>
                      <w:color w:val="auto"/>
                      <w:szCs w:val="21"/>
                      <w:highlight w:val="none"/>
                      <w:shd w:val="clear" w:color="auto" w:fill="auto"/>
                    </w:rPr>
                    <w:t>类</w:t>
                  </w:r>
                </w:p>
              </w:tc>
              <w:tc>
                <w:tcPr>
                  <w:tcW w:w="2264" w:type="dxa"/>
                  <w:tcBorders>
                    <w:tl2br w:val="nil"/>
                    <w:tr2bl w:val="nil"/>
                  </w:tcBorders>
                  <w:noWrap w:val="0"/>
                  <w:vAlign w:val="center"/>
                </w:tcPr>
                <w:p w14:paraId="2653E714">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55</w:t>
                  </w:r>
                </w:p>
              </w:tc>
              <w:tc>
                <w:tcPr>
                  <w:tcW w:w="2229" w:type="dxa"/>
                  <w:tcBorders>
                    <w:tl2br w:val="nil"/>
                    <w:tr2bl w:val="nil"/>
                  </w:tcBorders>
                  <w:noWrap w:val="0"/>
                  <w:vAlign w:val="center"/>
                </w:tcPr>
                <w:p w14:paraId="7DA13E74">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45</w:t>
                  </w:r>
                </w:p>
              </w:tc>
            </w:tr>
            <w:tr w14:paraId="61594A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609" w:type="dxa"/>
                  <w:tcBorders>
                    <w:tl2br w:val="nil"/>
                    <w:tr2bl w:val="nil"/>
                  </w:tcBorders>
                  <w:noWrap w:val="0"/>
                  <w:vAlign w:val="center"/>
                </w:tcPr>
                <w:p w14:paraId="2688B259">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居住、商业、工业混杂区</w:t>
                  </w:r>
                </w:p>
              </w:tc>
              <w:tc>
                <w:tcPr>
                  <w:tcW w:w="1402" w:type="dxa"/>
                  <w:tcBorders>
                    <w:tl2br w:val="nil"/>
                    <w:tr2bl w:val="nil"/>
                  </w:tcBorders>
                  <w:noWrap w:val="0"/>
                  <w:vAlign w:val="center"/>
                </w:tcPr>
                <w:p w14:paraId="70E6BBFE">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2</w:t>
                  </w:r>
                  <w:r>
                    <w:rPr>
                      <w:rFonts w:hint="default" w:ascii="Times New Roman" w:hAnsi="Times New Roman" w:cs="Times New Roman"/>
                      <w:color w:val="auto"/>
                      <w:szCs w:val="21"/>
                      <w:highlight w:val="none"/>
                      <w:shd w:val="clear" w:color="auto" w:fill="auto"/>
                    </w:rPr>
                    <w:t>类</w:t>
                  </w:r>
                </w:p>
              </w:tc>
              <w:tc>
                <w:tcPr>
                  <w:tcW w:w="2264" w:type="dxa"/>
                  <w:tcBorders>
                    <w:tl2br w:val="nil"/>
                    <w:tr2bl w:val="nil"/>
                  </w:tcBorders>
                  <w:noWrap w:val="0"/>
                  <w:vAlign w:val="center"/>
                </w:tcPr>
                <w:p w14:paraId="6D04D963">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60</w:t>
                  </w:r>
                </w:p>
              </w:tc>
              <w:tc>
                <w:tcPr>
                  <w:tcW w:w="2229" w:type="dxa"/>
                  <w:tcBorders>
                    <w:tl2br w:val="nil"/>
                    <w:tr2bl w:val="nil"/>
                  </w:tcBorders>
                  <w:noWrap w:val="0"/>
                  <w:vAlign w:val="center"/>
                </w:tcPr>
                <w:p w14:paraId="0DA86FA6">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50</w:t>
                  </w:r>
                </w:p>
              </w:tc>
            </w:tr>
            <w:tr w14:paraId="109C27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609" w:type="dxa"/>
                  <w:tcBorders>
                    <w:tl2br w:val="nil"/>
                    <w:tr2bl w:val="nil"/>
                  </w:tcBorders>
                  <w:noWrap w:val="0"/>
                  <w:vAlign w:val="center"/>
                </w:tcPr>
                <w:p w14:paraId="27D95B1E">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交通干线两侧相应范围内</w:t>
                  </w:r>
                </w:p>
              </w:tc>
              <w:tc>
                <w:tcPr>
                  <w:tcW w:w="1402" w:type="dxa"/>
                  <w:tcBorders>
                    <w:tl2br w:val="nil"/>
                    <w:tr2bl w:val="nil"/>
                  </w:tcBorders>
                  <w:noWrap w:val="0"/>
                  <w:vAlign w:val="center"/>
                </w:tcPr>
                <w:p w14:paraId="43EB141F">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4a</w:t>
                  </w:r>
                  <w:r>
                    <w:rPr>
                      <w:rFonts w:hint="default" w:ascii="Times New Roman" w:hAnsi="Times New Roman" w:cs="Times New Roman"/>
                      <w:color w:val="auto"/>
                      <w:szCs w:val="21"/>
                      <w:highlight w:val="none"/>
                      <w:shd w:val="clear" w:color="auto" w:fill="auto"/>
                    </w:rPr>
                    <w:t>类</w:t>
                  </w:r>
                </w:p>
              </w:tc>
              <w:tc>
                <w:tcPr>
                  <w:tcW w:w="2264" w:type="dxa"/>
                  <w:tcBorders>
                    <w:tl2br w:val="nil"/>
                    <w:tr2bl w:val="nil"/>
                  </w:tcBorders>
                  <w:noWrap w:val="0"/>
                  <w:vAlign w:val="center"/>
                </w:tcPr>
                <w:p w14:paraId="06DC5BEC">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70</w:t>
                  </w:r>
                </w:p>
              </w:tc>
              <w:tc>
                <w:tcPr>
                  <w:tcW w:w="2229" w:type="dxa"/>
                  <w:tcBorders>
                    <w:tl2br w:val="nil"/>
                    <w:tr2bl w:val="nil"/>
                  </w:tcBorders>
                  <w:noWrap w:val="0"/>
                  <w:vAlign w:val="center"/>
                </w:tcPr>
                <w:p w14:paraId="17594423">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55</w:t>
                  </w:r>
                </w:p>
              </w:tc>
            </w:tr>
          </w:tbl>
          <w:p w14:paraId="5C83755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10）</w:t>
            </w:r>
            <w:r>
              <w:rPr>
                <w:rFonts w:hint="default" w:ascii="Times New Roman" w:hAnsi="Times New Roman" w:cs="Times New Roman"/>
                <w:color w:val="auto"/>
                <w:kern w:val="0"/>
                <w:sz w:val="24"/>
                <w:highlight w:val="none"/>
              </w:rPr>
              <w:t>监测结果</w:t>
            </w:r>
          </w:p>
          <w:p w14:paraId="2678BE5A">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声环境现状监测结果</w:t>
            </w:r>
            <w:r>
              <w:rPr>
                <w:rFonts w:hint="default" w:ascii="Times New Roman" w:hAnsi="Times New Roman" w:cs="Times New Roman"/>
                <w:color w:val="auto"/>
                <w:kern w:val="0"/>
                <w:sz w:val="24"/>
                <w:highlight w:val="none"/>
                <w:lang w:val="en-US" w:eastAsia="zh-CN"/>
              </w:rPr>
              <w:t>如下表3-9，</w:t>
            </w:r>
            <w:r>
              <w:rPr>
                <w:rFonts w:hint="default" w:ascii="Times New Roman" w:hAnsi="Times New Roman" w:cs="Times New Roman"/>
                <w:b/>
                <w:bCs/>
                <w:color w:val="auto"/>
                <w:kern w:val="0"/>
                <w:sz w:val="24"/>
                <w:highlight w:val="none"/>
                <w:lang w:val="en-US" w:eastAsia="zh-CN"/>
              </w:rPr>
              <w:t>详见附件</w:t>
            </w:r>
            <w:r>
              <w:rPr>
                <w:rFonts w:hint="eastAsia" w:cs="Times New Roman"/>
                <w:b/>
                <w:bCs/>
                <w:color w:val="auto"/>
                <w:kern w:val="0"/>
                <w:sz w:val="24"/>
                <w:highlight w:val="none"/>
                <w:lang w:val="en-US" w:eastAsia="zh-CN"/>
              </w:rPr>
              <w:t>8</w:t>
            </w:r>
            <w:r>
              <w:rPr>
                <w:rFonts w:hint="default" w:ascii="Times New Roman" w:hAnsi="Times New Roman" w:cs="Times New Roman"/>
                <w:color w:val="auto"/>
                <w:kern w:val="0"/>
                <w:sz w:val="24"/>
                <w:highlight w:val="none"/>
              </w:rPr>
              <w:t>。</w:t>
            </w:r>
          </w:p>
          <w:p w14:paraId="50AAC18E">
            <w:pPr>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rPr>
              <w:t xml:space="preserve">  声环境现状监测结果统计表</w:t>
            </w:r>
            <w:r>
              <w:rPr>
                <w:rFonts w:hint="default" w:ascii="Times New Roman" w:hAnsi="Times New Roman" w:eastAsia="宋体" w:cs="Times New Roman"/>
                <w:b/>
                <w:bCs/>
                <w:color w:val="auto"/>
                <w:sz w:val="24"/>
                <w:highlight w:val="none"/>
                <w:lang w:val="en-US" w:eastAsia="zh-CN"/>
              </w:rPr>
              <w:t xml:space="preserve">  单位：dB(A)</w:t>
            </w:r>
          </w:p>
          <w:tbl>
            <w:tblPr>
              <w:tblStyle w:val="31"/>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658"/>
              <w:gridCol w:w="666"/>
              <w:gridCol w:w="2766"/>
              <w:gridCol w:w="758"/>
              <w:gridCol w:w="629"/>
              <w:gridCol w:w="658"/>
              <w:gridCol w:w="657"/>
              <w:gridCol w:w="646"/>
            </w:tblGrid>
            <w:tr w14:paraId="4A6D6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restart"/>
                  <w:noWrap w:val="0"/>
                  <w:vAlign w:val="center"/>
                </w:tcPr>
                <w:p w14:paraId="273ABA06">
                  <w:pPr>
                    <w:adjustRightInd w:val="0"/>
                    <w:snapToGrid w:val="0"/>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线路所在</w:t>
                  </w:r>
                  <w:r>
                    <w:rPr>
                      <w:rFonts w:hint="default" w:ascii="Times New Roman" w:hAnsi="Times New Roman" w:eastAsia="宋体" w:cs="Times New Roman"/>
                      <w:b/>
                      <w:bCs/>
                      <w:color w:val="auto"/>
                      <w:kern w:val="0"/>
                      <w:sz w:val="21"/>
                      <w:szCs w:val="21"/>
                      <w:highlight w:val="none"/>
                      <w:lang w:eastAsia="zh-CN"/>
                    </w:rPr>
                    <w:t>行政区域</w:t>
                  </w:r>
                </w:p>
              </w:tc>
              <w:tc>
                <w:tcPr>
                  <w:tcW w:w="658" w:type="dxa"/>
                  <w:vMerge w:val="restart"/>
                  <w:noWrap w:val="0"/>
                  <w:vAlign w:val="center"/>
                </w:tcPr>
                <w:p w14:paraId="56059A32">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测点</w:t>
                  </w:r>
                </w:p>
                <w:p w14:paraId="6B655B2A">
                  <w:pPr>
                    <w:adjustRightInd w:val="0"/>
                    <w:snapToGrid w:val="0"/>
                    <w:jc w:val="center"/>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rPr>
                    <w:t>序号</w:t>
                  </w:r>
                </w:p>
              </w:tc>
              <w:tc>
                <w:tcPr>
                  <w:tcW w:w="3432" w:type="dxa"/>
                  <w:gridSpan w:val="2"/>
                  <w:vMerge w:val="restart"/>
                  <w:noWrap w:val="0"/>
                  <w:vAlign w:val="center"/>
                </w:tcPr>
                <w:p w14:paraId="3383AF88">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lang w:eastAsia="zh-CN"/>
                    </w:rPr>
                    <w:t>监测</w:t>
                  </w:r>
                  <w:r>
                    <w:rPr>
                      <w:rFonts w:hint="default" w:ascii="Times New Roman" w:hAnsi="Times New Roman" w:eastAsia="宋体" w:cs="Times New Roman"/>
                      <w:b/>
                      <w:bCs/>
                      <w:color w:val="auto"/>
                      <w:kern w:val="0"/>
                      <w:sz w:val="21"/>
                      <w:szCs w:val="21"/>
                      <w:highlight w:val="none"/>
                    </w:rPr>
                    <w:t>点位</w:t>
                  </w:r>
                </w:p>
              </w:tc>
              <w:tc>
                <w:tcPr>
                  <w:tcW w:w="758" w:type="dxa"/>
                  <w:vMerge w:val="restart"/>
                  <w:noWrap w:val="0"/>
                  <w:vAlign w:val="center"/>
                </w:tcPr>
                <w:p w14:paraId="0F0AB0E4">
                  <w:pPr>
                    <w:adjustRightInd w:val="0"/>
                    <w:snapToGrid w:val="0"/>
                    <w:jc w:val="center"/>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eastAsia="zh-CN"/>
                    </w:rPr>
                    <w:t>测量</w:t>
                  </w:r>
                </w:p>
                <w:p w14:paraId="5C1B954C">
                  <w:pPr>
                    <w:adjustRightInd w:val="0"/>
                    <w:snapToGrid w:val="0"/>
                    <w:jc w:val="center"/>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eastAsia="zh-CN"/>
                    </w:rPr>
                    <w:t>高度（</w:t>
                  </w:r>
                  <w:r>
                    <w:rPr>
                      <w:rFonts w:hint="default" w:ascii="Times New Roman" w:hAnsi="Times New Roman" w:eastAsia="宋体" w:cs="Times New Roman"/>
                      <w:b/>
                      <w:bCs/>
                      <w:color w:val="auto"/>
                      <w:kern w:val="0"/>
                      <w:sz w:val="21"/>
                      <w:szCs w:val="21"/>
                      <w:highlight w:val="none"/>
                      <w:lang w:val="en-US" w:eastAsia="zh-CN"/>
                    </w:rPr>
                    <w:t>m</w:t>
                  </w:r>
                  <w:r>
                    <w:rPr>
                      <w:rFonts w:hint="default" w:ascii="Times New Roman" w:hAnsi="Times New Roman" w:eastAsia="宋体" w:cs="Times New Roman"/>
                      <w:b/>
                      <w:bCs/>
                      <w:color w:val="auto"/>
                      <w:kern w:val="0"/>
                      <w:sz w:val="21"/>
                      <w:szCs w:val="21"/>
                      <w:highlight w:val="none"/>
                      <w:lang w:eastAsia="zh-CN"/>
                    </w:rPr>
                    <w:t>）</w:t>
                  </w:r>
                </w:p>
              </w:tc>
              <w:tc>
                <w:tcPr>
                  <w:tcW w:w="1287" w:type="dxa"/>
                  <w:gridSpan w:val="2"/>
                  <w:noWrap w:val="0"/>
                  <w:vAlign w:val="center"/>
                </w:tcPr>
                <w:p w14:paraId="2FC35173">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昼间</w:t>
                  </w:r>
                </w:p>
              </w:tc>
              <w:tc>
                <w:tcPr>
                  <w:tcW w:w="1303" w:type="dxa"/>
                  <w:gridSpan w:val="2"/>
                  <w:noWrap w:val="0"/>
                  <w:vAlign w:val="center"/>
                </w:tcPr>
                <w:p w14:paraId="70103B67">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夜间</w:t>
                  </w:r>
                </w:p>
              </w:tc>
            </w:tr>
            <w:tr w14:paraId="3EFB5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continue"/>
                  <w:noWrap w:val="0"/>
                  <w:vAlign w:val="center"/>
                </w:tcPr>
                <w:p w14:paraId="35F97D8C">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vMerge w:val="continue"/>
                  <w:noWrap w:val="0"/>
                  <w:vAlign w:val="center"/>
                </w:tcPr>
                <w:p w14:paraId="54C56F75">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3432" w:type="dxa"/>
                  <w:gridSpan w:val="2"/>
                  <w:vMerge w:val="continue"/>
                  <w:noWrap w:val="0"/>
                  <w:vAlign w:val="center"/>
                </w:tcPr>
                <w:p w14:paraId="66179FCB">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758" w:type="dxa"/>
                  <w:vMerge w:val="continue"/>
                  <w:noWrap w:val="0"/>
                  <w:vAlign w:val="center"/>
                </w:tcPr>
                <w:p w14:paraId="63D42CB1">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29" w:type="dxa"/>
                  <w:noWrap w:val="0"/>
                  <w:vAlign w:val="center"/>
                </w:tcPr>
                <w:p w14:paraId="118D13C1">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监测值</w:t>
                  </w:r>
                </w:p>
              </w:tc>
              <w:tc>
                <w:tcPr>
                  <w:tcW w:w="658" w:type="dxa"/>
                  <w:noWrap w:val="0"/>
                  <w:vAlign w:val="center"/>
                </w:tcPr>
                <w:p w14:paraId="42CE5956">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标</w:t>
                  </w:r>
                </w:p>
                <w:p w14:paraId="6F93D2A9">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准</w:t>
                  </w:r>
                </w:p>
                <w:p w14:paraId="2E3E1664">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值</w:t>
                  </w:r>
                </w:p>
              </w:tc>
              <w:tc>
                <w:tcPr>
                  <w:tcW w:w="657" w:type="dxa"/>
                  <w:noWrap w:val="0"/>
                  <w:vAlign w:val="center"/>
                </w:tcPr>
                <w:p w14:paraId="34ACE2A0">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监</w:t>
                  </w:r>
                </w:p>
                <w:p w14:paraId="170B6438">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测</w:t>
                  </w:r>
                </w:p>
                <w:p w14:paraId="3FE00416">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值</w:t>
                  </w:r>
                </w:p>
              </w:tc>
              <w:tc>
                <w:tcPr>
                  <w:tcW w:w="646" w:type="dxa"/>
                  <w:noWrap w:val="0"/>
                  <w:vAlign w:val="center"/>
                </w:tcPr>
                <w:p w14:paraId="68A4D840">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标</w:t>
                  </w:r>
                </w:p>
                <w:p w14:paraId="2D26EAEF">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准</w:t>
                  </w:r>
                </w:p>
                <w:p w14:paraId="29EF713A">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值</w:t>
                  </w:r>
                </w:p>
              </w:tc>
            </w:tr>
            <w:tr w14:paraId="50C29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restart"/>
                  <w:noWrap w:val="0"/>
                  <w:vAlign w:val="center"/>
                </w:tcPr>
                <w:p w14:paraId="45C4359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固原</w:t>
                  </w:r>
                  <w:r>
                    <w:rPr>
                      <w:rFonts w:hint="default" w:ascii="Times New Roman" w:hAnsi="Times New Roman" w:eastAsia="宋体" w:cs="Times New Roman"/>
                      <w:color w:val="auto"/>
                      <w:sz w:val="21"/>
                      <w:szCs w:val="21"/>
                      <w:highlight w:val="none"/>
                    </w:rPr>
                    <w:t>市</w:t>
                  </w:r>
                </w:p>
                <w:p w14:paraId="3057F7CE">
                  <w:pPr>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原州区</w:t>
                  </w:r>
                </w:p>
              </w:tc>
              <w:tc>
                <w:tcPr>
                  <w:tcW w:w="658" w:type="dxa"/>
                  <w:noWrap w:val="0"/>
                  <w:vAlign w:val="center"/>
                </w:tcPr>
                <w:p w14:paraId="0126C75E">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666" w:type="dxa"/>
                  <w:vMerge w:val="restart"/>
                  <w:noWrap w:val="0"/>
                  <w:vAlign w:val="center"/>
                </w:tcPr>
                <w:p w14:paraId="64A32E8E">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云雾山330千伏变电站</w:t>
                  </w:r>
                </w:p>
              </w:tc>
              <w:tc>
                <w:tcPr>
                  <w:tcW w:w="2766" w:type="dxa"/>
                  <w:noWrap w:val="0"/>
                  <w:vAlign w:val="center"/>
                </w:tcPr>
                <w:p w14:paraId="143439E6">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云雾山330千伏变电站东侧</w:t>
                  </w:r>
                </w:p>
              </w:tc>
              <w:tc>
                <w:tcPr>
                  <w:tcW w:w="758" w:type="dxa"/>
                  <w:noWrap w:val="0"/>
                  <w:vAlign w:val="center"/>
                </w:tcPr>
                <w:p w14:paraId="733B000F">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0430A71E">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43</w:t>
                  </w:r>
                </w:p>
              </w:tc>
              <w:tc>
                <w:tcPr>
                  <w:tcW w:w="658" w:type="dxa"/>
                  <w:vMerge w:val="restart"/>
                  <w:noWrap w:val="0"/>
                  <w:vAlign w:val="center"/>
                </w:tcPr>
                <w:p w14:paraId="0E651066">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60</w:t>
                  </w:r>
                </w:p>
              </w:tc>
              <w:tc>
                <w:tcPr>
                  <w:tcW w:w="657" w:type="dxa"/>
                  <w:noWrap w:val="0"/>
                  <w:vAlign w:val="center"/>
                </w:tcPr>
                <w:p w14:paraId="6243032E">
                  <w:pPr>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lang w:val="en-US" w:eastAsia="zh-CN" w:bidi="ar-SA"/>
                    </w:rPr>
                    <w:t>41</w:t>
                  </w:r>
                </w:p>
              </w:tc>
              <w:tc>
                <w:tcPr>
                  <w:tcW w:w="646" w:type="dxa"/>
                  <w:vMerge w:val="restart"/>
                  <w:noWrap w:val="0"/>
                  <w:vAlign w:val="center"/>
                </w:tcPr>
                <w:p w14:paraId="55B6777D">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50</w:t>
                  </w:r>
                </w:p>
              </w:tc>
            </w:tr>
            <w:tr w14:paraId="078321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continue"/>
                  <w:noWrap w:val="0"/>
                  <w:vAlign w:val="center"/>
                </w:tcPr>
                <w:p w14:paraId="527DDF53">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noWrap w:val="0"/>
                  <w:vAlign w:val="center"/>
                </w:tcPr>
                <w:p w14:paraId="0E4BFBE7">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666" w:type="dxa"/>
                  <w:vMerge w:val="continue"/>
                  <w:noWrap w:val="0"/>
                  <w:vAlign w:val="center"/>
                </w:tcPr>
                <w:p w14:paraId="73F1B6D9">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2766" w:type="dxa"/>
                  <w:noWrap w:val="0"/>
                  <w:vAlign w:val="center"/>
                </w:tcPr>
                <w:p w14:paraId="3630FC5D">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云雾山330千伏变电站南侧（110千伏配电装置西起第19个出线间隔）</w:t>
                  </w:r>
                </w:p>
              </w:tc>
              <w:tc>
                <w:tcPr>
                  <w:tcW w:w="758" w:type="dxa"/>
                  <w:noWrap w:val="0"/>
                  <w:vAlign w:val="center"/>
                </w:tcPr>
                <w:p w14:paraId="17072DFA">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2C114365">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43</w:t>
                  </w:r>
                </w:p>
              </w:tc>
              <w:tc>
                <w:tcPr>
                  <w:tcW w:w="658" w:type="dxa"/>
                  <w:vMerge w:val="continue"/>
                  <w:noWrap w:val="0"/>
                  <w:vAlign w:val="center"/>
                </w:tcPr>
                <w:p w14:paraId="23428B60">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7" w:type="dxa"/>
                  <w:noWrap w:val="0"/>
                  <w:vAlign w:val="center"/>
                </w:tcPr>
                <w:p w14:paraId="17AB80F0">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41</w:t>
                  </w:r>
                </w:p>
              </w:tc>
              <w:tc>
                <w:tcPr>
                  <w:tcW w:w="646" w:type="dxa"/>
                  <w:vMerge w:val="continue"/>
                  <w:noWrap w:val="0"/>
                  <w:vAlign w:val="center"/>
                </w:tcPr>
                <w:p w14:paraId="776D3CB2">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523F4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jc w:val="center"/>
              </w:trPr>
              <w:tc>
                <w:tcPr>
                  <w:tcW w:w="1066" w:type="dxa"/>
                  <w:vMerge w:val="continue"/>
                  <w:noWrap w:val="0"/>
                  <w:vAlign w:val="center"/>
                </w:tcPr>
                <w:p w14:paraId="236EB02A">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noWrap w:val="0"/>
                  <w:vAlign w:val="center"/>
                </w:tcPr>
                <w:p w14:paraId="5D505DA2">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w:t>
                  </w:r>
                </w:p>
              </w:tc>
              <w:tc>
                <w:tcPr>
                  <w:tcW w:w="666" w:type="dxa"/>
                  <w:vMerge w:val="continue"/>
                  <w:noWrap w:val="0"/>
                  <w:vAlign w:val="center"/>
                </w:tcPr>
                <w:p w14:paraId="7FA51E3F">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2766" w:type="dxa"/>
                  <w:noWrap w:val="0"/>
                  <w:vAlign w:val="center"/>
                </w:tcPr>
                <w:p w14:paraId="496918CA">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云雾山330千伏变电站西侧</w:t>
                  </w:r>
                </w:p>
              </w:tc>
              <w:tc>
                <w:tcPr>
                  <w:tcW w:w="758" w:type="dxa"/>
                  <w:noWrap w:val="0"/>
                  <w:vAlign w:val="center"/>
                </w:tcPr>
                <w:p w14:paraId="35833A38">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173C06F8">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45</w:t>
                  </w:r>
                </w:p>
              </w:tc>
              <w:tc>
                <w:tcPr>
                  <w:tcW w:w="658" w:type="dxa"/>
                  <w:vMerge w:val="continue"/>
                  <w:noWrap w:val="0"/>
                  <w:vAlign w:val="center"/>
                </w:tcPr>
                <w:p w14:paraId="00983CBF">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7" w:type="dxa"/>
                  <w:noWrap w:val="0"/>
                  <w:vAlign w:val="center"/>
                </w:tcPr>
                <w:p w14:paraId="1BB22DD9">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42</w:t>
                  </w:r>
                </w:p>
              </w:tc>
              <w:tc>
                <w:tcPr>
                  <w:tcW w:w="646" w:type="dxa"/>
                  <w:vMerge w:val="continue"/>
                  <w:noWrap w:val="0"/>
                  <w:vAlign w:val="center"/>
                </w:tcPr>
                <w:p w14:paraId="4F4A637D">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0CED2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continue"/>
                  <w:noWrap w:val="0"/>
                  <w:vAlign w:val="center"/>
                </w:tcPr>
                <w:p w14:paraId="0B51B4E7">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noWrap w:val="0"/>
                  <w:vAlign w:val="center"/>
                </w:tcPr>
                <w:p w14:paraId="214B0E62">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4</w:t>
                  </w:r>
                  <w:r>
                    <w:rPr>
                      <w:rFonts w:hint="default" w:ascii="Times New Roman" w:hAnsi="Times New Roman" w:eastAsia="宋体" w:cs="Times New Roman"/>
                      <w:color w:val="auto"/>
                      <w:kern w:val="0"/>
                      <w:sz w:val="21"/>
                      <w:szCs w:val="21"/>
                      <w:highlight w:val="none"/>
                    </w:rPr>
                    <w:t>#</w:t>
                  </w:r>
                </w:p>
              </w:tc>
              <w:tc>
                <w:tcPr>
                  <w:tcW w:w="666" w:type="dxa"/>
                  <w:vMerge w:val="continue"/>
                  <w:noWrap w:val="0"/>
                  <w:vAlign w:val="center"/>
                </w:tcPr>
                <w:p w14:paraId="2595722A">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2766" w:type="dxa"/>
                  <w:noWrap w:val="0"/>
                  <w:vAlign w:val="center"/>
                </w:tcPr>
                <w:p w14:paraId="10FA732D">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云雾山330千伏变电站北侧</w:t>
                  </w:r>
                </w:p>
              </w:tc>
              <w:tc>
                <w:tcPr>
                  <w:tcW w:w="758" w:type="dxa"/>
                  <w:noWrap w:val="0"/>
                  <w:vAlign w:val="center"/>
                </w:tcPr>
                <w:p w14:paraId="381E6912">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4D2BC452">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44</w:t>
                  </w:r>
                </w:p>
              </w:tc>
              <w:tc>
                <w:tcPr>
                  <w:tcW w:w="658" w:type="dxa"/>
                  <w:vMerge w:val="continue"/>
                  <w:noWrap w:val="0"/>
                  <w:vAlign w:val="center"/>
                </w:tcPr>
                <w:p w14:paraId="19914C0C">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7" w:type="dxa"/>
                  <w:noWrap w:val="0"/>
                  <w:vAlign w:val="center"/>
                </w:tcPr>
                <w:p w14:paraId="1447C575">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40</w:t>
                  </w:r>
                </w:p>
              </w:tc>
              <w:tc>
                <w:tcPr>
                  <w:tcW w:w="646" w:type="dxa"/>
                  <w:vMerge w:val="continue"/>
                  <w:noWrap w:val="0"/>
                  <w:vAlign w:val="center"/>
                </w:tcPr>
                <w:p w14:paraId="4F3EA9CA">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217138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restart"/>
                  <w:noWrap w:val="0"/>
                  <w:vAlign w:val="center"/>
                </w:tcPr>
                <w:p w14:paraId="2A0C000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固原</w:t>
                  </w:r>
                  <w:r>
                    <w:rPr>
                      <w:rFonts w:hint="default" w:ascii="Times New Roman" w:hAnsi="Times New Roman" w:eastAsia="宋体" w:cs="Times New Roman"/>
                      <w:color w:val="auto"/>
                      <w:sz w:val="21"/>
                      <w:szCs w:val="21"/>
                      <w:highlight w:val="none"/>
                    </w:rPr>
                    <w:t>市</w:t>
                  </w:r>
                </w:p>
                <w:p w14:paraId="7FD2232A">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color w:val="auto"/>
                      <w:sz w:val="21"/>
                      <w:szCs w:val="21"/>
                      <w:highlight w:val="none"/>
                      <w:lang w:eastAsia="zh-CN"/>
                    </w:rPr>
                    <w:t>原州区</w:t>
                  </w:r>
                </w:p>
              </w:tc>
              <w:tc>
                <w:tcPr>
                  <w:tcW w:w="658" w:type="dxa"/>
                  <w:noWrap w:val="0"/>
                  <w:vAlign w:val="center"/>
                </w:tcPr>
                <w:p w14:paraId="734B55DF">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5#</w:t>
                  </w:r>
                </w:p>
              </w:tc>
              <w:tc>
                <w:tcPr>
                  <w:tcW w:w="666" w:type="dxa"/>
                  <w:vMerge w:val="restart"/>
                  <w:noWrap w:val="0"/>
                  <w:vAlign w:val="center"/>
                </w:tcPr>
                <w:p w14:paraId="09E4ABBB">
                  <w:pPr>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变电站声敏感目标</w:t>
                  </w:r>
                </w:p>
              </w:tc>
              <w:tc>
                <w:tcPr>
                  <w:tcW w:w="2766" w:type="dxa"/>
                  <w:noWrap w:val="0"/>
                  <w:vAlign w:val="center"/>
                </w:tcPr>
                <w:p w14:paraId="2634BE61">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变电站</w:t>
                  </w:r>
                  <w:r>
                    <w:rPr>
                      <w:rFonts w:hint="eastAsia" w:cs="Times New Roman"/>
                      <w:snapToGrid w:val="0"/>
                      <w:color w:val="auto"/>
                      <w:kern w:val="0"/>
                      <w:sz w:val="21"/>
                      <w:szCs w:val="21"/>
                      <w:lang w:val="en-US" w:eastAsia="zh-CN" w:bidi="ar-SA"/>
                    </w:rPr>
                    <w:t>西</w:t>
                  </w:r>
                  <w:r>
                    <w:rPr>
                      <w:rFonts w:hint="default" w:ascii="Times New Roman" w:hAnsi="Times New Roman" w:eastAsia="宋体" w:cs="Times New Roman"/>
                      <w:snapToGrid w:val="0"/>
                      <w:color w:val="auto"/>
                      <w:kern w:val="0"/>
                      <w:sz w:val="21"/>
                      <w:szCs w:val="21"/>
                      <w:lang w:val="en-US" w:eastAsia="zh-CN" w:bidi="ar-SA"/>
                    </w:rPr>
                    <w:t>北侧1</w:t>
                  </w:r>
                  <w:r>
                    <w:rPr>
                      <w:rFonts w:hint="eastAsia" w:cs="Times New Roman"/>
                      <w:snapToGrid w:val="0"/>
                      <w:color w:val="auto"/>
                      <w:kern w:val="0"/>
                      <w:sz w:val="21"/>
                      <w:szCs w:val="21"/>
                      <w:lang w:val="en-US" w:eastAsia="zh-CN" w:bidi="ar-SA"/>
                    </w:rPr>
                    <w:t>63</w:t>
                  </w:r>
                  <w:r>
                    <w:rPr>
                      <w:rFonts w:hint="default" w:ascii="Times New Roman" w:hAnsi="Times New Roman" w:eastAsia="宋体" w:cs="Times New Roman"/>
                      <w:snapToGrid w:val="0"/>
                      <w:color w:val="auto"/>
                      <w:kern w:val="0"/>
                      <w:sz w:val="21"/>
                      <w:szCs w:val="21"/>
                      <w:lang w:val="en-US" w:eastAsia="zh-CN" w:bidi="ar-SA"/>
                    </w:rPr>
                    <w:t>m上黄村</w:t>
                  </w:r>
                </w:p>
                <w:p w14:paraId="1178B797">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黄明子家民房</w:t>
                  </w:r>
                </w:p>
              </w:tc>
              <w:tc>
                <w:tcPr>
                  <w:tcW w:w="758" w:type="dxa"/>
                  <w:noWrap w:val="0"/>
                  <w:vAlign w:val="center"/>
                </w:tcPr>
                <w:p w14:paraId="5B2FAEEA">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59106D9B">
                  <w:pPr>
                    <w:jc w:val="center"/>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43</w:t>
                  </w:r>
                </w:p>
              </w:tc>
              <w:tc>
                <w:tcPr>
                  <w:tcW w:w="658" w:type="dxa"/>
                  <w:vMerge w:val="restart"/>
                  <w:noWrap w:val="0"/>
                  <w:vAlign w:val="center"/>
                </w:tcPr>
                <w:p w14:paraId="3F6C855E">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55</w:t>
                  </w:r>
                </w:p>
              </w:tc>
              <w:tc>
                <w:tcPr>
                  <w:tcW w:w="657" w:type="dxa"/>
                  <w:noWrap w:val="0"/>
                  <w:vAlign w:val="center"/>
                </w:tcPr>
                <w:p w14:paraId="3D343F9D">
                  <w:pPr>
                    <w:jc w:val="center"/>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41</w:t>
                  </w:r>
                </w:p>
              </w:tc>
              <w:tc>
                <w:tcPr>
                  <w:tcW w:w="646" w:type="dxa"/>
                  <w:vMerge w:val="restart"/>
                  <w:noWrap w:val="0"/>
                  <w:vAlign w:val="center"/>
                </w:tcPr>
                <w:p w14:paraId="2A412ABA">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45</w:t>
                  </w:r>
                </w:p>
              </w:tc>
            </w:tr>
            <w:tr w14:paraId="542F5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continue"/>
                  <w:noWrap w:val="0"/>
                  <w:vAlign w:val="center"/>
                </w:tcPr>
                <w:p w14:paraId="7E541CF9">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noWrap w:val="0"/>
                  <w:vAlign w:val="center"/>
                </w:tcPr>
                <w:p w14:paraId="2EC5791D">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 xml:space="preserve">6# </w:t>
                  </w:r>
                </w:p>
              </w:tc>
              <w:tc>
                <w:tcPr>
                  <w:tcW w:w="666" w:type="dxa"/>
                  <w:vMerge w:val="continue"/>
                  <w:noWrap w:val="0"/>
                  <w:vAlign w:val="center"/>
                </w:tcPr>
                <w:p w14:paraId="5D38AAC9">
                  <w:pPr>
                    <w:jc w:val="center"/>
                    <w:rPr>
                      <w:rFonts w:hint="default" w:ascii="Times New Roman" w:hAnsi="Times New Roman" w:eastAsia="宋体" w:cs="Times New Roman"/>
                      <w:b w:val="0"/>
                      <w:bCs w:val="0"/>
                      <w:color w:val="auto"/>
                      <w:kern w:val="0"/>
                      <w:sz w:val="21"/>
                      <w:szCs w:val="21"/>
                      <w:highlight w:val="none"/>
                      <w:lang w:val="en-US" w:eastAsia="zh-CN"/>
                    </w:rPr>
                  </w:pPr>
                </w:p>
              </w:tc>
              <w:tc>
                <w:tcPr>
                  <w:tcW w:w="2766" w:type="dxa"/>
                  <w:noWrap w:val="0"/>
                  <w:vAlign w:val="center"/>
                </w:tcPr>
                <w:p w14:paraId="6A4E0D00">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变电站西北侧1</w:t>
                  </w:r>
                  <w:r>
                    <w:rPr>
                      <w:rFonts w:hint="eastAsia" w:cs="Times New Roman"/>
                      <w:snapToGrid w:val="0"/>
                      <w:color w:val="auto"/>
                      <w:kern w:val="0"/>
                      <w:sz w:val="21"/>
                      <w:szCs w:val="21"/>
                      <w:lang w:val="en-US" w:eastAsia="zh-CN" w:bidi="ar-SA"/>
                    </w:rPr>
                    <w:t>80</w:t>
                  </w:r>
                  <w:r>
                    <w:rPr>
                      <w:rFonts w:hint="default" w:ascii="Times New Roman" w:hAnsi="Times New Roman" w:eastAsia="宋体" w:cs="Times New Roman"/>
                      <w:snapToGrid w:val="0"/>
                      <w:color w:val="auto"/>
                      <w:kern w:val="0"/>
                      <w:sz w:val="21"/>
                      <w:szCs w:val="21"/>
                      <w:lang w:val="en-US" w:eastAsia="zh-CN" w:bidi="ar-SA"/>
                    </w:rPr>
                    <w:t>m上黄村黄正吉家民房</w:t>
                  </w:r>
                </w:p>
              </w:tc>
              <w:tc>
                <w:tcPr>
                  <w:tcW w:w="758" w:type="dxa"/>
                  <w:noWrap w:val="0"/>
                  <w:vAlign w:val="center"/>
                </w:tcPr>
                <w:p w14:paraId="6F28F878">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48268EE2">
                  <w:pPr>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lang w:val="en-US" w:eastAsia="zh-CN" w:bidi="ar-SA"/>
                    </w:rPr>
                    <w:t>42</w:t>
                  </w:r>
                </w:p>
              </w:tc>
              <w:tc>
                <w:tcPr>
                  <w:tcW w:w="658" w:type="dxa"/>
                  <w:vMerge w:val="continue"/>
                  <w:noWrap w:val="0"/>
                  <w:vAlign w:val="center"/>
                </w:tcPr>
                <w:p w14:paraId="7DB00E7F">
                  <w:pPr>
                    <w:adjustRightInd w:val="0"/>
                    <w:snapToGrid w:val="0"/>
                    <w:jc w:val="center"/>
                    <w:rPr>
                      <w:rFonts w:hint="default" w:ascii="Times New Roman" w:hAnsi="Times New Roman" w:eastAsia="宋体" w:cs="Times New Roman"/>
                      <w:b w:val="0"/>
                      <w:bCs w:val="0"/>
                      <w:color w:val="auto"/>
                      <w:kern w:val="0"/>
                      <w:sz w:val="21"/>
                      <w:szCs w:val="21"/>
                      <w:highlight w:val="none"/>
                    </w:rPr>
                  </w:pPr>
                </w:p>
              </w:tc>
              <w:tc>
                <w:tcPr>
                  <w:tcW w:w="657" w:type="dxa"/>
                  <w:noWrap w:val="0"/>
                  <w:vAlign w:val="center"/>
                </w:tcPr>
                <w:p w14:paraId="62EC51D2">
                  <w:pPr>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lang w:val="en-US" w:eastAsia="zh-CN" w:bidi="ar-SA"/>
                    </w:rPr>
                    <w:t>40</w:t>
                  </w:r>
                </w:p>
              </w:tc>
              <w:tc>
                <w:tcPr>
                  <w:tcW w:w="646" w:type="dxa"/>
                  <w:vMerge w:val="continue"/>
                  <w:noWrap w:val="0"/>
                  <w:vAlign w:val="center"/>
                </w:tcPr>
                <w:p w14:paraId="0C7E5317">
                  <w:pPr>
                    <w:adjustRightInd w:val="0"/>
                    <w:snapToGrid w:val="0"/>
                    <w:jc w:val="center"/>
                    <w:rPr>
                      <w:rFonts w:hint="default" w:ascii="Times New Roman" w:hAnsi="Times New Roman" w:eastAsia="宋体" w:cs="Times New Roman"/>
                      <w:b w:val="0"/>
                      <w:bCs w:val="0"/>
                      <w:color w:val="auto"/>
                      <w:kern w:val="0"/>
                      <w:sz w:val="21"/>
                      <w:szCs w:val="21"/>
                      <w:highlight w:val="none"/>
                    </w:rPr>
                  </w:pPr>
                </w:p>
              </w:tc>
            </w:tr>
            <w:tr w14:paraId="7EC41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continue"/>
                  <w:noWrap w:val="0"/>
                  <w:vAlign w:val="center"/>
                </w:tcPr>
                <w:p w14:paraId="23FF20B3">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noWrap w:val="0"/>
                  <w:vAlign w:val="center"/>
                </w:tcPr>
                <w:p w14:paraId="04EFE6BB">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7#</w:t>
                  </w:r>
                </w:p>
              </w:tc>
              <w:tc>
                <w:tcPr>
                  <w:tcW w:w="666" w:type="dxa"/>
                  <w:vMerge w:val="continue"/>
                  <w:noWrap w:val="0"/>
                  <w:vAlign w:val="center"/>
                </w:tcPr>
                <w:p w14:paraId="6AC6A1C0">
                  <w:pPr>
                    <w:jc w:val="center"/>
                    <w:rPr>
                      <w:rFonts w:hint="default" w:ascii="Times New Roman" w:hAnsi="Times New Roman" w:eastAsia="宋体" w:cs="Times New Roman"/>
                      <w:b w:val="0"/>
                      <w:bCs w:val="0"/>
                      <w:color w:val="auto"/>
                      <w:kern w:val="0"/>
                      <w:sz w:val="21"/>
                      <w:szCs w:val="21"/>
                      <w:highlight w:val="none"/>
                      <w:lang w:val="en-US" w:eastAsia="zh-CN"/>
                    </w:rPr>
                  </w:pPr>
                </w:p>
              </w:tc>
              <w:tc>
                <w:tcPr>
                  <w:tcW w:w="2766" w:type="dxa"/>
                  <w:noWrap w:val="0"/>
                  <w:vAlign w:val="center"/>
                </w:tcPr>
                <w:p w14:paraId="09E5FD48">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变电站西北侧1</w:t>
                  </w:r>
                  <w:r>
                    <w:rPr>
                      <w:rFonts w:hint="eastAsia" w:cs="Times New Roman"/>
                      <w:snapToGrid w:val="0"/>
                      <w:color w:val="auto"/>
                      <w:kern w:val="0"/>
                      <w:sz w:val="21"/>
                      <w:szCs w:val="21"/>
                      <w:lang w:val="en-US" w:eastAsia="zh-CN" w:bidi="ar-SA"/>
                    </w:rPr>
                    <w:t>72</w:t>
                  </w:r>
                  <w:r>
                    <w:rPr>
                      <w:rFonts w:hint="default" w:ascii="Times New Roman" w:hAnsi="Times New Roman" w:eastAsia="宋体" w:cs="Times New Roman"/>
                      <w:snapToGrid w:val="0"/>
                      <w:color w:val="auto"/>
                      <w:kern w:val="0"/>
                      <w:sz w:val="21"/>
                      <w:szCs w:val="21"/>
                      <w:lang w:val="en-US" w:eastAsia="zh-CN" w:bidi="ar-SA"/>
                    </w:rPr>
                    <w:t>m上黄村黄</w:t>
                  </w:r>
                  <w:r>
                    <w:rPr>
                      <w:rFonts w:hint="eastAsia" w:cs="Times New Roman"/>
                      <w:snapToGrid w:val="0"/>
                      <w:color w:val="auto"/>
                      <w:kern w:val="0"/>
                      <w:sz w:val="21"/>
                      <w:szCs w:val="21"/>
                      <w:lang w:val="en-US" w:eastAsia="zh-CN" w:bidi="ar-SA"/>
                    </w:rPr>
                    <w:t>文辉</w:t>
                  </w:r>
                  <w:r>
                    <w:rPr>
                      <w:rFonts w:hint="default" w:ascii="Times New Roman" w:hAnsi="Times New Roman" w:eastAsia="宋体" w:cs="Times New Roman"/>
                      <w:snapToGrid w:val="0"/>
                      <w:color w:val="auto"/>
                      <w:kern w:val="0"/>
                      <w:sz w:val="21"/>
                      <w:szCs w:val="21"/>
                      <w:lang w:val="en-US" w:eastAsia="zh-CN" w:bidi="ar-SA"/>
                    </w:rPr>
                    <w:t>家民房</w:t>
                  </w:r>
                </w:p>
              </w:tc>
              <w:tc>
                <w:tcPr>
                  <w:tcW w:w="758" w:type="dxa"/>
                  <w:noWrap w:val="0"/>
                  <w:vAlign w:val="center"/>
                </w:tcPr>
                <w:p w14:paraId="3A310B93">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034F027D">
                  <w:pPr>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lang w:val="en-US" w:eastAsia="zh-CN" w:bidi="ar-SA"/>
                    </w:rPr>
                    <w:t>42</w:t>
                  </w:r>
                </w:p>
              </w:tc>
              <w:tc>
                <w:tcPr>
                  <w:tcW w:w="658" w:type="dxa"/>
                  <w:vMerge w:val="continue"/>
                  <w:noWrap w:val="0"/>
                  <w:vAlign w:val="center"/>
                </w:tcPr>
                <w:p w14:paraId="78B5F394">
                  <w:pPr>
                    <w:adjustRightInd w:val="0"/>
                    <w:snapToGrid w:val="0"/>
                    <w:jc w:val="center"/>
                    <w:rPr>
                      <w:rFonts w:hint="default" w:ascii="Times New Roman" w:hAnsi="Times New Roman" w:eastAsia="宋体" w:cs="Times New Roman"/>
                      <w:b w:val="0"/>
                      <w:bCs w:val="0"/>
                      <w:color w:val="auto"/>
                      <w:kern w:val="0"/>
                      <w:sz w:val="21"/>
                      <w:szCs w:val="21"/>
                      <w:highlight w:val="none"/>
                    </w:rPr>
                  </w:pPr>
                </w:p>
              </w:tc>
              <w:tc>
                <w:tcPr>
                  <w:tcW w:w="657" w:type="dxa"/>
                  <w:noWrap w:val="0"/>
                  <w:vAlign w:val="center"/>
                </w:tcPr>
                <w:p w14:paraId="0A909CDD">
                  <w:pPr>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lang w:val="en-US" w:eastAsia="zh-CN" w:bidi="ar-SA"/>
                    </w:rPr>
                    <w:t>41</w:t>
                  </w:r>
                </w:p>
              </w:tc>
              <w:tc>
                <w:tcPr>
                  <w:tcW w:w="646" w:type="dxa"/>
                  <w:vMerge w:val="continue"/>
                  <w:noWrap w:val="0"/>
                  <w:vAlign w:val="center"/>
                </w:tcPr>
                <w:p w14:paraId="1504B60F">
                  <w:pPr>
                    <w:adjustRightInd w:val="0"/>
                    <w:snapToGrid w:val="0"/>
                    <w:jc w:val="center"/>
                    <w:rPr>
                      <w:rFonts w:hint="default" w:ascii="Times New Roman" w:hAnsi="Times New Roman" w:eastAsia="宋体" w:cs="Times New Roman"/>
                      <w:b w:val="0"/>
                      <w:bCs w:val="0"/>
                      <w:color w:val="auto"/>
                      <w:kern w:val="0"/>
                      <w:sz w:val="21"/>
                      <w:szCs w:val="21"/>
                      <w:highlight w:val="none"/>
                    </w:rPr>
                  </w:pPr>
                </w:p>
              </w:tc>
            </w:tr>
            <w:tr w14:paraId="1CD37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continue"/>
                  <w:noWrap w:val="0"/>
                  <w:vAlign w:val="center"/>
                </w:tcPr>
                <w:p w14:paraId="7C231B8E">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noWrap w:val="0"/>
                  <w:vAlign w:val="center"/>
                </w:tcPr>
                <w:p w14:paraId="1AED1364">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8#</w:t>
                  </w:r>
                </w:p>
              </w:tc>
              <w:tc>
                <w:tcPr>
                  <w:tcW w:w="666" w:type="dxa"/>
                  <w:vMerge w:val="continue"/>
                  <w:noWrap w:val="0"/>
                  <w:vAlign w:val="center"/>
                </w:tcPr>
                <w:p w14:paraId="2E74D4C4">
                  <w:pPr>
                    <w:jc w:val="center"/>
                    <w:rPr>
                      <w:rFonts w:hint="default" w:ascii="Times New Roman" w:hAnsi="Times New Roman" w:eastAsia="宋体" w:cs="Times New Roman"/>
                      <w:b w:val="0"/>
                      <w:bCs w:val="0"/>
                      <w:color w:val="auto"/>
                      <w:kern w:val="0"/>
                      <w:sz w:val="21"/>
                      <w:szCs w:val="21"/>
                      <w:highlight w:val="none"/>
                      <w:lang w:val="en-US" w:eastAsia="zh-CN"/>
                    </w:rPr>
                  </w:pPr>
                </w:p>
              </w:tc>
              <w:tc>
                <w:tcPr>
                  <w:tcW w:w="2766" w:type="dxa"/>
                  <w:noWrap w:val="0"/>
                  <w:vAlign w:val="center"/>
                </w:tcPr>
                <w:p w14:paraId="7049AFFC">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变电站西</w:t>
                  </w:r>
                  <w:r>
                    <w:rPr>
                      <w:rFonts w:hint="eastAsia" w:cs="Times New Roman"/>
                      <w:snapToGrid w:val="0"/>
                      <w:color w:val="auto"/>
                      <w:kern w:val="0"/>
                      <w:sz w:val="21"/>
                      <w:szCs w:val="21"/>
                      <w:lang w:val="en-US" w:eastAsia="zh-CN" w:bidi="ar-SA"/>
                    </w:rPr>
                    <w:t>北</w:t>
                  </w:r>
                  <w:r>
                    <w:rPr>
                      <w:rFonts w:hint="default" w:ascii="Times New Roman" w:hAnsi="Times New Roman" w:eastAsia="宋体" w:cs="Times New Roman"/>
                      <w:snapToGrid w:val="0"/>
                      <w:color w:val="auto"/>
                      <w:kern w:val="0"/>
                      <w:sz w:val="21"/>
                      <w:szCs w:val="21"/>
                      <w:lang w:val="en-US" w:eastAsia="zh-CN" w:bidi="ar-SA"/>
                    </w:rPr>
                    <w:t>侧1</w:t>
                  </w:r>
                  <w:r>
                    <w:rPr>
                      <w:rFonts w:hint="eastAsia" w:cs="Times New Roman"/>
                      <w:snapToGrid w:val="0"/>
                      <w:color w:val="auto"/>
                      <w:kern w:val="0"/>
                      <w:sz w:val="21"/>
                      <w:szCs w:val="21"/>
                      <w:lang w:val="en-US" w:eastAsia="zh-CN" w:bidi="ar-SA"/>
                    </w:rPr>
                    <w:t>85</w:t>
                  </w:r>
                  <w:r>
                    <w:rPr>
                      <w:rFonts w:hint="default" w:ascii="Times New Roman" w:hAnsi="Times New Roman" w:eastAsia="宋体" w:cs="Times New Roman"/>
                      <w:snapToGrid w:val="0"/>
                      <w:color w:val="auto"/>
                      <w:kern w:val="0"/>
                      <w:sz w:val="21"/>
                      <w:szCs w:val="21"/>
                      <w:lang w:val="en-US" w:eastAsia="zh-CN" w:bidi="ar-SA"/>
                    </w:rPr>
                    <w:t>m上黄村黄</w:t>
                  </w:r>
                  <w:r>
                    <w:rPr>
                      <w:rFonts w:hint="eastAsia" w:cs="Times New Roman"/>
                      <w:snapToGrid w:val="0"/>
                      <w:color w:val="auto"/>
                      <w:kern w:val="0"/>
                      <w:sz w:val="21"/>
                      <w:szCs w:val="21"/>
                      <w:lang w:val="en-US" w:eastAsia="zh-CN" w:bidi="ar-SA"/>
                    </w:rPr>
                    <w:t>吉</w:t>
                  </w:r>
                  <w:r>
                    <w:rPr>
                      <w:rFonts w:hint="default" w:ascii="Times New Roman" w:hAnsi="Times New Roman" w:eastAsia="宋体" w:cs="Times New Roman"/>
                      <w:snapToGrid w:val="0"/>
                      <w:color w:val="auto"/>
                      <w:kern w:val="0"/>
                      <w:sz w:val="21"/>
                      <w:szCs w:val="21"/>
                      <w:lang w:val="en-US" w:eastAsia="zh-CN" w:bidi="ar-SA"/>
                    </w:rPr>
                    <w:t>家民房</w:t>
                  </w:r>
                </w:p>
              </w:tc>
              <w:tc>
                <w:tcPr>
                  <w:tcW w:w="758" w:type="dxa"/>
                  <w:noWrap w:val="0"/>
                  <w:vAlign w:val="center"/>
                </w:tcPr>
                <w:p w14:paraId="407904C9">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4DEC644F">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42</w:t>
                  </w:r>
                </w:p>
              </w:tc>
              <w:tc>
                <w:tcPr>
                  <w:tcW w:w="658" w:type="dxa"/>
                  <w:vMerge w:val="continue"/>
                  <w:noWrap w:val="0"/>
                  <w:vAlign w:val="center"/>
                </w:tcPr>
                <w:p w14:paraId="2430A786">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7" w:type="dxa"/>
                  <w:noWrap w:val="0"/>
                  <w:vAlign w:val="center"/>
                </w:tcPr>
                <w:p w14:paraId="2DFA5654">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40</w:t>
                  </w:r>
                </w:p>
              </w:tc>
              <w:tc>
                <w:tcPr>
                  <w:tcW w:w="646" w:type="dxa"/>
                  <w:vMerge w:val="continue"/>
                  <w:noWrap w:val="0"/>
                  <w:vAlign w:val="center"/>
                </w:tcPr>
                <w:p w14:paraId="11EAFA45">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25BF3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continue"/>
                  <w:noWrap w:val="0"/>
                  <w:vAlign w:val="center"/>
                </w:tcPr>
                <w:p w14:paraId="095EA948">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shd w:val="clear" w:color="auto" w:fill="auto"/>
                  <w:noWrap w:val="0"/>
                  <w:vAlign w:val="center"/>
                </w:tcPr>
                <w:p w14:paraId="18AEF01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9# </w:t>
                  </w:r>
                </w:p>
              </w:tc>
              <w:tc>
                <w:tcPr>
                  <w:tcW w:w="666" w:type="dxa"/>
                  <w:vMerge w:val="continue"/>
                  <w:noWrap w:val="0"/>
                  <w:vAlign w:val="center"/>
                </w:tcPr>
                <w:p w14:paraId="7E2D19A1">
                  <w:pPr>
                    <w:jc w:val="center"/>
                    <w:rPr>
                      <w:rFonts w:hint="default" w:ascii="Times New Roman" w:hAnsi="Times New Roman" w:eastAsia="宋体" w:cs="Times New Roman"/>
                      <w:b w:val="0"/>
                      <w:bCs w:val="0"/>
                      <w:color w:val="auto"/>
                      <w:kern w:val="0"/>
                      <w:sz w:val="21"/>
                      <w:szCs w:val="21"/>
                      <w:highlight w:val="none"/>
                      <w:lang w:val="en-US" w:eastAsia="zh-CN"/>
                    </w:rPr>
                  </w:pPr>
                </w:p>
              </w:tc>
              <w:tc>
                <w:tcPr>
                  <w:tcW w:w="2766" w:type="dxa"/>
                  <w:noWrap w:val="0"/>
                  <w:vAlign w:val="center"/>
                </w:tcPr>
                <w:p w14:paraId="7EB1524D">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变电站西</w:t>
                  </w:r>
                  <w:r>
                    <w:rPr>
                      <w:rFonts w:hint="eastAsia" w:cs="Times New Roman"/>
                      <w:snapToGrid w:val="0"/>
                      <w:color w:val="auto"/>
                      <w:kern w:val="0"/>
                      <w:sz w:val="21"/>
                      <w:szCs w:val="21"/>
                      <w:lang w:val="en-US" w:eastAsia="zh-CN" w:bidi="ar-SA"/>
                    </w:rPr>
                    <w:t>北</w:t>
                  </w:r>
                  <w:r>
                    <w:rPr>
                      <w:rFonts w:hint="default" w:ascii="Times New Roman" w:hAnsi="Times New Roman" w:eastAsia="宋体" w:cs="Times New Roman"/>
                      <w:snapToGrid w:val="0"/>
                      <w:color w:val="auto"/>
                      <w:kern w:val="0"/>
                      <w:sz w:val="21"/>
                      <w:szCs w:val="21"/>
                      <w:lang w:val="en-US" w:eastAsia="zh-CN" w:bidi="ar-SA"/>
                    </w:rPr>
                    <w:t>侧1</w:t>
                  </w:r>
                  <w:r>
                    <w:rPr>
                      <w:rFonts w:hint="eastAsia" w:cs="Times New Roman"/>
                      <w:snapToGrid w:val="0"/>
                      <w:color w:val="auto"/>
                      <w:kern w:val="0"/>
                      <w:sz w:val="21"/>
                      <w:szCs w:val="21"/>
                      <w:lang w:val="en-US" w:eastAsia="zh-CN" w:bidi="ar-SA"/>
                    </w:rPr>
                    <w:t>98</w:t>
                  </w:r>
                  <w:r>
                    <w:rPr>
                      <w:rFonts w:hint="default" w:ascii="Times New Roman" w:hAnsi="Times New Roman" w:eastAsia="宋体" w:cs="Times New Roman"/>
                      <w:snapToGrid w:val="0"/>
                      <w:color w:val="auto"/>
                      <w:kern w:val="0"/>
                      <w:sz w:val="21"/>
                      <w:szCs w:val="21"/>
                      <w:lang w:val="en-US" w:eastAsia="zh-CN" w:bidi="ar-SA"/>
                    </w:rPr>
                    <w:t>m上黄村</w:t>
                  </w:r>
                  <w:r>
                    <w:rPr>
                      <w:rFonts w:hint="eastAsia" w:cs="Times New Roman"/>
                      <w:color w:val="auto"/>
                      <w:sz w:val="20"/>
                      <w:szCs w:val="22"/>
                      <w:highlight w:val="none"/>
                      <w:lang w:val="en-US" w:eastAsia="zh-CN"/>
                    </w:rPr>
                    <w:t>王军</w:t>
                  </w:r>
                  <w:r>
                    <w:rPr>
                      <w:rFonts w:hint="default" w:ascii="Times New Roman" w:hAnsi="Times New Roman" w:eastAsia="宋体" w:cs="Times New Roman"/>
                      <w:snapToGrid w:val="0"/>
                      <w:color w:val="auto"/>
                      <w:kern w:val="0"/>
                      <w:sz w:val="21"/>
                      <w:szCs w:val="21"/>
                      <w:lang w:val="en-US" w:eastAsia="zh-CN" w:bidi="ar-SA"/>
                    </w:rPr>
                    <w:t>家民房</w:t>
                  </w:r>
                </w:p>
              </w:tc>
              <w:tc>
                <w:tcPr>
                  <w:tcW w:w="758" w:type="dxa"/>
                  <w:noWrap w:val="0"/>
                  <w:vAlign w:val="center"/>
                </w:tcPr>
                <w:p w14:paraId="7FEF31A6">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6B5321CC">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42</w:t>
                  </w:r>
                </w:p>
              </w:tc>
              <w:tc>
                <w:tcPr>
                  <w:tcW w:w="658" w:type="dxa"/>
                  <w:vMerge w:val="continue"/>
                  <w:noWrap w:val="0"/>
                  <w:vAlign w:val="center"/>
                </w:tcPr>
                <w:p w14:paraId="3B6C2A84">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7" w:type="dxa"/>
                  <w:noWrap w:val="0"/>
                  <w:vAlign w:val="center"/>
                </w:tcPr>
                <w:p w14:paraId="79E05CFF">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40</w:t>
                  </w:r>
                </w:p>
              </w:tc>
              <w:tc>
                <w:tcPr>
                  <w:tcW w:w="646" w:type="dxa"/>
                  <w:vMerge w:val="continue"/>
                  <w:noWrap w:val="0"/>
                  <w:vAlign w:val="center"/>
                </w:tcPr>
                <w:p w14:paraId="21748747">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5D41E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continue"/>
                  <w:noWrap w:val="0"/>
                  <w:vAlign w:val="center"/>
                </w:tcPr>
                <w:p w14:paraId="3D5E2F91">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shd w:val="clear" w:color="auto" w:fill="auto"/>
                  <w:noWrap w:val="0"/>
                  <w:vAlign w:val="center"/>
                </w:tcPr>
                <w:p w14:paraId="3A97E196">
                  <w:pPr>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val="en-US" w:eastAsia="zh-CN"/>
                    </w:rPr>
                    <w:t>10#</w:t>
                  </w:r>
                </w:p>
              </w:tc>
              <w:tc>
                <w:tcPr>
                  <w:tcW w:w="666" w:type="dxa"/>
                  <w:vMerge w:val="continue"/>
                  <w:noWrap w:val="0"/>
                  <w:vAlign w:val="center"/>
                </w:tcPr>
                <w:p w14:paraId="57457F54">
                  <w:pPr>
                    <w:jc w:val="center"/>
                    <w:rPr>
                      <w:rFonts w:hint="default" w:ascii="Times New Roman" w:hAnsi="Times New Roman" w:eastAsia="宋体" w:cs="Times New Roman"/>
                      <w:b w:val="0"/>
                      <w:bCs w:val="0"/>
                      <w:color w:val="auto"/>
                      <w:kern w:val="0"/>
                      <w:sz w:val="21"/>
                      <w:szCs w:val="21"/>
                      <w:highlight w:val="none"/>
                      <w:lang w:val="en-US" w:eastAsia="zh-CN"/>
                    </w:rPr>
                  </w:pPr>
                </w:p>
              </w:tc>
              <w:tc>
                <w:tcPr>
                  <w:tcW w:w="2766" w:type="dxa"/>
                  <w:noWrap w:val="0"/>
                  <w:vAlign w:val="center"/>
                </w:tcPr>
                <w:p w14:paraId="188ADD15">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变电站西</w:t>
                  </w:r>
                  <w:r>
                    <w:rPr>
                      <w:rFonts w:hint="eastAsia" w:cs="Times New Roman"/>
                      <w:snapToGrid w:val="0"/>
                      <w:color w:val="auto"/>
                      <w:kern w:val="0"/>
                      <w:sz w:val="21"/>
                      <w:szCs w:val="21"/>
                      <w:lang w:val="en-US" w:eastAsia="zh-CN" w:bidi="ar-SA"/>
                    </w:rPr>
                    <w:t>北</w:t>
                  </w:r>
                  <w:r>
                    <w:rPr>
                      <w:rFonts w:hint="default" w:ascii="Times New Roman" w:hAnsi="Times New Roman" w:eastAsia="宋体" w:cs="Times New Roman"/>
                      <w:snapToGrid w:val="0"/>
                      <w:color w:val="auto"/>
                      <w:kern w:val="0"/>
                      <w:sz w:val="21"/>
                      <w:szCs w:val="21"/>
                      <w:lang w:val="en-US" w:eastAsia="zh-CN" w:bidi="ar-SA"/>
                    </w:rPr>
                    <w:t>侧1</w:t>
                  </w:r>
                  <w:r>
                    <w:rPr>
                      <w:rFonts w:hint="eastAsia" w:cs="Times New Roman"/>
                      <w:snapToGrid w:val="0"/>
                      <w:color w:val="auto"/>
                      <w:kern w:val="0"/>
                      <w:sz w:val="21"/>
                      <w:szCs w:val="21"/>
                      <w:lang w:val="en-US" w:eastAsia="zh-CN" w:bidi="ar-SA"/>
                    </w:rPr>
                    <w:t>60</w:t>
                  </w:r>
                  <w:r>
                    <w:rPr>
                      <w:rFonts w:hint="default" w:ascii="Times New Roman" w:hAnsi="Times New Roman" w:eastAsia="宋体" w:cs="Times New Roman"/>
                      <w:snapToGrid w:val="0"/>
                      <w:color w:val="auto"/>
                      <w:kern w:val="0"/>
                      <w:sz w:val="21"/>
                      <w:szCs w:val="21"/>
                      <w:lang w:val="en-US" w:eastAsia="zh-CN" w:bidi="ar-SA"/>
                    </w:rPr>
                    <w:t>m上黄村</w:t>
                  </w:r>
                  <w:r>
                    <w:rPr>
                      <w:rFonts w:hint="default" w:ascii="Times New Roman" w:hAnsi="Times New Roman" w:eastAsia="宋体" w:cs="Times New Roman"/>
                      <w:color w:val="auto"/>
                      <w:sz w:val="20"/>
                      <w:szCs w:val="22"/>
                      <w:highlight w:val="none"/>
                      <w:lang w:val="en-US" w:eastAsia="zh-CN"/>
                    </w:rPr>
                    <w:t>黄玉</w:t>
                  </w:r>
                  <w:r>
                    <w:rPr>
                      <w:rFonts w:hint="eastAsia" w:cs="Times New Roman"/>
                      <w:color w:val="auto"/>
                      <w:sz w:val="20"/>
                      <w:szCs w:val="22"/>
                      <w:highlight w:val="none"/>
                      <w:lang w:val="en-US" w:eastAsia="zh-CN"/>
                    </w:rPr>
                    <w:t>小</w:t>
                  </w:r>
                  <w:r>
                    <w:rPr>
                      <w:rFonts w:hint="default" w:ascii="Times New Roman" w:hAnsi="Times New Roman" w:eastAsia="宋体" w:cs="Times New Roman"/>
                      <w:snapToGrid w:val="0"/>
                      <w:color w:val="auto"/>
                      <w:kern w:val="0"/>
                      <w:sz w:val="21"/>
                      <w:szCs w:val="21"/>
                      <w:lang w:val="en-US" w:eastAsia="zh-CN" w:bidi="ar-SA"/>
                    </w:rPr>
                    <w:t>家民房</w:t>
                  </w:r>
                </w:p>
              </w:tc>
              <w:tc>
                <w:tcPr>
                  <w:tcW w:w="758" w:type="dxa"/>
                  <w:noWrap w:val="0"/>
                  <w:vAlign w:val="center"/>
                </w:tcPr>
                <w:p w14:paraId="53710162">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21333CB7">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42</w:t>
                  </w:r>
                </w:p>
              </w:tc>
              <w:tc>
                <w:tcPr>
                  <w:tcW w:w="658" w:type="dxa"/>
                  <w:vMerge w:val="continue"/>
                  <w:noWrap w:val="0"/>
                  <w:vAlign w:val="center"/>
                </w:tcPr>
                <w:p w14:paraId="6C943EE2">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7" w:type="dxa"/>
                  <w:noWrap w:val="0"/>
                  <w:vAlign w:val="center"/>
                </w:tcPr>
                <w:p w14:paraId="40C7586A">
                  <w:pPr>
                    <w:jc w:val="center"/>
                    <w:rPr>
                      <w:rFonts w:hint="default" w:ascii="Times New Roman" w:hAnsi="Times New Roman" w:eastAsia="宋体" w:cs="Times New Roman"/>
                      <w:snapToGrid w:val="0"/>
                      <w:color w:val="auto"/>
                      <w:kern w:val="0"/>
                      <w:sz w:val="21"/>
                      <w:szCs w:val="21"/>
                      <w:lang w:val="en-US" w:eastAsia="zh-CN" w:bidi="ar-SA"/>
                    </w:rPr>
                  </w:pPr>
                  <w:r>
                    <w:rPr>
                      <w:rFonts w:hint="eastAsia" w:cs="Times New Roman"/>
                      <w:snapToGrid w:val="0"/>
                      <w:color w:val="auto"/>
                      <w:kern w:val="0"/>
                      <w:sz w:val="21"/>
                      <w:szCs w:val="21"/>
                      <w:lang w:val="en-US" w:eastAsia="zh-CN" w:bidi="ar-SA"/>
                    </w:rPr>
                    <w:t>40</w:t>
                  </w:r>
                </w:p>
              </w:tc>
              <w:tc>
                <w:tcPr>
                  <w:tcW w:w="646" w:type="dxa"/>
                  <w:vMerge w:val="continue"/>
                  <w:noWrap w:val="0"/>
                  <w:vAlign w:val="center"/>
                </w:tcPr>
                <w:p w14:paraId="04CFC430">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3A833B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vMerge w:val="continue"/>
                  <w:noWrap w:val="0"/>
                  <w:vAlign w:val="center"/>
                </w:tcPr>
                <w:p w14:paraId="7ACADE93">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8" w:type="dxa"/>
                  <w:shd w:val="clear" w:color="auto" w:fill="auto"/>
                  <w:noWrap w:val="0"/>
                  <w:vAlign w:val="center"/>
                </w:tcPr>
                <w:p w14:paraId="4975401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11#</w:t>
                  </w:r>
                </w:p>
              </w:tc>
              <w:tc>
                <w:tcPr>
                  <w:tcW w:w="666" w:type="dxa"/>
                  <w:vMerge w:val="continue"/>
                  <w:noWrap w:val="0"/>
                  <w:vAlign w:val="center"/>
                </w:tcPr>
                <w:p w14:paraId="4E89D3CF">
                  <w:pPr>
                    <w:jc w:val="center"/>
                    <w:rPr>
                      <w:rFonts w:hint="default" w:ascii="Times New Roman" w:hAnsi="Times New Roman" w:eastAsia="宋体" w:cs="Times New Roman"/>
                      <w:b w:val="0"/>
                      <w:bCs w:val="0"/>
                      <w:color w:val="auto"/>
                      <w:kern w:val="0"/>
                      <w:sz w:val="21"/>
                      <w:szCs w:val="21"/>
                      <w:highlight w:val="none"/>
                      <w:lang w:val="en-US" w:eastAsia="zh-CN"/>
                    </w:rPr>
                  </w:pPr>
                </w:p>
              </w:tc>
              <w:tc>
                <w:tcPr>
                  <w:tcW w:w="2766" w:type="dxa"/>
                  <w:noWrap w:val="0"/>
                  <w:vAlign w:val="center"/>
                </w:tcPr>
                <w:p w14:paraId="34488551">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变电站西</w:t>
                  </w:r>
                  <w:r>
                    <w:rPr>
                      <w:rFonts w:hint="eastAsia" w:cs="Times New Roman"/>
                      <w:snapToGrid w:val="0"/>
                      <w:color w:val="auto"/>
                      <w:kern w:val="0"/>
                      <w:sz w:val="21"/>
                      <w:szCs w:val="21"/>
                      <w:lang w:val="en-US" w:eastAsia="zh-CN" w:bidi="ar-SA"/>
                    </w:rPr>
                    <w:t>南</w:t>
                  </w:r>
                  <w:r>
                    <w:rPr>
                      <w:rFonts w:hint="default" w:ascii="Times New Roman" w:hAnsi="Times New Roman" w:eastAsia="宋体" w:cs="Times New Roman"/>
                      <w:snapToGrid w:val="0"/>
                      <w:color w:val="auto"/>
                      <w:kern w:val="0"/>
                      <w:sz w:val="21"/>
                      <w:szCs w:val="21"/>
                      <w:lang w:val="en-US" w:eastAsia="zh-CN" w:bidi="ar-SA"/>
                    </w:rPr>
                    <w:t>侧1</w:t>
                  </w:r>
                  <w:r>
                    <w:rPr>
                      <w:rFonts w:hint="eastAsia" w:cs="Times New Roman"/>
                      <w:snapToGrid w:val="0"/>
                      <w:color w:val="auto"/>
                      <w:kern w:val="0"/>
                      <w:sz w:val="21"/>
                      <w:szCs w:val="21"/>
                      <w:lang w:val="en-US" w:eastAsia="zh-CN" w:bidi="ar-SA"/>
                    </w:rPr>
                    <w:t>97</w:t>
                  </w:r>
                  <w:r>
                    <w:rPr>
                      <w:rFonts w:hint="default" w:ascii="Times New Roman" w:hAnsi="Times New Roman" w:eastAsia="宋体" w:cs="Times New Roman"/>
                      <w:snapToGrid w:val="0"/>
                      <w:color w:val="auto"/>
                      <w:kern w:val="0"/>
                      <w:sz w:val="21"/>
                      <w:szCs w:val="21"/>
                      <w:lang w:val="en-US" w:eastAsia="zh-CN" w:bidi="ar-SA"/>
                    </w:rPr>
                    <w:t>m上黄村</w:t>
                  </w:r>
                  <w:r>
                    <w:rPr>
                      <w:rFonts w:hint="eastAsia" w:cs="Times New Roman"/>
                      <w:color w:val="auto"/>
                      <w:sz w:val="20"/>
                      <w:szCs w:val="22"/>
                      <w:highlight w:val="none"/>
                      <w:lang w:val="en-US" w:eastAsia="zh-CN"/>
                    </w:rPr>
                    <w:t>刘学武</w:t>
                  </w:r>
                  <w:r>
                    <w:rPr>
                      <w:rFonts w:hint="default" w:ascii="Times New Roman" w:hAnsi="Times New Roman" w:eastAsia="宋体" w:cs="Times New Roman"/>
                      <w:snapToGrid w:val="0"/>
                      <w:color w:val="auto"/>
                      <w:kern w:val="0"/>
                      <w:sz w:val="21"/>
                      <w:szCs w:val="21"/>
                      <w:lang w:val="en-US" w:eastAsia="zh-CN" w:bidi="ar-SA"/>
                    </w:rPr>
                    <w:t>家民房</w:t>
                  </w:r>
                </w:p>
              </w:tc>
              <w:tc>
                <w:tcPr>
                  <w:tcW w:w="758" w:type="dxa"/>
                  <w:noWrap w:val="0"/>
                  <w:vAlign w:val="center"/>
                </w:tcPr>
                <w:p w14:paraId="12426FF4">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66A4A615">
                  <w:pPr>
                    <w:jc w:val="center"/>
                    <w:rPr>
                      <w:rFonts w:hint="default" w:ascii="Times New Roman" w:hAnsi="Times New Roman" w:eastAsia="宋体" w:cs="Times New Roman"/>
                      <w:snapToGrid w:val="0"/>
                      <w:color w:val="auto"/>
                      <w:kern w:val="0"/>
                      <w:sz w:val="21"/>
                      <w:szCs w:val="21"/>
                      <w:lang w:val="en-US" w:eastAsia="zh-CN" w:bidi="ar-SA"/>
                    </w:rPr>
                  </w:pPr>
                  <w:r>
                    <w:rPr>
                      <w:rFonts w:hint="eastAsia" w:cs="Times New Roman"/>
                      <w:snapToGrid w:val="0"/>
                      <w:color w:val="auto"/>
                      <w:kern w:val="0"/>
                      <w:sz w:val="21"/>
                      <w:szCs w:val="21"/>
                      <w:lang w:val="en-US" w:eastAsia="zh-CN" w:bidi="ar-SA"/>
                    </w:rPr>
                    <w:t>42</w:t>
                  </w:r>
                </w:p>
              </w:tc>
              <w:tc>
                <w:tcPr>
                  <w:tcW w:w="658" w:type="dxa"/>
                  <w:vMerge w:val="continue"/>
                  <w:noWrap w:val="0"/>
                  <w:vAlign w:val="center"/>
                </w:tcPr>
                <w:p w14:paraId="360622EF">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657" w:type="dxa"/>
                  <w:noWrap w:val="0"/>
                  <w:vAlign w:val="center"/>
                </w:tcPr>
                <w:p w14:paraId="52DC483B">
                  <w:pPr>
                    <w:jc w:val="center"/>
                    <w:rPr>
                      <w:rFonts w:hint="default" w:ascii="Times New Roman" w:hAnsi="Times New Roman" w:eastAsia="宋体" w:cs="Times New Roman"/>
                      <w:snapToGrid w:val="0"/>
                      <w:color w:val="auto"/>
                      <w:kern w:val="0"/>
                      <w:sz w:val="21"/>
                      <w:szCs w:val="21"/>
                      <w:lang w:val="en-US" w:eastAsia="zh-CN" w:bidi="ar-SA"/>
                    </w:rPr>
                  </w:pPr>
                  <w:r>
                    <w:rPr>
                      <w:rFonts w:hint="eastAsia" w:cs="Times New Roman"/>
                      <w:snapToGrid w:val="0"/>
                      <w:color w:val="auto"/>
                      <w:kern w:val="0"/>
                      <w:sz w:val="21"/>
                      <w:szCs w:val="21"/>
                      <w:lang w:val="en-US" w:eastAsia="zh-CN" w:bidi="ar-SA"/>
                    </w:rPr>
                    <w:t>40</w:t>
                  </w:r>
                </w:p>
              </w:tc>
              <w:tc>
                <w:tcPr>
                  <w:tcW w:w="646" w:type="dxa"/>
                  <w:vMerge w:val="continue"/>
                  <w:noWrap w:val="0"/>
                  <w:vAlign w:val="center"/>
                </w:tcPr>
                <w:p w14:paraId="25B56525">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4D5C4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066" w:type="dxa"/>
                  <w:noWrap w:val="0"/>
                  <w:vAlign w:val="center"/>
                </w:tcPr>
                <w:p w14:paraId="271DD81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固原</w:t>
                  </w:r>
                  <w:r>
                    <w:rPr>
                      <w:rFonts w:hint="default" w:ascii="Times New Roman" w:hAnsi="Times New Roman" w:eastAsia="宋体" w:cs="Times New Roman"/>
                      <w:color w:val="auto"/>
                      <w:sz w:val="21"/>
                      <w:szCs w:val="21"/>
                      <w:highlight w:val="none"/>
                    </w:rPr>
                    <w:t>市</w:t>
                  </w:r>
                </w:p>
                <w:p w14:paraId="0DE7F9CC">
                  <w:pPr>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原州区</w:t>
                  </w:r>
                </w:p>
              </w:tc>
              <w:tc>
                <w:tcPr>
                  <w:tcW w:w="658" w:type="dxa"/>
                  <w:shd w:val="clear" w:color="auto" w:fill="auto"/>
                  <w:noWrap w:val="0"/>
                  <w:vAlign w:val="center"/>
                </w:tcPr>
                <w:p w14:paraId="5BF97C4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12#</w:t>
                  </w:r>
                </w:p>
              </w:tc>
              <w:tc>
                <w:tcPr>
                  <w:tcW w:w="666" w:type="dxa"/>
                  <w:noWrap w:val="0"/>
                  <w:vAlign w:val="center"/>
                </w:tcPr>
                <w:p w14:paraId="5ED78871">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w:t>
                  </w:r>
                </w:p>
                <w:p w14:paraId="054BA701">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线路</w:t>
                  </w:r>
                </w:p>
              </w:tc>
              <w:tc>
                <w:tcPr>
                  <w:tcW w:w="2766" w:type="dxa"/>
                  <w:noWrap w:val="0"/>
                  <w:vAlign w:val="center"/>
                </w:tcPr>
                <w:p w14:paraId="143FFC45">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拟建110千伏架空输电线路双回路单侧挂线段</w:t>
                  </w:r>
                </w:p>
              </w:tc>
              <w:tc>
                <w:tcPr>
                  <w:tcW w:w="758" w:type="dxa"/>
                  <w:noWrap w:val="0"/>
                  <w:vAlign w:val="center"/>
                </w:tcPr>
                <w:p w14:paraId="754D9B1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058EFB8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43</w:t>
                  </w:r>
                </w:p>
              </w:tc>
              <w:tc>
                <w:tcPr>
                  <w:tcW w:w="658" w:type="dxa"/>
                  <w:vMerge w:val="restart"/>
                  <w:noWrap w:val="0"/>
                  <w:vAlign w:val="center"/>
                </w:tcPr>
                <w:p w14:paraId="5A2B333F">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55</w:t>
                  </w:r>
                </w:p>
              </w:tc>
              <w:tc>
                <w:tcPr>
                  <w:tcW w:w="657" w:type="dxa"/>
                  <w:noWrap w:val="0"/>
                  <w:vAlign w:val="center"/>
                </w:tcPr>
                <w:p w14:paraId="70B28488">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42</w:t>
                  </w:r>
                </w:p>
              </w:tc>
              <w:tc>
                <w:tcPr>
                  <w:tcW w:w="646" w:type="dxa"/>
                  <w:vMerge w:val="restart"/>
                  <w:noWrap w:val="0"/>
                  <w:vAlign w:val="center"/>
                </w:tcPr>
                <w:p w14:paraId="3C11DF05">
                  <w:pPr>
                    <w:adjustRightInd w:val="0"/>
                    <w:snapToGrid w:val="0"/>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45</w:t>
                  </w:r>
                </w:p>
              </w:tc>
            </w:tr>
            <w:tr w14:paraId="1C8B52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66" w:type="dxa"/>
                  <w:noWrap w:val="0"/>
                  <w:vAlign w:val="center"/>
                </w:tcPr>
                <w:p w14:paraId="5F350C87">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彭阳县</w:t>
                  </w:r>
                </w:p>
                <w:p w14:paraId="1AFD16B5">
                  <w:pPr>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王洼镇</w:t>
                  </w:r>
                </w:p>
              </w:tc>
              <w:tc>
                <w:tcPr>
                  <w:tcW w:w="658" w:type="dxa"/>
                  <w:shd w:val="clear" w:color="auto" w:fill="auto"/>
                  <w:noWrap w:val="0"/>
                  <w:vAlign w:val="center"/>
                </w:tcPr>
                <w:p w14:paraId="45D0F02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13#</w:t>
                  </w:r>
                </w:p>
              </w:tc>
              <w:tc>
                <w:tcPr>
                  <w:tcW w:w="666" w:type="dxa"/>
                  <w:noWrap w:val="0"/>
                  <w:vAlign w:val="center"/>
                </w:tcPr>
                <w:p w14:paraId="44B03365">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输电线路敏感目标</w:t>
                  </w:r>
                </w:p>
              </w:tc>
              <w:tc>
                <w:tcPr>
                  <w:tcW w:w="2766" w:type="dxa"/>
                  <w:noWrap w:val="0"/>
                  <w:vAlign w:val="center"/>
                </w:tcPr>
                <w:p w14:paraId="5C75151F">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b w:val="0"/>
                      <w:bCs w:val="0"/>
                      <w:color w:val="auto"/>
                      <w:sz w:val="21"/>
                      <w:szCs w:val="21"/>
                      <w:highlight w:val="none"/>
                      <w:lang w:val="en-US" w:eastAsia="zh-CN"/>
                    </w:rPr>
                    <w:t>单回架空输电线路46#~G47#杆塔间线路边导线西北侧孙强宅</w:t>
                  </w:r>
                </w:p>
              </w:tc>
              <w:tc>
                <w:tcPr>
                  <w:tcW w:w="758" w:type="dxa"/>
                  <w:noWrap w:val="0"/>
                  <w:vAlign w:val="center"/>
                </w:tcPr>
                <w:p w14:paraId="0C771EAE">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1.5</w:t>
                  </w:r>
                </w:p>
              </w:tc>
              <w:tc>
                <w:tcPr>
                  <w:tcW w:w="629" w:type="dxa"/>
                  <w:noWrap w:val="0"/>
                  <w:vAlign w:val="center"/>
                </w:tcPr>
                <w:p w14:paraId="27D549C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44</w:t>
                  </w:r>
                </w:p>
              </w:tc>
              <w:tc>
                <w:tcPr>
                  <w:tcW w:w="658" w:type="dxa"/>
                  <w:vMerge w:val="continue"/>
                  <w:noWrap w:val="0"/>
                  <w:vAlign w:val="center"/>
                </w:tcPr>
                <w:p w14:paraId="6764AF61">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657" w:type="dxa"/>
                  <w:noWrap w:val="0"/>
                  <w:vAlign w:val="center"/>
                </w:tcPr>
                <w:p w14:paraId="726AB2C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41</w:t>
                  </w:r>
                </w:p>
              </w:tc>
              <w:tc>
                <w:tcPr>
                  <w:tcW w:w="646" w:type="dxa"/>
                  <w:vMerge w:val="continue"/>
                  <w:noWrap w:val="0"/>
                  <w:vAlign w:val="center"/>
                </w:tcPr>
                <w:p w14:paraId="55A74030">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3A8DF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066" w:type="dxa"/>
                  <w:noWrap w:val="0"/>
                  <w:vAlign w:val="center"/>
                </w:tcPr>
                <w:p w14:paraId="51C7221D">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彭阳县</w:t>
                  </w:r>
                </w:p>
                <w:p w14:paraId="2C966FB9">
                  <w:pPr>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snapToGrid w:val="0"/>
                      <w:color w:val="auto"/>
                      <w:kern w:val="0"/>
                      <w:sz w:val="21"/>
                      <w:szCs w:val="21"/>
                      <w:lang w:val="en-US" w:eastAsia="zh-CN" w:bidi="ar-SA"/>
                    </w:rPr>
                    <w:t>王洼镇</w:t>
                  </w:r>
                </w:p>
              </w:tc>
              <w:tc>
                <w:tcPr>
                  <w:tcW w:w="658" w:type="dxa"/>
                  <w:shd w:val="clear" w:color="auto" w:fill="auto"/>
                  <w:noWrap w:val="0"/>
                  <w:vAlign w:val="center"/>
                </w:tcPr>
                <w:p w14:paraId="15F262D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14# </w:t>
                  </w:r>
                </w:p>
              </w:tc>
              <w:tc>
                <w:tcPr>
                  <w:tcW w:w="666" w:type="dxa"/>
                  <w:vMerge w:val="restart"/>
                  <w:noWrap w:val="0"/>
                  <w:vAlign w:val="center"/>
                </w:tcPr>
                <w:p w14:paraId="4B2D363D">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 </w:t>
                  </w:r>
                </w:p>
                <w:p w14:paraId="507EE428">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w:t>
                  </w:r>
                </w:p>
                <w:p w14:paraId="26F9F080">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线路 </w:t>
                  </w:r>
                </w:p>
                <w:p w14:paraId="09F450EA">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 </w:t>
                  </w:r>
                </w:p>
                <w:p w14:paraId="62C7AA0D">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 </w:t>
                  </w:r>
                </w:p>
              </w:tc>
              <w:tc>
                <w:tcPr>
                  <w:tcW w:w="2766" w:type="dxa"/>
                  <w:noWrap w:val="0"/>
                  <w:vAlign w:val="center"/>
                </w:tcPr>
                <w:p w14:paraId="710C0384">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w:t>
                  </w:r>
                </w:p>
                <w:p w14:paraId="68FF0880">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输电线路单回路段</w:t>
                  </w:r>
                </w:p>
              </w:tc>
              <w:tc>
                <w:tcPr>
                  <w:tcW w:w="758" w:type="dxa"/>
                  <w:noWrap w:val="0"/>
                  <w:vAlign w:val="center"/>
                </w:tcPr>
                <w:p w14:paraId="36D37F1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0F25FDC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42</w:t>
                  </w:r>
                </w:p>
              </w:tc>
              <w:tc>
                <w:tcPr>
                  <w:tcW w:w="658" w:type="dxa"/>
                  <w:vMerge w:val="continue"/>
                  <w:noWrap w:val="0"/>
                  <w:vAlign w:val="center"/>
                </w:tcPr>
                <w:p w14:paraId="7CFC1C69">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657" w:type="dxa"/>
                  <w:noWrap w:val="0"/>
                  <w:vAlign w:val="center"/>
                </w:tcPr>
                <w:p w14:paraId="144BBF6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40</w:t>
                  </w:r>
                </w:p>
              </w:tc>
              <w:tc>
                <w:tcPr>
                  <w:tcW w:w="646" w:type="dxa"/>
                  <w:vMerge w:val="continue"/>
                  <w:noWrap w:val="0"/>
                  <w:vAlign w:val="center"/>
                </w:tcPr>
                <w:p w14:paraId="1AC2FEA8">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45C1ED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066" w:type="dxa"/>
                  <w:vMerge w:val="restart"/>
                  <w:noWrap w:val="0"/>
                  <w:vAlign w:val="center"/>
                </w:tcPr>
                <w:p w14:paraId="03D9AC1E">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彭阳县</w:t>
                  </w:r>
                </w:p>
                <w:p w14:paraId="106A201D">
                  <w:pPr>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交岔乡</w:t>
                  </w:r>
                </w:p>
              </w:tc>
              <w:tc>
                <w:tcPr>
                  <w:tcW w:w="658" w:type="dxa"/>
                  <w:shd w:val="clear" w:color="auto" w:fill="auto"/>
                  <w:noWrap w:val="0"/>
                  <w:vAlign w:val="center"/>
                </w:tcPr>
                <w:p w14:paraId="543D84B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666" w:type="dxa"/>
                  <w:vMerge w:val="continue"/>
                  <w:noWrap w:val="0"/>
                  <w:vAlign w:val="center"/>
                </w:tcPr>
                <w:p w14:paraId="20BA4A4C">
                  <w:pPr>
                    <w:jc w:val="center"/>
                    <w:rPr>
                      <w:rFonts w:hint="default" w:ascii="Times New Roman" w:hAnsi="Times New Roman" w:eastAsia="宋体" w:cs="Times New Roman"/>
                      <w:snapToGrid w:val="0"/>
                      <w:color w:val="auto"/>
                      <w:kern w:val="0"/>
                      <w:sz w:val="21"/>
                      <w:szCs w:val="21"/>
                      <w:lang w:val="en-US" w:eastAsia="zh-CN" w:bidi="ar-SA"/>
                    </w:rPr>
                  </w:pPr>
                </w:p>
              </w:tc>
              <w:tc>
                <w:tcPr>
                  <w:tcW w:w="2766" w:type="dxa"/>
                  <w:noWrap w:val="0"/>
                  <w:vAlign w:val="center"/>
                </w:tcPr>
                <w:p w14:paraId="6880A1B2">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w:t>
                  </w:r>
                </w:p>
                <w:p w14:paraId="79062F32">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输电线路单回路段</w:t>
                  </w:r>
                </w:p>
              </w:tc>
              <w:tc>
                <w:tcPr>
                  <w:tcW w:w="758" w:type="dxa"/>
                  <w:noWrap w:val="0"/>
                  <w:vAlign w:val="center"/>
                </w:tcPr>
                <w:p w14:paraId="6177436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42BFB48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43</w:t>
                  </w:r>
                </w:p>
              </w:tc>
              <w:tc>
                <w:tcPr>
                  <w:tcW w:w="658" w:type="dxa"/>
                  <w:vMerge w:val="continue"/>
                  <w:noWrap w:val="0"/>
                  <w:vAlign w:val="center"/>
                </w:tcPr>
                <w:p w14:paraId="4E31AE84">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657" w:type="dxa"/>
                  <w:noWrap w:val="0"/>
                  <w:vAlign w:val="center"/>
                </w:tcPr>
                <w:p w14:paraId="667B61D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40</w:t>
                  </w:r>
                </w:p>
              </w:tc>
              <w:tc>
                <w:tcPr>
                  <w:tcW w:w="646" w:type="dxa"/>
                  <w:vMerge w:val="continue"/>
                  <w:noWrap w:val="0"/>
                  <w:vAlign w:val="center"/>
                </w:tcPr>
                <w:p w14:paraId="57B1DE90">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27125E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066" w:type="dxa"/>
                  <w:vMerge w:val="continue"/>
                  <w:noWrap w:val="0"/>
                  <w:vAlign w:val="center"/>
                </w:tcPr>
                <w:p w14:paraId="7E1B65AB">
                  <w:pPr>
                    <w:jc w:val="center"/>
                    <w:rPr>
                      <w:rFonts w:hint="default" w:ascii="Times New Roman" w:hAnsi="Times New Roman" w:eastAsia="宋体" w:cs="Times New Roman"/>
                      <w:b w:val="0"/>
                      <w:bCs/>
                      <w:color w:val="auto"/>
                      <w:sz w:val="21"/>
                      <w:szCs w:val="21"/>
                      <w:highlight w:val="none"/>
                    </w:rPr>
                  </w:pPr>
                </w:p>
              </w:tc>
              <w:tc>
                <w:tcPr>
                  <w:tcW w:w="658" w:type="dxa"/>
                  <w:shd w:val="clear" w:color="auto" w:fill="auto"/>
                  <w:noWrap w:val="0"/>
                  <w:vAlign w:val="center"/>
                </w:tcPr>
                <w:p w14:paraId="442B5F6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16#</w:t>
                  </w:r>
                </w:p>
              </w:tc>
              <w:tc>
                <w:tcPr>
                  <w:tcW w:w="666" w:type="dxa"/>
                  <w:vMerge w:val="continue"/>
                  <w:noWrap w:val="0"/>
                  <w:vAlign w:val="center"/>
                </w:tcPr>
                <w:p w14:paraId="2AAAC81F">
                  <w:pPr>
                    <w:jc w:val="center"/>
                    <w:rPr>
                      <w:rFonts w:hint="default" w:ascii="Times New Roman" w:hAnsi="Times New Roman" w:eastAsia="宋体" w:cs="Times New Roman"/>
                      <w:snapToGrid w:val="0"/>
                      <w:color w:val="auto"/>
                      <w:kern w:val="0"/>
                      <w:sz w:val="21"/>
                      <w:szCs w:val="21"/>
                      <w:lang w:val="en-US" w:eastAsia="zh-CN" w:bidi="ar-SA"/>
                    </w:rPr>
                  </w:pPr>
                </w:p>
              </w:tc>
              <w:tc>
                <w:tcPr>
                  <w:tcW w:w="2766" w:type="dxa"/>
                  <w:noWrap w:val="0"/>
                  <w:vAlign w:val="center"/>
                </w:tcPr>
                <w:p w14:paraId="243590D0">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拟建110千伏架空输电</w:t>
                  </w:r>
                </w:p>
                <w:p w14:paraId="13C43248">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线路钻越±1100千伏吉泉线</w:t>
                  </w:r>
                </w:p>
              </w:tc>
              <w:tc>
                <w:tcPr>
                  <w:tcW w:w="758" w:type="dxa"/>
                  <w:noWrap w:val="0"/>
                  <w:vAlign w:val="center"/>
                </w:tcPr>
                <w:p w14:paraId="7B2B44C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6FDD47C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43</w:t>
                  </w:r>
                </w:p>
              </w:tc>
              <w:tc>
                <w:tcPr>
                  <w:tcW w:w="658" w:type="dxa"/>
                  <w:vMerge w:val="continue"/>
                  <w:noWrap w:val="0"/>
                  <w:vAlign w:val="center"/>
                </w:tcPr>
                <w:p w14:paraId="5B3612B4">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657" w:type="dxa"/>
                  <w:noWrap w:val="0"/>
                  <w:vAlign w:val="center"/>
                </w:tcPr>
                <w:p w14:paraId="6079CFA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39</w:t>
                  </w:r>
                </w:p>
              </w:tc>
              <w:tc>
                <w:tcPr>
                  <w:tcW w:w="646" w:type="dxa"/>
                  <w:vMerge w:val="continue"/>
                  <w:noWrap w:val="0"/>
                  <w:vAlign w:val="center"/>
                </w:tcPr>
                <w:p w14:paraId="49F3FE9D">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16DAA0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066" w:type="dxa"/>
                  <w:vMerge w:val="continue"/>
                  <w:noWrap w:val="0"/>
                  <w:vAlign w:val="center"/>
                </w:tcPr>
                <w:p w14:paraId="035EFFCB">
                  <w:pPr>
                    <w:jc w:val="center"/>
                    <w:rPr>
                      <w:rFonts w:hint="default" w:ascii="Times New Roman" w:hAnsi="Times New Roman" w:eastAsia="宋体" w:cs="Times New Roman"/>
                      <w:b w:val="0"/>
                      <w:bCs/>
                      <w:color w:val="auto"/>
                      <w:sz w:val="21"/>
                      <w:szCs w:val="21"/>
                      <w:highlight w:val="none"/>
                    </w:rPr>
                  </w:pPr>
                </w:p>
              </w:tc>
              <w:tc>
                <w:tcPr>
                  <w:tcW w:w="658" w:type="dxa"/>
                  <w:shd w:val="clear" w:color="auto" w:fill="auto"/>
                  <w:noWrap w:val="0"/>
                  <w:vAlign w:val="center"/>
                </w:tcPr>
                <w:p w14:paraId="152FD57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17#</w:t>
                  </w:r>
                </w:p>
              </w:tc>
              <w:tc>
                <w:tcPr>
                  <w:tcW w:w="666" w:type="dxa"/>
                  <w:vMerge w:val="continue"/>
                  <w:noWrap w:val="0"/>
                  <w:vAlign w:val="center"/>
                </w:tcPr>
                <w:p w14:paraId="1BAA544B">
                  <w:pPr>
                    <w:jc w:val="center"/>
                    <w:rPr>
                      <w:rFonts w:hint="default" w:ascii="Times New Roman" w:hAnsi="Times New Roman" w:eastAsia="宋体" w:cs="Times New Roman"/>
                      <w:snapToGrid w:val="0"/>
                      <w:color w:val="auto"/>
                      <w:kern w:val="0"/>
                      <w:sz w:val="21"/>
                      <w:szCs w:val="21"/>
                      <w:lang w:val="en-US" w:eastAsia="zh-CN" w:bidi="ar-SA"/>
                    </w:rPr>
                  </w:pPr>
                </w:p>
              </w:tc>
              <w:tc>
                <w:tcPr>
                  <w:tcW w:w="2766" w:type="dxa"/>
                  <w:noWrap w:val="0"/>
                  <w:vAlign w:val="center"/>
                </w:tcPr>
                <w:p w14:paraId="17E06424">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拟建110千伏架空输电线路钻越110千伏清李I线</w:t>
                  </w:r>
                </w:p>
              </w:tc>
              <w:tc>
                <w:tcPr>
                  <w:tcW w:w="758" w:type="dxa"/>
                  <w:noWrap w:val="0"/>
                  <w:vAlign w:val="center"/>
                </w:tcPr>
                <w:p w14:paraId="024958F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45B3B4D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43</w:t>
                  </w:r>
                </w:p>
              </w:tc>
              <w:tc>
                <w:tcPr>
                  <w:tcW w:w="658" w:type="dxa"/>
                  <w:vMerge w:val="continue"/>
                  <w:noWrap w:val="0"/>
                  <w:vAlign w:val="center"/>
                </w:tcPr>
                <w:p w14:paraId="07E44B7E">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657" w:type="dxa"/>
                  <w:noWrap w:val="0"/>
                  <w:vAlign w:val="center"/>
                </w:tcPr>
                <w:p w14:paraId="3480B6F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40</w:t>
                  </w:r>
                </w:p>
              </w:tc>
              <w:tc>
                <w:tcPr>
                  <w:tcW w:w="646" w:type="dxa"/>
                  <w:vMerge w:val="continue"/>
                  <w:noWrap w:val="0"/>
                  <w:vAlign w:val="center"/>
                </w:tcPr>
                <w:p w14:paraId="3A0A21D1">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7389E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066" w:type="dxa"/>
                  <w:vMerge w:val="continue"/>
                  <w:noWrap w:val="0"/>
                  <w:vAlign w:val="center"/>
                </w:tcPr>
                <w:p w14:paraId="7673092E">
                  <w:pPr>
                    <w:jc w:val="center"/>
                    <w:rPr>
                      <w:rFonts w:hint="default" w:ascii="Times New Roman" w:hAnsi="Times New Roman" w:eastAsia="宋体" w:cs="Times New Roman"/>
                      <w:b w:val="0"/>
                      <w:bCs/>
                      <w:color w:val="auto"/>
                      <w:sz w:val="21"/>
                      <w:szCs w:val="21"/>
                      <w:highlight w:val="none"/>
                    </w:rPr>
                  </w:pPr>
                </w:p>
              </w:tc>
              <w:tc>
                <w:tcPr>
                  <w:tcW w:w="658" w:type="dxa"/>
                  <w:shd w:val="clear" w:color="auto" w:fill="auto"/>
                  <w:noWrap w:val="0"/>
                  <w:vAlign w:val="center"/>
                </w:tcPr>
                <w:p w14:paraId="51BC06F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18#</w:t>
                  </w:r>
                </w:p>
              </w:tc>
              <w:tc>
                <w:tcPr>
                  <w:tcW w:w="666" w:type="dxa"/>
                  <w:vMerge w:val="continue"/>
                  <w:noWrap w:val="0"/>
                  <w:vAlign w:val="center"/>
                </w:tcPr>
                <w:p w14:paraId="6D517A53">
                  <w:pPr>
                    <w:jc w:val="center"/>
                    <w:rPr>
                      <w:rFonts w:hint="default" w:ascii="Times New Roman" w:hAnsi="Times New Roman" w:eastAsia="宋体" w:cs="Times New Roman"/>
                      <w:snapToGrid w:val="0"/>
                      <w:color w:val="auto"/>
                      <w:kern w:val="0"/>
                      <w:sz w:val="21"/>
                      <w:szCs w:val="21"/>
                      <w:lang w:val="en-US" w:eastAsia="zh-CN" w:bidi="ar-SA"/>
                    </w:rPr>
                  </w:pPr>
                </w:p>
              </w:tc>
              <w:tc>
                <w:tcPr>
                  <w:tcW w:w="2766" w:type="dxa"/>
                  <w:noWrap w:val="0"/>
                  <w:vAlign w:val="center"/>
                </w:tcPr>
                <w:p w14:paraId="542DD325">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拟建110千伏架空输电线路钻越110千伏至李线</w:t>
                  </w:r>
                </w:p>
              </w:tc>
              <w:tc>
                <w:tcPr>
                  <w:tcW w:w="758" w:type="dxa"/>
                  <w:noWrap w:val="0"/>
                  <w:vAlign w:val="center"/>
                </w:tcPr>
                <w:p w14:paraId="080D3A2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59F590A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42</w:t>
                  </w:r>
                </w:p>
              </w:tc>
              <w:tc>
                <w:tcPr>
                  <w:tcW w:w="658" w:type="dxa"/>
                  <w:vMerge w:val="continue"/>
                  <w:noWrap w:val="0"/>
                  <w:vAlign w:val="center"/>
                </w:tcPr>
                <w:p w14:paraId="1806A026">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657" w:type="dxa"/>
                  <w:noWrap w:val="0"/>
                  <w:vAlign w:val="center"/>
                </w:tcPr>
                <w:p w14:paraId="3DA4FA1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39</w:t>
                  </w:r>
                </w:p>
              </w:tc>
              <w:tc>
                <w:tcPr>
                  <w:tcW w:w="646" w:type="dxa"/>
                  <w:vMerge w:val="continue"/>
                  <w:noWrap w:val="0"/>
                  <w:vAlign w:val="center"/>
                </w:tcPr>
                <w:p w14:paraId="5B53B8A5">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66A83D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066" w:type="dxa"/>
                  <w:vMerge w:val="restart"/>
                  <w:noWrap w:val="0"/>
                  <w:vAlign w:val="center"/>
                </w:tcPr>
                <w:p w14:paraId="607C5313">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彭阳县</w:t>
                  </w:r>
                </w:p>
                <w:p w14:paraId="440F3427">
                  <w:pPr>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交岔乡</w:t>
                  </w:r>
                </w:p>
              </w:tc>
              <w:tc>
                <w:tcPr>
                  <w:tcW w:w="658" w:type="dxa"/>
                  <w:noWrap w:val="0"/>
                  <w:vAlign w:val="center"/>
                </w:tcPr>
                <w:p w14:paraId="4DB4AE8B">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19#</w:t>
                  </w:r>
                </w:p>
              </w:tc>
              <w:tc>
                <w:tcPr>
                  <w:tcW w:w="666" w:type="dxa"/>
                  <w:vMerge w:val="restart"/>
                  <w:noWrap w:val="0"/>
                  <w:vAlign w:val="center"/>
                </w:tcPr>
                <w:p w14:paraId="6E467A1B">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输电线路敏感目标</w:t>
                  </w:r>
                </w:p>
              </w:tc>
              <w:tc>
                <w:tcPr>
                  <w:tcW w:w="2766" w:type="dxa"/>
                  <w:noWrap w:val="0"/>
                  <w:vAlign w:val="center"/>
                </w:tcPr>
                <w:p w14:paraId="269C2C6E">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单回架空输电线路G19#~20#杆塔间线路边导线东南侧王新贵宅</w:t>
                  </w:r>
                </w:p>
              </w:tc>
              <w:tc>
                <w:tcPr>
                  <w:tcW w:w="758" w:type="dxa"/>
                  <w:noWrap w:val="0"/>
                  <w:vAlign w:val="center"/>
                </w:tcPr>
                <w:p w14:paraId="770E982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629" w:type="dxa"/>
                  <w:noWrap w:val="0"/>
                  <w:vAlign w:val="center"/>
                </w:tcPr>
                <w:p w14:paraId="2FE10E7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42</w:t>
                  </w:r>
                </w:p>
              </w:tc>
              <w:tc>
                <w:tcPr>
                  <w:tcW w:w="658" w:type="dxa"/>
                  <w:vMerge w:val="continue"/>
                  <w:noWrap w:val="0"/>
                  <w:vAlign w:val="center"/>
                </w:tcPr>
                <w:p w14:paraId="3EA67E09">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657" w:type="dxa"/>
                  <w:noWrap w:val="0"/>
                  <w:vAlign w:val="center"/>
                </w:tcPr>
                <w:p w14:paraId="59F7D92B">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40</w:t>
                  </w:r>
                </w:p>
              </w:tc>
              <w:tc>
                <w:tcPr>
                  <w:tcW w:w="646" w:type="dxa"/>
                  <w:vMerge w:val="continue"/>
                  <w:noWrap w:val="0"/>
                  <w:vAlign w:val="center"/>
                </w:tcPr>
                <w:p w14:paraId="5668F324">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021A6A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066" w:type="dxa"/>
                  <w:vMerge w:val="continue"/>
                  <w:noWrap w:val="0"/>
                  <w:vAlign w:val="center"/>
                </w:tcPr>
                <w:p w14:paraId="41861BF8">
                  <w:pPr>
                    <w:jc w:val="center"/>
                    <w:rPr>
                      <w:rFonts w:hint="default" w:ascii="Times New Roman" w:hAnsi="Times New Roman" w:eastAsia="宋体" w:cs="Times New Roman"/>
                      <w:b w:val="0"/>
                      <w:bCs/>
                      <w:color w:val="auto"/>
                      <w:sz w:val="21"/>
                      <w:szCs w:val="21"/>
                      <w:highlight w:val="none"/>
                    </w:rPr>
                  </w:pPr>
                </w:p>
              </w:tc>
              <w:tc>
                <w:tcPr>
                  <w:tcW w:w="658" w:type="dxa"/>
                  <w:noWrap w:val="0"/>
                  <w:vAlign w:val="center"/>
                </w:tcPr>
                <w:p w14:paraId="3A3609B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20#</w:t>
                  </w:r>
                </w:p>
              </w:tc>
              <w:tc>
                <w:tcPr>
                  <w:tcW w:w="666" w:type="dxa"/>
                  <w:vMerge w:val="continue"/>
                  <w:noWrap w:val="0"/>
                  <w:vAlign w:val="center"/>
                </w:tcPr>
                <w:p w14:paraId="4CBC0CBA">
                  <w:pPr>
                    <w:jc w:val="center"/>
                    <w:rPr>
                      <w:rFonts w:hint="default" w:ascii="Times New Roman" w:hAnsi="Times New Roman" w:eastAsia="宋体" w:cs="Times New Roman"/>
                      <w:snapToGrid w:val="0"/>
                      <w:color w:val="auto"/>
                      <w:kern w:val="0"/>
                      <w:sz w:val="21"/>
                      <w:szCs w:val="21"/>
                      <w:lang w:val="en-US" w:eastAsia="zh-CN" w:bidi="ar-SA"/>
                    </w:rPr>
                  </w:pPr>
                </w:p>
              </w:tc>
              <w:tc>
                <w:tcPr>
                  <w:tcW w:w="2766" w:type="dxa"/>
                  <w:noWrap w:val="0"/>
                  <w:vAlign w:val="center"/>
                </w:tcPr>
                <w:p w14:paraId="3C5371C8">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单回架空输电线路G8#~9#杆塔间线路边导线西北侧张建礼宅</w:t>
                  </w:r>
                </w:p>
              </w:tc>
              <w:tc>
                <w:tcPr>
                  <w:tcW w:w="758" w:type="dxa"/>
                  <w:noWrap w:val="0"/>
                  <w:vAlign w:val="center"/>
                </w:tcPr>
                <w:p w14:paraId="3239189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178BB17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43</w:t>
                  </w:r>
                </w:p>
              </w:tc>
              <w:tc>
                <w:tcPr>
                  <w:tcW w:w="658" w:type="dxa"/>
                  <w:vMerge w:val="continue"/>
                  <w:noWrap w:val="0"/>
                  <w:vAlign w:val="center"/>
                </w:tcPr>
                <w:p w14:paraId="55E5D7B8">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657" w:type="dxa"/>
                  <w:noWrap w:val="0"/>
                  <w:vAlign w:val="center"/>
                </w:tcPr>
                <w:p w14:paraId="7F3E905B">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39</w:t>
                  </w:r>
                </w:p>
              </w:tc>
              <w:tc>
                <w:tcPr>
                  <w:tcW w:w="646" w:type="dxa"/>
                  <w:vMerge w:val="continue"/>
                  <w:noWrap w:val="0"/>
                  <w:vAlign w:val="center"/>
                </w:tcPr>
                <w:p w14:paraId="742D77DE">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43A565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066" w:type="dxa"/>
                  <w:vMerge w:val="continue"/>
                  <w:noWrap w:val="0"/>
                  <w:vAlign w:val="center"/>
                </w:tcPr>
                <w:p w14:paraId="3A2AF035">
                  <w:pPr>
                    <w:jc w:val="center"/>
                    <w:rPr>
                      <w:rFonts w:hint="default" w:ascii="Times New Roman" w:hAnsi="Times New Roman" w:eastAsia="宋体" w:cs="Times New Roman"/>
                      <w:b w:val="0"/>
                      <w:bCs/>
                      <w:color w:val="auto"/>
                      <w:sz w:val="21"/>
                      <w:szCs w:val="21"/>
                      <w:highlight w:val="none"/>
                    </w:rPr>
                  </w:pPr>
                </w:p>
              </w:tc>
              <w:tc>
                <w:tcPr>
                  <w:tcW w:w="658" w:type="dxa"/>
                  <w:noWrap w:val="0"/>
                  <w:vAlign w:val="center"/>
                </w:tcPr>
                <w:p w14:paraId="067B5DE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21#</w:t>
                  </w:r>
                </w:p>
              </w:tc>
              <w:tc>
                <w:tcPr>
                  <w:tcW w:w="666" w:type="dxa"/>
                  <w:vMerge w:val="continue"/>
                  <w:noWrap w:val="0"/>
                  <w:vAlign w:val="center"/>
                </w:tcPr>
                <w:p w14:paraId="40AD0043">
                  <w:pPr>
                    <w:jc w:val="center"/>
                    <w:rPr>
                      <w:rFonts w:hint="default" w:ascii="Times New Roman" w:hAnsi="Times New Roman" w:eastAsia="宋体" w:cs="Times New Roman"/>
                      <w:snapToGrid w:val="0"/>
                      <w:color w:val="auto"/>
                      <w:kern w:val="0"/>
                      <w:sz w:val="21"/>
                      <w:szCs w:val="21"/>
                      <w:lang w:val="en-US" w:eastAsia="zh-CN" w:bidi="ar-SA"/>
                    </w:rPr>
                  </w:pPr>
                </w:p>
              </w:tc>
              <w:tc>
                <w:tcPr>
                  <w:tcW w:w="2766" w:type="dxa"/>
                  <w:noWrap w:val="0"/>
                  <w:vAlign w:val="center"/>
                </w:tcPr>
                <w:p w14:paraId="1AA366B1">
                  <w:pPr>
                    <w:jc w:val="center"/>
                    <w:rPr>
                      <w:rFonts w:hint="default" w:ascii="Times New Roman" w:hAnsi="Times New Roman" w:eastAsia="宋体" w:cs="Times New Roman"/>
                      <w:snapToGrid w:val="0"/>
                      <w:color w:val="auto"/>
                      <w:kern w:val="0"/>
                      <w:sz w:val="21"/>
                      <w:szCs w:val="21"/>
                      <w:lang w:val="en-US" w:eastAsia="zh-CN" w:bidi="ar-SA"/>
                    </w:rPr>
                  </w:pPr>
                  <w:r>
                    <w:rPr>
                      <w:rFonts w:hint="eastAsia" w:cs="Times New Roman"/>
                      <w:b w:val="0"/>
                      <w:bCs w:val="0"/>
                      <w:color w:val="auto"/>
                      <w:kern w:val="0"/>
                      <w:sz w:val="21"/>
                      <w:szCs w:val="21"/>
                      <w:highlight w:val="none"/>
                      <w:lang w:val="en-US" w:eastAsia="zh-CN" w:bidi="ar"/>
                    </w:rPr>
                    <w:t>单回架空输电线路G5#~6#杆塔间线路边导线东南侧马占材宅</w:t>
                  </w:r>
                </w:p>
              </w:tc>
              <w:tc>
                <w:tcPr>
                  <w:tcW w:w="758" w:type="dxa"/>
                  <w:noWrap w:val="0"/>
                  <w:vAlign w:val="center"/>
                </w:tcPr>
                <w:p w14:paraId="3C4FD15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629" w:type="dxa"/>
                  <w:noWrap w:val="0"/>
                  <w:vAlign w:val="center"/>
                </w:tcPr>
                <w:p w14:paraId="6385FA9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42</w:t>
                  </w:r>
                </w:p>
              </w:tc>
              <w:tc>
                <w:tcPr>
                  <w:tcW w:w="658" w:type="dxa"/>
                  <w:vMerge w:val="continue"/>
                  <w:noWrap w:val="0"/>
                  <w:vAlign w:val="center"/>
                </w:tcPr>
                <w:p w14:paraId="18478B95">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657" w:type="dxa"/>
                  <w:noWrap w:val="0"/>
                  <w:vAlign w:val="center"/>
                </w:tcPr>
                <w:p w14:paraId="5B32DC41">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39</w:t>
                  </w:r>
                </w:p>
              </w:tc>
              <w:tc>
                <w:tcPr>
                  <w:tcW w:w="646" w:type="dxa"/>
                  <w:vMerge w:val="continue"/>
                  <w:noWrap w:val="0"/>
                  <w:vAlign w:val="center"/>
                </w:tcPr>
                <w:p w14:paraId="2AE9254C">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bl>
          <w:p w14:paraId="32D116EB">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11）</w:t>
            </w:r>
            <w:r>
              <w:rPr>
                <w:rFonts w:hint="default" w:ascii="Times New Roman" w:hAnsi="Times New Roman" w:cs="Times New Roman"/>
                <w:color w:val="auto"/>
                <w:kern w:val="0"/>
                <w:sz w:val="24"/>
                <w:highlight w:val="none"/>
              </w:rPr>
              <w:t>监测结果分析</w:t>
            </w:r>
          </w:p>
          <w:p w14:paraId="7DA201C0">
            <w:pPr>
              <w:spacing w:line="360" w:lineRule="auto"/>
              <w:ind w:firstLine="470" w:firstLineChars="196"/>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①</w:t>
            </w:r>
            <w:r>
              <w:rPr>
                <w:rFonts w:hint="default" w:ascii="Times New Roman" w:hAnsi="Times New Roman" w:cs="Times New Roman"/>
                <w:color w:val="auto"/>
                <w:kern w:val="0"/>
                <w:sz w:val="24"/>
                <w:highlight w:val="none"/>
                <w:lang w:val="en-US" w:eastAsia="zh-CN"/>
              </w:rPr>
              <w:t>本项目云雾山330千伏变电站四周站界昼间噪声监测值在43dB(A)~45dB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之间，夜间噪声监测值在40dB(A)~42dB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之间，本次出线间隔扩建处昼间噪声监测值为45dB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，夜间噪声监测值为42dB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，满足《工业企业厂界环境噪声排放标准》（GB12348-2008）中2 类标准限值要求（昼间：60dB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；夜间：50dB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w:t>
            </w:r>
          </w:p>
          <w:p w14:paraId="150A8F1E">
            <w:pPr>
              <w:spacing w:line="360" w:lineRule="auto"/>
              <w:ind w:firstLine="470" w:firstLineChars="196"/>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②</w:t>
            </w:r>
            <w:r>
              <w:rPr>
                <w:rFonts w:hint="default" w:ascii="Times New Roman" w:hAnsi="Times New Roman" w:cs="Times New Roman"/>
                <w:color w:val="auto"/>
                <w:kern w:val="0"/>
                <w:sz w:val="24"/>
                <w:highlight w:val="none"/>
                <w:lang w:val="en-US" w:eastAsia="zh-CN"/>
              </w:rPr>
              <w:t>变电站声环境敏感目标处昼间噪声监测值在42dB(A)~43dB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之间，夜间噪声监测值在40dB(A)~41dB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之间，以上监测结果可满足《声环境质量标准》（GB3096-2008）1类标准限值要求（昼间：55dB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；夜间：45dB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w:t>
            </w:r>
          </w:p>
          <w:p w14:paraId="4DC9BE96">
            <w:pPr>
              <w:spacing w:line="360" w:lineRule="auto"/>
              <w:ind w:firstLine="470" w:firstLineChars="196"/>
              <w:jc w:val="both"/>
              <w:rPr>
                <w:rFonts w:hint="default" w:ascii="Times New Roman" w:hAnsi="Times New Roman" w:cs="Times New Roman"/>
                <w:color w:val="auto"/>
                <w:kern w:val="0"/>
                <w:sz w:val="24"/>
                <w:highlight w:val="none"/>
              </w:rPr>
            </w:pPr>
            <w:r>
              <w:rPr>
                <w:rFonts w:hint="default" w:ascii="Times New Roman" w:hAnsi="Times New Roman" w:eastAsia="宋体" w:cs="Times New Roman"/>
                <w:color w:val="auto"/>
                <w:sz w:val="24"/>
                <w:highlight w:val="none"/>
                <w:lang w:eastAsia="zh-CN"/>
              </w:rPr>
              <w:t>③</w:t>
            </w:r>
            <w:r>
              <w:rPr>
                <w:rFonts w:hint="default" w:ascii="Times New Roman" w:hAnsi="Times New Roman" w:cs="Times New Roman"/>
                <w:color w:val="auto"/>
                <w:kern w:val="0"/>
                <w:sz w:val="24"/>
                <w:highlight w:val="none"/>
                <w:lang w:val="en-US" w:eastAsia="zh-CN"/>
              </w:rPr>
              <w:t>拟建110千伏输电线路昼间噪声监测值在42dB(A)~43dB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之间，夜间噪声监测值在39dB(A)~42dB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之间，以上监测结果均满足《声环境质量标准》（GB3096-2008）1类标准限值要求（昼间：55dB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；夜间：45dB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w:t>
            </w:r>
          </w:p>
          <w:p w14:paraId="3846A69D">
            <w:pPr>
              <w:spacing w:line="360" w:lineRule="auto"/>
              <w:ind w:firstLine="470" w:firstLineChars="196"/>
              <w:jc w:val="both"/>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④拟建110千伏输电线路声环境敏感目标处昼间噪声监测值在42dB(A)~44dB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之间，夜间噪声监测值在39dB(A)~41dB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之间，以上监测结果均满足《声环境质量标准》（GB3096-2008）1类标准限值要求（昼间：55dB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；夜间：45dB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w:t>
            </w:r>
          </w:p>
          <w:p w14:paraId="58C1E1BE">
            <w:pPr>
              <w:adjustRightInd w:val="0"/>
              <w:snapToGrid w:val="0"/>
              <w:spacing w:line="360" w:lineRule="auto"/>
              <w:ind w:firstLine="482"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eastAsia="zh-CN"/>
              </w:rPr>
              <w:t>⑸</w:t>
            </w:r>
            <w:r>
              <w:rPr>
                <w:rFonts w:hint="default" w:ascii="Times New Roman" w:hAnsi="Times New Roman" w:cs="Times New Roman"/>
                <w:b/>
                <w:bCs/>
                <w:color w:val="auto"/>
                <w:kern w:val="0"/>
                <w:sz w:val="24"/>
                <w:highlight w:val="none"/>
              </w:rPr>
              <w:t>电磁环境现状</w:t>
            </w:r>
          </w:p>
          <w:p w14:paraId="5E3EE448">
            <w:pPr>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为了解本项目运行前的电磁环境质量现状，我单位委托宁夏盛世蓝天环保技术有限公司于</w:t>
            </w:r>
            <w:r>
              <w:rPr>
                <w:rFonts w:hint="default" w:ascii="Times New Roman" w:hAnsi="Times New Roman" w:cs="Times New Roman"/>
                <w:bCs/>
                <w:color w:val="auto"/>
                <w:kern w:val="0"/>
                <w:sz w:val="24"/>
                <w:highlight w:val="none"/>
              </w:rPr>
              <w:t>202</w:t>
            </w:r>
            <w:r>
              <w:rPr>
                <w:rFonts w:hint="default" w:ascii="Times New Roman" w:hAnsi="Times New Roman" w:cs="Times New Roman"/>
                <w:bCs/>
                <w:color w:val="auto"/>
                <w:kern w:val="0"/>
                <w:sz w:val="24"/>
                <w:highlight w:val="none"/>
                <w:lang w:val="en-US" w:eastAsia="zh-CN"/>
              </w:rPr>
              <w:t>5</w:t>
            </w:r>
            <w:r>
              <w:rPr>
                <w:rFonts w:hint="default" w:ascii="Times New Roman" w:hAnsi="Times New Roman" w:cs="Times New Roman"/>
                <w:bCs/>
                <w:color w:val="auto"/>
                <w:kern w:val="0"/>
                <w:sz w:val="24"/>
                <w:highlight w:val="none"/>
              </w:rPr>
              <w:t>年</w:t>
            </w:r>
            <w:r>
              <w:rPr>
                <w:rFonts w:hint="default" w:ascii="Times New Roman" w:hAnsi="Times New Roman" w:cs="Times New Roman"/>
                <w:bCs/>
                <w:color w:val="auto"/>
                <w:kern w:val="0"/>
                <w:sz w:val="24"/>
                <w:highlight w:val="none"/>
                <w:lang w:val="en-US" w:eastAsia="zh-CN"/>
              </w:rPr>
              <w:t>9</w:t>
            </w:r>
            <w:r>
              <w:rPr>
                <w:rFonts w:hint="default" w:ascii="Times New Roman" w:hAnsi="Times New Roman" w:cs="Times New Roman"/>
                <w:bCs/>
                <w:color w:val="auto"/>
                <w:kern w:val="0"/>
                <w:sz w:val="24"/>
                <w:highlight w:val="none"/>
              </w:rPr>
              <w:t>月</w:t>
            </w:r>
            <w:r>
              <w:rPr>
                <w:rFonts w:hint="default" w:ascii="Times New Roman" w:hAnsi="Times New Roman" w:cs="Times New Roman"/>
                <w:bCs/>
                <w:color w:val="auto"/>
                <w:kern w:val="0"/>
                <w:sz w:val="24"/>
                <w:highlight w:val="none"/>
                <w:lang w:val="en-US" w:eastAsia="zh-CN"/>
              </w:rPr>
              <w:t>24</w:t>
            </w:r>
            <w:r>
              <w:rPr>
                <w:rFonts w:hint="default" w:ascii="Times New Roman" w:hAnsi="Times New Roman" w:cs="Times New Roman"/>
                <w:bCs/>
                <w:color w:val="auto"/>
                <w:kern w:val="0"/>
                <w:sz w:val="24"/>
                <w:highlight w:val="none"/>
              </w:rPr>
              <w:t>日</w:t>
            </w:r>
            <w:r>
              <w:rPr>
                <w:rFonts w:hint="default" w:ascii="Times New Roman" w:hAnsi="Times New Roman" w:cs="Times New Roman"/>
                <w:color w:val="auto"/>
                <w:kern w:val="0"/>
                <w:sz w:val="24"/>
                <w:highlight w:val="none"/>
              </w:rPr>
              <w:t>对项目周边的电磁环境进行了现状监测。</w:t>
            </w:r>
          </w:p>
          <w:p w14:paraId="433B3764">
            <w:pPr>
              <w:adjustRightInd w:val="0"/>
              <w:snapToGrid w:val="0"/>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根据现状监测结果可知：</w:t>
            </w:r>
          </w:p>
          <w:p w14:paraId="5EFF4E9E">
            <w:pPr>
              <w:keepNext w:val="0"/>
              <w:keepLines w:val="0"/>
              <w:pageBreakBefore w:val="0"/>
              <w:widowControl w:val="0"/>
              <w:kinsoku/>
              <w:wordWrap/>
              <w:overflowPunct/>
              <w:topLinePunct w:val="0"/>
              <w:autoSpaceDE/>
              <w:autoSpaceDN/>
              <w:bidi w:val="0"/>
              <w:adjustRightInd w:val="0"/>
              <w:snapToGrid w:val="0"/>
              <w:spacing w:line="360" w:lineRule="auto"/>
              <w:ind w:firstLine="470" w:firstLineChars="196"/>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①</w:t>
            </w:r>
            <w:r>
              <w:rPr>
                <w:rFonts w:hint="default" w:ascii="Times New Roman" w:hAnsi="Times New Roman" w:cs="Times New Roman"/>
                <w:color w:val="auto"/>
                <w:kern w:val="0"/>
                <w:sz w:val="24"/>
                <w:highlight w:val="none"/>
                <w:lang w:val="en-US" w:eastAsia="zh-CN"/>
              </w:rPr>
              <w:t>本项目云雾山330千伏变电站四周站界工频电场强度监测值在0.254V/m~1.032V/m之间，</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监测值在0.0827μT~0.0853μT之间，本次出线间隔扩建处工频电场强度监测值为0.424V/m，</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监测值为0.0829μT，满足</w:t>
            </w:r>
            <w:r>
              <w:rPr>
                <w:rFonts w:hint="default" w:ascii="Times New Roman" w:hAnsi="Times New Roman" w:cs="Times New Roman"/>
                <w:color w:val="auto"/>
                <w:sz w:val="24"/>
                <w:highlight w:val="none"/>
              </w:rPr>
              <w:t>《电磁环境控制限值》（GB8702-2014）中规定的公众曝露控制限值工频电场强度4</w:t>
            </w:r>
            <w:r>
              <w:rPr>
                <w:rFonts w:hint="eastAsia" w:cs="Times New Roman"/>
                <w:color w:val="auto"/>
                <w:sz w:val="24"/>
                <w:highlight w:val="none"/>
                <w:lang w:val="en-US" w:eastAsia="zh-CN"/>
              </w:rPr>
              <w:t>000</w:t>
            </w:r>
            <w:r>
              <w:rPr>
                <w:rFonts w:hint="default" w:ascii="Times New Roman" w:hAnsi="Times New Roman" w:cs="Times New Roman"/>
                <w:color w:val="auto"/>
                <w:sz w:val="24"/>
                <w:highlight w:val="none"/>
              </w:rPr>
              <w:t>V/m，工频磁感应强度100μT的标准限值。</w:t>
            </w:r>
          </w:p>
          <w:p w14:paraId="3AAB675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②</w:t>
            </w:r>
            <w:r>
              <w:rPr>
                <w:rFonts w:hint="default" w:ascii="Times New Roman" w:hAnsi="Times New Roman" w:cs="Times New Roman"/>
                <w:color w:val="auto"/>
                <w:kern w:val="0"/>
                <w:sz w:val="24"/>
                <w:highlight w:val="none"/>
                <w:lang w:val="en-US" w:eastAsia="zh-CN"/>
              </w:rPr>
              <w:t>拟建110千伏输电线路</w:t>
            </w:r>
            <w:r>
              <w:rPr>
                <w:rFonts w:hint="default" w:ascii="Times New Roman" w:hAnsi="Times New Roman" w:eastAsia="宋体" w:cs="Times New Roman"/>
                <w:snapToGrid w:val="0"/>
                <w:color w:val="auto"/>
                <w:kern w:val="0"/>
                <w:sz w:val="24"/>
                <w:szCs w:val="24"/>
                <w:lang w:val="en-US" w:eastAsia="zh-CN" w:bidi="ar-SA"/>
              </w:rPr>
              <w:t>双回路单侧挂线段</w:t>
            </w:r>
            <w:r>
              <w:rPr>
                <w:rFonts w:hint="default" w:ascii="Times New Roman" w:hAnsi="Times New Roman" w:cs="Times New Roman"/>
                <w:color w:val="auto"/>
                <w:kern w:val="0"/>
                <w:sz w:val="24"/>
                <w:highlight w:val="none"/>
                <w:lang w:val="en-US" w:eastAsia="zh-CN"/>
              </w:rPr>
              <w:t>工频电场强度监测值为0.570V/m，</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监测值为0.0829μT；</w:t>
            </w:r>
            <w:r>
              <w:rPr>
                <w:rFonts w:hint="default" w:ascii="Times New Roman" w:hAnsi="Times New Roman" w:eastAsia="宋体" w:cs="Times New Roman"/>
                <w:snapToGrid w:val="0"/>
                <w:color w:val="auto"/>
                <w:kern w:val="0"/>
                <w:sz w:val="24"/>
                <w:szCs w:val="24"/>
                <w:lang w:val="en-US" w:eastAsia="zh-CN" w:bidi="ar-SA"/>
              </w:rPr>
              <w:t>单回路段</w:t>
            </w:r>
            <w:r>
              <w:rPr>
                <w:rFonts w:hint="default" w:ascii="Times New Roman" w:hAnsi="Times New Roman" w:cs="Times New Roman"/>
                <w:color w:val="auto"/>
                <w:kern w:val="0"/>
                <w:sz w:val="24"/>
                <w:highlight w:val="none"/>
                <w:lang w:val="en-US" w:eastAsia="zh-CN"/>
              </w:rPr>
              <w:t>工频电场强度监测值在0.328～1.168V/m之间，</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监测值在0.0829~0.0846μT之间；输电线路钻越±1100</w:t>
            </w:r>
            <w:r>
              <w:rPr>
                <w:rFonts w:hint="eastAsia" w:cs="Times New Roman"/>
                <w:color w:val="auto"/>
                <w:kern w:val="0"/>
                <w:sz w:val="24"/>
                <w:highlight w:val="none"/>
                <w:lang w:val="en-US" w:eastAsia="zh-CN"/>
              </w:rPr>
              <w:t>千伏</w:t>
            </w:r>
            <w:r>
              <w:rPr>
                <w:rFonts w:hint="default" w:ascii="Times New Roman" w:hAnsi="Times New Roman" w:cs="Times New Roman"/>
                <w:color w:val="auto"/>
                <w:kern w:val="0"/>
                <w:sz w:val="24"/>
                <w:highlight w:val="none"/>
                <w:lang w:val="en-US" w:eastAsia="zh-CN"/>
              </w:rPr>
              <w:t>吉泉线工频电场强度监测值为8.552V/m，</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监测值为0.0936μT；上述监测结果均满足</w:t>
            </w:r>
            <w:r>
              <w:rPr>
                <w:rFonts w:hint="default" w:ascii="Times New Roman" w:hAnsi="Times New Roman" w:cs="Times New Roman"/>
                <w:color w:val="auto"/>
                <w:sz w:val="24"/>
                <w:highlight w:val="none"/>
              </w:rPr>
              <w:t>《电磁环境控制限值》（GB8702-2014）中架空输电线路下的耕地、园地、牧草地、畜禽饲养地、养殖水面、道路等场所10kV/m，工频磁感应强度100μT的标准限值。</w:t>
            </w:r>
          </w:p>
          <w:p w14:paraId="797ABA5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b w:val="0"/>
                <w:bCs w:val="0"/>
                <w:color w:val="auto"/>
                <w:sz w:val="24"/>
                <w:szCs w:val="24"/>
                <w:highlight w:val="none"/>
                <w:lang w:val="en-US" w:eastAsia="zh-CN"/>
              </w:rPr>
              <w:t>由于云雾山330千伏变电站</w:t>
            </w:r>
            <w:r>
              <w:rPr>
                <w:rFonts w:hint="default" w:ascii="Times New Roman" w:hAnsi="Times New Roman" w:cs="Times New Roman"/>
                <w:color w:val="auto"/>
                <w:sz w:val="24"/>
                <w:highlight w:val="none"/>
              </w:rPr>
              <w:t>已经投运，</w:t>
            </w:r>
            <w:r>
              <w:rPr>
                <w:rFonts w:hint="default" w:ascii="Times New Roman" w:hAnsi="Times New Roman" w:cs="Times New Roman"/>
                <w:color w:val="auto"/>
                <w:sz w:val="24"/>
                <w:highlight w:val="none"/>
                <w:lang w:val="en-US" w:eastAsia="zh-CN"/>
              </w:rPr>
              <w:t>导致</w:t>
            </w:r>
            <w:r>
              <w:rPr>
                <w:rFonts w:hint="default" w:ascii="Times New Roman" w:hAnsi="Times New Roman" w:cs="Times New Roman"/>
                <w:color w:val="auto"/>
                <w:sz w:val="24"/>
                <w:highlight w:val="none"/>
              </w:rPr>
              <w:t>变电站外</w:t>
            </w:r>
            <w:r>
              <w:rPr>
                <w:rFonts w:hint="default" w:ascii="Times New Roman" w:hAnsi="Times New Roman" w:cs="Times New Roman"/>
                <w:b w:val="0"/>
                <w:bCs w:val="0"/>
                <w:color w:val="auto"/>
                <w:sz w:val="24"/>
                <w:szCs w:val="24"/>
                <w:highlight w:val="none"/>
                <w:lang w:val="en-US" w:eastAsia="zh-CN"/>
              </w:rPr>
              <w:t>110千伏</w:t>
            </w:r>
            <w:r>
              <w:rPr>
                <w:rFonts w:hint="default" w:ascii="Times New Roman" w:hAnsi="Times New Roman" w:cs="Times New Roman"/>
                <w:color w:val="auto"/>
                <w:sz w:val="24"/>
                <w:highlight w:val="none"/>
              </w:rPr>
              <w:t>构架侧</w:t>
            </w:r>
            <w:r>
              <w:rPr>
                <w:rFonts w:hint="default" w:ascii="Times New Roman" w:hAnsi="Times New Roman" w:cs="Times New Roman"/>
                <w:color w:val="auto"/>
                <w:sz w:val="24"/>
                <w:highlight w:val="none"/>
                <w:lang w:val="en-US" w:eastAsia="zh-CN"/>
              </w:rPr>
              <w:t>本次</w:t>
            </w:r>
            <w:r>
              <w:rPr>
                <w:rFonts w:hint="default" w:ascii="Times New Roman" w:hAnsi="Times New Roman" w:eastAsia="宋体" w:cs="Times New Roman"/>
                <w:color w:val="auto"/>
                <w:sz w:val="24"/>
                <w:szCs w:val="24"/>
                <w:highlight w:val="none"/>
                <w:lang w:val="en-US" w:eastAsia="zh-CN"/>
              </w:rPr>
              <w:t>拟建</w:t>
            </w:r>
            <w:r>
              <w:rPr>
                <w:rFonts w:hint="default" w:ascii="Times New Roman" w:hAnsi="Times New Roman" w:eastAsia="宋体" w:cs="Times New Roman"/>
                <w:color w:val="auto"/>
                <w:kern w:val="2"/>
                <w:sz w:val="24"/>
                <w:szCs w:val="24"/>
                <w:highlight w:val="none"/>
                <w:vertAlign w:val="baseline"/>
                <w:lang w:val="en-US" w:eastAsia="zh-CN" w:bidi="ar-SA"/>
              </w:rPr>
              <w:t>架空线路双回路单侧挂线</w:t>
            </w:r>
            <w:r>
              <w:rPr>
                <w:rFonts w:hint="default" w:ascii="Times New Roman" w:hAnsi="Times New Roman" w:eastAsia="宋体" w:cs="Times New Roman"/>
                <w:color w:val="auto"/>
                <w:kern w:val="2"/>
                <w:sz w:val="24"/>
                <w:szCs w:val="24"/>
                <w:highlight w:val="none"/>
                <w:lang w:val="en-US" w:eastAsia="zh-CN" w:bidi="ar-SA"/>
              </w:rPr>
              <w:t>段</w:t>
            </w:r>
            <w:r>
              <w:rPr>
                <w:rFonts w:hint="default" w:ascii="Times New Roman" w:hAnsi="Times New Roman" w:cs="Times New Roman"/>
                <w:color w:val="auto"/>
                <w:sz w:val="24"/>
                <w:highlight w:val="none"/>
              </w:rPr>
              <w:t>监测的工频电场、工频磁感应强度监测结果偏大</w:t>
            </w:r>
            <w:r>
              <w:rPr>
                <w:rFonts w:hint="default" w:ascii="Times New Roman" w:hAnsi="Times New Roman" w:cs="Times New Roman"/>
                <w:color w:val="auto"/>
                <w:sz w:val="24"/>
                <w:highlight w:val="none"/>
                <w:lang w:eastAsia="zh-CN"/>
              </w:rPr>
              <w:t>。</w:t>
            </w:r>
          </w:p>
          <w:p w14:paraId="0C6A3C4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lang w:val="en-US" w:eastAsia="zh-CN"/>
              </w:rPr>
              <w:t>由于输电线路钻越±1100</w:t>
            </w:r>
            <w:r>
              <w:rPr>
                <w:rFonts w:hint="eastAsia" w:cs="Times New Roman"/>
                <w:color w:val="auto"/>
                <w:kern w:val="0"/>
                <w:sz w:val="24"/>
                <w:highlight w:val="none"/>
                <w:lang w:val="en-US" w:eastAsia="zh-CN"/>
              </w:rPr>
              <w:t>千伏</w:t>
            </w:r>
            <w:r>
              <w:rPr>
                <w:rFonts w:hint="default" w:ascii="Times New Roman" w:hAnsi="Times New Roman" w:cs="Times New Roman"/>
                <w:color w:val="auto"/>
                <w:kern w:val="0"/>
                <w:sz w:val="24"/>
                <w:highlight w:val="none"/>
                <w:lang w:val="en-US" w:eastAsia="zh-CN"/>
              </w:rPr>
              <w:t>吉泉线，</w:t>
            </w:r>
            <w:r>
              <w:rPr>
                <w:rFonts w:hint="default" w:ascii="Times New Roman" w:hAnsi="Times New Roman" w:eastAsia="宋体" w:cs="Times New Roman"/>
                <w:color w:val="auto"/>
                <w:sz w:val="24"/>
                <w:highlight w:val="none"/>
                <w:lang w:val="en-US" w:eastAsia="zh-CN"/>
              </w:rPr>
              <w:t>导致</w:t>
            </w:r>
            <w:r>
              <w:rPr>
                <w:rFonts w:hint="default" w:ascii="Times New Roman" w:hAnsi="Times New Roman" w:cs="Times New Roman"/>
                <w:color w:val="auto"/>
                <w:kern w:val="0"/>
                <w:sz w:val="24"/>
                <w:highlight w:val="none"/>
                <w:lang w:val="en-US" w:eastAsia="zh-CN"/>
              </w:rPr>
              <w:t>钻越</w:t>
            </w:r>
            <w:r>
              <w:rPr>
                <w:rFonts w:hint="default" w:ascii="Times New Roman" w:hAnsi="Times New Roman" w:eastAsia="宋体" w:cs="Times New Roman"/>
                <w:color w:val="auto"/>
                <w:sz w:val="24"/>
                <w:highlight w:val="none"/>
                <w:lang w:val="en-US" w:eastAsia="zh-CN"/>
              </w:rPr>
              <w:t>处的</w:t>
            </w:r>
            <w:r>
              <w:rPr>
                <w:rFonts w:hint="default" w:ascii="Times New Roman" w:hAnsi="Times New Roman" w:cs="Times New Roman"/>
                <w:color w:val="auto"/>
                <w:sz w:val="24"/>
                <w:highlight w:val="none"/>
              </w:rPr>
              <w:t>工频电场、工频磁感应强度监测结果偏大。</w:t>
            </w:r>
          </w:p>
          <w:p w14:paraId="5E86CEC1">
            <w:pPr>
              <w:keepNext w:val="0"/>
              <w:keepLines w:val="0"/>
              <w:pageBreakBefore w:val="0"/>
              <w:widowControl w:val="0"/>
              <w:kinsoku/>
              <w:wordWrap/>
              <w:overflowPunct/>
              <w:topLinePunct w:val="0"/>
              <w:autoSpaceDE/>
              <w:autoSpaceDN/>
              <w:bidi w:val="0"/>
              <w:adjustRightInd w:val="0"/>
              <w:snapToGrid w:val="0"/>
              <w:spacing w:line="360" w:lineRule="auto"/>
              <w:ind w:firstLine="470" w:firstLineChars="196"/>
              <w:jc w:val="both"/>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eastAsia="zh-CN"/>
              </w:rPr>
              <w:t>③</w:t>
            </w:r>
            <w:r>
              <w:rPr>
                <w:rFonts w:hint="default" w:ascii="Times New Roman" w:hAnsi="Times New Roman" w:cs="Times New Roman"/>
                <w:color w:val="auto"/>
                <w:kern w:val="0"/>
                <w:sz w:val="24"/>
                <w:highlight w:val="none"/>
                <w:lang w:val="en-US" w:eastAsia="zh-CN"/>
              </w:rPr>
              <w:t>架空输电线路沿线电磁环境敏感目标处工频电场强度监测值在0.454V/m~3.450V/m之间，</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监测值在0.0822μT~0.0850μT之间，满足</w:t>
            </w:r>
            <w:r>
              <w:rPr>
                <w:rFonts w:hint="default" w:ascii="Times New Roman" w:hAnsi="Times New Roman" w:cs="Times New Roman"/>
                <w:color w:val="auto"/>
                <w:sz w:val="24"/>
                <w:highlight w:val="none"/>
              </w:rPr>
              <w:t>《电磁环境控制限值》（GB8702-2014）中规定的公众曝露控制限值工频电场强度4</w:t>
            </w:r>
            <w:r>
              <w:rPr>
                <w:rFonts w:hint="eastAsia" w:cs="Times New Roman"/>
                <w:color w:val="auto"/>
                <w:sz w:val="24"/>
                <w:highlight w:val="none"/>
                <w:lang w:val="en-US" w:eastAsia="zh-CN"/>
              </w:rPr>
              <w:t>000</w:t>
            </w:r>
            <w:r>
              <w:rPr>
                <w:rFonts w:hint="default" w:ascii="Times New Roman" w:hAnsi="Times New Roman" w:cs="Times New Roman"/>
                <w:color w:val="auto"/>
                <w:sz w:val="24"/>
                <w:highlight w:val="none"/>
              </w:rPr>
              <w:t>V/m，工频磁感应强度100μT的标准限值。</w:t>
            </w:r>
          </w:p>
        </w:tc>
      </w:tr>
      <w:tr w14:paraId="7B604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7" w:type="dxa"/>
            <w:noWrap w:val="0"/>
            <w:vAlign w:val="center"/>
          </w:tcPr>
          <w:p w14:paraId="55B21D9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 w:val="24"/>
                <w:highlight w:val="none"/>
              </w:rPr>
              <w:t>与项目有关的原有环境污染和生态破坏问题</w:t>
            </w:r>
          </w:p>
        </w:tc>
        <w:tc>
          <w:tcPr>
            <w:tcW w:w="8767" w:type="dxa"/>
            <w:noWrap w:val="0"/>
            <w:vAlign w:val="center"/>
          </w:tcPr>
          <w:p w14:paraId="20A771BA">
            <w:pPr>
              <w:keepNext w:val="0"/>
              <w:keepLines w:val="0"/>
              <w:pageBreakBefore w:val="0"/>
              <w:widowControl w:val="0"/>
              <w:kinsoku/>
              <w:wordWrap/>
              <w:overflowPunct/>
              <w:topLinePunct w:val="0"/>
              <w:autoSpaceDE/>
              <w:autoSpaceDN/>
              <w:bidi w:val="0"/>
              <w:adjustRightInd w:val="0"/>
              <w:snapToGrid w:val="0"/>
              <w:spacing w:line="360" w:lineRule="auto"/>
              <w:ind w:firstLine="472" w:firstLineChars="196"/>
              <w:jc w:val="both"/>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1.云雾山330千伏变电站</w:t>
            </w:r>
          </w:p>
          <w:p w14:paraId="6FABAA44">
            <w:pPr>
              <w:autoSpaceDE w:val="0"/>
              <w:autoSpaceDN w:val="0"/>
              <w:spacing w:line="360" w:lineRule="auto"/>
              <w:ind w:firstLine="482" w:firstLineChars="200"/>
              <w:jc w:val="both"/>
              <w:textAlignment w:val="auto"/>
              <w:rPr>
                <w:rFonts w:hint="default" w:ascii="Times New Roman" w:hAnsi="Times New Roman" w:cs="Times New Roman"/>
                <w:b/>
                <w:bCs/>
                <w:color w:val="auto"/>
                <w:kern w:val="0"/>
                <w:sz w:val="24"/>
                <w:highlight w:val="none"/>
              </w:rPr>
            </w:pPr>
            <w:r>
              <w:rPr>
                <w:rFonts w:hint="default" w:ascii="Times New Roman" w:hAnsi="Times New Roman" w:eastAsia="宋体" w:cs="Times New Roman"/>
                <w:b/>
                <w:bCs/>
                <w:color w:val="auto"/>
                <w:sz w:val="24"/>
                <w:highlight w:val="none"/>
                <w:lang w:val="en-US" w:eastAsia="zh-CN"/>
              </w:rPr>
              <w:t>⑴宁夏云雾山330千伏输变电工程</w:t>
            </w:r>
          </w:p>
          <w:p w14:paraId="52289F8F">
            <w:pPr>
              <w:keepNext w:val="0"/>
              <w:keepLines w:val="0"/>
              <w:widowControl/>
              <w:suppressLineNumbers w:val="0"/>
              <w:spacing w:line="360" w:lineRule="auto"/>
              <w:ind w:firstLine="480" w:firstLineChars="200"/>
              <w:jc w:val="both"/>
              <w:rPr>
                <w:rFonts w:hint="default" w:ascii="Times New Roman" w:hAnsi="Times New Roman" w:cs="Times New Roman"/>
                <w:color w:val="auto"/>
                <w:kern w:val="0"/>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云雾山330千伏变电站属于宁夏云雾山330千伏输变电工程建设内容之一，云雾山330千伏变电站主要建设</w:t>
            </w:r>
            <w:r>
              <w:rPr>
                <w:rFonts w:hint="default" w:ascii="Times New Roman" w:hAnsi="Times New Roman" w:eastAsia="宋体" w:cs="Times New Roman"/>
                <w:color w:val="auto"/>
                <w:kern w:val="2"/>
                <w:sz w:val="24"/>
                <w:szCs w:val="24"/>
                <w:highlight w:val="none"/>
                <w:lang w:val="zh-CN"/>
              </w:rPr>
              <w:t>主变2×</w:t>
            </w:r>
            <w:r>
              <w:rPr>
                <w:rFonts w:hint="default" w:ascii="Times New Roman" w:hAnsi="Times New Roman" w:eastAsia="宋体" w:cs="Times New Roman"/>
                <w:color w:val="auto"/>
                <w:kern w:val="2"/>
                <w:sz w:val="24"/>
                <w:szCs w:val="24"/>
                <w:highlight w:val="none"/>
                <w:lang w:val="en-US" w:eastAsia="zh-CN"/>
              </w:rPr>
              <w:t>24</w:t>
            </w:r>
            <w:r>
              <w:rPr>
                <w:rFonts w:hint="default" w:ascii="Times New Roman" w:hAnsi="Times New Roman" w:eastAsia="宋体" w:cs="Times New Roman"/>
                <w:color w:val="auto"/>
                <w:kern w:val="2"/>
                <w:sz w:val="24"/>
                <w:szCs w:val="24"/>
                <w:highlight w:val="none"/>
                <w:lang w:val="zh-CN"/>
              </w:rPr>
              <w:t>0</w:t>
            </w:r>
            <w:r>
              <w:rPr>
                <w:rFonts w:hint="default" w:ascii="Times New Roman" w:hAnsi="Times New Roman" w:eastAsia="宋体" w:cs="Times New Roman"/>
                <w:color w:val="auto"/>
                <w:kern w:val="2"/>
                <w:sz w:val="24"/>
                <w:szCs w:val="24"/>
                <w:highlight w:val="none"/>
              </w:rPr>
              <w:t>MVA</w:t>
            </w:r>
            <w:r>
              <w:rPr>
                <w:rFonts w:hint="default" w:ascii="Times New Roman" w:hAnsi="Times New Roman" w:eastAsia="宋体" w:cs="Times New Roman"/>
                <w:color w:val="auto"/>
                <w:kern w:val="2"/>
                <w:sz w:val="24"/>
                <w:szCs w:val="24"/>
                <w:highlight w:val="none"/>
                <w:lang w:val="zh-CN"/>
              </w:rPr>
              <w:t>，电压等级</w:t>
            </w:r>
            <w:r>
              <w:rPr>
                <w:rFonts w:hint="default" w:ascii="Times New Roman" w:hAnsi="Times New Roman" w:eastAsia="宋体" w:cs="Times New Roman"/>
                <w:color w:val="auto"/>
                <w:kern w:val="2"/>
                <w:sz w:val="24"/>
                <w:szCs w:val="24"/>
                <w:highlight w:val="none"/>
                <w:lang w:val="en-US" w:eastAsia="zh-CN"/>
              </w:rPr>
              <w:t>为</w:t>
            </w:r>
            <w:r>
              <w:rPr>
                <w:rFonts w:hint="default" w:ascii="Times New Roman" w:hAnsi="Times New Roman" w:eastAsia="宋体" w:cs="Times New Roman"/>
                <w:color w:val="auto"/>
                <w:kern w:val="2"/>
                <w:sz w:val="24"/>
                <w:szCs w:val="24"/>
                <w:highlight w:val="none"/>
              </w:rPr>
              <w:t>330</w:t>
            </w:r>
            <w:r>
              <w:rPr>
                <w:rFonts w:hint="default" w:ascii="Times New Roman" w:hAnsi="Times New Roman" w:eastAsia="宋体" w:cs="Times New Roman"/>
                <w:color w:val="auto"/>
                <w:kern w:val="2"/>
                <w:sz w:val="24"/>
                <w:szCs w:val="24"/>
                <w:highlight w:val="none"/>
                <w:lang w:eastAsia="zh-CN"/>
              </w:rPr>
              <w:t>kV</w:t>
            </w:r>
            <w:r>
              <w:rPr>
                <w:rFonts w:hint="default" w:ascii="Times New Roman" w:hAnsi="Times New Roman" w:eastAsia="宋体" w:cs="Times New Roman"/>
                <w:color w:val="auto"/>
                <w:kern w:val="2"/>
                <w:sz w:val="24"/>
                <w:szCs w:val="24"/>
                <w:highlight w:val="none"/>
              </w:rPr>
              <w:t>/110</w:t>
            </w:r>
            <w:r>
              <w:rPr>
                <w:rFonts w:hint="default" w:ascii="Times New Roman" w:hAnsi="Times New Roman" w:eastAsia="宋体" w:cs="Times New Roman"/>
                <w:color w:val="auto"/>
                <w:kern w:val="2"/>
                <w:sz w:val="24"/>
                <w:szCs w:val="24"/>
                <w:highlight w:val="none"/>
                <w:lang w:eastAsia="zh-CN"/>
              </w:rPr>
              <w:t>kV</w:t>
            </w:r>
            <w:r>
              <w:rPr>
                <w:rFonts w:hint="default" w:ascii="Times New Roman" w:hAnsi="Times New Roman" w:eastAsia="宋体" w:cs="Times New Roman"/>
                <w:color w:val="auto"/>
                <w:kern w:val="2"/>
                <w:sz w:val="24"/>
                <w:szCs w:val="24"/>
                <w:highlight w:val="none"/>
              </w:rPr>
              <w:t>/35</w:t>
            </w:r>
            <w:r>
              <w:rPr>
                <w:rFonts w:hint="default" w:ascii="Times New Roman" w:hAnsi="Times New Roman" w:eastAsia="宋体" w:cs="Times New Roman"/>
                <w:color w:val="auto"/>
                <w:kern w:val="2"/>
                <w:sz w:val="24"/>
                <w:szCs w:val="24"/>
                <w:highlight w:val="none"/>
                <w:lang w:eastAsia="zh-CN"/>
              </w:rPr>
              <w:t>kV</w:t>
            </w:r>
            <w:r>
              <w:rPr>
                <w:rFonts w:hint="default" w:ascii="Times New Roman" w:hAnsi="Times New Roman" w:eastAsia="宋体" w:cs="Times New Roman"/>
                <w:color w:val="auto"/>
                <w:kern w:val="2"/>
                <w:sz w:val="24"/>
                <w:szCs w:val="24"/>
                <w:highlight w:val="none"/>
                <w:lang w:val="zh-CN"/>
              </w:rPr>
              <w:t>。</w:t>
            </w:r>
            <w:r>
              <w:rPr>
                <w:rFonts w:hint="default" w:ascii="Times New Roman" w:hAnsi="Times New Roman" w:eastAsia="宋体" w:cs="Times New Roman"/>
                <w:color w:val="auto"/>
                <w:kern w:val="2"/>
                <w:sz w:val="24"/>
                <w:szCs w:val="24"/>
                <w:highlight w:val="none"/>
                <w:lang w:val="en-US" w:eastAsia="zh-CN"/>
              </w:rPr>
              <w:t>其中，</w:t>
            </w:r>
            <w:r>
              <w:rPr>
                <w:rFonts w:hint="default" w:ascii="Times New Roman" w:hAnsi="Times New Roman" w:eastAsia="宋体" w:cs="Times New Roman"/>
                <w:color w:val="auto"/>
                <w:kern w:val="2"/>
                <w:sz w:val="24"/>
                <w:szCs w:val="24"/>
                <w:highlight w:val="none"/>
              </w:rPr>
              <w:t>330</w:t>
            </w:r>
            <w:r>
              <w:rPr>
                <w:rFonts w:hint="eastAsia" w:cs="Times New Roman"/>
                <w:color w:val="auto"/>
                <w:kern w:val="0"/>
                <w:sz w:val="24"/>
                <w:highlight w:val="none"/>
                <w:lang w:val="en-US" w:eastAsia="zh-CN"/>
              </w:rPr>
              <w:t>千伏</w:t>
            </w:r>
            <w:r>
              <w:rPr>
                <w:rFonts w:hint="default" w:ascii="Times New Roman" w:hAnsi="Times New Roman" w:eastAsia="宋体" w:cs="Times New Roman"/>
                <w:color w:val="auto"/>
                <w:kern w:val="2"/>
                <w:sz w:val="24"/>
                <w:szCs w:val="24"/>
                <w:highlight w:val="none"/>
                <w:lang w:val="zh-CN"/>
              </w:rPr>
              <w:t>出线间隔</w:t>
            </w:r>
            <w:r>
              <w:rPr>
                <w:rFonts w:hint="default" w:ascii="Times New Roman" w:hAnsi="Times New Roman" w:eastAsia="宋体" w:cs="Times New Roman"/>
                <w:color w:val="auto"/>
                <w:kern w:val="2"/>
                <w:sz w:val="24"/>
                <w:szCs w:val="24"/>
                <w:highlight w:val="none"/>
                <w:lang w:val="en-US" w:eastAsia="zh-CN"/>
              </w:rPr>
              <w:t>6回</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分别</w:t>
            </w:r>
            <w:r>
              <w:rPr>
                <w:rFonts w:hint="default" w:ascii="Times New Roman" w:hAnsi="Times New Roman" w:eastAsia="宋体" w:cs="Times New Roman"/>
                <w:color w:val="auto"/>
                <w:kern w:val="2"/>
                <w:sz w:val="24"/>
                <w:szCs w:val="24"/>
                <w:highlight w:val="none"/>
              </w:rPr>
              <w:t>至</w:t>
            </w:r>
            <w:r>
              <w:rPr>
                <w:rFonts w:hint="default" w:ascii="Times New Roman" w:hAnsi="Times New Roman" w:eastAsia="宋体" w:cs="Times New Roman"/>
                <w:color w:val="auto"/>
                <w:kern w:val="2"/>
                <w:sz w:val="24"/>
                <w:szCs w:val="24"/>
                <w:highlight w:val="none"/>
                <w:lang w:val="en-US" w:eastAsia="zh-CN"/>
              </w:rPr>
              <w:t>六盘山</w:t>
            </w:r>
            <w:r>
              <w:rPr>
                <w:rFonts w:hint="default" w:ascii="Times New Roman" w:hAnsi="Times New Roman" w:eastAsia="宋体" w:cs="Times New Roman"/>
                <w:color w:val="auto"/>
                <w:kern w:val="2"/>
                <w:sz w:val="24"/>
                <w:szCs w:val="24"/>
                <w:highlight w:val="none"/>
              </w:rPr>
              <w:t>750</w:t>
            </w:r>
            <w:r>
              <w:rPr>
                <w:rFonts w:hint="eastAsia" w:cs="Times New Roman"/>
                <w:color w:val="auto"/>
                <w:kern w:val="0"/>
                <w:sz w:val="24"/>
                <w:highlight w:val="none"/>
                <w:lang w:val="en-US" w:eastAsia="zh-CN"/>
              </w:rPr>
              <w:t>千伏</w:t>
            </w:r>
            <w:r>
              <w:rPr>
                <w:rFonts w:hint="default" w:ascii="Times New Roman" w:hAnsi="Times New Roman" w:eastAsia="宋体" w:cs="Times New Roman"/>
                <w:color w:val="auto"/>
                <w:kern w:val="2"/>
                <w:sz w:val="24"/>
                <w:szCs w:val="24"/>
                <w:highlight w:val="none"/>
              </w:rPr>
              <w:t>变电站</w:t>
            </w:r>
            <w:r>
              <w:rPr>
                <w:rFonts w:hint="default" w:ascii="Times New Roman" w:hAnsi="Times New Roman" w:eastAsia="宋体" w:cs="Times New Roman"/>
                <w:color w:val="auto"/>
                <w:kern w:val="2"/>
                <w:sz w:val="24"/>
                <w:szCs w:val="24"/>
                <w:highlight w:val="none"/>
                <w:lang w:val="en-US" w:eastAsia="zh-CN"/>
              </w:rPr>
              <w:t>2回、</w:t>
            </w:r>
            <w:r>
              <w:rPr>
                <w:rFonts w:hint="default" w:ascii="Times New Roman" w:hAnsi="Times New Roman" w:eastAsia="宋体" w:cs="Times New Roman"/>
                <w:color w:val="auto"/>
                <w:kern w:val="2"/>
                <w:sz w:val="24"/>
                <w:highlight w:val="none"/>
                <w:lang w:val="en-US" w:eastAsia="zh-CN" w:bidi="ar-SA"/>
              </w:rPr>
              <w:t>六盘山热电</w:t>
            </w:r>
            <w:r>
              <w:rPr>
                <w:rFonts w:hint="default" w:ascii="Times New Roman" w:hAnsi="Times New Roman" w:eastAsia="宋体" w:cs="Times New Roman"/>
                <w:color w:val="auto"/>
                <w:kern w:val="2"/>
                <w:sz w:val="24"/>
                <w:szCs w:val="24"/>
                <w:highlight w:val="none"/>
                <w:lang w:val="en-US" w:eastAsia="zh-CN"/>
              </w:rPr>
              <w:t>2回、</w:t>
            </w:r>
            <w:r>
              <w:rPr>
                <w:rFonts w:hint="default" w:ascii="Times New Roman" w:hAnsi="Times New Roman" w:eastAsia="宋体" w:cs="Times New Roman"/>
                <w:color w:val="auto"/>
                <w:kern w:val="2"/>
                <w:sz w:val="24"/>
                <w:highlight w:val="none"/>
                <w:lang w:val="en-US" w:eastAsia="zh-CN" w:bidi="ar-SA"/>
              </w:rPr>
              <w:t>清水河330</w:t>
            </w:r>
            <w:r>
              <w:rPr>
                <w:rFonts w:hint="eastAsia" w:cs="Times New Roman"/>
                <w:color w:val="auto"/>
                <w:kern w:val="0"/>
                <w:sz w:val="24"/>
                <w:highlight w:val="none"/>
                <w:lang w:val="en-US" w:eastAsia="zh-CN"/>
              </w:rPr>
              <w:t>千伏</w:t>
            </w:r>
            <w:r>
              <w:rPr>
                <w:rFonts w:hint="default" w:ascii="Times New Roman" w:hAnsi="Times New Roman" w:eastAsia="宋体" w:cs="Times New Roman"/>
                <w:color w:val="auto"/>
                <w:kern w:val="2"/>
                <w:sz w:val="24"/>
                <w:szCs w:val="24"/>
                <w:highlight w:val="none"/>
              </w:rPr>
              <w:t>变电站</w:t>
            </w:r>
            <w:r>
              <w:rPr>
                <w:rFonts w:hint="default" w:ascii="Times New Roman" w:hAnsi="Times New Roman" w:eastAsia="宋体" w:cs="Times New Roman"/>
                <w:color w:val="auto"/>
                <w:kern w:val="2"/>
                <w:sz w:val="24"/>
                <w:szCs w:val="24"/>
                <w:highlight w:val="none"/>
                <w:lang w:val="en-US" w:eastAsia="zh-CN"/>
              </w:rPr>
              <w:t>2回</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110</w:t>
            </w:r>
            <w:r>
              <w:rPr>
                <w:rFonts w:hint="eastAsia" w:cs="Times New Roman"/>
                <w:color w:val="auto"/>
                <w:kern w:val="0"/>
                <w:sz w:val="24"/>
                <w:highlight w:val="none"/>
                <w:lang w:val="en-US" w:eastAsia="zh-CN"/>
              </w:rPr>
              <w:t>千伏</w:t>
            </w:r>
            <w:r>
              <w:rPr>
                <w:rFonts w:hint="default" w:ascii="Times New Roman" w:hAnsi="Times New Roman" w:eastAsia="宋体" w:cs="Times New Roman"/>
                <w:color w:val="auto"/>
                <w:kern w:val="2"/>
                <w:sz w:val="24"/>
                <w:szCs w:val="24"/>
                <w:highlight w:val="none"/>
                <w:lang w:val="zh-CN"/>
              </w:rPr>
              <w:t>出线间隔</w:t>
            </w:r>
            <w:r>
              <w:rPr>
                <w:rFonts w:hint="default" w:ascii="Times New Roman" w:hAnsi="Times New Roman" w:eastAsia="宋体" w:cs="Times New Roman"/>
                <w:color w:val="auto"/>
                <w:kern w:val="2"/>
                <w:sz w:val="24"/>
                <w:szCs w:val="24"/>
                <w:highlight w:val="none"/>
                <w:lang w:val="en-US" w:eastAsia="zh-CN"/>
              </w:rPr>
              <w:t>10回；</w:t>
            </w:r>
            <w:r>
              <w:rPr>
                <w:rFonts w:hint="default" w:ascii="Times New Roman" w:hAnsi="Times New Roman" w:eastAsia="宋体" w:cs="Times New Roman"/>
                <w:color w:val="auto"/>
                <w:kern w:val="2"/>
                <w:sz w:val="24"/>
                <w:szCs w:val="24"/>
                <w:highlight w:val="none"/>
                <w:lang w:val="zh-CN"/>
              </w:rPr>
              <w:t>建</w:t>
            </w:r>
            <w:r>
              <w:rPr>
                <w:rFonts w:hint="default" w:ascii="Times New Roman" w:hAnsi="Times New Roman" w:eastAsia="宋体" w:cs="Times New Roman"/>
                <w:color w:val="auto"/>
                <w:kern w:val="2"/>
                <w:sz w:val="24"/>
                <w:szCs w:val="24"/>
                <w:highlight w:val="none"/>
                <w:lang w:val="en-US" w:eastAsia="zh-CN"/>
              </w:rPr>
              <w:t>设</w:t>
            </w:r>
            <w:r>
              <w:rPr>
                <w:rFonts w:hint="default" w:ascii="Times New Roman" w:hAnsi="Times New Roman" w:eastAsia="宋体" w:cs="Times New Roman"/>
                <w:color w:val="auto"/>
                <w:kern w:val="2"/>
                <w:sz w:val="24"/>
                <w:szCs w:val="24"/>
                <w:highlight w:val="none"/>
              </w:rPr>
              <w:t>2×</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1×30</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zh-CN"/>
              </w:rPr>
              <w:t>Mvar</w:t>
            </w:r>
            <w:r>
              <w:rPr>
                <w:rFonts w:hint="default" w:ascii="Times New Roman" w:hAnsi="Times New Roman" w:eastAsia="宋体" w:cs="Times New Roman"/>
                <w:color w:val="auto"/>
                <w:kern w:val="2"/>
                <w:sz w:val="24"/>
                <w:szCs w:val="24"/>
                <w:highlight w:val="none"/>
                <w:lang w:val="en-US" w:eastAsia="zh-CN"/>
              </w:rPr>
              <w:t>低压并联</w:t>
            </w:r>
            <w:r>
              <w:rPr>
                <w:rFonts w:hint="default" w:ascii="Times New Roman" w:hAnsi="Times New Roman" w:eastAsia="宋体" w:cs="Times New Roman"/>
                <w:color w:val="auto"/>
                <w:kern w:val="2"/>
                <w:sz w:val="24"/>
                <w:szCs w:val="24"/>
                <w:highlight w:val="none"/>
                <w:lang w:val="zh-CN"/>
              </w:rPr>
              <w:t>电抗器</w:t>
            </w:r>
            <w:r>
              <w:rPr>
                <w:rFonts w:hint="default" w:ascii="Times New Roman" w:hAnsi="Times New Roman" w:eastAsia="宋体" w:cs="Times New Roman"/>
                <w:color w:val="auto"/>
                <w:kern w:val="2"/>
                <w:sz w:val="24"/>
                <w:szCs w:val="24"/>
                <w:highlight w:val="none"/>
                <w:lang w:val="en-US" w:eastAsia="zh-CN"/>
              </w:rPr>
              <w:t>和</w:t>
            </w:r>
            <w:r>
              <w:rPr>
                <w:rFonts w:hint="default" w:ascii="Times New Roman" w:hAnsi="Times New Roman" w:eastAsia="宋体" w:cs="Times New Roman"/>
                <w:color w:val="auto"/>
                <w:kern w:val="2"/>
                <w:sz w:val="24"/>
                <w:szCs w:val="24"/>
                <w:highlight w:val="none"/>
              </w:rPr>
              <w:t>2×</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2×</w:t>
            </w:r>
            <w:r>
              <w:rPr>
                <w:rFonts w:hint="default"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0</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zh-CN"/>
              </w:rPr>
              <w:t>Mvar</w:t>
            </w:r>
            <w:r>
              <w:rPr>
                <w:rFonts w:hint="default" w:ascii="Times New Roman" w:hAnsi="Times New Roman" w:eastAsia="宋体" w:cs="Times New Roman"/>
                <w:color w:val="auto"/>
                <w:kern w:val="2"/>
                <w:sz w:val="24"/>
                <w:szCs w:val="24"/>
                <w:highlight w:val="none"/>
                <w:lang w:val="en-US" w:eastAsia="zh-CN"/>
              </w:rPr>
              <w:t>低压并联</w:t>
            </w:r>
            <w:r>
              <w:rPr>
                <w:rFonts w:hint="default" w:ascii="Times New Roman" w:hAnsi="Times New Roman" w:eastAsia="宋体" w:cs="Times New Roman"/>
                <w:color w:val="auto"/>
                <w:kern w:val="2"/>
                <w:sz w:val="24"/>
                <w:szCs w:val="24"/>
                <w:highlight w:val="none"/>
                <w:lang w:val="zh-CN"/>
              </w:rPr>
              <w:t>电容器。</w:t>
            </w:r>
            <w:r>
              <w:rPr>
                <w:rFonts w:hint="default" w:ascii="Times New Roman" w:hAnsi="Times New Roman" w:eastAsia="宋体" w:cs="Times New Roman"/>
                <w:color w:val="auto"/>
                <w:kern w:val="0"/>
                <w:sz w:val="24"/>
                <w:szCs w:val="24"/>
                <w:lang w:val="en-US" w:eastAsia="zh-CN"/>
              </w:rPr>
              <w:t>固原市生态环境局于2024年10月28日对“</w:t>
            </w:r>
            <w:r>
              <w:rPr>
                <w:rFonts w:hint="default" w:ascii="Times New Roman" w:hAnsi="Times New Roman" w:eastAsia="宋体" w:cs="Times New Roman"/>
                <w:b w:val="0"/>
                <w:bCs w:val="0"/>
                <w:color w:val="auto"/>
                <w:sz w:val="24"/>
                <w:highlight w:val="none"/>
                <w:lang w:val="en-US" w:eastAsia="zh-CN"/>
              </w:rPr>
              <w:t>宁夏云雾山330千伏输变电工程</w:t>
            </w:r>
            <w:r>
              <w:rPr>
                <w:rFonts w:hint="default" w:ascii="Times New Roman" w:hAnsi="Times New Roman" w:eastAsia="宋体" w:cs="Times New Roman"/>
                <w:color w:val="auto"/>
                <w:kern w:val="0"/>
                <w:sz w:val="24"/>
                <w:szCs w:val="24"/>
                <w:lang w:val="en-US" w:eastAsia="zh-CN"/>
              </w:rPr>
              <w:t>”进行</w:t>
            </w:r>
            <w:r>
              <w:rPr>
                <w:rFonts w:hint="default" w:ascii="Times New Roman" w:hAnsi="Times New Roman" w:cs="Times New Roman"/>
                <w:color w:val="auto"/>
                <w:kern w:val="0"/>
                <w:sz w:val="24"/>
                <w:szCs w:val="24"/>
                <w:lang w:val="en-US" w:eastAsia="zh-CN"/>
              </w:rPr>
              <w:t>了</w:t>
            </w:r>
            <w:r>
              <w:rPr>
                <w:rFonts w:hint="default" w:ascii="Times New Roman" w:hAnsi="Times New Roman" w:eastAsia="宋体" w:cs="Times New Roman"/>
                <w:color w:val="auto"/>
                <w:kern w:val="0"/>
                <w:sz w:val="24"/>
                <w:szCs w:val="24"/>
                <w:lang w:val="en-US" w:eastAsia="zh-CN"/>
              </w:rPr>
              <w:t>环评</w:t>
            </w:r>
            <w:r>
              <w:rPr>
                <w:rFonts w:hint="default" w:ascii="Times New Roman" w:hAnsi="Times New Roman" w:cs="Times New Roman"/>
                <w:color w:val="auto"/>
                <w:sz w:val="24"/>
                <w:szCs w:val="24"/>
              </w:rPr>
              <w:t>批复</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color w:val="auto"/>
                <w:sz w:val="24"/>
                <w:lang w:val="en-US" w:eastAsia="zh-CN"/>
              </w:rPr>
              <w:t>固环评审〔20</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4〕27号</w:t>
            </w:r>
            <w:r>
              <w:rPr>
                <w:rFonts w:hint="default" w:ascii="Times New Roman" w:hAnsi="Times New Roman" w:eastAsia="宋体" w:cs="Times New Roman"/>
                <w:color w:val="auto"/>
                <w:kern w:val="0"/>
                <w:sz w:val="24"/>
                <w:szCs w:val="24"/>
                <w:lang w:val="en-US" w:eastAsia="zh-CN"/>
              </w:rPr>
              <w:t>）。目前，</w:t>
            </w:r>
            <w:r>
              <w:rPr>
                <w:rFonts w:hint="default" w:ascii="Times New Roman" w:hAnsi="Times New Roman" w:eastAsia="宋体" w:cs="Times New Roman"/>
                <w:b w:val="0"/>
                <w:bCs w:val="0"/>
                <w:color w:val="auto"/>
                <w:sz w:val="24"/>
                <w:highlight w:val="none"/>
                <w:lang w:val="en-US" w:eastAsia="zh-CN"/>
              </w:rPr>
              <w:t>云雾山330千伏变电站正在施工中</w:t>
            </w:r>
            <w:r>
              <w:rPr>
                <w:rFonts w:hint="eastAsia" w:cs="Times New Roman"/>
                <w:b w:val="0"/>
                <w:bCs w:val="0"/>
                <w:color w:val="auto"/>
                <w:sz w:val="24"/>
                <w:highlight w:val="none"/>
                <w:lang w:val="en-US" w:eastAsia="zh-CN"/>
              </w:rPr>
              <w:t>，计划于2026年5月投运</w:t>
            </w:r>
            <w:r>
              <w:rPr>
                <w:rFonts w:hint="default" w:ascii="Times New Roman" w:hAnsi="Times New Roman" w:eastAsia="宋体" w:cs="Times New Roman"/>
                <w:b w:val="0"/>
                <w:bCs w:val="0"/>
                <w:color w:val="auto"/>
                <w:sz w:val="24"/>
                <w:highlight w:val="none"/>
                <w:lang w:val="en-US" w:eastAsia="zh-CN"/>
              </w:rPr>
              <w:t>。</w:t>
            </w:r>
          </w:p>
          <w:p w14:paraId="29CFB1D3">
            <w:pPr>
              <w:keepNext w:val="0"/>
              <w:keepLines w:val="0"/>
              <w:pageBreakBefore w:val="0"/>
              <w:widowControl w:val="0"/>
              <w:kinsoku/>
              <w:wordWrap/>
              <w:overflowPunct/>
              <w:topLinePunct w:val="0"/>
              <w:autoSpaceDE/>
              <w:autoSpaceDN/>
              <w:bidi w:val="0"/>
              <w:adjustRightInd w:val="0"/>
              <w:snapToGrid w:val="0"/>
              <w:spacing w:line="360" w:lineRule="auto"/>
              <w:ind w:left="489" w:leftChars="228" w:hanging="10" w:hangingChars="4"/>
              <w:jc w:val="both"/>
              <w:textAlignment w:val="auto"/>
              <w:rPr>
                <w:rFonts w:hint="default"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⑵</w:t>
            </w:r>
            <w:r>
              <w:rPr>
                <w:rFonts w:hint="default" w:ascii="Times New Roman" w:hAnsi="Times New Roman" w:eastAsia="宋体" w:cs="Times New Roman"/>
                <w:b/>
                <w:bCs/>
                <w:color w:val="auto"/>
                <w:sz w:val="24"/>
                <w:highlight w:val="none"/>
                <w:lang w:val="en-US" w:eastAsia="zh-CN"/>
              </w:rPr>
              <w:t>110千伏清李Ⅰ线、110千伏至李线</w:t>
            </w:r>
          </w:p>
          <w:p w14:paraId="104735F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b w:val="0"/>
                <w:bCs w:val="0"/>
                <w:color w:val="auto"/>
                <w:sz w:val="24"/>
                <w:highlight w:val="none"/>
                <w:lang w:val="en-US" w:eastAsia="zh-CN"/>
              </w:rPr>
              <w:t>110千伏至李线</w:t>
            </w:r>
            <w:r>
              <w:rPr>
                <w:rFonts w:hint="eastAsia" w:cs="Times New Roman"/>
                <w:b w:val="0"/>
                <w:bCs w:val="0"/>
                <w:color w:val="auto"/>
                <w:sz w:val="24"/>
                <w:highlight w:val="none"/>
                <w:lang w:val="en-US" w:eastAsia="zh-CN"/>
              </w:rPr>
              <w:t>前期名称为</w:t>
            </w:r>
            <w:r>
              <w:rPr>
                <w:rFonts w:hint="default" w:ascii="Times New Roman" w:hAnsi="Times New Roman" w:eastAsia="宋体" w:cs="Times New Roman"/>
                <w:b w:val="0"/>
                <w:bCs w:val="0"/>
                <w:color w:val="auto"/>
                <w:sz w:val="24"/>
                <w:highlight w:val="none"/>
                <w:lang w:val="en-US" w:eastAsia="zh-CN"/>
              </w:rPr>
              <w:t>110千伏清李</w:t>
            </w:r>
            <w:r>
              <w:rPr>
                <w:rFonts w:hint="eastAsia" w:cs="Times New Roman"/>
                <w:b w:val="0"/>
                <w:bCs w:val="0"/>
                <w:color w:val="auto"/>
                <w:sz w:val="24"/>
                <w:highlight w:val="none"/>
                <w:lang w:val="en-US" w:eastAsia="zh-CN"/>
              </w:rPr>
              <w:t>I</w:t>
            </w:r>
            <w:r>
              <w:rPr>
                <w:rFonts w:hint="default" w:ascii="Times New Roman" w:hAnsi="Times New Roman" w:eastAsia="宋体" w:cs="Times New Roman"/>
                <w:b w:val="0"/>
                <w:bCs w:val="0"/>
                <w:color w:val="auto"/>
                <w:sz w:val="24"/>
                <w:highlight w:val="none"/>
                <w:lang w:val="en-US" w:eastAsia="zh-CN"/>
              </w:rPr>
              <w:t>Ⅰ线</w:t>
            </w:r>
            <w:r>
              <w:rPr>
                <w:rFonts w:hint="eastAsia" w:cs="Times New Roman"/>
                <w:b w:val="0"/>
                <w:bCs w:val="0"/>
                <w:color w:val="auto"/>
                <w:sz w:val="24"/>
                <w:highlight w:val="none"/>
                <w:lang w:val="en-US" w:eastAsia="zh-CN"/>
              </w:rPr>
              <w:t>，本次抬高改造的</w:t>
            </w:r>
            <w:r>
              <w:rPr>
                <w:rFonts w:hint="default" w:ascii="Times New Roman" w:hAnsi="Times New Roman" w:eastAsia="宋体" w:cs="Times New Roman"/>
                <w:b w:val="0"/>
                <w:bCs w:val="0"/>
                <w:color w:val="auto"/>
                <w:sz w:val="24"/>
                <w:highlight w:val="none"/>
                <w:lang w:val="en-US" w:eastAsia="zh-CN"/>
              </w:rPr>
              <w:t>110千伏清李</w:t>
            </w:r>
            <w:r>
              <w:rPr>
                <w:rFonts w:hint="eastAsia" w:cs="Times New Roman"/>
                <w:b w:val="0"/>
                <w:bCs w:val="0"/>
                <w:color w:val="auto"/>
                <w:sz w:val="24"/>
                <w:highlight w:val="none"/>
                <w:lang w:val="en-US" w:eastAsia="zh-CN"/>
              </w:rPr>
              <w:t>I</w:t>
            </w:r>
            <w:r>
              <w:rPr>
                <w:rFonts w:hint="default" w:ascii="Times New Roman" w:hAnsi="Times New Roman" w:eastAsia="宋体" w:cs="Times New Roman"/>
                <w:b w:val="0"/>
                <w:bCs w:val="0"/>
                <w:color w:val="auto"/>
                <w:sz w:val="24"/>
                <w:highlight w:val="none"/>
                <w:lang w:val="en-US" w:eastAsia="zh-CN"/>
              </w:rPr>
              <w:t>线</w:t>
            </w:r>
            <w:r>
              <w:rPr>
                <w:rFonts w:hint="eastAsia" w:cs="Times New Roman"/>
                <w:b w:val="0"/>
                <w:bCs w:val="0"/>
                <w:color w:val="auto"/>
                <w:sz w:val="24"/>
                <w:highlight w:val="none"/>
                <w:lang w:val="en-US" w:eastAsia="zh-CN"/>
              </w:rPr>
              <w:t>、110千伏至李线（原</w:t>
            </w:r>
            <w:r>
              <w:rPr>
                <w:rFonts w:hint="default" w:ascii="Times New Roman" w:hAnsi="Times New Roman" w:eastAsia="宋体" w:cs="Times New Roman"/>
                <w:b w:val="0"/>
                <w:bCs w:val="0"/>
                <w:color w:val="auto"/>
                <w:sz w:val="24"/>
                <w:highlight w:val="none"/>
                <w:lang w:val="en-US" w:eastAsia="zh-CN"/>
              </w:rPr>
              <w:t>110千伏清李</w:t>
            </w:r>
            <w:r>
              <w:rPr>
                <w:rFonts w:hint="eastAsia" w:cs="Times New Roman"/>
                <w:b w:val="0"/>
                <w:bCs w:val="0"/>
                <w:color w:val="auto"/>
                <w:sz w:val="24"/>
                <w:highlight w:val="none"/>
                <w:lang w:val="en-US" w:eastAsia="zh-CN"/>
              </w:rPr>
              <w:t>I</w:t>
            </w:r>
            <w:r>
              <w:rPr>
                <w:rFonts w:hint="default" w:ascii="Times New Roman" w:hAnsi="Times New Roman" w:eastAsia="宋体" w:cs="Times New Roman"/>
                <w:b w:val="0"/>
                <w:bCs w:val="0"/>
                <w:color w:val="auto"/>
                <w:sz w:val="24"/>
                <w:highlight w:val="none"/>
                <w:lang w:val="en-US" w:eastAsia="zh-CN"/>
              </w:rPr>
              <w:t>Ⅰ线</w:t>
            </w:r>
            <w:r>
              <w:rPr>
                <w:rFonts w:hint="eastAsia" w:cs="Times New Roman"/>
                <w:b w:val="0"/>
                <w:bCs w:val="0"/>
                <w:color w:val="auto"/>
                <w:sz w:val="24"/>
                <w:highlight w:val="none"/>
                <w:lang w:val="en-US" w:eastAsia="zh-CN"/>
              </w:rPr>
              <w:t>）属于</w:t>
            </w:r>
            <w:r>
              <w:rPr>
                <w:rFonts w:hint="eastAsia" w:cs="Times New Roman"/>
                <w:b/>
                <w:bCs/>
                <w:color w:val="auto"/>
                <w:sz w:val="24"/>
                <w:highlight w:val="none"/>
                <w:lang w:val="en-US" w:eastAsia="zh-CN"/>
              </w:rPr>
              <w:t>王洼110千伏输变电工程</w:t>
            </w:r>
            <w:r>
              <w:rPr>
                <w:rFonts w:hint="eastAsia" w:cs="Times New Roman"/>
                <w:b w:val="0"/>
                <w:bCs w:val="0"/>
                <w:color w:val="auto"/>
                <w:sz w:val="24"/>
                <w:highlight w:val="none"/>
                <w:lang w:val="en-US" w:eastAsia="zh-CN"/>
              </w:rPr>
              <w:t>的建设内容之一，王洼110千伏输变电工程主要建设内容包括：王洼（李寨）110千伏变电站、清水河~王洼（李寨）110千伏送电线路和清水河330千伏变电站110千伏间隔扩建工程三部分组成。其中</w:t>
            </w:r>
            <w:r>
              <w:rPr>
                <w:rFonts w:hint="default" w:ascii="Times New Roman" w:hAnsi="Times New Roman" w:cs="Times New Roman"/>
                <w:b w:val="0"/>
                <w:bCs w:val="0"/>
                <w:color w:val="auto"/>
                <w:sz w:val="24"/>
                <w:highlight w:val="none"/>
                <w:lang w:val="en-US" w:eastAsia="zh-CN"/>
              </w:rPr>
              <w:t>，清水河~王洼（李寨）110千伏送电线路全长2×（10.964+33.801+33.753）km，全线除清水河变出线10.964km及王洼（李寨）变终端塔采用双回路同塔架设外，其余段为单回路架设，共建杆塔264基。</w:t>
            </w:r>
            <w:r>
              <w:rPr>
                <w:rFonts w:hint="eastAsia" w:ascii="Times New Roman" w:hAnsi="Times New Roman" w:cs="Times New Roman"/>
                <w:b w:val="0"/>
                <w:bCs w:val="0"/>
                <w:color w:val="auto"/>
                <w:sz w:val="24"/>
                <w:highlight w:val="none"/>
                <w:lang w:val="en-US" w:eastAsia="zh-CN"/>
              </w:rPr>
              <w:t>原宁夏回族自治区环境保护厅</w:t>
            </w:r>
            <w:r>
              <w:rPr>
                <w:rFonts w:hint="default" w:ascii="Times New Roman" w:hAnsi="Times New Roman" w:eastAsia="宋体" w:cs="Times New Roman"/>
                <w:color w:val="auto"/>
                <w:kern w:val="0"/>
                <w:sz w:val="24"/>
                <w:szCs w:val="24"/>
                <w:lang w:val="en-US" w:eastAsia="zh-CN"/>
              </w:rPr>
              <w:t>于20</w:t>
            </w:r>
            <w:r>
              <w:rPr>
                <w:rFonts w:hint="eastAsia" w:cs="Times New Roman"/>
                <w:color w:val="auto"/>
                <w:kern w:val="0"/>
                <w:sz w:val="24"/>
                <w:szCs w:val="24"/>
                <w:lang w:val="en-US" w:eastAsia="zh-CN"/>
              </w:rPr>
              <w:t>10</w:t>
            </w:r>
            <w:r>
              <w:rPr>
                <w:rFonts w:hint="default" w:ascii="Times New Roman" w:hAnsi="Times New Roman" w:eastAsia="宋体" w:cs="Times New Roman"/>
                <w:color w:val="auto"/>
                <w:kern w:val="0"/>
                <w:sz w:val="24"/>
                <w:szCs w:val="24"/>
                <w:lang w:val="en-US" w:eastAsia="zh-CN"/>
              </w:rPr>
              <w:t>年1</w:t>
            </w:r>
            <w:r>
              <w:rPr>
                <w:rFonts w:hint="eastAsia" w:cs="Times New Roman"/>
                <w:color w:val="auto"/>
                <w:kern w:val="0"/>
                <w:sz w:val="24"/>
                <w:szCs w:val="24"/>
                <w:lang w:val="en-US" w:eastAsia="zh-CN"/>
              </w:rPr>
              <w:t>2</w:t>
            </w:r>
            <w:r>
              <w:rPr>
                <w:rFonts w:hint="default" w:ascii="Times New Roman" w:hAnsi="Times New Roman" w:eastAsia="宋体" w:cs="Times New Roman"/>
                <w:color w:val="auto"/>
                <w:kern w:val="0"/>
                <w:sz w:val="24"/>
                <w:szCs w:val="24"/>
                <w:lang w:val="en-US" w:eastAsia="zh-CN"/>
              </w:rPr>
              <w:t>月</w:t>
            </w:r>
            <w:r>
              <w:rPr>
                <w:rFonts w:hint="eastAsia" w:cs="Times New Roman"/>
                <w:color w:val="auto"/>
                <w:kern w:val="0"/>
                <w:sz w:val="24"/>
                <w:szCs w:val="24"/>
                <w:lang w:val="en-US" w:eastAsia="zh-CN"/>
              </w:rPr>
              <w:t>15</w:t>
            </w:r>
            <w:r>
              <w:rPr>
                <w:rFonts w:hint="default" w:ascii="Times New Roman" w:hAnsi="Times New Roman" w:eastAsia="宋体" w:cs="Times New Roman"/>
                <w:color w:val="auto"/>
                <w:kern w:val="0"/>
                <w:sz w:val="24"/>
                <w:szCs w:val="24"/>
                <w:lang w:val="en-US" w:eastAsia="zh-CN"/>
              </w:rPr>
              <w:t>日对“</w:t>
            </w:r>
            <w:r>
              <w:rPr>
                <w:rFonts w:hint="eastAsia" w:cs="Times New Roman"/>
                <w:b/>
                <w:bCs/>
                <w:color w:val="auto"/>
                <w:sz w:val="24"/>
                <w:highlight w:val="none"/>
                <w:lang w:val="en-US" w:eastAsia="zh-CN"/>
              </w:rPr>
              <w:t>王洼110千伏输变电工程</w:t>
            </w:r>
            <w:r>
              <w:rPr>
                <w:rFonts w:hint="default" w:ascii="Times New Roman" w:hAnsi="Times New Roman" w:eastAsia="宋体" w:cs="Times New Roman"/>
                <w:color w:val="auto"/>
                <w:kern w:val="0"/>
                <w:sz w:val="24"/>
                <w:szCs w:val="24"/>
                <w:lang w:val="en-US" w:eastAsia="zh-CN"/>
              </w:rPr>
              <w:t>”进行</w:t>
            </w:r>
            <w:r>
              <w:rPr>
                <w:rFonts w:hint="default" w:ascii="Times New Roman" w:hAnsi="Times New Roman" w:cs="Times New Roman"/>
                <w:color w:val="auto"/>
                <w:kern w:val="0"/>
                <w:sz w:val="24"/>
                <w:szCs w:val="24"/>
                <w:lang w:val="en-US" w:eastAsia="zh-CN"/>
              </w:rPr>
              <w:t>了</w:t>
            </w:r>
            <w:r>
              <w:rPr>
                <w:rFonts w:hint="default" w:ascii="Times New Roman" w:hAnsi="Times New Roman" w:eastAsia="宋体" w:cs="Times New Roman"/>
                <w:color w:val="auto"/>
                <w:kern w:val="0"/>
                <w:sz w:val="24"/>
                <w:szCs w:val="24"/>
                <w:lang w:val="en-US" w:eastAsia="zh-CN"/>
              </w:rPr>
              <w:t>环评</w:t>
            </w:r>
            <w:r>
              <w:rPr>
                <w:rFonts w:hint="default" w:ascii="Times New Roman" w:hAnsi="Times New Roman" w:cs="Times New Roman"/>
                <w:color w:val="auto"/>
                <w:sz w:val="24"/>
                <w:szCs w:val="24"/>
              </w:rPr>
              <w:t>批复</w:t>
            </w:r>
            <w:r>
              <w:rPr>
                <w:rFonts w:hint="default" w:ascii="Times New Roman" w:hAnsi="Times New Roman" w:eastAsia="宋体" w:cs="Times New Roman"/>
                <w:color w:val="auto"/>
                <w:kern w:val="0"/>
                <w:sz w:val="24"/>
                <w:szCs w:val="24"/>
                <w:lang w:val="en-US" w:eastAsia="zh-CN"/>
              </w:rPr>
              <w:t>（</w:t>
            </w:r>
            <w:r>
              <w:rPr>
                <w:rFonts w:hint="eastAsia" w:cs="Times New Roman"/>
                <w:color w:val="auto"/>
                <w:sz w:val="24"/>
                <w:lang w:val="en-US" w:eastAsia="zh-CN"/>
              </w:rPr>
              <w:t>宁</w:t>
            </w:r>
            <w:r>
              <w:rPr>
                <w:rFonts w:hint="default" w:ascii="Times New Roman" w:hAnsi="Times New Roman" w:cs="Times New Roman"/>
                <w:color w:val="auto"/>
                <w:sz w:val="24"/>
                <w:lang w:val="en-US" w:eastAsia="zh-CN"/>
              </w:rPr>
              <w:t>环</w:t>
            </w:r>
            <w:r>
              <w:rPr>
                <w:rFonts w:hint="eastAsia" w:cs="Times New Roman"/>
                <w:color w:val="auto"/>
                <w:sz w:val="24"/>
                <w:lang w:val="en-US" w:eastAsia="zh-CN"/>
              </w:rPr>
              <w:t>表</w:t>
            </w:r>
            <w:r>
              <w:rPr>
                <w:rFonts w:hint="default" w:ascii="Times New Roman" w:hAnsi="Times New Roman" w:cs="Times New Roman"/>
                <w:color w:val="auto"/>
                <w:sz w:val="24"/>
                <w:lang w:val="en-US" w:eastAsia="zh-CN"/>
              </w:rPr>
              <w:t>〔20</w:t>
            </w:r>
            <w:r>
              <w:rPr>
                <w:rFonts w:hint="eastAsia" w:cs="Times New Roman"/>
                <w:color w:val="auto"/>
                <w:sz w:val="24"/>
                <w:lang w:val="en-US" w:eastAsia="zh-CN"/>
              </w:rPr>
              <w:t>10</w:t>
            </w:r>
            <w:r>
              <w:rPr>
                <w:rFonts w:hint="default" w:ascii="Times New Roman" w:hAnsi="Times New Roman" w:cs="Times New Roman"/>
                <w:color w:val="auto"/>
                <w:sz w:val="24"/>
                <w:lang w:val="en-US" w:eastAsia="zh-CN"/>
              </w:rPr>
              <w:t>〕</w:t>
            </w:r>
            <w:r>
              <w:rPr>
                <w:rFonts w:hint="eastAsia" w:cs="Times New Roman"/>
                <w:color w:val="auto"/>
                <w:sz w:val="24"/>
                <w:lang w:val="en-US" w:eastAsia="zh-CN"/>
              </w:rPr>
              <w:t>153</w:t>
            </w:r>
            <w:r>
              <w:rPr>
                <w:rFonts w:hint="default" w:ascii="Times New Roman" w:hAnsi="Times New Roman" w:cs="Times New Roman"/>
                <w:color w:val="auto"/>
                <w:sz w:val="24"/>
                <w:lang w:val="en-US" w:eastAsia="zh-CN"/>
              </w:rPr>
              <w:t>号</w:t>
            </w:r>
            <w:r>
              <w:rPr>
                <w:rFonts w:hint="default" w:ascii="Times New Roman" w:hAnsi="Times New Roman" w:eastAsia="宋体" w:cs="Times New Roman"/>
                <w:color w:val="auto"/>
                <w:kern w:val="0"/>
                <w:sz w:val="24"/>
                <w:szCs w:val="24"/>
                <w:lang w:val="en-US" w:eastAsia="zh-CN"/>
              </w:rPr>
              <w:t>）</w:t>
            </w:r>
            <w:r>
              <w:rPr>
                <w:rFonts w:hint="eastAsia" w:cs="Times New Roman"/>
                <w:color w:val="auto"/>
                <w:kern w:val="0"/>
                <w:sz w:val="24"/>
                <w:szCs w:val="24"/>
                <w:lang w:val="en-US" w:eastAsia="zh-CN"/>
              </w:rPr>
              <w:t>，2013年1月30日对</w:t>
            </w:r>
            <w:r>
              <w:rPr>
                <w:rFonts w:hint="default" w:ascii="Times New Roman" w:hAnsi="Times New Roman" w:eastAsia="宋体" w:cs="Times New Roman"/>
                <w:color w:val="auto"/>
                <w:kern w:val="0"/>
                <w:sz w:val="24"/>
                <w:szCs w:val="24"/>
                <w:lang w:val="en-US" w:eastAsia="zh-CN"/>
              </w:rPr>
              <w:t>“</w:t>
            </w:r>
            <w:r>
              <w:rPr>
                <w:rFonts w:hint="eastAsia" w:cs="Times New Roman"/>
                <w:b/>
                <w:bCs/>
                <w:color w:val="auto"/>
                <w:sz w:val="24"/>
                <w:highlight w:val="none"/>
                <w:lang w:val="en-US" w:eastAsia="zh-CN"/>
              </w:rPr>
              <w:t>王洼110千伏输变电工程</w:t>
            </w:r>
            <w:r>
              <w:rPr>
                <w:rFonts w:hint="default" w:ascii="Times New Roman" w:hAnsi="Times New Roman" w:eastAsia="宋体" w:cs="Times New Roman"/>
                <w:color w:val="auto"/>
                <w:kern w:val="0"/>
                <w:sz w:val="24"/>
                <w:szCs w:val="24"/>
                <w:lang w:val="en-US" w:eastAsia="zh-CN"/>
              </w:rPr>
              <w:t>”</w:t>
            </w:r>
            <w:r>
              <w:rPr>
                <w:rFonts w:hint="eastAsia" w:cs="Times New Roman"/>
                <w:color w:val="auto"/>
                <w:kern w:val="0"/>
                <w:sz w:val="24"/>
                <w:szCs w:val="24"/>
                <w:lang w:val="en-US" w:eastAsia="zh-CN"/>
              </w:rPr>
              <w:t>进行了竣工环境保护验收（</w:t>
            </w:r>
            <w:r>
              <w:rPr>
                <w:rFonts w:hint="eastAsia" w:cs="Times New Roman"/>
                <w:color w:val="auto"/>
                <w:sz w:val="24"/>
                <w:lang w:val="en-US" w:eastAsia="zh-CN"/>
              </w:rPr>
              <w:t>宁</w:t>
            </w:r>
            <w:r>
              <w:rPr>
                <w:rFonts w:hint="default" w:ascii="Times New Roman" w:hAnsi="Times New Roman" w:cs="Times New Roman"/>
                <w:color w:val="auto"/>
                <w:sz w:val="24"/>
                <w:lang w:val="en-US" w:eastAsia="zh-CN"/>
              </w:rPr>
              <w:t>环</w:t>
            </w:r>
            <w:r>
              <w:rPr>
                <w:rFonts w:hint="eastAsia" w:cs="Times New Roman"/>
                <w:color w:val="auto"/>
                <w:sz w:val="24"/>
                <w:lang w:val="en-US" w:eastAsia="zh-CN"/>
              </w:rPr>
              <w:t>辐验</w:t>
            </w:r>
            <w:r>
              <w:rPr>
                <w:rFonts w:hint="default" w:ascii="Times New Roman" w:hAnsi="Times New Roman" w:cs="Times New Roman"/>
                <w:color w:val="auto"/>
                <w:sz w:val="24"/>
                <w:lang w:val="en-US" w:eastAsia="zh-CN"/>
              </w:rPr>
              <w:t>〔20</w:t>
            </w:r>
            <w:r>
              <w:rPr>
                <w:rFonts w:hint="eastAsia" w:cs="Times New Roman"/>
                <w:color w:val="auto"/>
                <w:sz w:val="24"/>
                <w:lang w:val="en-US" w:eastAsia="zh-CN"/>
              </w:rPr>
              <w:t>13</w:t>
            </w:r>
            <w:r>
              <w:rPr>
                <w:rFonts w:hint="default" w:ascii="Times New Roman" w:hAnsi="Times New Roman" w:cs="Times New Roman"/>
                <w:color w:val="auto"/>
                <w:sz w:val="24"/>
                <w:lang w:val="en-US" w:eastAsia="zh-CN"/>
              </w:rPr>
              <w:t>〕</w:t>
            </w:r>
            <w:r>
              <w:rPr>
                <w:rFonts w:hint="eastAsia" w:cs="Times New Roman"/>
                <w:color w:val="auto"/>
                <w:sz w:val="24"/>
                <w:lang w:val="en-US" w:eastAsia="zh-CN"/>
              </w:rPr>
              <w:t>5</w:t>
            </w:r>
            <w:r>
              <w:rPr>
                <w:rFonts w:hint="default" w:ascii="Times New Roman" w:hAnsi="Times New Roman" w:cs="Times New Roman"/>
                <w:color w:val="auto"/>
                <w:sz w:val="24"/>
                <w:lang w:val="en-US" w:eastAsia="zh-CN"/>
              </w:rPr>
              <w:t>号</w:t>
            </w:r>
            <w:r>
              <w:rPr>
                <w:rFonts w:hint="eastAsia"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w:t>
            </w:r>
          </w:p>
          <w:p w14:paraId="2BB9B39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jc w:val="both"/>
              <w:textAlignment w:val="auto"/>
              <w:rPr>
                <w:rFonts w:hint="default" w:ascii="Times New Roman" w:hAnsi="Times New Roman" w:eastAsia="宋体" w:cs="Times New Roman"/>
                <w:b/>
                <w:bCs/>
                <w:color w:val="auto"/>
                <w:kern w:val="0"/>
                <w:sz w:val="24"/>
                <w:szCs w:val="24"/>
                <w:lang w:val="en-US" w:eastAsia="zh-CN"/>
              </w:rPr>
            </w:pPr>
            <w:r>
              <w:rPr>
                <w:rFonts w:hint="eastAsia" w:cs="Times New Roman"/>
                <w:b/>
                <w:bCs/>
                <w:color w:val="auto"/>
                <w:kern w:val="0"/>
                <w:sz w:val="24"/>
                <w:szCs w:val="24"/>
                <w:lang w:val="en-US" w:eastAsia="zh-CN"/>
              </w:rPr>
              <w:t>⑶</w:t>
            </w:r>
            <w:r>
              <w:rPr>
                <w:rFonts w:hint="default" w:ascii="Times New Roman" w:hAnsi="Times New Roman" w:eastAsia="宋体" w:cs="Times New Roman"/>
                <w:b/>
                <w:bCs/>
                <w:color w:val="auto"/>
                <w:kern w:val="0"/>
                <w:sz w:val="24"/>
                <w:szCs w:val="24"/>
                <w:lang w:val="en-US" w:eastAsia="zh-CN"/>
              </w:rPr>
              <w:t>原有建设项目环保措施落实情况：</w:t>
            </w:r>
          </w:p>
          <w:p w14:paraId="026B4D41">
            <w:pPr>
              <w:keepNext w:val="0"/>
              <w:keepLines/>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color w:val="auto"/>
                <w:kern w:val="0"/>
                <w:sz w:val="24"/>
                <w:szCs w:val="24"/>
                <w:highlight w:val="none"/>
                <w:lang w:val="en-US" w:eastAsia="zh-CN" w:bidi="ar"/>
              </w:rPr>
              <w:t>根据前期工程验收报告、验收意见及本次现状监测结果可知，110千伏清李Ⅰ线、110千伏至李线</w:t>
            </w:r>
            <w:r>
              <w:rPr>
                <w:rFonts w:hint="eastAsia" w:ascii="Times New Roman" w:hAnsi="Times New Roman" w:cs="Times New Roman"/>
                <w:color w:val="auto"/>
                <w:kern w:val="0"/>
                <w:sz w:val="24"/>
                <w:szCs w:val="24"/>
                <w:highlight w:val="none"/>
                <w:lang w:val="en-US" w:eastAsia="zh-CN" w:bidi="ar"/>
              </w:rPr>
              <w:t>电磁环境</w:t>
            </w:r>
            <w:r>
              <w:rPr>
                <w:rFonts w:hint="default" w:ascii="Times New Roman" w:hAnsi="Times New Roman" w:cs="Times New Roman"/>
                <w:color w:val="auto"/>
                <w:sz w:val="24"/>
                <w:szCs w:val="24"/>
                <w:highlight w:val="none"/>
              </w:rPr>
              <w:t>监测结果均小于《电磁环境控制限值》（GB8702-2014）规定的</w:t>
            </w:r>
            <w:r>
              <w:rPr>
                <w:rFonts w:hint="default" w:ascii="Times New Roman" w:hAnsi="Times New Roman" w:eastAsia="宋体" w:cs="Times New Roman"/>
                <w:color w:val="auto"/>
                <w:kern w:val="0"/>
                <w:sz w:val="24"/>
                <w:szCs w:val="24"/>
                <w:highlight w:val="none"/>
                <w:lang w:val="en-US" w:eastAsia="zh-CN"/>
              </w:rPr>
              <w:t>架空输电线路线下的耕地、园地、牧草地、畜禽饲养地、养殖水面、道路等场所，其频率50Hz的工频电场强度10kV/m，</w:t>
            </w:r>
            <w:r>
              <w:rPr>
                <w:rFonts w:hint="default" w:ascii="Times New Roman" w:hAnsi="Times New Roman" w:eastAsia="宋体" w:cs="Times New Roman"/>
                <w:color w:val="auto"/>
                <w:kern w:val="0"/>
                <w:sz w:val="24"/>
                <w:highlight w:val="none"/>
                <w:lang w:val="en-US" w:eastAsia="zh-CN"/>
              </w:rPr>
              <w:t>工频磁感应强度100µT的控制限值要求</w:t>
            </w:r>
            <w:r>
              <w:rPr>
                <w:rFonts w:hint="eastAsia" w:ascii="Times New Roman" w:hAnsi="Times New Roman" w:cs="Times New Roman"/>
                <w:color w:val="auto"/>
                <w:kern w:val="0"/>
                <w:sz w:val="24"/>
                <w:highlight w:val="none"/>
                <w:lang w:val="en-US" w:eastAsia="zh-CN"/>
              </w:rPr>
              <w:t>；</w:t>
            </w:r>
            <w:r>
              <w:rPr>
                <w:rFonts w:hint="default" w:ascii="Times New Roman" w:hAnsi="Times New Roman" w:eastAsia="宋体" w:cs="Times New Roman"/>
                <w:color w:val="auto"/>
                <w:sz w:val="24"/>
                <w:szCs w:val="24"/>
                <w:highlight w:val="none"/>
                <w:lang w:val="en-US" w:eastAsia="zh-CN"/>
              </w:rPr>
              <w:t>声环境</w:t>
            </w:r>
            <w:r>
              <w:rPr>
                <w:rFonts w:hint="default" w:ascii="Times New Roman" w:hAnsi="Times New Roman" w:eastAsia="宋体" w:cs="Times New Roman"/>
                <w:color w:val="auto"/>
                <w:sz w:val="24"/>
                <w:szCs w:val="24"/>
                <w:highlight w:val="none"/>
              </w:rPr>
              <w:t>监</w:t>
            </w:r>
            <w:r>
              <w:rPr>
                <w:rFonts w:hint="default" w:ascii="Times New Roman" w:hAnsi="Times New Roman" w:cs="Times New Roman"/>
                <w:color w:val="auto"/>
                <w:sz w:val="24"/>
                <w:szCs w:val="24"/>
                <w:highlight w:val="none"/>
              </w:rPr>
              <w:t>测结果均</w:t>
            </w:r>
            <w:r>
              <w:rPr>
                <w:rFonts w:hint="eastAsia" w:ascii="Times New Roman" w:hAnsi="Times New Roman" w:cs="Times New Roman"/>
                <w:color w:val="auto"/>
                <w:sz w:val="24"/>
                <w:szCs w:val="24"/>
                <w:highlight w:val="none"/>
                <w:lang w:val="en-US" w:eastAsia="zh-CN"/>
              </w:rPr>
              <w:t>满足</w:t>
            </w:r>
            <w:r>
              <w:rPr>
                <w:rFonts w:hint="default" w:ascii="Times New Roman" w:hAnsi="Times New Roman" w:cs="Times New Roman"/>
                <w:color w:val="auto"/>
                <w:kern w:val="0"/>
                <w:sz w:val="24"/>
                <w:highlight w:val="none"/>
                <w:lang w:val="en-US" w:eastAsia="zh-CN"/>
              </w:rPr>
              <w:t>《声环境质量标准》（GB3096-2008）1类标准限值要求（昼间：55dB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；夜间：45dB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w:t>
            </w:r>
            <w:r>
              <w:rPr>
                <w:rFonts w:hint="eastAsia" w:ascii="Times New Roman" w:hAnsi="Times New Roman" w:cs="Times New Roman"/>
                <w:color w:val="auto"/>
                <w:kern w:val="0"/>
                <w:sz w:val="24"/>
                <w:highlight w:val="none"/>
                <w:lang w:val="en-US" w:eastAsia="zh-CN"/>
              </w:rPr>
              <w:t>。</w:t>
            </w:r>
          </w:p>
          <w:p w14:paraId="0C5B1884">
            <w:pPr>
              <w:pStyle w:val="66"/>
              <w:keepLines/>
              <w:widowControl/>
              <w:snapToGrid w:val="0"/>
              <w:spacing w:line="360" w:lineRule="auto"/>
              <w:ind w:firstLine="480" w:firstLineChars="200"/>
              <w:jc w:val="both"/>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b w:val="0"/>
                <w:bCs/>
                <w:color w:val="auto"/>
                <w:kern w:val="0"/>
                <w:sz w:val="24"/>
                <w:szCs w:val="24"/>
                <w:highlight w:val="none"/>
                <w:lang w:val="en-US" w:eastAsia="zh-CN" w:bidi="ar"/>
              </w:rPr>
              <w:t>综上所述，110千伏清李Ⅰ线、110千伏至李线周围工频电磁场、声环境均低于相应的标准限值，不存在原有环境污染情况及生态破坏问题。原有项目环保手续齐全，落实了环境影响报告表及其批复文件要求，各项环境保护措施有效，根据现场调查，已运行的原有项目运行期间未收到环保投诉，原有项目无环境遗留问题。</w:t>
            </w:r>
          </w:p>
        </w:tc>
      </w:tr>
      <w:tr w14:paraId="77E89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44" w:hRule="atLeast"/>
          <w:jc w:val="center"/>
        </w:trPr>
        <w:tc>
          <w:tcPr>
            <w:tcW w:w="587" w:type="dxa"/>
            <w:noWrap w:val="0"/>
            <w:vAlign w:val="center"/>
          </w:tcPr>
          <w:p w14:paraId="42C2BC1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生态环境保护目标</w:t>
            </w:r>
          </w:p>
        </w:tc>
        <w:tc>
          <w:tcPr>
            <w:tcW w:w="8767" w:type="dxa"/>
            <w:noWrap w:val="0"/>
            <w:vAlign w:val="center"/>
          </w:tcPr>
          <w:p w14:paraId="6BB07765">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1.</w:t>
            </w:r>
            <w:r>
              <w:rPr>
                <w:rFonts w:hint="default" w:ascii="Times New Roman" w:hAnsi="Times New Roman" w:cs="Times New Roman"/>
                <w:b/>
                <w:bCs/>
                <w:color w:val="auto"/>
                <w:sz w:val="24"/>
                <w:highlight w:val="none"/>
              </w:rPr>
              <w:t>评价等级</w:t>
            </w:r>
          </w:p>
          <w:p w14:paraId="257C2977">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⑴</w:t>
            </w:r>
            <w:r>
              <w:rPr>
                <w:rFonts w:hint="default" w:ascii="Times New Roman" w:hAnsi="Times New Roman" w:cs="Times New Roman"/>
                <w:b/>
                <w:bCs/>
                <w:color w:val="auto"/>
                <w:sz w:val="24"/>
                <w:highlight w:val="none"/>
              </w:rPr>
              <w:t>电磁环境</w:t>
            </w:r>
          </w:p>
          <w:p w14:paraId="3AA1636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highlight w:val="none"/>
              </w:rPr>
              <w:t>根据《环境影响评价技术导则 输变电》（HJ24-2020），本项目输电线路电压等级为</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val="en-US" w:eastAsia="zh-CN"/>
              </w:rPr>
              <w:t>千伏</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架空输电线路</w:t>
            </w:r>
            <w:r>
              <w:rPr>
                <w:rFonts w:hint="default" w:ascii="Times New Roman" w:hAnsi="Times New Roman" w:cs="Times New Roman"/>
                <w:color w:val="auto"/>
                <w:sz w:val="24"/>
                <w:highlight w:val="none"/>
              </w:rPr>
              <w:t>边导线地面</w:t>
            </w:r>
            <w:r>
              <w:rPr>
                <w:rFonts w:hint="default" w:ascii="Times New Roman" w:hAnsi="Times New Roman" w:cs="Times New Roman"/>
                <w:color w:val="auto"/>
                <w:sz w:val="24"/>
                <w:szCs w:val="24"/>
                <w:highlight w:val="none"/>
              </w:rPr>
              <w:t>投影外两侧各1</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m范围内</w:t>
            </w:r>
            <w:r>
              <w:rPr>
                <w:rFonts w:hint="default" w:ascii="Times New Roman" w:hAnsi="Times New Roman" w:cs="Times New Roman"/>
                <w:color w:val="auto"/>
                <w:sz w:val="24"/>
                <w:szCs w:val="24"/>
                <w:highlight w:val="none"/>
                <w:lang w:val="en-US" w:eastAsia="zh-CN"/>
              </w:rPr>
              <w:t>无</w:t>
            </w:r>
            <w:r>
              <w:rPr>
                <w:rFonts w:hint="default" w:ascii="Times New Roman" w:hAnsi="Times New Roman" w:cs="Times New Roman"/>
                <w:color w:val="auto"/>
                <w:sz w:val="24"/>
                <w:szCs w:val="24"/>
                <w:highlight w:val="none"/>
              </w:rPr>
              <w:t>电磁环境敏感目标</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因此可</w:t>
            </w:r>
            <w:r>
              <w:rPr>
                <w:rFonts w:hint="default" w:ascii="Times New Roman" w:hAnsi="Times New Roman" w:cs="Times New Roman"/>
                <w:color w:val="auto"/>
                <w:sz w:val="24"/>
                <w:szCs w:val="24"/>
                <w:highlight w:val="none"/>
              </w:rPr>
              <w:t>确定</w:t>
            </w:r>
            <w:r>
              <w:rPr>
                <w:rFonts w:hint="default" w:ascii="Times New Roman" w:hAnsi="Times New Roman" w:cs="Times New Roman"/>
                <w:color w:val="auto"/>
                <w:sz w:val="24"/>
                <w:szCs w:val="24"/>
                <w:highlight w:val="none"/>
                <w:lang w:val="en-US" w:eastAsia="zh-CN"/>
              </w:rPr>
              <w:t>架空输电线路</w:t>
            </w:r>
            <w:r>
              <w:rPr>
                <w:rFonts w:hint="default" w:ascii="Times New Roman" w:hAnsi="Times New Roman" w:cs="Times New Roman"/>
                <w:color w:val="auto"/>
                <w:sz w:val="24"/>
                <w:szCs w:val="24"/>
                <w:highlight w:val="none"/>
              </w:rPr>
              <w:t>环境影响评价等级为</w:t>
            </w:r>
            <w:r>
              <w:rPr>
                <w:rFonts w:hint="default" w:ascii="Times New Roman" w:hAnsi="Times New Roman" w:cs="Times New Roman"/>
                <w:color w:val="auto"/>
                <w:sz w:val="24"/>
                <w:szCs w:val="24"/>
                <w:highlight w:val="none"/>
                <w:lang w:val="en-US" w:eastAsia="zh-CN"/>
              </w:rPr>
              <w:t>三</w:t>
            </w:r>
            <w:r>
              <w:rPr>
                <w:rFonts w:hint="default" w:ascii="Times New Roman" w:hAnsi="Times New Roman" w:cs="Times New Roman"/>
                <w:color w:val="auto"/>
                <w:sz w:val="24"/>
                <w:szCs w:val="24"/>
                <w:highlight w:val="none"/>
              </w:rPr>
              <w:t>级</w:t>
            </w:r>
            <w:r>
              <w:rPr>
                <w:rFonts w:hint="default" w:ascii="Times New Roman" w:hAnsi="Times New Roman" w:cs="Times New Roman"/>
                <w:color w:val="auto"/>
                <w:spacing w:val="-3"/>
                <w:sz w:val="24"/>
                <w:szCs w:val="24"/>
                <w:lang w:eastAsia="zh-CN"/>
              </w:rPr>
              <w:t>。</w:t>
            </w:r>
            <w:r>
              <w:rPr>
                <w:rFonts w:hint="default" w:ascii="Times New Roman" w:hAnsi="Times New Roman" w:cs="Times New Roman"/>
                <w:color w:val="auto"/>
                <w:spacing w:val="-3"/>
                <w:sz w:val="24"/>
                <w:szCs w:val="24"/>
                <w:lang w:val="en-US" w:eastAsia="zh-CN"/>
              </w:rPr>
              <w:t>云雾山330千伏变电站电压等级为330千伏，采用户外布置，但本期扩建工程仅为110千伏间隔扩建工程，未涉及330千伏高电压等级设施设备扩建工程。</w:t>
            </w:r>
            <w:r>
              <w:rPr>
                <w:rFonts w:hint="default" w:ascii="Times New Roman" w:hAnsi="Times New Roman" w:cs="Times New Roman"/>
                <w:color w:val="auto"/>
                <w:spacing w:val="-3"/>
                <w:sz w:val="24"/>
                <w:szCs w:val="24"/>
                <w:lang w:eastAsia="zh-CN"/>
              </w:rPr>
              <w:t>因此，</w:t>
            </w:r>
            <w:r>
              <w:rPr>
                <w:rFonts w:hint="default" w:ascii="Times New Roman" w:hAnsi="Times New Roman" w:cs="Times New Roman"/>
                <w:color w:val="auto"/>
                <w:sz w:val="24"/>
                <w:szCs w:val="24"/>
                <w:highlight w:val="none"/>
                <w:lang w:val="en-US" w:eastAsia="zh-CN"/>
              </w:rPr>
              <w:t>可</w:t>
            </w:r>
            <w:r>
              <w:rPr>
                <w:rFonts w:hint="default" w:ascii="Times New Roman" w:hAnsi="Times New Roman" w:cs="Times New Roman"/>
                <w:color w:val="auto"/>
                <w:spacing w:val="-3"/>
                <w:sz w:val="24"/>
                <w:szCs w:val="24"/>
                <w:lang w:eastAsia="zh-CN"/>
              </w:rPr>
              <w:t>确定</w:t>
            </w:r>
            <w:r>
              <w:rPr>
                <w:rFonts w:hint="default" w:ascii="Times New Roman" w:hAnsi="Times New Roman" w:cs="Times New Roman"/>
                <w:color w:val="auto"/>
                <w:spacing w:val="-3"/>
                <w:sz w:val="24"/>
                <w:szCs w:val="24"/>
                <w:lang w:val="en-US" w:eastAsia="zh-CN"/>
              </w:rPr>
              <w:t>本项目间隔扩建工程电磁</w:t>
            </w:r>
            <w:r>
              <w:rPr>
                <w:rFonts w:hint="default" w:ascii="Times New Roman" w:hAnsi="Times New Roman" w:cs="Times New Roman"/>
                <w:color w:val="auto"/>
                <w:sz w:val="24"/>
                <w:szCs w:val="24"/>
                <w:highlight w:val="none"/>
              </w:rPr>
              <w:t>环境影响评价等级为</w:t>
            </w:r>
            <w:r>
              <w:rPr>
                <w:rFonts w:hint="default" w:ascii="Times New Roman" w:hAnsi="Times New Roman" w:cs="Times New Roman"/>
                <w:color w:val="auto"/>
                <w:sz w:val="24"/>
                <w:szCs w:val="24"/>
                <w:highlight w:val="none"/>
                <w:lang w:val="en-US" w:eastAsia="zh-CN"/>
              </w:rPr>
              <w:t>二</w:t>
            </w:r>
            <w:r>
              <w:rPr>
                <w:rFonts w:hint="default" w:ascii="Times New Roman" w:hAnsi="Times New Roman" w:cs="Times New Roman"/>
                <w:color w:val="auto"/>
                <w:sz w:val="24"/>
                <w:szCs w:val="24"/>
                <w:highlight w:val="none"/>
              </w:rPr>
              <w:t>级</w:t>
            </w:r>
            <w:r>
              <w:rPr>
                <w:rFonts w:hint="default" w:ascii="Times New Roman" w:hAnsi="Times New Roman" w:cs="Times New Roman"/>
                <w:color w:val="auto"/>
                <w:sz w:val="24"/>
                <w:szCs w:val="24"/>
                <w:highlight w:val="none"/>
                <w:lang w:eastAsia="zh-CN"/>
              </w:rPr>
              <w:t>。</w:t>
            </w:r>
          </w:p>
          <w:p w14:paraId="72B3C5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根据《环境影响评价技术导则 输变电》（HJ24-2020）</w:t>
            </w:r>
            <w:r>
              <w:rPr>
                <w:rFonts w:hint="default" w:ascii="Times New Roman" w:hAnsi="Times New Roman" w:cs="Times New Roman"/>
                <w:color w:val="auto"/>
                <w:sz w:val="24"/>
                <w:szCs w:val="24"/>
                <w:highlight w:val="none"/>
                <w:lang w:val="en-US" w:eastAsia="zh-CN"/>
              </w:rPr>
              <w:t>4.6.1</w:t>
            </w:r>
            <w:r>
              <w:rPr>
                <w:rFonts w:hint="default" w:ascii="Times New Roman" w:hAnsi="Times New Roman" w:cs="Times New Roman"/>
                <w:color w:val="auto"/>
                <w:sz w:val="24"/>
                <w:szCs w:val="24"/>
                <w:highlight w:val="none"/>
              </w:rPr>
              <w:t>，如建设项目包含多个电压等级，或交、直流，或站、线的子项目时，按最高电压等级确定评价工作等级。</w:t>
            </w:r>
            <w:r>
              <w:rPr>
                <w:rFonts w:hint="default" w:ascii="Times New Roman" w:hAnsi="Times New Roman" w:cs="Times New Roman"/>
                <w:color w:val="auto"/>
                <w:sz w:val="24"/>
                <w:szCs w:val="24"/>
                <w:highlight w:val="none"/>
                <w:lang w:val="en-US" w:eastAsia="zh-CN"/>
              </w:rPr>
              <w:t>综上，本项目电磁环境影响评价工作等级为二级</w:t>
            </w:r>
            <w:r>
              <w:rPr>
                <w:rFonts w:hint="default" w:ascii="Times New Roman" w:hAnsi="Times New Roman" w:cs="Times New Roman"/>
                <w:color w:val="auto"/>
                <w:sz w:val="24"/>
                <w:szCs w:val="24"/>
                <w:highlight w:val="none"/>
              </w:rPr>
              <w:t>。</w:t>
            </w:r>
          </w:p>
          <w:p w14:paraId="3DB6CA64">
            <w:pPr>
              <w:spacing w:line="240" w:lineRule="auto"/>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表3-</w:t>
            </w:r>
            <w:r>
              <w:rPr>
                <w:rFonts w:hint="default" w:ascii="Times New Roman" w:hAnsi="Times New Roman" w:cs="Times New Roman"/>
                <w:b/>
                <w:bCs/>
                <w:color w:val="auto"/>
                <w:sz w:val="24"/>
                <w:highlight w:val="none"/>
                <w:lang w:val="en-US" w:eastAsia="zh-CN"/>
              </w:rPr>
              <w:t>10</w:t>
            </w:r>
            <w:r>
              <w:rPr>
                <w:rFonts w:hint="default" w:ascii="Times New Roman" w:hAnsi="Times New Roman" w:cs="Times New Roman"/>
                <w:b/>
                <w:bCs/>
                <w:color w:val="auto"/>
                <w:sz w:val="24"/>
                <w:highlight w:val="none"/>
              </w:rPr>
              <w:t xml:space="preserve">    本项目电磁环境影响评价工作等级判据</w:t>
            </w:r>
          </w:p>
          <w:tbl>
            <w:tblPr>
              <w:tblStyle w:val="31"/>
              <w:tblW w:w="850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93"/>
              <w:gridCol w:w="634"/>
              <w:gridCol w:w="1004"/>
              <w:gridCol w:w="2110"/>
              <w:gridCol w:w="500"/>
              <w:gridCol w:w="2213"/>
              <w:gridCol w:w="677"/>
              <w:gridCol w:w="773"/>
            </w:tblGrid>
            <w:tr w14:paraId="47C5DE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3" w:type="dxa"/>
                  <w:tcBorders>
                    <w:tl2br w:val="nil"/>
                    <w:tr2bl w:val="nil"/>
                  </w:tcBorders>
                  <w:noWrap w:val="0"/>
                  <w:vAlign w:val="center"/>
                </w:tcPr>
                <w:p w14:paraId="446FF6BC">
                  <w:pPr>
                    <w:pStyle w:val="78"/>
                    <w:adjustRightInd/>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分类</w:t>
                  </w:r>
                </w:p>
              </w:tc>
              <w:tc>
                <w:tcPr>
                  <w:tcW w:w="634" w:type="dxa"/>
                  <w:tcBorders>
                    <w:tl2br w:val="nil"/>
                    <w:tr2bl w:val="nil"/>
                  </w:tcBorders>
                  <w:noWrap w:val="0"/>
                  <w:vAlign w:val="center"/>
                </w:tcPr>
                <w:p w14:paraId="76FEFE13">
                  <w:pPr>
                    <w:pStyle w:val="78"/>
                    <w:adjustRightInd/>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电压等级</w:t>
                  </w:r>
                </w:p>
              </w:tc>
              <w:tc>
                <w:tcPr>
                  <w:tcW w:w="1004" w:type="dxa"/>
                  <w:tcBorders>
                    <w:tl2br w:val="nil"/>
                    <w:tr2bl w:val="nil"/>
                  </w:tcBorders>
                  <w:noWrap w:val="0"/>
                  <w:vAlign w:val="center"/>
                </w:tcPr>
                <w:p w14:paraId="29F731A5">
                  <w:pPr>
                    <w:pStyle w:val="78"/>
                    <w:adjustRightInd/>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工程</w:t>
                  </w:r>
                </w:p>
              </w:tc>
              <w:tc>
                <w:tcPr>
                  <w:tcW w:w="2610" w:type="dxa"/>
                  <w:gridSpan w:val="2"/>
                  <w:tcBorders>
                    <w:tl2br w:val="nil"/>
                    <w:tr2bl w:val="nil"/>
                  </w:tcBorders>
                  <w:noWrap w:val="0"/>
                  <w:vAlign w:val="center"/>
                </w:tcPr>
                <w:p w14:paraId="160D0E3B">
                  <w:pPr>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判定依据</w:t>
                  </w:r>
                </w:p>
              </w:tc>
              <w:tc>
                <w:tcPr>
                  <w:tcW w:w="2890" w:type="dxa"/>
                  <w:gridSpan w:val="2"/>
                  <w:tcBorders>
                    <w:tl2br w:val="nil"/>
                    <w:tr2bl w:val="nil"/>
                  </w:tcBorders>
                  <w:noWrap w:val="0"/>
                  <w:vAlign w:val="center"/>
                </w:tcPr>
                <w:p w14:paraId="154CBE85">
                  <w:pPr>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本项目</w:t>
                  </w:r>
                </w:p>
              </w:tc>
              <w:tc>
                <w:tcPr>
                  <w:tcW w:w="773" w:type="dxa"/>
                  <w:tcBorders>
                    <w:tl2br w:val="nil"/>
                    <w:tr2bl w:val="nil"/>
                  </w:tcBorders>
                  <w:noWrap w:val="0"/>
                  <w:vAlign w:val="center"/>
                </w:tcPr>
                <w:p w14:paraId="450838CE">
                  <w:pPr>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评价工作等级</w:t>
                  </w:r>
                </w:p>
              </w:tc>
            </w:tr>
            <w:tr w14:paraId="22D41F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9" w:hRule="atLeast"/>
                <w:jc w:val="center"/>
              </w:trPr>
              <w:tc>
                <w:tcPr>
                  <w:tcW w:w="593" w:type="dxa"/>
                  <w:vMerge w:val="restart"/>
                  <w:tcBorders>
                    <w:tl2br w:val="nil"/>
                    <w:tr2bl w:val="nil"/>
                  </w:tcBorders>
                  <w:noWrap w:val="0"/>
                  <w:vAlign w:val="center"/>
                </w:tcPr>
                <w:p w14:paraId="73B191C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交流</w:t>
                  </w:r>
                </w:p>
              </w:tc>
              <w:tc>
                <w:tcPr>
                  <w:tcW w:w="634" w:type="dxa"/>
                  <w:tcBorders>
                    <w:tl2br w:val="nil"/>
                    <w:tr2bl w:val="nil"/>
                  </w:tcBorders>
                  <w:noWrap w:val="0"/>
                  <w:vAlign w:val="center"/>
                </w:tcPr>
                <w:p w14:paraId="099400BA">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11</w:t>
                  </w:r>
                  <w:r>
                    <w:rPr>
                      <w:rFonts w:hint="default" w:ascii="Times New Roman" w:hAnsi="Times New Roman" w:cs="Times New Roman"/>
                      <w:color w:val="auto"/>
                      <w:szCs w:val="21"/>
                      <w:highlight w:val="none"/>
                    </w:rPr>
                    <w:t>0kV</w:t>
                  </w:r>
                </w:p>
              </w:tc>
              <w:tc>
                <w:tcPr>
                  <w:tcW w:w="1004" w:type="dxa"/>
                  <w:tcBorders>
                    <w:tl2br w:val="nil"/>
                    <w:tr2bl w:val="nil"/>
                  </w:tcBorders>
                  <w:noWrap w:val="0"/>
                  <w:vAlign w:val="center"/>
                </w:tcPr>
                <w:p w14:paraId="43291F1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变电站</w:t>
                  </w:r>
                </w:p>
              </w:tc>
              <w:tc>
                <w:tcPr>
                  <w:tcW w:w="2110" w:type="dxa"/>
                  <w:tcBorders>
                    <w:tl2br w:val="nil"/>
                    <w:tr2bl w:val="nil"/>
                  </w:tcBorders>
                  <w:noWrap w:val="0"/>
                  <w:vAlign w:val="center"/>
                </w:tcPr>
                <w:p w14:paraId="1E92A71A">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val="en-US" w:eastAsia="zh-CN"/>
                    </w:rPr>
                    <w:t>户外式</w:t>
                  </w:r>
                </w:p>
              </w:tc>
              <w:tc>
                <w:tcPr>
                  <w:tcW w:w="500" w:type="dxa"/>
                  <w:tcBorders>
                    <w:tl2br w:val="nil"/>
                    <w:tr2bl w:val="nil"/>
                  </w:tcBorders>
                  <w:noWrap w:val="0"/>
                  <w:vAlign w:val="center"/>
                </w:tcPr>
                <w:p w14:paraId="320AE0A0">
                  <w:pPr>
                    <w:jc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kern w:val="0"/>
                      <w:szCs w:val="21"/>
                      <w:highlight w:val="none"/>
                    </w:rPr>
                    <w:t>二</w:t>
                  </w:r>
                  <w:r>
                    <w:rPr>
                      <w:rFonts w:hint="default" w:ascii="Times New Roman" w:hAnsi="Times New Roman" w:cs="Times New Roman"/>
                      <w:color w:val="auto"/>
                      <w:kern w:val="0"/>
                      <w:szCs w:val="21"/>
                      <w:highlight w:val="none"/>
                    </w:rPr>
                    <w:t>级</w:t>
                  </w:r>
                </w:p>
              </w:tc>
              <w:tc>
                <w:tcPr>
                  <w:tcW w:w="2213" w:type="dxa"/>
                  <w:tcBorders>
                    <w:right w:val="single" w:color="auto" w:sz="4" w:space="0"/>
                    <w:tl2br w:val="nil"/>
                    <w:tr2bl w:val="nil"/>
                  </w:tcBorders>
                  <w:noWrap w:val="0"/>
                  <w:vAlign w:val="center"/>
                </w:tcPr>
                <w:p w14:paraId="2D1B4022">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户外式</w:t>
                  </w:r>
                </w:p>
              </w:tc>
              <w:tc>
                <w:tcPr>
                  <w:tcW w:w="677" w:type="dxa"/>
                  <w:tcBorders>
                    <w:left w:val="single" w:color="auto" w:sz="4" w:space="0"/>
                    <w:tl2br w:val="nil"/>
                    <w:tr2bl w:val="nil"/>
                  </w:tcBorders>
                  <w:noWrap w:val="0"/>
                  <w:vAlign w:val="center"/>
                </w:tcPr>
                <w:p w14:paraId="689BD27B">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二</w:t>
                  </w:r>
                  <w:r>
                    <w:rPr>
                      <w:rFonts w:hint="default" w:ascii="Times New Roman" w:hAnsi="Times New Roman" w:cs="Times New Roman"/>
                      <w:color w:val="auto"/>
                      <w:kern w:val="0"/>
                      <w:szCs w:val="21"/>
                      <w:highlight w:val="none"/>
                    </w:rPr>
                    <w:t>级</w:t>
                  </w:r>
                </w:p>
              </w:tc>
              <w:tc>
                <w:tcPr>
                  <w:tcW w:w="773" w:type="dxa"/>
                  <w:vMerge w:val="restart"/>
                  <w:tcBorders>
                    <w:tl2br w:val="nil"/>
                    <w:tr2bl w:val="nil"/>
                  </w:tcBorders>
                  <w:noWrap w:val="0"/>
                  <w:vAlign w:val="center"/>
                </w:tcPr>
                <w:p w14:paraId="7CF1B206">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二</w:t>
                  </w:r>
                  <w:r>
                    <w:rPr>
                      <w:rFonts w:hint="default" w:ascii="Times New Roman" w:hAnsi="Times New Roman" w:cs="Times New Roman"/>
                      <w:color w:val="auto"/>
                      <w:kern w:val="0"/>
                      <w:szCs w:val="21"/>
                      <w:highlight w:val="none"/>
                    </w:rPr>
                    <w:t>级</w:t>
                  </w:r>
                </w:p>
              </w:tc>
            </w:tr>
            <w:tr w14:paraId="53DA15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9" w:hRule="atLeast"/>
                <w:jc w:val="center"/>
              </w:trPr>
              <w:tc>
                <w:tcPr>
                  <w:tcW w:w="593" w:type="dxa"/>
                  <w:vMerge w:val="continue"/>
                  <w:tcBorders>
                    <w:tl2br w:val="nil"/>
                    <w:tr2bl w:val="nil"/>
                  </w:tcBorders>
                  <w:noWrap w:val="0"/>
                  <w:vAlign w:val="center"/>
                </w:tcPr>
                <w:p w14:paraId="0AD569BC">
                  <w:pPr>
                    <w:jc w:val="center"/>
                    <w:rPr>
                      <w:rFonts w:hint="default" w:ascii="Times New Roman" w:hAnsi="Times New Roman" w:cs="Times New Roman"/>
                      <w:color w:val="auto"/>
                      <w:szCs w:val="21"/>
                      <w:highlight w:val="none"/>
                    </w:rPr>
                  </w:pPr>
                </w:p>
              </w:tc>
              <w:tc>
                <w:tcPr>
                  <w:tcW w:w="634" w:type="dxa"/>
                  <w:vMerge w:val="restart"/>
                  <w:tcBorders>
                    <w:tl2br w:val="nil"/>
                    <w:tr2bl w:val="nil"/>
                  </w:tcBorders>
                  <w:noWrap w:val="0"/>
                  <w:vAlign w:val="center"/>
                </w:tcPr>
                <w:p w14:paraId="21DA8FC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11</w:t>
                  </w:r>
                  <w:r>
                    <w:rPr>
                      <w:rFonts w:hint="default" w:ascii="Times New Roman" w:hAnsi="Times New Roman" w:cs="Times New Roman"/>
                      <w:color w:val="auto"/>
                      <w:szCs w:val="21"/>
                      <w:highlight w:val="none"/>
                    </w:rPr>
                    <w:t>0kV</w:t>
                  </w:r>
                </w:p>
              </w:tc>
              <w:tc>
                <w:tcPr>
                  <w:tcW w:w="1004" w:type="dxa"/>
                  <w:vMerge w:val="restart"/>
                  <w:tcBorders>
                    <w:tl2br w:val="nil"/>
                    <w:tr2bl w:val="nil"/>
                  </w:tcBorders>
                  <w:noWrap w:val="0"/>
                  <w:vAlign w:val="center"/>
                </w:tcPr>
                <w:p w14:paraId="686C485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输电线路</w:t>
                  </w:r>
                </w:p>
              </w:tc>
              <w:tc>
                <w:tcPr>
                  <w:tcW w:w="2110" w:type="dxa"/>
                  <w:vMerge w:val="restart"/>
                  <w:tcBorders>
                    <w:tl2br w:val="nil"/>
                    <w:tr2bl w:val="nil"/>
                  </w:tcBorders>
                  <w:noWrap w:val="0"/>
                  <w:vAlign w:val="center"/>
                </w:tcPr>
                <w:p w14:paraId="2A843584">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地下电缆</w:t>
                  </w:r>
                </w:p>
                <w:p w14:paraId="0743F186">
                  <w:pPr>
                    <w:jc w:val="left"/>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2</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边导线地面投影外两侧各1</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m范围内无电磁环境敏感目标的架空线</w:t>
                  </w:r>
                </w:p>
              </w:tc>
              <w:tc>
                <w:tcPr>
                  <w:tcW w:w="500" w:type="dxa"/>
                  <w:vMerge w:val="restart"/>
                  <w:tcBorders>
                    <w:tl2br w:val="nil"/>
                    <w:tr2bl w:val="nil"/>
                  </w:tcBorders>
                  <w:noWrap w:val="0"/>
                  <w:vAlign w:val="center"/>
                </w:tcPr>
                <w:p w14:paraId="4459E117">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三级</w:t>
                  </w:r>
                </w:p>
              </w:tc>
              <w:tc>
                <w:tcPr>
                  <w:tcW w:w="2213" w:type="dxa"/>
                  <w:tcBorders>
                    <w:right w:val="single" w:color="auto" w:sz="4" w:space="0"/>
                    <w:tl2br w:val="nil"/>
                    <w:tr2bl w:val="nil"/>
                  </w:tcBorders>
                  <w:noWrap w:val="0"/>
                  <w:vAlign w:val="center"/>
                </w:tcPr>
                <w:p w14:paraId="7AE35F48">
                  <w:pPr>
                    <w:jc w:val="center"/>
                    <w:rPr>
                      <w:rFonts w:hint="default" w:ascii="Times New Roman" w:hAnsi="Times New Roman" w:eastAsia="宋体" w:cs="Times New Roman"/>
                      <w:bCs/>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w:t>
                  </w:r>
                </w:p>
              </w:tc>
              <w:tc>
                <w:tcPr>
                  <w:tcW w:w="677" w:type="dxa"/>
                  <w:tcBorders>
                    <w:left w:val="single" w:color="auto" w:sz="4" w:space="0"/>
                    <w:tl2br w:val="nil"/>
                    <w:tr2bl w:val="nil"/>
                  </w:tcBorders>
                  <w:noWrap w:val="0"/>
                  <w:vAlign w:val="center"/>
                </w:tcPr>
                <w:p w14:paraId="4B71BFAF">
                  <w:pPr>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w:t>
                  </w:r>
                </w:p>
              </w:tc>
              <w:tc>
                <w:tcPr>
                  <w:tcW w:w="773" w:type="dxa"/>
                  <w:vMerge w:val="continue"/>
                  <w:tcBorders>
                    <w:tl2br w:val="nil"/>
                    <w:tr2bl w:val="nil"/>
                  </w:tcBorders>
                  <w:noWrap w:val="0"/>
                  <w:vAlign w:val="center"/>
                </w:tcPr>
                <w:p w14:paraId="67E53229">
                  <w:pPr>
                    <w:jc w:val="center"/>
                    <w:rPr>
                      <w:rFonts w:hint="default" w:ascii="Times New Roman" w:hAnsi="Times New Roman" w:cs="Times New Roman"/>
                      <w:color w:val="auto"/>
                      <w:kern w:val="0"/>
                      <w:szCs w:val="21"/>
                      <w:highlight w:val="none"/>
                    </w:rPr>
                  </w:pPr>
                </w:p>
              </w:tc>
            </w:tr>
            <w:tr w14:paraId="08FE69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3" w:type="dxa"/>
                  <w:vMerge w:val="continue"/>
                  <w:tcBorders>
                    <w:tl2br w:val="nil"/>
                    <w:tr2bl w:val="nil"/>
                  </w:tcBorders>
                  <w:noWrap w:val="0"/>
                  <w:vAlign w:val="center"/>
                </w:tcPr>
                <w:p w14:paraId="52661DAE">
                  <w:pPr>
                    <w:jc w:val="center"/>
                    <w:rPr>
                      <w:rFonts w:hint="default" w:ascii="Times New Roman" w:hAnsi="Times New Roman" w:cs="Times New Roman"/>
                      <w:color w:val="auto"/>
                      <w:highlight w:val="none"/>
                    </w:rPr>
                  </w:pPr>
                </w:p>
              </w:tc>
              <w:tc>
                <w:tcPr>
                  <w:tcW w:w="634" w:type="dxa"/>
                  <w:vMerge w:val="continue"/>
                  <w:tcBorders>
                    <w:tl2br w:val="nil"/>
                    <w:tr2bl w:val="nil"/>
                  </w:tcBorders>
                  <w:noWrap w:val="0"/>
                  <w:vAlign w:val="center"/>
                </w:tcPr>
                <w:p w14:paraId="44DACCF6">
                  <w:pPr>
                    <w:jc w:val="center"/>
                    <w:rPr>
                      <w:rFonts w:hint="default" w:ascii="Times New Roman" w:hAnsi="Times New Roman" w:cs="Times New Roman"/>
                      <w:color w:val="auto"/>
                      <w:highlight w:val="none"/>
                    </w:rPr>
                  </w:pPr>
                </w:p>
              </w:tc>
              <w:tc>
                <w:tcPr>
                  <w:tcW w:w="1004" w:type="dxa"/>
                  <w:vMerge w:val="continue"/>
                  <w:tcBorders>
                    <w:tl2br w:val="nil"/>
                    <w:tr2bl w:val="nil"/>
                  </w:tcBorders>
                  <w:noWrap w:val="0"/>
                  <w:vAlign w:val="center"/>
                </w:tcPr>
                <w:p w14:paraId="47953AC1">
                  <w:pPr>
                    <w:jc w:val="center"/>
                    <w:rPr>
                      <w:rFonts w:hint="default" w:ascii="Times New Roman" w:hAnsi="Times New Roman" w:cs="Times New Roman"/>
                      <w:color w:val="auto"/>
                      <w:highlight w:val="none"/>
                    </w:rPr>
                  </w:pPr>
                </w:p>
              </w:tc>
              <w:tc>
                <w:tcPr>
                  <w:tcW w:w="2110" w:type="dxa"/>
                  <w:vMerge w:val="continue"/>
                  <w:tcBorders>
                    <w:tl2br w:val="nil"/>
                    <w:tr2bl w:val="nil"/>
                  </w:tcBorders>
                  <w:noWrap w:val="0"/>
                  <w:vAlign w:val="center"/>
                </w:tcPr>
                <w:p w14:paraId="0C3980C0">
                  <w:pPr>
                    <w:jc w:val="center"/>
                    <w:rPr>
                      <w:rFonts w:hint="default" w:ascii="Times New Roman" w:hAnsi="Times New Roman" w:cs="Times New Roman"/>
                      <w:color w:val="auto"/>
                      <w:highlight w:val="none"/>
                    </w:rPr>
                  </w:pPr>
                </w:p>
              </w:tc>
              <w:tc>
                <w:tcPr>
                  <w:tcW w:w="500" w:type="dxa"/>
                  <w:vMerge w:val="continue"/>
                  <w:tcBorders>
                    <w:tl2br w:val="nil"/>
                    <w:tr2bl w:val="nil"/>
                  </w:tcBorders>
                  <w:noWrap w:val="0"/>
                  <w:vAlign w:val="center"/>
                </w:tcPr>
                <w:p w14:paraId="2E716D20">
                  <w:pPr>
                    <w:jc w:val="center"/>
                    <w:rPr>
                      <w:rFonts w:hint="default" w:ascii="Times New Roman" w:hAnsi="Times New Roman" w:cs="Times New Roman"/>
                      <w:color w:val="auto"/>
                      <w:highlight w:val="none"/>
                    </w:rPr>
                  </w:pPr>
                </w:p>
              </w:tc>
              <w:tc>
                <w:tcPr>
                  <w:tcW w:w="2213" w:type="dxa"/>
                  <w:tcBorders>
                    <w:right w:val="single" w:color="auto" w:sz="4" w:space="0"/>
                    <w:tl2br w:val="nil"/>
                    <w:tr2bl w:val="nil"/>
                  </w:tcBorders>
                  <w:noWrap w:val="0"/>
                  <w:vAlign w:val="center"/>
                </w:tcPr>
                <w:p w14:paraId="112E97B2">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szCs w:val="21"/>
                      <w:highlight w:val="none"/>
                    </w:rPr>
                    <w:t>边导线地面投影外两侧各1</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m范围内</w:t>
                  </w:r>
                  <w:r>
                    <w:rPr>
                      <w:rFonts w:hint="default" w:ascii="Times New Roman" w:hAnsi="Times New Roman" w:cs="Times New Roman"/>
                      <w:color w:val="auto"/>
                      <w:szCs w:val="21"/>
                      <w:highlight w:val="none"/>
                      <w:lang w:val="en-US" w:eastAsia="zh-CN"/>
                    </w:rPr>
                    <w:t>无</w:t>
                  </w:r>
                  <w:r>
                    <w:rPr>
                      <w:rFonts w:hint="default" w:ascii="Times New Roman" w:hAnsi="Times New Roman" w:cs="Times New Roman"/>
                      <w:color w:val="auto"/>
                      <w:szCs w:val="21"/>
                      <w:highlight w:val="none"/>
                    </w:rPr>
                    <w:t>电磁环境敏感目标的架空线</w:t>
                  </w:r>
                  <w:r>
                    <w:rPr>
                      <w:rFonts w:hint="default" w:ascii="Times New Roman" w:hAnsi="Times New Roman" w:cs="Times New Roman"/>
                      <w:color w:val="auto"/>
                      <w:szCs w:val="21"/>
                      <w:highlight w:val="none"/>
                      <w:lang w:eastAsia="zh-CN"/>
                    </w:rPr>
                    <w:t>。</w:t>
                  </w:r>
                </w:p>
              </w:tc>
              <w:tc>
                <w:tcPr>
                  <w:tcW w:w="677" w:type="dxa"/>
                  <w:tcBorders>
                    <w:left w:val="single" w:color="auto" w:sz="4" w:space="0"/>
                    <w:tl2br w:val="nil"/>
                    <w:tr2bl w:val="nil"/>
                  </w:tcBorders>
                  <w:noWrap w:val="0"/>
                  <w:vAlign w:val="center"/>
                </w:tcPr>
                <w:p w14:paraId="02405E9B">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三</w:t>
                  </w:r>
                  <w:r>
                    <w:rPr>
                      <w:rFonts w:hint="default" w:ascii="Times New Roman" w:hAnsi="Times New Roman" w:cs="Times New Roman"/>
                      <w:color w:val="auto"/>
                      <w:kern w:val="0"/>
                      <w:szCs w:val="21"/>
                      <w:highlight w:val="none"/>
                    </w:rPr>
                    <w:t>级</w:t>
                  </w:r>
                </w:p>
              </w:tc>
              <w:tc>
                <w:tcPr>
                  <w:tcW w:w="773" w:type="dxa"/>
                  <w:vMerge w:val="continue"/>
                  <w:tcBorders>
                    <w:tl2br w:val="nil"/>
                    <w:tr2bl w:val="nil"/>
                  </w:tcBorders>
                  <w:noWrap w:val="0"/>
                  <w:vAlign w:val="center"/>
                </w:tcPr>
                <w:p w14:paraId="43425DE6">
                  <w:pPr>
                    <w:jc w:val="right"/>
                    <w:rPr>
                      <w:rFonts w:hint="default" w:ascii="Times New Roman" w:hAnsi="Times New Roman" w:cs="Times New Roman"/>
                      <w:color w:val="auto"/>
                      <w:kern w:val="0"/>
                      <w:szCs w:val="21"/>
                      <w:highlight w:val="none"/>
                      <w:lang w:val="en-US" w:eastAsia="zh-CN"/>
                    </w:rPr>
                  </w:pPr>
                </w:p>
              </w:tc>
            </w:tr>
            <w:tr w14:paraId="121151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593" w:type="dxa"/>
                  <w:vMerge w:val="continue"/>
                  <w:tcBorders>
                    <w:tl2br w:val="nil"/>
                    <w:tr2bl w:val="nil"/>
                  </w:tcBorders>
                  <w:noWrap w:val="0"/>
                  <w:vAlign w:val="center"/>
                </w:tcPr>
                <w:p w14:paraId="67DF8A69">
                  <w:pPr>
                    <w:jc w:val="center"/>
                    <w:rPr>
                      <w:rFonts w:hint="default" w:ascii="Times New Roman" w:hAnsi="Times New Roman" w:cs="Times New Roman"/>
                      <w:color w:val="auto"/>
                      <w:szCs w:val="21"/>
                      <w:highlight w:val="none"/>
                    </w:rPr>
                  </w:pPr>
                </w:p>
              </w:tc>
              <w:tc>
                <w:tcPr>
                  <w:tcW w:w="634" w:type="dxa"/>
                  <w:vMerge w:val="continue"/>
                  <w:tcBorders>
                    <w:tl2br w:val="nil"/>
                    <w:tr2bl w:val="nil"/>
                  </w:tcBorders>
                  <w:noWrap w:val="0"/>
                  <w:vAlign w:val="center"/>
                </w:tcPr>
                <w:p w14:paraId="47E2FDE5">
                  <w:pPr>
                    <w:jc w:val="center"/>
                    <w:rPr>
                      <w:rFonts w:hint="default" w:ascii="Times New Roman" w:hAnsi="Times New Roman" w:cs="Times New Roman"/>
                      <w:color w:val="auto"/>
                      <w:szCs w:val="21"/>
                      <w:highlight w:val="none"/>
                    </w:rPr>
                  </w:pPr>
                </w:p>
              </w:tc>
              <w:tc>
                <w:tcPr>
                  <w:tcW w:w="1004" w:type="dxa"/>
                  <w:vMerge w:val="continue"/>
                  <w:tcBorders>
                    <w:tl2br w:val="nil"/>
                    <w:tr2bl w:val="nil"/>
                  </w:tcBorders>
                  <w:noWrap w:val="0"/>
                  <w:vAlign w:val="center"/>
                </w:tcPr>
                <w:p w14:paraId="412C9596">
                  <w:pPr>
                    <w:jc w:val="center"/>
                    <w:rPr>
                      <w:rFonts w:hint="default" w:ascii="Times New Roman" w:hAnsi="Times New Roman" w:cs="Times New Roman"/>
                      <w:color w:val="auto"/>
                      <w:szCs w:val="21"/>
                      <w:highlight w:val="none"/>
                    </w:rPr>
                  </w:pPr>
                </w:p>
              </w:tc>
              <w:tc>
                <w:tcPr>
                  <w:tcW w:w="2110" w:type="dxa"/>
                  <w:tcBorders>
                    <w:tl2br w:val="nil"/>
                    <w:tr2bl w:val="nil"/>
                  </w:tcBorders>
                  <w:noWrap w:val="0"/>
                  <w:vAlign w:val="center"/>
                </w:tcPr>
                <w:p w14:paraId="6E331601">
                  <w:pPr>
                    <w:jc w:val="left"/>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边导线地面投影外两侧各1</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m范围内有电磁环境敏感目标的架空线</w:t>
                  </w:r>
                </w:p>
              </w:tc>
              <w:tc>
                <w:tcPr>
                  <w:tcW w:w="500" w:type="dxa"/>
                  <w:tcBorders>
                    <w:tl2br w:val="nil"/>
                    <w:tr2bl w:val="nil"/>
                  </w:tcBorders>
                  <w:noWrap w:val="0"/>
                  <w:vAlign w:val="center"/>
                </w:tcPr>
                <w:p w14:paraId="0605C6A5">
                  <w:pPr>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二</w:t>
                  </w:r>
                  <w:r>
                    <w:rPr>
                      <w:rFonts w:hint="default" w:ascii="Times New Roman" w:hAnsi="Times New Roman" w:cs="Times New Roman"/>
                      <w:color w:val="auto"/>
                      <w:kern w:val="0"/>
                      <w:szCs w:val="21"/>
                      <w:highlight w:val="none"/>
                    </w:rPr>
                    <w:t>级</w:t>
                  </w:r>
                </w:p>
              </w:tc>
              <w:tc>
                <w:tcPr>
                  <w:tcW w:w="2213" w:type="dxa"/>
                  <w:tcBorders>
                    <w:right w:val="single" w:color="auto" w:sz="4" w:space="0"/>
                    <w:tl2br w:val="nil"/>
                    <w:tr2bl w:val="nil"/>
                  </w:tcBorders>
                  <w:noWrap w:val="0"/>
                  <w:vAlign w:val="center"/>
                </w:tcPr>
                <w:p w14:paraId="262C41F5">
                  <w:pPr>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c>
                <w:tcPr>
                  <w:tcW w:w="677" w:type="dxa"/>
                  <w:tcBorders>
                    <w:left w:val="single" w:color="auto" w:sz="4" w:space="0"/>
                    <w:tl2br w:val="nil"/>
                    <w:tr2bl w:val="nil"/>
                  </w:tcBorders>
                  <w:noWrap w:val="0"/>
                  <w:vAlign w:val="center"/>
                </w:tcPr>
                <w:p w14:paraId="53637570">
                  <w:pPr>
                    <w:jc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bCs/>
                      <w:color w:val="auto"/>
                      <w:kern w:val="0"/>
                      <w:szCs w:val="21"/>
                      <w:highlight w:val="none"/>
                      <w:lang w:val="en-US" w:eastAsia="zh-CN"/>
                    </w:rPr>
                    <w:t>/</w:t>
                  </w:r>
                </w:p>
              </w:tc>
              <w:tc>
                <w:tcPr>
                  <w:tcW w:w="773" w:type="dxa"/>
                  <w:vMerge w:val="continue"/>
                  <w:tcBorders>
                    <w:tl2br w:val="nil"/>
                    <w:tr2bl w:val="nil"/>
                  </w:tcBorders>
                  <w:noWrap w:val="0"/>
                  <w:vAlign w:val="center"/>
                </w:tcPr>
                <w:p w14:paraId="3827981E">
                  <w:pPr>
                    <w:jc w:val="right"/>
                    <w:rPr>
                      <w:rFonts w:hint="default" w:ascii="Times New Roman" w:hAnsi="Times New Roman" w:cs="Times New Roman"/>
                      <w:bCs/>
                      <w:color w:val="auto"/>
                      <w:kern w:val="0"/>
                      <w:szCs w:val="21"/>
                      <w:highlight w:val="none"/>
                    </w:rPr>
                  </w:pPr>
                </w:p>
              </w:tc>
            </w:tr>
          </w:tbl>
          <w:p w14:paraId="7C0C885D">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2" w:firstLineChars="200"/>
              <w:jc w:val="both"/>
              <w:textAlignment w:val="auto"/>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b/>
                <w:bCs/>
                <w:color w:val="auto"/>
                <w:kern w:val="0"/>
                <w:sz w:val="24"/>
                <w:highlight w:val="none"/>
                <w:lang w:eastAsia="zh-CN" w:bidi="ar"/>
              </w:rPr>
              <w:t>⑵</w:t>
            </w:r>
            <w:r>
              <w:rPr>
                <w:rFonts w:hint="default" w:ascii="Times New Roman" w:hAnsi="Times New Roman" w:cs="Times New Roman"/>
                <w:b/>
                <w:bCs/>
                <w:color w:val="auto"/>
                <w:kern w:val="0"/>
                <w:sz w:val="24"/>
                <w:highlight w:val="none"/>
                <w:lang w:bidi="ar"/>
              </w:rPr>
              <w:t>生态</w:t>
            </w:r>
            <w:r>
              <w:rPr>
                <w:rFonts w:hint="default" w:ascii="Times New Roman" w:hAnsi="Times New Roman" w:cs="Times New Roman"/>
                <w:b/>
                <w:bCs/>
                <w:color w:val="auto"/>
                <w:kern w:val="0"/>
                <w:sz w:val="24"/>
                <w:highlight w:val="none"/>
                <w:lang w:val="en-US" w:eastAsia="zh-CN" w:bidi="ar"/>
              </w:rPr>
              <w:t>影响</w:t>
            </w:r>
          </w:p>
          <w:p w14:paraId="1237AF73">
            <w:pPr>
              <w:spacing w:line="360" w:lineRule="auto"/>
              <w:ind w:firstLine="480" w:firstLineChars="200"/>
              <w:rPr>
                <w:rFonts w:hint="default" w:ascii="Times New Roman" w:hAnsi="Times New Roman" w:eastAsia="宋体" w:cs="Times New Roman"/>
                <w:b w:val="0"/>
                <w:bCs w:val="0"/>
                <w:color w:val="auto"/>
                <w:kern w:val="2"/>
                <w:sz w:val="24"/>
                <w:szCs w:val="24"/>
                <w:shd w:val="clear" w:color="auto" w:fill="auto"/>
                <w:lang w:val="en-US" w:eastAsia="zh-CN" w:bidi="ar-SA"/>
              </w:rPr>
            </w:pPr>
            <w:r>
              <w:rPr>
                <w:rFonts w:hint="default" w:ascii="Times New Roman" w:hAnsi="Times New Roman" w:eastAsia="宋体" w:cs="Times New Roman"/>
                <w:b w:val="0"/>
                <w:bCs w:val="0"/>
                <w:color w:val="auto"/>
                <w:kern w:val="2"/>
                <w:sz w:val="24"/>
                <w:szCs w:val="24"/>
                <w:shd w:val="clear" w:color="auto" w:fill="auto"/>
                <w:lang w:val="en-US" w:eastAsia="zh-CN" w:bidi="ar-SA"/>
              </w:rPr>
              <w:t>本项目</w:t>
            </w:r>
            <w:r>
              <w:rPr>
                <w:rFonts w:hint="default" w:ascii="Times New Roman" w:hAnsi="Times New Roman" w:cs="Times New Roman"/>
                <w:color w:val="auto"/>
                <w:sz w:val="24"/>
                <w:highlight w:val="none"/>
                <w:lang w:eastAsia="zh-CN"/>
              </w:rPr>
              <w:t>主要建设内容</w:t>
            </w:r>
            <w:r>
              <w:rPr>
                <w:rFonts w:hint="default" w:ascii="Times New Roman" w:hAnsi="Times New Roman" w:cs="Times New Roman"/>
                <w:color w:val="auto"/>
                <w:sz w:val="24"/>
                <w:highlight w:val="none"/>
                <w:lang w:val="en-US" w:eastAsia="zh-CN"/>
              </w:rPr>
              <w:t>包含间隔扩建工程和输电线路工程</w:t>
            </w:r>
            <w:r>
              <w:rPr>
                <w:rFonts w:hint="default" w:ascii="Times New Roman" w:hAnsi="Times New Roman" w:eastAsia="宋体" w:cs="Times New Roman"/>
                <w:b w:val="0"/>
                <w:bCs w:val="0"/>
                <w:color w:val="auto"/>
                <w:kern w:val="2"/>
                <w:sz w:val="24"/>
                <w:szCs w:val="24"/>
                <w:shd w:val="clear" w:color="auto" w:fill="auto"/>
                <w:lang w:val="en-US" w:eastAsia="zh-CN" w:bidi="ar-SA"/>
              </w:rPr>
              <w:t>，</w:t>
            </w:r>
            <w:r>
              <w:rPr>
                <w:rFonts w:hint="default" w:ascii="Times New Roman" w:hAnsi="Times New Roman" w:eastAsia="宋体" w:cs="Times New Roman"/>
                <w:color w:val="auto"/>
                <w:sz w:val="24"/>
                <w:highlight w:val="none"/>
                <w:lang w:val="en-US" w:eastAsia="zh-CN"/>
              </w:rPr>
              <w:t>根据《环境影响评价技术导则 生态影响》（HJ19-2022），</w:t>
            </w:r>
            <w:r>
              <w:rPr>
                <w:rFonts w:hint="default" w:ascii="Times New Roman" w:hAnsi="Times New Roman" w:eastAsia="宋体" w:cs="Times New Roman"/>
                <w:b w:val="0"/>
                <w:bCs w:val="0"/>
                <w:color w:val="auto"/>
                <w:kern w:val="2"/>
                <w:sz w:val="24"/>
                <w:szCs w:val="24"/>
                <w:shd w:val="clear" w:color="auto" w:fill="auto"/>
                <w:lang w:val="en-US" w:eastAsia="zh-CN" w:bidi="ar-SA"/>
              </w:rPr>
              <w:t>分别判定生态影响评价等级：</w:t>
            </w:r>
          </w:p>
          <w:p w14:paraId="6A4513E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b w:val="0"/>
                <w:bCs w:val="0"/>
                <w:color w:val="auto"/>
                <w:kern w:val="2"/>
                <w:sz w:val="24"/>
                <w:szCs w:val="24"/>
                <w:shd w:val="clear" w:color="auto" w:fill="auto"/>
                <w:lang w:val="en-US" w:eastAsia="zh-CN" w:bidi="ar-SA"/>
              </w:rPr>
              <w:t>①间隔扩建工程：</w:t>
            </w:r>
            <w:r>
              <w:rPr>
                <w:rFonts w:hint="default" w:ascii="Times New Roman" w:hAnsi="Times New Roman" w:cs="Times New Roman"/>
                <w:color w:val="auto"/>
                <w:sz w:val="24"/>
                <w:highlight w:val="none"/>
                <w:lang w:val="en-US" w:eastAsia="zh-CN"/>
              </w:rPr>
              <w:t>云雾山330千伏变电站</w:t>
            </w:r>
            <w:r>
              <w:rPr>
                <w:rFonts w:hint="eastAsia" w:cs="Times New Roman"/>
                <w:color w:val="auto"/>
                <w:sz w:val="24"/>
                <w:highlight w:val="none"/>
                <w:lang w:val="en-US" w:eastAsia="zh-CN"/>
              </w:rPr>
              <w:t>间隔扩建工程生态影响评价范围内涉及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color w:val="auto"/>
                <w:sz w:val="24"/>
                <w:highlight w:val="none"/>
                <w:lang w:val="en-US" w:eastAsia="zh-CN"/>
              </w:rPr>
              <w:t>，但本次间隔扩建工程仅为站内施工，不在站外设置永久或临时占地，因此对站外</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bCs/>
                <w:color w:val="auto"/>
                <w:sz w:val="24"/>
                <w:szCs w:val="24"/>
                <w:highlight w:val="none"/>
                <w:lang w:val="en-US" w:eastAsia="zh-CN"/>
              </w:rPr>
              <w:t>影响轻微</w:t>
            </w:r>
            <w:r>
              <w:rPr>
                <w:rFonts w:hint="eastAsia" w:cs="Times New Roman"/>
                <w:color w:val="auto"/>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运行期不会对周围地表水、地下水、土壤等环境产生影响。</w:t>
            </w:r>
            <w:r>
              <w:rPr>
                <w:rFonts w:hint="default" w:ascii="Times New Roman" w:hAnsi="Times New Roman" w:eastAsia="宋体" w:cs="Times New Roman"/>
                <w:b w:val="0"/>
                <w:bCs w:val="0"/>
                <w:color w:val="auto"/>
                <w:kern w:val="2"/>
                <w:sz w:val="24"/>
                <w:szCs w:val="24"/>
                <w:shd w:val="clear" w:color="auto" w:fill="auto"/>
                <w:lang w:val="en-US" w:eastAsia="zh-CN" w:bidi="ar-SA"/>
              </w:rPr>
              <w:t>间隔扩建工程</w:t>
            </w:r>
            <w:r>
              <w:rPr>
                <w:rFonts w:hint="default" w:ascii="Times New Roman" w:hAnsi="Times New Roman" w:eastAsia="宋体" w:cs="Times New Roman"/>
                <w:color w:val="auto"/>
                <w:kern w:val="0"/>
                <w:sz w:val="24"/>
                <w:szCs w:val="24"/>
                <w:highlight w:val="none"/>
                <w:lang w:val="en-US" w:eastAsia="zh-CN" w:bidi="ar"/>
              </w:rPr>
              <w:t>不新增永久、临时占地，</w:t>
            </w:r>
            <w:r>
              <w:rPr>
                <w:rFonts w:hint="default" w:ascii="Times New Roman" w:hAnsi="Times New Roman" w:cs="Times New Roman"/>
                <w:color w:val="auto"/>
                <w:sz w:val="24"/>
                <w:szCs w:val="24"/>
                <w:highlight w:val="none"/>
                <w:lang w:val="en-US" w:eastAsia="zh-CN"/>
              </w:rPr>
              <w:t>不属于</w:t>
            </w:r>
            <w:r>
              <w:rPr>
                <w:rFonts w:hint="default" w:ascii="Times New Roman" w:hAnsi="Times New Roman" w:eastAsia="宋体" w:cs="Times New Roman"/>
                <w:color w:val="auto"/>
                <w:kern w:val="0"/>
                <w:sz w:val="24"/>
                <w:szCs w:val="24"/>
                <w:highlight w:val="none"/>
                <w:lang w:val="en-US" w:eastAsia="zh-CN" w:bidi="ar"/>
              </w:rPr>
              <w:t>HJ19-2022评价等级判定中6.1.2中a）、b）、d）、e）、f）的情况，因此，确定</w:t>
            </w:r>
            <w:r>
              <w:rPr>
                <w:rFonts w:hint="default" w:ascii="Times New Roman" w:hAnsi="Times New Roman" w:eastAsia="宋体" w:cs="Times New Roman"/>
                <w:b w:val="0"/>
                <w:bCs w:val="0"/>
                <w:color w:val="auto"/>
                <w:kern w:val="2"/>
                <w:sz w:val="24"/>
                <w:szCs w:val="24"/>
                <w:shd w:val="clear" w:color="auto" w:fill="auto"/>
                <w:lang w:val="en-US" w:eastAsia="zh-CN" w:bidi="ar-SA"/>
              </w:rPr>
              <w:t>间隔扩建工程</w:t>
            </w:r>
            <w:r>
              <w:rPr>
                <w:rFonts w:hint="default" w:ascii="Times New Roman" w:hAnsi="Times New Roman" w:cs="Times New Roman"/>
                <w:color w:val="auto"/>
                <w:sz w:val="24"/>
                <w:szCs w:val="24"/>
                <w:highlight w:val="none"/>
                <w:lang w:val="en-US" w:eastAsia="zh-CN"/>
              </w:rPr>
              <w:t>生态影响评价等级为</w:t>
            </w:r>
            <w:r>
              <w:rPr>
                <w:rFonts w:hint="eastAsia" w:cs="Times New Roman"/>
                <w:color w:val="auto"/>
                <w:sz w:val="24"/>
                <w:szCs w:val="24"/>
                <w:highlight w:val="none"/>
                <w:lang w:val="en-US" w:eastAsia="zh-CN"/>
              </w:rPr>
              <w:t>二</w:t>
            </w:r>
            <w:r>
              <w:rPr>
                <w:rFonts w:hint="default" w:ascii="Times New Roman" w:hAnsi="Times New Roman" w:cs="Times New Roman"/>
                <w:color w:val="auto"/>
                <w:sz w:val="24"/>
                <w:szCs w:val="24"/>
                <w:highlight w:val="none"/>
                <w:lang w:val="en-US" w:eastAsia="zh-CN"/>
              </w:rPr>
              <w:t>级。</w:t>
            </w:r>
          </w:p>
          <w:p w14:paraId="14C49A2D">
            <w:pPr>
              <w:keepNext w:val="0"/>
              <w:keepLines w:val="0"/>
              <w:pageBreakBefore w:val="0"/>
              <w:widowControl w:val="0"/>
              <w:kinsoku/>
              <w:wordWrap/>
              <w:overflowPunct/>
              <w:topLinePunct w:val="0"/>
              <w:autoSpaceDE/>
              <w:autoSpaceDN/>
              <w:bidi w:val="0"/>
              <w:adjustRightInd w:val="0"/>
              <w:snapToGrid w:val="0"/>
              <w:spacing w:line="360" w:lineRule="auto"/>
              <w:ind w:firstLine="482"/>
              <w:jc w:val="both"/>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b w:val="0"/>
                <w:bCs w:val="0"/>
                <w:color w:val="auto"/>
                <w:kern w:val="2"/>
                <w:sz w:val="24"/>
                <w:szCs w:val="24"/>
                <w:shd w:val="clear" w:color="auto" w:fill="auto"/>
                <w:lang w:val="en-US" w:eastAsia="zh-CN" w:bidi="ar-SA"/>
              </w:rPr>
              <w:t>②输电线路工程：本项目110千伏输电线路全长24.2km，其中</w:t>
            </w:r>
            <w:r>
              <w:rPr>
                <w:rFonts w:hint="default" w:ascii="Times New Roman" w:hAnsi="Times New Roman" w:cs="Times New Roman"/>
                <w:bCs/>
                <w:color w:val="auto"/>
                <w:sz w:val="24"/>
                <w:szCs w:val="24"/>
                <w:highlight w:val="none"/>
                <w:lang w:val="en-US" w:eastAsia="zh-CN"/>
              </w:rPr>
              <w:t>穿越东南黄土高原丘陵水土保持生态保护红线</w:t>
            </w:r>
            <w:r>
              <w:rPr>
                <w:rFonts w:hint="eastAsia" w:cs="Times New Roman"/>
                <w:bCs/>
                <w:color w:val="auto"/>
                <w:sz w:val="24"/>
                <w:szCs w:val="24"/>
                <w:highlight w:val="none"/>
                <w:lang w:val="en-US" w:eastAsia="zh-CN"/>
              </w:rPr>
              <w:t>10.514</w:t>
            </w:r>
            <w:r>
              <w:rPr>
                <w:rFonts w:hint="default" w:ascii="Times New Roman" w:hAnsi="Times New Roman" w:cs="Times New Roman"/>
                <w:bCs/>
                <w:color w:val="auto"/>
                <w:sz w:val="24"/>
                <w:szCs w:val="24"/>
                <w:highlight w:val="none"/>
                <w:lang w:val="en-US" w:eastAsia="zh-CN"/>
              </w:rPr>
              <w:t>km，红线内立塔3</w:t>
            </w:r>
            <w:r>
              <w:rPr>
                <w:rFonts w:hint="eastAsia"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lang w:val="en-US" w:eastAsia="zh-CN"/>
              </w:rPr>
              <w:t>基，</w:t>
            </w:r>
            <w:r>
              <w:rPr>
                <w:rFonts w:hint="default" w:ascii="Times New Roman" w:hAnsi="Times New Roman" w:eastAsia="宋体" w:cs="Times New Roman"/>
                <w:b w:val="0"/>
                <w:bCs w:val="0"/>
                <w:color w:val="auto"/>
                <w:kern w:val="2"/>
                <w:sz w:val="24"/>
                <w:szCs w:val="24"/>
                <w:shd w:val="clear" w:color="auto" w:fill="auto"/>
                <w:lang w:val="en-US" w:eastAsia="zh-CN" w:bidi="ar-SA"/>
              </w:rPr>
              <w:t>生态环境影响评价等级为二级，</w:t>
            </w:r>
            <w:r>
              <w:rPr>
                <w:rFonts w:hint="default" w:ascii="Times New Roman" w:hAnsi="Times New Roman" w:cs="Times New Roman"/>
                <w:color w:val="auto"/>
                <w:sz w:val="24"/>
                <w:lang w:val="en-US" w:eastAsia="zh-CN"/>
              </w:rPr>
              <w:t>其余</w:t>
            </w:r>
            <w:r>
              <w:rPr>
                <w:rFonts w:hint="default" w:ascii="Times New Roman" w:hAnsi="Times New Roman" w:cs="Times New Roman"/>
                <w:i w:val="0"/>
                <w:iCs w:val="0"/>
                <w:color w:val="auto"/>
                <w:sz w:val="24"/>
                <w:szCs w:val="24"/>
                <w:highlight w:val="none"/>
                <w:u w:val="none"/>
                <w:shd w:val="clear" w:color="auto" w:fill="auto"/>
                <w:lang w:val="en-US" w:eastAsia="zh-CN"/>
              </w:rPr>
              <w:t>1</w:t>
            </w:r>
            <w:r>
              <w:rPr>
                <w:rFonts w:hint="eastAsia" w:cs="Times New Roman"/>
                <w:i w:val="0"/>
                <w:iCs w:val="0"/>
                <w:color w:val="auto"/>
                <w:sz w:val="24"/>
                <w:szCs w:val="24"/>
                <w:highlight w:val="none"/>
                <w:u w:val="none"/>
                <w:shd w:val="clear" w:color="auto" w:fill="auto"/>
                <w:lang w:val="en-US" w:eastAsia="zh-CN"/>
              </w:rPr>
              <w:t>3.686</w:t>
            </w:r>
            <w:r>
              <w:rPr>
                <w:rFonts w:hint="default" w:ascii="Times New Roman" w:hAnsi="Times New Roman" w:cs="Times New Roman"/>
                <w:i w:val="0"/>
                <w:iCs w:val="0"/>
                <w:color w:val="auto"/>
                <w:sz w:val="24"/>
                <w:szCs w:val="24"/>
                <w:highlight w:val="none"/>
                <w:u w:val="none"/>
                <w:shd w:val="clear" w:color="auto" w:fill="auto"/>
                <w:lang w:val="en-US" w:eastAsia="zh-CN"/>
              </w:rPr>
              <w:t>km</w:t>
            </w:r>
            <w:r>
              <w:rPr>
                <w:rFonts w:hint="default" w:ascii="Times New Roman" w:hAnsi="Times New Roman" w:cs="Times New Roman"/>
                <w:color w:val="auto"/>
                <w:sz w:val="24"/>
                <w:lang w:val="en-US" w:eastAsia="zh-CN"/>
              </w:rPr>
              <w:t>输电</w:t>
            </w:r>
            <w:r>
              <w:rPr>
                <w:rFonts w:hint="default" w:ascii="Times New Roman" w:hAnsi="Times New Roman" w:cs="Times New Roman"/>
                <w:i w:val="0"/>
                <w:iCs w:val="0"/>
                <w:color w:val="auto"/>
                <w:sz w:val="24"/>
                <w:szCs w:val="24"/>
                <w:highlight w:val="none"/>
                <w:u w:val="none"/>
                <w:shd w:val="clear" w:color="auto" w:fill="auto"/>
                <w:lang w:val="en-US" w:eastAsia="zh-CN"/>
              </w:rPr>
              <w:t>线路不涉及生态敏感区，其</w:t>
            </w:r>
            <w:r>
              <w:rPr>
                <w:rFonts w:hint="default" w:ascii="Times New Roman" w:hAnsi="Times New Roman" w:eastAsia="宋体" w:cs="Times New Roman"/>
                <w:b w:val="0"/>
                <w:bCs w:val="0"/>
                <w:color w:val="auto"/>
                <w:kern w:val="2"/>
                <w:sz w:val="24"/>
                <w:szCs w:val="24"/>
                <w:shd w:val="clear" w:color="auto" w:fill="auto"/>
                <w:lang w:val="en-US" w:eastAsia="zh-CN" w:bidi="ar-SA"/>
              </w:rPr>
              <w:t>生态环境影响评价等级为三级。</w:t>
            </w:r>
          </w:p>
          <w:p w14:paraId="27771400">
            <w:pPr>
              <w:keepNext w:val="0"/>
              <w:keepLines w:val="0"/>
              <w:pageBreakBefore w:val="0"/>
              <w:widowControl/>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kern w:val="0"/>
                <w:sz w:val="24"/>
                <w:highlight w:val="none"/>
                <w:lang w:eastAsia="zh-CN" w:bidi="ar"/>
              </w:rPr>
              <w:t>⑶</w:t>
            </w:r>
            <w:r>
              <w:rPr>
                <w:rFonts w:hint="default" w:ascii="Times New Roman" w:hAnsi="Times New Roman" w:cs="Times New Roman"/>
                <w:b/>
                <w:bCs/>
                <w:color w:val="auto"/>
                <w:kern w:val="0"/>
                <w:sz w:val="24"/>
                <w:highlight w:val="none"/>
                <w:lang w:bidi="ar"/>
              </w:rPr>
              <w:t>声环境</w:t>
            </w:r>
          </w:p>
          <w:p w14:paraId="5B9D70F9">
            <w:pPr>
              <w:pStyle w:val="13"/>
              <w:spacing w:after="0" w:line="360" w:lineRule="auto"/>
              <w:ind w:left="0" w:leftChars="0" w:firstLine="480" w:firstLineChars="200"/>
              <w:rPr>
                <w:rFonts w:hint="default" w:ascii="Times New Roman" w:hAnsi="Times New Roman" w:cs="Times New Roman"/>
                <w:color w:val="auto"/>
                <w:kern w:val="0"/>
                <w:sz w:val="24"/>
                <w:lang w:bidi="ar"/>
              </w:rPr>
            </w:pPr>
            <w:r>
              <w:rPr>
                <w:rFonts w:hint="default" w:ascii="Times New Roman" w:hAnsi="Times New Roman" w:cs="Times New Roman"/>
                <w:color w:val="auto"/>
                <w:kern w:val="0"/>
                <w:sz w:val="24"/>
                <w:lang w:bidi="ar"/>
              </w:rPr>
              <w:t>根据《环境影响评价技术导则 声环境》（HJ2.4-2021）中5.1评价等级中5.1.3建设项目所处的声环境功能区为GB3096规定的1类、2类地区，或建设项目建设前后评价范围内声环境保护目标噪声级增量达3dB</w:t>
            </w:r>
            <w:r>
              <w:rPr>
                <w:rFonts w:hint="default" w:ascii="Times New Roman" w:hAnsi="Times New Roman" w:cs="Times New Roman"/>
                <w:color w:val="auto"/>
                <w:kern w:val="0"/>
                <w:sz w:val="24"/>
                <w:lang w:eastAsia="zh-CN" w:bidi="ar"/>
              </w:rPr>
              <w:t>(A)~</w:t>
            </w:r>
            <w:r>
              <w:rPr>
                <w:rFonts w:hint="default" w:ascii="Times New Roman" w:hAnsi="Times New Roman" w:cs="Times New Roman"/>
                <w:color w:val="auto"/>
                <w:kern w:val="0"/>
                <w:sz w:val="24"/>
                <w:lang w:bidi="ar"/>
              </w:rPr>
              <w:t>5dB</w:t>
            </w:r>
            <w:r>
              <w:rPr>
                <w:rFonts w:hint="eastAsia" w:cs="Times New Roman"/>
                <w:color w:val="auto"/>
                <w:kern w:val="0"/>
                <w:sz w:val="24"/>
                <w:lang w:eastAsia="zh-CN" w:bidi="ar"/>
              </w:rPr>
              <w:t>(A)</w:t>
            </w:r>
            <w:r>
              <w:rPr>
                <w:rFonts w:hint="default" w:ascii="Times New Roman" w:hAnsi="Times New Roman" w:cs="Times New Roman"/>
                <w:color w:val="auto"/>
                <w:kern w:val="0"/>
                <w:sz w:val="24"/>
                <w:lang w:bidi="ar"/>
              </w:rPr>
              <w:t>，或受噪声影响人口数量增加较多时，按二级评价。5.1.4建设项目所处的声环境功能区为GB3096规定的3类、4类地区，或建设项目建设前后评价范围内声环境保护目标噪声级增量在3dB</w:t>
            </w:r>
            <w:r>
              <w:rPr>
                <w:rFonts w:hint="eastAsia" w:cs="Times New Roman"/>
                <w:color w:val="auto"/>
                <w:kern w:val="0"/>
                <w:sz w:val="24"/>
                <w:lang w:eastAsia="zh-CN" w:bidi="ar"/>
              </w:rPr>
              <w:t>(A)</w:t>
            </w:r>
            <w:r>
              <w:rPr>
                <w:rFonts w:hint="default" w:ascii="Times New Roman" w:hAnsi="Times New Roman" w:cs="Times New Roman"/>
                <w:color w:val="auto"/>
                <w:kern w:val="0"/>
                <w:sz w:val="24"/>
                <w:lang w:bidi="ar"/>
              </w:rPr>
              <w:t>以下（不含3dB</w:t>
            </w:r>
            <w:r>
              <w:rPr>
                <w:rFonts w:hint="eastAsia" w:cs="Times New Roman"/>
                <w:color w:val="auto"/>
                <w:kern w:val="0"/>
                <w:sz w:val="24"/>
                <w:lang w:eastAsia="zh-CN" w:bidi="ar"/>
              </w:rPr>
              <w:t>(A)</w:t>
            </w:r>
            <w:r>
              <w:rPr>
                <w:rFonts w:hint="default" w:ascii="Times New Roman" w:hAnsi="Times New Roman" w:cs="Times New Roman"/>
                <w:color w:val="auto"/>
                <w:kern w:val="0"/>
                <w:sz w:val="24"/>
                <w:lang w:bidi="ar"/>
              </w:rPr>
              <w:t>），且受影响人口数量变化不大时，按三级评价。</w:t>
            </w:r>
            <w:r>
              <w:rPr>
                <w:rFonts w:hint="default" w:ascii="Times New Roman" w:hAnsi="Times New Roman" w:cs="Times New Roman"/>
                <w:color w:val="auto"/>
                <w:sz w:val="24"/>
              </w:rPr>
              <w:t>5.1.5在确定评价等级时，如果建设项目符合两个等级的划分原则，按较高等级评价。</w:t>
            </w:r>
          </w:p>
          <w:p w14:paraId="7B0C68F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b w:val="0"/>
                <w:bCs w:val="0"/>
                <w:color w:val="auto"/>
                <w:kern w:val="2"/>
                <w:sz w:val="24"/>
                <w:szCs w:val="24"/>
                <w:shd w:val="clear" w:color="auto" w:fill="auto"/>
                <w:lang w:val="en-US" w:eastAsia="zh-CN" w:bidi="ar-SA"/>
              </w:rPr>
              <w:t>①由于</w:t>
            </w:r>
            <w:r>
              <w:rPr>
                <w:rFonts w:hint="default" w:ascii="Times New Roman" w:hAnsi="Times New Roman" w:eastAsia="宋体" w:cs="Times New Roman"/>
                <w:color w:val="auto"/>
                <w:kern w:val="0"/>
                <w:sz w:val="24"/>
                <w:szCs w:val="24"/>
                <w:highlight w:val="none"/>
                <w:lang w:val="en-US" w:eastAsia="zh-CN" w:bidi="ar"/>
              </w:rPr>
              <w:t>云雾山330千伏变电站不在</w:t>
            </w:r>
            <w:r>
              <w:rPr>
                <w:rFonts w:hint="default" w:ascii="Times New Roman" w:hAnsi="Times New Roman" w:eastAsia="宋体" w:cs="Times New Roman"/>
                <w:color w:val="auto"/>
                <w:sz w:val="24"/>
                <w:szCs w:val="24"/>
                <w:highlight w:val="none"/>
                <w:lang w:val="en-US" w:eastAsia="zh-CN"/>
              </w:rPr>
              <w:t>固原市人民</w:t>
            </w:r>
            <w:r>
              <w:rPr>
                <w:rFonts w:hint="default" w:ascii="Times New Roman" w:hAnsi="Times New Roman" w:eastAsia="宋体" w:cs="Times New Roman"/>
                <w:color w:val="auto"/>
                <w:sz w:val="24"/>
                <w:szCs w:val="24"/>
                <w:highlight w:val="none"/>
              </w:rPr>
              <w:t>政府办公室关于</w:t>
            </w:r>
            <w:r>
              <w:rPr>
                <w:rFonts w:hint="default" w:ascii="Times New Roman" w:hAnsi="Times New Roman" w:eastAsia="宋体" w:cs="Times New Roman"/>
                <w:color w:val="auto"/>
                <w:sz w:val="24"/>
                <w:szCs w:val="24"/>
                <w:highlight w:val="none"/>
                <w:lang w:val="en-US" w:eastAsia="zh-CN"/>
              </w:rPr>
              <w:t>修订《</w:t>
            </w:r>
            <w:r>
              <w:rPr>
                <w:rFonts w:hint="default" w:ascii="Times New Roman" w:hAnsi="Times New Roman" w:eastAsia="宋体" w:cs="Times New Roman"/>
                <w:color w:val="auto"/>
                <w:sz w:val="24"/>
                <w:szCs w:val="24"/>
                <w:highlight w:val="none"/>
                <w:lang w:eastAsia="zh-CN"/>
              </w:rPr>
              <w:t>固原</w:t>
            </w:r>
            <w:r>
              <w:rPr>
                <w:rFonts w:hint="default" w:ascii="Times New Roman" w:hAnsi="Times New Roman" w:eastAsia="宋体" w:cs="Times New Roman"/>
                <w:color w:val="auto"/>
                <w:sz w:val="24"/>
                <w:szCs w:val="24"/>
                <w:highlight w:val="none"/>
              </w:rPr>
              <w:t>市</w:t>
            </w:r>
            <w:r>
              <w:rPr>
                <w:rFonts w:hint="default" w:ascii="Times New Roman" w:hAnsi="Times New Roman" w:eastAsia="宋体" w:cs="Times New Roman"/>
                <w:color w:val="auto"/>
                <w:sz w:val="24"/>
                <w:szCs w:val="24"/>
                <w:highlight w:val="none"/>
                <w:lang w:val="en-US" w:eastAsia="zh-CN"/>
              </w:rPr>
              <w:t>区</w:t>
            </w:r>
            <w:r>
              <w:rPr>
                <w:rFonts w:hint="default" w:ascii="Times New Roman" w:hAnsi="Times New Roman" w:eastAsia="宋体" w:cs="Times New Roman"/>
                <w:color w:val="auto"/>
                <w:sz w:val="24"/>
                <w:szCs w:val="24"/>
                <w:highlight w:val="none"/>
              </w:rPr>
              <w:t>声环境功能区划分方案</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的通知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固</w:t>
            </w:r>
            <w:r>
              <w:rPr>
                <w:rFonts w:hint="default" w:ascii="Times New Roman" w:hAnsi="Times New Roman" w:eastAsia="宋体" w:cs="Times New Roman"/>
                <w:color w:val="auto"/>
                <w:sz w:val="24"/>
                <w:szCs w:val="24"/>
                <w:highlight w:val="none"/>
                <w:lang w:eastAsia="zh-CN"/>
              </w:rPr>
              <w:t>政办发〔2023〕</w:t>
            </w:r>
            <w:r>
              <w:rPr>
                <w:rFonts w:hint="default" w:ascii="Times New Roman" w:hAnsi="Times New Roman" w:eastAsia="宋体" w:cs="Times New Roman"/>
                <w:color w:val="auto"/>
                <w:sz w:val="24"/>
                <w:szCs w:val="24"/>
                <w:highlight w:val="none"/>
                <w:lang w:val="en-US" w:eastAsia="zh-CN"/>
              </w:rPr>
              <w:t>48</w:t>
            </w:r>
            <w:r>
              <w:rPr>
                <w:rFonts w:hint="default" w:ascii="Times New Roman" w:hAnsi="Times New Roman" w:eastAsia="宋体" w:cs="Times New Roman"/>
                <w:color w:val="auto"/>
                <w:sz w:val="24"/>
                <w:szCs w:val="24"/>
                <w:highlight w:val="none"/>
                <w:lang w:eastAsia="zh-CN"/>
              </w:rPr>
              <w:t>号，2023年12月</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日）</w:t>
            </w:r>
            <w:r>
              <w:rPr>
                <w:rFonts w:hint="default" w:ascii="Times New Roman" w:hAnsi="Times New Roman" w:eastAsia="宋体" w:cs="Times New Roman"/>
                <w:color w:val="auto"/>
                <w:kern w:val="0"/>
                <w:sz w:val="24"/>
                <w:szCs w:val="24"/>
                <w:highlight w:val="none"/>
                <w:lang w:val="en-US" w:eastAsia="zh-CN" w:bidi="ar"/>
              </w:rPr>
              <w:t>范围内，</w:t>
            </w:r>
            <w:r>
              <w:rPr>
                <w:rFonts w:hint="default" w:ascii="Times New Roman" w:hAnsi="Times New Roman" w:eastAsia="宋体" w:cs="Times New Roman"/>
                <w:color w:val="auto"/>
                <w:kern w:val="2"/>
                <w:sz w:val="24"/>
                <w:szCs w:val="24"/>
                <w:highlight w:val="none"/>
                <w:lang w:val="en-US" w:eastAsia="zh-CN"/>
              </w:rPr>
              <w:t>云雾山330</w:t>
            </w:r>
            <w:r>
              <w:rPr>
                <w:rFonts w:hint="default" w:ascii="Times New Roman" w:hAnsi="Times New Roman" w:eastAsia="宋体" w:cs="Times New Roman"/>
                <w:b w:val="0"/>
                <w:bCs w:val="0"/>
                <w:color w:val="auto"/>
                <w:sz w:val="24"/>
                <w:highlight w:val="none"/>
                <w:lang w:val="en-US" w:eastAsia="zh-CN"/>
              </w:rPr>
              <w:t>千伏</w:t>
            </w:r>
            <w:r>
              <w:rPr>
                <w:rFonts w:hint="default" w:ascii="Times New Roman" w:hAnsi="Times New Roman" w:eastAsia="宋体" w:cs="Times New Roman"/>
                <w:color w:val="auto"/>
                <w:kern w:val="2"/>
                <w:sz w:val="24"/>
                <w:szCs w:val="24"/>
                <w:highlight w:val="none"/>
              </w:rPr>
              <w:t>变电站位于</w:t>
            </w:r>
            <w:r>
              <w:rPr>
                <w:rFonts w:hint="eastAsia" w:cs="Times New Roman"/>
                <w:color w:val="auto"/>
                <w:kern w:val="2"/>
                <w:sz w:val="24"/>
                <w:szCs w:val="24"/>
                <w:highlight w:val="none"/>
                <w:lang w:val="en-US" w:eastAsia="zh-CN"/>
              </w:rPr>
              <w:t>居住、集市贸易混杂区域</w:t>
            </w:r>
            <w:r>
              <w:rPr>
                <w:rFonts w:hint="eastAsia" w:cs="Times New Roman"/>
                <w:color w:val="auto"/>
                <w:kern w:val="2"/>
                <w:sz w:val="24"/>
                <w:szCs w:val="24"/>
                <w:highlight w:val="none"/>
                <w:lang w:eastAsia="zh-CN"/>
              </w:rPr>
              <w:t>，</w:t>
            </w:r>
            <w:r>
              <w:rPr>
                <w:rFonts w:hint="eastAsia" w:cs="Times New Roman"/>
                <w:color w:val="auto"/>
                <w:kern w:val="2"/>
                <w:sz w:val="24"/>
                <w:szCs w:val="24"/>
                <w:highlight w:val="none"/>
                <w:lang w:val="en-US" w:eastAsia="zh-CN"/>
              </w:rPr>
              <w:t>属于</w:t>
            </w:r>
            <w:r>
              <w:rPr>
                <w:rFonts w:hint="default" w:ascii="Times New Roman" w:hAnsi="Times New Roman" w:eastAsia="宋体" w:cs="Times New Roman"/>
                <w:color w:val="auto"/>
                <w:kern w:val="2"/>
                <w:sz w:val="24"/>
                <w:szCs w:val="24"/>
                <w:highlight w:val="none"/>
              </w:rPr>
              <w:t>2类声环境功能区</w:t>
            </w:r>
            <w:r>
              <w:rPr>
                <w:rFonts w:hint="default" w:ascii="Times New Roman" w:hAnsi="Times New Roman" w:eastAsia="宋体" w:cs="Times New Roman"/>
                <w:color w:val="auto"/>
                <w:kern w:val="0"/>
                <w:sz w:val="24"/>
                <w:szCs w:val="24"/>
                <w:highlight w:val="none"/>
                <w:lang w:val="en-US" w:eastAsia="zh-CN" w:bidi="ar"/>
              </w:rPr>
              <w:t>，因此</w:t>
            </w:r>
            <w:r>
              <w:rPr>
                <w:rFonts w:hint="default" w:ascii="Times New Roman" w:hAnsi="Times New Roman" w:cs="Times New Roman"/>
                <w:color w:val="auto"/>
                <w:sz w:val="24"/>
                <w:highlight w:val="none"/>
              </w:rPr>
              <w:t>确定</w:t>
            </w:r>
            <w:r>
              <w:rPr>
                <w:rFonts w:hint="default" w:ascii="Times New Roman" w:hAnsi="Times New Roman" w:cs="Times New Roman"/>
                <w:color w:val="auto"/>
                <w:sz w:val="24"/>
                <w:highlight w:val="none"/>
                <w:lang w:val="en-US" w:eastAsia="zh-CN"/>
              </w:rPr>
              <w:t>变电站</w:t>
            </w:r>
            <w:r>
              <w:rPr>
                <w:rFonts w:hint="default" w:ascii="Times New Roman" w:hAnsi="Times New Roman" w:eastAsia="宋体" w:cs="Times New Roman"/>
                <w:color w:val="auto"/>
                <w:kern w:val="0"/>
                <w:sz w:val="24"/>
                <w:szCs w:val="24"/>
                <w:highlight w:val="none"/>
                <w:lang w:val="en-US" w:eastAsia="zh-CN" w:bidi="ar"/>
              </w:rPr>
              <w:t>声环境</w:t>
            </w:r>
            <w:r>
              <w:rPr>
                <w:rFonts w:hint="default" w:ascii="Times New Roman" w:hAnsi="Times New Roman" w:cs="Times New Roman"/>
                <w:color w:val="auto"/>
                <w:kern w:val="0"/>
                <w:sz w:val="24"/>
                <w:szCs w:val="24"/>
                <w:highlight w:val="none"/>
                <w:lang w:val="en-US" w:eastAsia="zh-CN" w:bidi="ar"/>
              </w:rPr>
              <w:t>影响</w:t>
            </w:r>
            <w:r>
              <w:rPr>
                <w:rFonts w:hint="default" w:ascii="Times New Roman" w:hAnsi="Times New Roman" w:eastAsia="宋体" w:cs="Times New Roman"/>
                <w:color w:val="auto"/>
                <w:kern w:val="0"/>
                <w:sz w:val="24"/>
                <w:szCs w:val="24"/>
                <w:highlight w:val="none"/>
                <w:lang w:val="en-US" w:eastAsia="zh-CN" w:bidi="ar"/>
              </w:rPr>
              <w:t>评价等级为二级。</w:t>
            </w:r>
          </w:p>
          <w:p w14:paraId="5B874483">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eastAsia="宋体" w:cs="Times New Roman"/>
                <w:b w:val="0"/>
                <w:bCs w:val="0"/>
                <w:color w:val="auto"/>
                <w:kern w:val="2"/>
                <w:sz w:val="24"/>
                <w:szCs w:val="24"/>
                <w:shd w:val="clear" w:color="auto" w:fill="auto"/>
                <w:lang w:val="en-US" w:eastAsia="zh-CN" w:bidi="ar-SA"/>
              </w:rPr>
              <w:t>②</w:t>
            </w:r>
            <w:r>
              <w:rPr>
                <w:rFonts w:hint="default" w:ascii="Times New Roman" w:hAnsi="Times New Roman" w:cs="Times New Roman"/>
                <w:color w:val="auto"/>
                <w:sz w:val="24"/>
              </w:rPr>
              <w:t>本项目</w:t>
            </w:r>
            <w:r>
              <w:rPr>
                <w:rFonts w:hint="default" w:ascii="Times New Roman" w:hAnsi="Times New Roman" w:cs="Times New Roman"/>
                <w:color w:val="auto"/>
                <w:sz w:val="24"/>
                <w:lang w:val="en-US" w:eastAsia="zh-CN"/>
              </w:rPr>
              <w:t>部分输电线路</w:t>
            </w:r>
            <w:r>
              <w:rPr>
                <w:rFonts w:hint="default" w:ascii="Times New Roman" w:hAnsi="Times New Roman" w:cs="Times New Roman"/>
                <w:color w:val="auto"/>
                <w:sz w:val="24"/>
              </w:rPr>
              <w:t>路径</w:t>
            </w:r>
            <w:r>
              <w:rPr>
                <w:rFonts w:hint="default" w:ascii="Times New Roman" w:hAnsi="Times New Roman" w:eastAsia="宋体" w:cs="Times New Roman"/>
                <w:color w:val="auto"/>
                <w:sz w:val="24"/>
                <w:highlight w:val="none"/>
                <w:lang w:val="en-US" w:eastAsia="zh-CN"/>
              </w:rPr>
              <w:t>位于农村</w:t>
            </w:r>
            <w:r>
              <w:rPr>
                <w:rFonts w:hint="default" w:ascii="Times New Roman" w:hAnsi="Times New Roman" w:cs="Times New Roman"/>
                <w:color w:val="auto"/>
                <w:sz w:val="24"/>
              </w:rPr>
              <w:t>1类声环境功能区</w:t>
            </w:r>
            <w:r>
              <w:rPr>
                <w:rFonts w:hint="default" w:ascii="Times New Roman" w:hAnsi="Times New Roman" w:cs="Times New Roman"/>
                <w:color w:val="auto"/>
                <w:sz w:val="24"/>
                <w:lang w:val="en-US" w:eastAsia="zh-CN"/>
              </w:rPr>
              <w:t>和</w:t>
            </w:r>
            <w:r>
              <w:rPr>
                <w:rFonts w:hint="default" w:ascii="Times New Roman" w:hAnsi="Times New Roman" w:eastAsia="宋体" w:cs="Times New Roman"/>
                <w:color w:val="auto"/>
                <w:sz w:val="24"/>
                <w:highlight w:val="none"/>
                <w:lang w:val="en-US" w:eastAsia="zh-CN"/>
              </w:rPr>
              <w:t>以居住、</w:t>
            </w:r>
            <w:r>
              <w:rPr>
                <w:rFonts w:hint="default" w:ascii="Times New Roman" w:hAnsi="Times New Roman" w:eastAsia="宋体" w:cs="Times New Roman"/>
                <w:color w:val="auto"/>
                <w:kern w:val="0"/>
                <w:sz w:val="24"/>
                <w:highlight w:val="none"/>
                <w:lang w:val="en-US" w:eastAsia="zh-CN"/>
              </w:rPr>
              <w:t>工业混杂，需要维持住宅安静的2类</w:t>
            </w:r>
            <w:r>
              <w:rPr>
                <w:rFonts w:hint="default" w:ascii="Times New Roman" w:hAnsi="Times New Roman" w:cs="Times New Roman"/>
                <w:color w:val="auto"/>
                <w:sz w:val="24"/>
              </w:rPr>
              <w:t>声环境功能区，按照5.1.3的要求声环境评价等级为二级</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部分线路</w:t>
            </w:r>
            <w:r>
              <w:rPr>
                <w:rFonts w:hint="default" w:ascii="Times New Roman" w:hAnsi="Times New Roman" w:cs="Times New Roman"/>
                <w:color w:val="auto"/>
                <w:sz w:val="24"/>
              </w:rPr>
              <w:t>跨越</w:t>
            </w:r>
            <w:r>
              <w:rPr>
                <w:rFonts w:hint="default" w:ascii="Times New Roman" w:hAnsi="Times New Roman" w:cs="Times New Roman"/>
                <w:color w:val="auto"/>
                <w:sz w:val="24"/>
                <w:lang w:val="en-US" w:eastAsia="zh-CN"/>
              </w:rPr>
              <w:t>高速</w:t>
            </w:r>
            <w:r>
              <w:rPr>
                <w:rFonts w:hint="default" w:ascii="Times New Roman" w:hAnsi="Times New Roman" w:cs="Times New Roman"/>
                <w:color w:val="auto"/>
                <w:sz w:val="24"/>
                <w:lang w:eastAsia="zh-CN"/>
              </w:rPr>
              <w:t>公路</w:t>
            </w:r>
            <w:r>
              <w:rPr>
                <w:rFonts w:hint="default" w:ascii="Times New Roman" w:hAnsi="Times New Roman" w:cs="Times New Roman"/>
                <w:color w:val="auto"/>
                <w:sz w:val="24"/>
                <w:lang w:val="en-US" w:eastAsia="zh-CN"/>
              </w:rPr>
              <w:t>等4类地区时</w:t>
            </w:r>
            <w:r>
              <w:rPr>
                <w:rFonts w:hint="default" w:ascii="Times New Roman" w:hAnsi="Times New Roman" w:cs="Times New Roman"/>
                <w:color w:val="auto"/>
                <w:sz w:val="24"/>
              </w:rPr>
              <w:t>，按照5.1.4的要求声环境评价等级</w:t>
            </w:r>
            <w:r>
              <w:rPr>
                <w:rFonts w:hint="default" w:ascii="Times New Roman" w:hAnsi="Times New Roman" w:cs="Times New Roman"/>
                <w:color w:val="auto"/>
                <w:sz w:val="24"/>
                <w:lang w:val="en-US" w:eastAsia="zh-CN"/>
              </w:rPr>
              <w:t>为</w:t>
            </w:r>
            <w:r>
              <w:rPr>
                <w:rFonts w:hint="default" w:ascii="Times New Roman" w:hAnsi="Times New Roman" w:cs="Times New Roman"/>
                <w:color w:val="auto"/>
                <w:sz w:val="24"/>
              </w:rPr>
              <w:t>三级。</w:t>
            </w:r>
          </w:p>
          <w:p w14:paraId="0BB2EC54">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综上</w:t>
            </w:r>
            <w:r>
              <w:rPr>
                <w:rFonts w:hint="default" w:ascii="Times New Roman" w:hAnsi="Times New Roman" w:cs="Times New Roman"/>
                <w:color w:val="auto"/>
                <w:sz w:val="24"/>
                <w:lang w:val="en-US" w:eastAsia="zh-CN"/>
              </w:rPr>
              <w:t>所述</w:t>
            </w:r>
            <w:r>
              <w:rPr>
                <w:rFonts w:hint="default" w:ascii="Times New Roman" w:hAnsi="Times New Roman" w:cs="Times New Roman"/>
                <w:color w:val="auto"/>
                <w:sz w:val="24"/>
              </w:rPr>
              <w:t>，按照5.1.5的要求，本项目按照较高等级开展评价，确定声环境评价等级为二级。</w:t>
            </w:r>
          </w:p>
          <w:p w14:paraId="435A9D78">
            <w:pPr>
              <w:pStyle w:val="13"/>
              <w:spacing w:after="0" w:line="360" w:lineRule="auto"/>
              <w:ind w:left="0" w:leftChars="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⑷</w:t>
            </w:r>
            <w:r>
              <w:rPr>
                <w:rFonts w:hint="default" w:ascii="Times New Roman" w:hAnsi="Times New Roman" w:cs="Times New Roman"/>
                <w:b/>
                <w:bCs/>
                <w:color w:val="auto"/>
                <w:sz w:val="24"/>
                <w:highlight w:val="none"/>
              </w:rPr>
              <w:t>地表水环境</w:t>
            </w:r>
          </w:p>
          <w:p w14:paraId="5FC585DB">
            <w:pPr>
              <w:pStyle w:val="13"/>
              <w:spacing w:after="0" w:line="360" w:lineRule="auto"/>
              <w:ind w:left="0" w:leftChars="0"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rPr>
              <w:t>根据</w:t>
            </w:r>
            <w:r>
              <w:rPr>
                <w:rFonts w:hint="default" w:ascii="Times New Roman" w:hAnsi="Times New Roman" w:cs="Times New Roman"/>
                <w:color w:val="auto"/>
                <w:sz w:val="24"/>
                <w:highlight w:val="none"/>
              </w:rPr>
              <w:t>《环境影响评价技术导则 地表水环境》（HJ2.3-2018），本项目</w:t>
            </w:r>
            <w:r>
              <w:rPr>
                <w:rFonts w:hint="default" w:ascii="Times New Roman" w:hAnsi="Times New Roman" w:cs="Times New Roman"/>
                <w:color w:val="auto"/>
                <w:sz w:val="24"/>
                <w:highlight w:val="none"/>
                <w:lang w:val="en-US" w:eastAsia="zh-CN"/>
              </w:rPr>
              <w:t>运行期输电线路无废水产生，间隔扩建工程不新增工作人员，不新增生活用水和生活污水，对区域水环境质量无影响</w:t>
            </w:r>
            <w:r>
              <w:rPr>
                <w:rFonts w:hint="default" w:ascii="Times New Roman" w:hAnsi="Times New Roman" w:cs="Times New Roman"/>
                <w:color w:val="auto"/>
                <w:sz w:val="24"/>
              </w:rPr>
              <w:t>，无废水受纳水体</w:t>
            </w:r>
            <w:r>
              <w:rPr>
                <w:rFonts w:hint="default" w:ascii="Times New Roman" w:hAnsi="Times New Roman" w:cs="Times New Roman"/>
                <w:color w:val="auto"/>
                <w:sz w:val="24"/>
                <w:highlight w:val="none"/>
              </w:rPr>
              <w:t>。因此，</w:t>
            </w:r>
            <w:r>
              <w:rPr>
                <w:rFonts w:hint="default" w:ascii="Times New Roman" w:hAnsi="Times New Roman" w:cs="Times New Roman"/>
                <w:color w:val="auto"/>
                <w:sz w:val="24"/>
                <w:highlight w:val="none"/>
                <w:lang w:val="en-US" w:eastAsia="zh-CN"/>
              </w:rPr>
              <w:t>本次</w:t>
            </w:r>
            <w:r>
              <w:rPr>
                <w:rFonts w:hint="default" w:ascii="Times New Roman" w:hAnsi="Times New Roman" w:eastAsia="宋体" w:cs="Times New Roman"/>
                <w:color w:val="auto"/>
                <w:spacing w:val="0"/>
                <w:sz w:val="24"/>
                <w:szCs w:val="24"/>
                <w:highlight w:val="none"/>
              </w:rPr>
              <w:t>地表水</w:t>
            </w:r>
            <w:r>
              <w:rPr>
                <w:rFonts w:hint="default" w:ascii="Times New Roman" w:hAnsi="Times New Roman" w:eastAsia="宋体" w:cs="Times New Roman"/>
                <w:color w:val="auto"/>
                <w:spacing w:val="0"/>
                <w:sz w:val="24"/>
                <w:szCs w:val="24"/>
                <w:highlight w:val="none"/>
                <w:lang w:val="en-US" w:eastAsia="zh-CN"/>
              </w:rPr>
              <w:t>环境影响</w:t>
            </w:r>
            <w:r>
              <w:rPr>
                <w:rFonts w:hint="default" w:ascii="Times New Roman" w:hAnsi="Times New Roman" w:eastAsia="宋体" w:cs="Times New Roman"/>
                <w:color w:val="auto"/>
                <w:spacing w:val="0"/>
                <w:sz w:val="24"/>
                <w:szCs w:val="24"/>
                <w:highlight w:val="none"/>
              </w:rPr>
              <w:t>评价等级</w:t>
            </w:r>
            <w:r>
              <w:rPr>
                <w:rFonts w:hint="eastAsia" w:ascii="Times New Roman" w:hAnsi="Times New Roman" w:eastAsia="宋体" w:cs="Times New Roman"/>
                <w:color w:val="auto"/>
                <w:spacing w:val="0"/>
                <w:sz w:val="24"/>
                <w:szCs w:val="24"/>
                <w:highlight w:val="none"/>
                <w:lang w:val="en-US" w:eastAsia="zh-CN"/>
              </w:rPr>
              <w:t>为三级B</w:t>
            </w:r>
            <w:r>
              <w:rPr>
                <w:rFonts w:hint="default" w:ascii="Times New Roman" w:hAnsi="Times New Roman" w:eastAsia="宋体" w:cs="Times New Roman"/>
                <w:color w:val="auto"/>
                <w:spacing w:val="0"/>
                <w:sz w:val="24"/>
                <w:szCs w:val="24"/>
                <w:highlight w:val="none"/>
                <w:lang w:eastAsia="zh-CN"/>
              </w:rPr>
              <w:t>。</w:t>
            </w:r>
          </w:p>
          <w:p w14:paraId="65D40A21">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2.</w:t>
            </w:r>
            <w:r>
              <w:rPr>
                <w:rFonts w:hint="default" w:ascii="Times New Roman" w:hAnsi="Times New Roman" w:cs="Times New Roman"/>
                <w:b/>
                <w:bCs/>
                <w:color w:val="auto"/>
                <w:sz w:val="24"/>
                <w:highlight w:val="none"/>
              </w:rPr>
              <w:t>评价范围</w:t>
            </w:r>
          </w:p>
          <w:p w14:paraId="3E183A48">
            <w:pPr>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根据《环境影响评价技术导则 输变电》（HJ24-2020）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确定工频电场、工频磁场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声环境评价范围为：</w:t>
            </w:r>
          </w:p>
          <w:p w14:paraId="0669C4C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⑴</w:t>
            </w:r>
            <w:r>
              <w:rPr>
                <w:rFonts w:hint="default" w:ascii="Times New Roman" w:hAnsi="Times New Roman" w:cs="Times New Roman"/>
                <w:color w:val="auto"/>
                <w:sz w:val="24"/>
                <w:highlight w:val="none"/>
              </w:rPr>
              <w:t>工频电场、工频磁场</w:t>
            </w:r>
          </w:p>
          <w:p w14:paraId="0324693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33</w:t>
            </w:r>
            <w:r>
              <w:rPr>
                <w:rFonts w:hint="default" w:ascii="Times New Roman" w:hAnsi="Times New Roman" w:cs="Times New Roman"/>
                <w:color w:val="auto"/>
                <w:sz w:val="24"/>
                <w:highlight w:val="none"/>
              </w:rPr>
              <w:t>0</w:t>
            </w:r>
            <w:r>
              <w:rPr>
                <w:rFonts w:hint="eastAsia" w:cs="Times New Roman"/>
                <w:color w:val="auto"/>
                <w:sz w:val="24"/>
                <w:highlight w:val="none"/>
                <w:lang w:val="en-US" w:eastAsia="zh-CN"/>
              </w:rPr>
              <w:t>千伏</w:t>
            </w:r>
            <w:r>
              <w:rPr>
                <w:rFonts w:hint="default" w:ascii="Times New Roman" w:hAnsi="Times New Roman" w:cs="Times New Roman"/>
                <w:color w:val="auto"/>
                <w:sz w:val="24"/>
                <w:highlight w:val="none"/>
              </w:rPr>
              <w:t>变电站为站界外</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0m内</w:t>
            </w:r>
            <w:r>
              <w:rPr>
                <w:rFonts w:hint="eastAsia" w:cs="Times New Roman"/>
                <w:color w:val="auto"/>
                <w:sz w:val="24"/>
                <w:highlight w:val="none"/>
                <w:lang w:val="en-US" w:eastAsia="zh-CN"/>
              </w:rPr>
              <w:t>（重点评价本期110</w:t>
            </w:r>
            <w:r>
              <w:rPr>
                <w:rFonts w:hint="default" w:ascii="Times New Roman" w:hAnsi="Times New Roman" w:eastAsia="宋体" w:cs="Times New Roman"/>
                <w:b w:val="0"/>
                <w:bCs w:val="0"/>
                <w:color w:val="auto"/>
                <w:sz w:val="24"/>
                <w:highlight w:val="none"/>
                <w:lang w:val="en-US" w:eastAsia="zh-CN"/>
              </w:rPr>
              <w:t>千伏</w:t>
            </w:r>
            <w:r>
              <w:rPr>
                <w:rFonts w:hint="eastAsia" w:cs="Times New Roman"/>
                <w:color w:val="auto"/>
                <w:sz w:val="24"/>
                <w:highlight w:val="none"/>
                <w:lang w:val="en-US" w:eastAsia="zh-CN"/>
              </w:rPr>
              <w:t>间隔扩建侧）</w:t>
            </w:r>
            <w:r>
              <w:rPr>
                <w:rFonts w:hint="default" w:ascii="Times New Roman" w:hAnsi="Times New Roman" w:cs="Times New Roman"/>
                <w:color w:val="auto"/>
                <w:sz w:val="24"/>
                <w:highlight w:val="none"/>
              </w:rPr>
              <w:t>。</w:t>
            </w:r>
          </w:p>
          <w:p w14:paraId="560D23B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架空线路</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边导线地面投影外两侧各</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0m</w:t>
            </w:r>
            <w:r>
              <w:rPr>
                <w:rFonts w:hint="default" w:ascii="Times New Roman" w:hAnsi="Times New Roman" w:cs="Times New Roman"/>
                <w:color w:val="auto"/>
                <w:sz w:val="24"/>
                <w:highlight w:val="none"/>
                <w:lang w:eastAsia="zh-CN"/>
              </w:rPr>
              <w:t>。</w:t>
            </w:r>
          </w:p>
          <w:p w14:paraId="4D91840F">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⑵</w:t>
            </w:r>
            <w:r>
              <w:rPr>
                <w:rFonts w:hint="default" w:ascii="Times New Roman" w:hAnsi="Times New Roman" w:cs="Times New Roman"/>
                <w:color w:val="auto"/>
                <w:sz w:val="24"/>
                <w:highlight w:val="none"/>
              </w:rPr>
              <w:t>声环境</w:t>
            </w:r>
          </w:p>
          <w:p w14:paraId="35F885E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33</w:t>
            </w:r>
            <w:r>
              <w:rPr>
                <w:rFonts w:hint="default" w:ascii="Times New Roman" w:hAnsi="Times New Roman" w:cs="Times New Roman"/>
                <w:color w:val="auto"/>
                <w:sz w:val="24"/>
                <w:highlight w:val="none"/>
              </w:rPr>
              <w:t>0</w:t>
            </w:r>
            <w:r>
              <w:rPr>
                <w:rFonts w:hint="eastAsia" w:cs="Times New Roman"/>
                <w:color w:val="auto"/>
                <w:sz w:val="24"/>
                <w:highlight w:val="none"/>
                <w:lang w:val="en-US" w:eastAsia="zh-CN"/>
              </w:rPr>
              <w:t>千伏</w:t>
            </w:r>
            <w:r>
              <w:rPr>
                <w:rFonts w:hint="default" w:ascii="Times New Roman" w:hAnsi="Times New Roman" w:cs="Times New Roman"/>
                <w:color w:val="auto"/>
                <w:sz w:val="24"/>
                <w:highlight w:val="none"/>
              </w:rPr>
              <w:t>变电站为</w:t>
            </w:r>
            <w:r>
              <w:rPr>
                <w:rFonts w:hint="default" w:ascii="Times New Roman" w:hAnsi="Times New Roman" w:cs="Times New Roman"/>
                <w:color w:val="auto"/>
                <w:sz w:val="24"/>
                <w:highlight w:val="none"/>
                <w:lang w:val="en-US" w:eastAsia="zh-CN"/>
              </w:rPr>
              <w:t>站界外200m</w:t>
            </w:r>
            <w:r>
              <w:rPr>
                <w:rFonts w:hint="default" w:ascii="Times New Roman" w:hAnsi="Times New Roman" w:cs="Times New Roman"/>
                <w:color w:val="auto"/>
                <w:sz w:val="24"/>
                <w:highlight w:val="none"/>
              </w:rPr>
              <w:t>内</w:t>
            </w:r>
            <w:r>
              <w:rPr>
                <w:rFonts w:hint="eastAsia" w:cs="Times New Roman"/>
                <w:color w:val="auto"/>
                <w:sz w:val="24"/>
                <w:highlight w:val="none"/>
                <w:lang w:val="en-US" w:eastAsia="zh-CN"/>
              </w:rPr>
              <w:t>（重点评价本期110</w:t>
            </w:r>
            <w:r>
              <w:rPr>
                <w:rFonts w:hint="default" w:ascii="Times New Roman" w:hAnsi="Times New Roman" w:eastAsia="宋体" w:cs="Times New Roman"/>
                <w:b w:val="0"/>
                <w:bCs w:val="0"/>
                <w:color w:val="auto"/>
                <w:sz w:val="24"/>
                <w:highlight w:val="none"/>
                <w:lang w:val="en-US" w:eastAsia="zh-CN"/>
              </w:rPr>
              <w:t>千伏</w:t>
            </w:r>
            <w:r>
              <w:rPr>
                <w:rFonts w:hint="eastAsia" w:cs="Times New Roman"/>
                <w:color w:val="auto"/>
                <w:sz w:val="24"/>
                <w:highlight w:val="none"/>
                <w:lang w:val="en-US" w:eastAsia="zh-CN"/>
              </w:rPr>
              <w:t>间隔扩建侧）</w:t>
            </w:r>
            <w:r>
              <w:rPr>
                <w:rFonts w:hint="default" w:ascii="Times New Roman" w:hAnsi="Times New Roman" w:cs="Times New Roman"/>
                <w:color w:val="auto"/>
                <w:sz w:val="24"/>
                <w:highlight w:val="none"/>
              </w:rPr>
              <w:t>。</w:t>
            </w:r>
          </w:p>
          <w:p w14:paraId="457497AD">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架空线路</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边导线地面投影外两侧各</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0m</w:t>
            </w:r>
            <w:r>
              <w:rPr>
                <w:rFonts w:hint="default" w:ascii="Times New Roman" w:hAnsi="Times New Roman" w:cs="Times New Roman"/>
                <w:color w:val="auto"/>
                <w:sz w:val="24"/>
                <w:highlight w:val="none"/>
                <w:lang w:eastAsia="zh-CN"/>
              </w:rPr>
              <w:t>。</w:t>
            </w:r>
          </w:p>
          <w:p w14:paraId="6048B2B0">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⑶</w:t>
            </w:r>
            <w:r>
              <w:rPr>
                <w:rFonts w:hint="default" w:ascii="Times New Roman" w:hAnsi="Times New Roman" w:cs="Times New Roman"/>
                <w:color w:val="auto"/>
                <w:sz w:val="24"/>
                <w:highlight w:val="none"/>
              </w:rPr>
              <w:t>生态环境</w:t>
            </w:r>
          </w:p>
          <w:p w14:paraId="22A6A470">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eastAsia" w:cs="Times New Roman"/>
                <w:color w:val="auto"/>
                <w:sz w:val="24"/>
                <w:highlight w:val="none"/>
                <w:lang w:val="en-US" w:eastAsia="zh-CN"/>
              </w:rPr>
            </w:pPr>
            <w:r>
              <w:rPr>
                <w:rFonts w:hint="default" w:ascii="Times New Roman" w:hAnsi="Times New Roman" w:cs="Times New Roman"/>
                <w:color w:val="auto"/>
                <w:sz w:val="24"/>
                <w:highlight w:val="none"/>
              </w:rPr>
              <w:t>根据《环境影响评价技术导则 输变电》（HJ24-2020）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0"/>
                <w:sz w:val="24"/>
                <w:highlight w:val="none"/>
                <w:lang w:val="zh-CN"/>
              </w:rPr>
              <w:t>变电站、换流站、开关站、串补站、接地极生态环境影响评价范围为站场边界或围墙外500m内</w:t>
            </w:r>
            <w:r>
              <w:rPr>
                <w:rFonts w:hint="eastAsia" w:cs="Times New Roman"/>
                <w:color w:val="auto"/>
                <w:kern w:val="0"/>
                <w:sz w:val="24"/>
                <w:highlight w:val="none"/>
                <w:lang w:val="zh-CN"/>
              </w:rPr>
              <w:t>，</w:t>
            </w:r>
            <w:r>
              <w:rPr>
                <w:rFonts w:hint="eastAsia" w:cs="Times New Roman"/>
                <w:color w:val="auto"/>
                <w:kern w:val="0"/>
                <w:sz w:val="24"/>
                <w:highlight w:val="none"/>
                <w:lang w:val="en-US" w:eastAsia="zh-CN"/>
              </w:rPr>
              <w:t>因此，本次间隔扩建工程</w:t>
            </w:r>
            <w:r>
              <w:rPr>
                <w:rFonts w:hint="default" w:ascii="Times New Roman" w:hAnsi="Times New Roman" w:cs="Times New Roman"/>
                <w:color w:val="auto"/>
                <w:kern w:val="0"/>
                <w:sz w:val="24"/>
                <w:highlight w:val="none"/>
                <w:lang w:val="zh-CN"/>
              </w:rPr>
              <w:t>生态环境影响评价范围为</w:t>
            </w:r>
            <w:r>
              <w:rPr>
                <w:rFonts w:hint="default" w:ascii="Times New Roman" w:hAnsi="Times New Roman" w:cs="Times New Roman"/>
                <w:color w:val="auto"/>
                <w:sz w:val="24"/>
                <w:highlight w:val="none"/>
                <w:lang w:val="en-US" w:eastAsia="zh-CN"/>
              </w:rPr>
              <w:t>33</w:t>
            </w:r>
            <w:r>
              <w:rPr>
                <w:rFonts w:hint="default" w:ascii="Times New Roman" w:hAnsi="Times New Roman" w:cs="Times New Roman"/>
                <w:color w:val="auto"/>
                <w:sz w:val="24"/>
                <w:highlight w:val="none"/>
              </w:rPr>
              <w:t>0</w:t>
            </w:r>
            <w:r>
              <w:rPr>
                <w:rFonts w:hint="eastAsia" w:cs="Times New Roman"/>
                <w:color w:val="auto"/>
                <w:sz w:val="24"/>
                <w:highlight w:val="none"/>
                <w:lang w:val="en-US" w:eastAsia="zh-CN"/>
              </w:rPr>
              <w:t>千伏</w:t>
            </w:r>
            <w:r>
              <w:rPr>
                <w:rFonts w:hint="default" w:ascii="Times New Roman" w:hAnsi="Times New Roman" w:cs="Times New Roman"/>
                <w:color w:val="auto"/>
                <w:sz w:val="24"/>
                <w:highlight w:val="none"/>
                <w:lang w:val="en-US" w:eastAsia="zh-CN"/>
              </w:rPr>
              <w:t>变电站站场边界外500m</w:t>
            </w:r>
            <w:r>
              <w:rPr>
                <w:rFonts w:hint="default" w:ascii="Times New Roman" w:hAnsi="Times New Roman" w:cs="Times New Roman"/>
                <w:color w:val="auto"/>
                <w:sz w:val="24"/>
                <w:highlight w:val="none"/>
              </w:rPr>
              <w:t>内</w:t>
            </w:r>
            <w:r>
              <w:rPr>
                <w:rFonts w:hint="eastAsia" w:cs="Times New Roman"/>
                <w:color w:val="auto"/>
                <w:sz w:val="24"/>
                <w:highlight w:val="none"/>
                <w:lang w:val="en-US" w:eastAsia="zh-CN"/>
              </w:rPr>
              <w:t>（重点评价本期110</w:t>
            </w:r>
            <w:r>
              <w:rPr>
                <w:rFonts w:hint="default" w:ascii="Times New Roman" w:hAnsi="Times New Roman" w:eastAsia="宋体" w:cs="Times New Roman"/>
                <w:b w:val="0"/>
                <w:bCs w:val="0"/>
                <w:color w:val="auto"/>
                <w:sz w:val="24"/>
                <w:highlight w:val="none"/>
                <w:lang w:val="en-US" w:eastAsia="zh-CN"/>
              </w:rPr>
              <w:t>千伏</w:t>
            </w:r>
            <w:r>
              <w:rPr>
                <w:rFonts w:hint="eastAsia" w:cs="Times New Roman"/>
                <w:color w:val="auto"/>
                <w:sz w:val="24"/>
                <w:highlight w:val="none"/>
                <w:lang w:val="en-US" w:eastAsia="zh-CN"/>
              </w:rPr>
              <w:t>间隔扩建侧）。</w:t>
            </w:r>
          </w:p>
          <w:p w14:paraId="30749DDF">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kern w:val="0"/>
                <w:sz w:val="24"/>
                <w:highlight w:val="none"/>
                <w:lang w:val="zh-CN"/>
              </w:rPr>
              <w:t>根据《环境影响评价技术导则 生态影响》（HJ19</w:t>
            </w:r>
            <w:r>
              <w:rPr>
                <w:rFonts w:hint="default" w:ascii="Times New Roman" w:hAnsi="Times New Roman" w:cs="Times New Roman"/>
                <w:color w:val="auto"/>
                <w:kern w:val="0"/>
                <w:sz w:val="24"/>
                <w:highlight w:val="none"/>
                <w:lang w:val="en-US" w:eastAsia="zh-CN"/>
              </w:rPr>
              <w:t>-</w:t>
            </w:r>
            <w:r>
              <w:rPr>
                <w:rFonts w:hint="default" w:ascii="Times New Roman" w:hAnsi="Times New Roman" w:cs="Times New Roman"/>
                <w:color w:val="auto"/>
                <w:kern w:val="0"/>
                <w:sz w:val="24"/>
                <w:highlight w:val="none"/>
                <w:lang w:val="zh-CN"/>
              </w:rPr>
              <w:t>2022），</w:t>
            </w:r>
            <w:r>
              <w:rPr>
                <w:rFonts w:hint="default" w:ascii="Times New Roman" w:hAnsi="Times New Roman" w:eastAsia="宋体" w:cs="Times New Roman"/>
                <w:b w:val="0"/>
                <w:bCs w:val="0"/>
                <w:color w:val="auto"/>
                <w:kern w:val="2"/>
                <w:sz w:val="24"/>
                <w:szCs w:val="24"/>
                <w:shd w:val="clear" w:color="auto" w:fill="auto"/>
                <w:lang w:val="en-US" w:eastAsia="zh-CN" w:bidi="ar-SA"/>
              </w:rPr>
              <w:t>110千伏输电线路全长24.2km，</w:t>
            </w:r>
            <w:r>
              <w:rPr>
                <w:rFonts w:hint="default" w:ascii="Times New Roman" w:hAnsi="Times New Roman" w:cs="Times New Roman"/>
                <w:bCs/>
                <w:color w:val="auto"/>
                <w:sz w:val="24"/>
                <w:szCs w:val="24"/>
                <w:highlight w:val="none"/>
                <w:lang w:val="en-US" w:eastAsia="zh-CN"/>
              </w:rPr>
              <w:t>穿越东南黄土高原丘陵水土保持生态保护红线</w:t>
            </w:r>
            <w:r>
              <w:rPr>
                <w:rFonts w:hint="eastAsia" w:cs="Times New Roman"/>
                <w:bCs/>
                <w:color w:val="auto"/>
                <w:sz w:val="24"/>
                <w:szCs w:val="24"/>
                <w:highlight w:val="none"/>
                <w:lang w:val="en-US" w:eastAsia="zh-CN"/>
              </w:rPr>
              <w:t>10.514</w:t>
            </w:r>
            <w:r>
              <w:rPr>
                <w:rFonts w:hint="default" w:ascii="Times New Roman" w:hAnsi="Times New Roman" w:cs="Times New Roman"/>
                <w:bCs/>
                <w:color w:val="auto"/>
                <w:sz w:val="24"/>
                <w:szCs w:val="24"/>
                <w:highlight w:val="none"/>
                <w:lang w:val="en-US" w:eastAsia="zh-CN"/>
              </w:rPr>
              <w:t>km段其</w:t>
            </w:r>
            <w:r>
              <w:rPr>
                <w:rFonts w:hint="default" w:ascii="Times New Roman" w:hAnsi="Times New Roman" w:eastAsia="宋体" w:cs="Times New Roman"/>
                <w:b w:val="0"/>
                <w:bCs w:val="0"/>
                <w:color w:val="auto"/>
                <w:kern w:val="2"/>
                <w:sz w:val="24"/>
                <w:szCs w:val="24"/>
                <w:shd w:val="clear" w:color="auto" w:fill="auto"/>
                <w:lang w:val="en-US" w:eastAsia="zh-CN" w:bidi="ar-SA"/>
              </w:rPr>
              <w:t>生态环境影响评价</w:t>
            </w:r>
            <w:r>
              <w:rPr>
                <w:rFonts w:hint="default" w:ascii="Times New Roman" w:hAnsi="Times New Roman" w:cs="Times New Roman"/>
                <w:color w:val="auto"/>
                <w:sz w:val="24"/>
                <w:lang w:eastAsia="zh-CN"/>
              </w:rPr>
              <w:t>范围</w:t>
            </w:r>
            <w:r>
              <w:rPr>
                <w:rFonts w:hint="default" w:ascii="Times New Roman" w:hAnsi="Times New Roman" w:cs="Times New Roman"/>
                <w:color w:val="auto"/>
                <w:sz w:val="24"/>
                <w:lang w:val="en-US" w:eastAsia="zh-CN"/>
              </w:rPr>
              <w:t>为线路边导线地面投影外两侧各1000m内的带状区域</w:t>
            </w:r>
            <w:r>
              <w:rPr>
                <w:rFonts w:hint="default" w:ascii="Times New Roman" w:hAnsi="Times New Roman" w:eastAsia="宋体" w:cs="Times New Roman"/>
                <w:b w:val="0"/>
                <w:bCs/>
                <w:color w:val="auto"/>
                <w:kern w:val="2"/>
                <w:sz w:val="24"/>
                <w:szCs w:val="24"/>
                <w:highlight w:val="none"/>
                <w:lang w:val="en-US" w:eastAsia="zh-CN" w:bidi="ar-SA"/>
              </w:rPr>
              <w:t>及穿越段两端外延1000m的带状区域</w:t>
            </w:r>
            <w:r>
              <w:rPr>
                <w:rFonts w:hint="default" w:ascii="Times New Roman" w:hAnsi="Times New Roman" w:cs="Times New Roman"/>
                <w:color w:val="auto"/>
                <w:sz w:val="24"/>
                <w:lang w:val="en-US" w:eastAsia="zh-CN"/>
              </w:rPr>
              <w:t>，剩余</w:t>
            </w:r>
            <w:r>
              <w:rPr>
                <w:rFonts w:hint="default" w:ascii="Times New Roman" w:hAnsi="Times New Roman" w:cs="Times New Roman"/>
                <w:i w:val="0"/>
                <w:iCs w:val="0"/>
                <w:color w:val="auto"/>
                <w:sz w:val="24"/>
                <w:szCs w:val="24"/>
                <w:highlight w:val="none"/>
                <w:u w:val="none"/>
                <w:shd w:val="clear" w:color="auto" w:fill="auto"/>
                <w:lang w:val="en-US" w:eastAsia="zh-CN"/>
              </w:rPr>
              <w:t>1</w:t>
            </w:r>
            <w:r>
              <w:rPr>
                <w:rFonts w:hint="eastAsia" w:cs="Times New Roman"/>
                <w:i w:val="0"/>
                <w:iCs w:val="0"/>
                <w:color w:val="auto"/>
                <w:sz w:val="24"/>
                <w:szCs w:val="24"/>
                <w:highlight w:val="none"/>
                <w:u w:val="none"/>
                <w:shd w:val="clear" w:color="auto" w:fill="auto"/>
                <w:lang w:val="en-US" w:eastAsia="zh-CN"/>
              </w:rPr>
              <w:t>3.686</w:t>
            </w:r>
            <w:r>
              <w:rPr>
                <w:rFonts w:hint="default" w:ascii="Times New Roman" w:hAnsi="Times New Roman" w:cs="Times New Roman"/>
                <w:i w:val="0"/>
                <w:iCs w:val="0"/>
                <w:color w:val="auto"/>
                <w:sz w:val="24"/>
                <w:szCs w:val="24"/>
                <w:highlight w:val="none"/>
                <w:u w:val="none"/>
                <w:shd w:val="clear" w:color="auto" w:fill="auto"/>
                <w:lang w:val="en-US" w:eastAsia="zh-CN"/>
              </w:rPr>
              <w:t>km</w:t>
            </w:r>
            <w:r>
              <w:rPr>
                <w:rFonts w:hint="default" w:ascii="Times New Roman" w:hAnsi="Times New Roman" w:cs="Times New Roman"/>
                <w:color w:val="auto"/>
                <w:sz w:val="24"/>
                <w:lang w:val="en-US" w:eastAsia="zh-CN"/>
              </w:rPr>
              <w:t>输电线路段生态环境影响评价范围为线路边导线地面投影外两侧各300m内的带状区域</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br w:type="textWrapping"/>
            </w:r>
            <w:r>
              <w:rPr>
                <w:rFonts w:hint="default" w:ascii="Times New Roman" w:hAnsi="Times New Roman" w:cs="Times New Roman"/>
                <w:color w:val="auto"/>
                <w:sz w:val="24"/>
                <w:highlight w:val="none"/>
                <w:lang w:val="en-US" w:eastAsia="zh-CN"/>
              </w:rPr>
              <w:t xml:space="preserve">    本项目</w:t>
            </w:r>
            <w:r>
              <w:rPr>
                <w:rFonts w:hint="eastAsia" w:cs="Times New Roman"/>
                <w:color w:val="auto"/>
                <w:sz w:val="24"/>
                <w:highlight w:val="none"/>
                <w:lang w:val="en-US" w:eastAsia="zh-CN"/>
              </w:rPr>
              <w:t>云雾山</w:t>
            </w:r>
            <w:r>
              <w:rPr>
                <w:rFonts w:hint="default" w:ascii="Times New Roman" w:hAnsi="Times New Roman" w:cs="Times New Roman"/>
                <w:color w:val="auto"/>
                <w:sz w:val="24"/>
                <w:highlight w:val="none"/>
                <w:lang w:val="en-US" w:eastAsia="zh-CN"/>
              </w:rPr>
              <w:t>变电站评价范围见图3-</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lang w:val="en-US" w:eastAsia="zh-CN"/>
              </w:rPr>
              <w:t>，输电线路评价范围见图3-</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lang w:val="en-US" w:eastAsia="zh-CN"/>
              </w:rPr>
              <w:t>。</w:t>
            </w:r>
          </w:p>
          <w:p w14:paraId="709A359B">
            <w:pPr>
              <w:spacing w:line="240" w:lineRule="auto"/>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sz w:val="24"/>
                <w:highlight w:val="none"/>
                <w:lang w:eastAsia="zh-CN"/>
              </w:rPr>
              <w:drawing>
                <wp:inline distT="0" distB="0" distL="114300" distR="114300">
                  <wp:extent cx="5422900" cy="7663815"/>
                  <wp:effectExtent l="0" t="0" r="6350" b="13335"/>
                  <wp:docPr id="38" name="图片 38" descr="图3-5  变电站评价范围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3-5  变电站评价范围图副本"/>
                          <pic:cNvPicPr>
                            <a:picLocks noChangeAspect="1"/>
                          </pic:cNvPicPr>
                        </pic:nvPicPr>
                        <pic:blipFill>
                          <a:blip r:embed="rId50"/>
                          <a:stretch>
                            <a:fillRect/>
                          </a:stretch>
                        </pic:blipFill>
                        <pic:spPr>
                          <a:xfrm>
                            <a:off x="0" y="0"/>
                            <a:ext cx="5422900" cy="7663815"/>
                          </a:xfrm>
                          <a:prstGeom prst="rect">
                            <a:avLst/>
                          </a:prstGeom>
                        </pic:spPr>
                      </pic:pic>
                    </a:graphicData>
                  </a:graphic>
                </wp:inline>
              </w:drawing>
            </w:r>
          </w:p>
          <w:p w14:paraId="3BA59513">
            <w:pPr>
              <w:spacing w:line="360" w:lineRule="auto"/>
              <w:jc w:val="center"/>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sz w:val="24"/>
                <w:highlight w:val="none"/>
                <w:lang w:val="en-US" w:eastAsia="zh-CN"/>
              </w:rPr>
              <w:t>图3-</w:t>
            </w:r>
            <w:r>
              <w:rPr>
                <w:rFonts w:hint="eastAsia" w:cs="Times New Roman"/>
                <w:b/>
                <w:bCs/>
                <w:color w:val="auto"/>
                <w:sz w:val="24"/>
                <w:highlight w:val="none"/>
                <w:lang w:val="en-US" w:eastAsia="zh-CN"/>
              </w:rPr>
              <w:t>5  云雾山</w:t>
            </w:r>
            <w:r>
              <w:rPr>
                <w:rFonts w:hint="default" w:ascii="Times New Roman" w:hAnsi="Times New Roman" w:cs="Times New Roman"/>
                <w:b/>
                <w:bCs/>
                <w:color w:val="auto"/>
                <w:sz w:val="24"/>
                <w:highlight w:val="none"/>
                <w:lang w:val="en-US" w:eastAsia="zh-CN"/>
              </w:rPr>
              <w:t>变电站</w:t>
            </w:r>
            <w:r>
              <w:rPr>
                <w:rFonts w:hint="eastAsia" w:cs="Times New Roman"/>
                <w:b/>
                <w:bCs/>
                <w:color w:val="auto"/>
                <w:sz w:val="24"/>
                <w:highlight w:val="none"/>
                <w:lang w:val="en-US" w:eastAsia="zh-CN"/>
              </w:rPr>
              <w:t>环境影响</w:t>
            </w:r>
            <w:r>
              <w:rPr>
                <w:rFonts w:hint="default" w:ascii="Times New Roman" w:hAnsi="Times New Roman" w:cs="Times New Roman"/>
                <w:b/>
                <w:bCs/>
                <w:color w:val="auto"/>
                <w:sz w:val="24"/>
                <w:highlight w:val="none"/>
                <w:lang w:val="en-US" w:eastAsia="zh-CN"/>
              </w:rPr>
              <w:t>评价范围</w:t>
            </w:r>
            <w:r>
              <w:rPr>
                <w:rFonts w:hint="eastAsia" w:cs="Times New Roman"/>
                <w:b/>
                <w:bCs/>
                <w:color w:val="auto"/>
                <w:sz w:val="24"/>
                <w:highlight w:val="none"/>
                <w:lang w:val="en-US" w:eastAsia="zh-CN"/>
              </w:rPr>
              <w:t>图</w:t>
            </w:r>
          </w:p>
          <w:p w14:paraId="60DEB5EC">
            <w:pPr>
              <w:spacing w:line="240" w:lineRule="auto"/>
              <w:ind w:left="482" w:hanging="482" w:hangingChars="200"/>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sz w:val="24"/>
                <w:highlight w:val="none"/>
                <w:lang w:eastAsia="zh-CN"/>
              </w:rPr>
              <w:drawing>
                <wp:inline distT="0" distB="0" distL="114300" distR="114300">
                  <wp:extent cx="5422900" cy="7662545"/>
                  <wp:effectExtent l="0" t="0" r="6350" b="14605"/>
                  <wp:docPr id="39" name="图片 39" descr="图3-6   输电线路评价范围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3-6   输电线路评价范围图副本"/>
                          <pic:cNvPicPr>
                            <a:picLocks noChangeAspect="1"/>
                          </pic:cNvPicPr>
                        </pic:nvPicPr>
                        <pic:blipFill>
                          <a:blip r:embed="rId51"/>
                          <a:stretch>
                            <a:fillRect/>
                          </a:stretch>
                        </pic:blipFill>
                        <pic:spPr>
                          <a:xfrm>
                            <a:off x="0" y="0"/>
                            <a:ext cx="5422900" cy="7662545"/>
                          </a:xfrm>
                          <a:prstGeom prst="rect">
                            <a:avLst/>
                          </a:prstGeom>
                        </pic:spPr>
                      </pic:pic>
                    </a:graphicData>
                  </a:graphic>
                </wp:inline>
              </w:drawing>
            </w:r>
          </w:p>
          <w:p w14:paraId="187A1B82">
            <w:pPr>
              <w:spacing w:line="360" w:lineRule="auto"/>
              <w:jc w:val="center"/>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sz w:val="24"/>
                <w:highlight w:val="none"/>
                <w:lang w:val="en-US" w:eastAsia="zh-CN"/>
              </w:rPr>
              <w:t>图3-</w:t>
            </w:r>
            <w:r>
              <w:rPr>
                <w:rFonts w:hint="eastAsia" w:cs="Times New Roman"/>
                <w:b/>
                <w:bCs/>
                <w:color w:val="auto"/>
                <w:sz w:val="24"/>
                <w:highlight w:val="none"/>
                <w:lang w:val="en-US" w:eastAsia="zh-CN"/>
              </w:rPr>
              <w:t>6  输电线路环境影响</w:t>
            </w:r>
            <w:r>
              <w:rPr>
                <w:rFonts w:hint="default" w:ascii="Times New Roman" w:hAnsi="Times New Roman" w:cs="Times New Roman"/>
                <w:b/>
                <w:bCs/>
                <w:color w:val="auto"/>
                <w:sz w:val="24"/>
                <w:highlight w:val="none"/>
                <w:lang w:val="en-US" w:eastAsia="zh-CN"/>
              </w:rPr>
              <w:t>评价范围</w:t>
            </w:r>
            <w:r>
              <w:rPr>
                <w:rFonts w:hint="eastAsia" w:cs="Times New Roman"/>
                <w:b/>
                <w:bCs/>
                <w:color w:val="auto"/>
                <w:sz w:val="24"/>
                <w:highlight w:val="none"/>
                <w:lang w:val="en-US" w:eastAsia="zh-CN"/>
              </w:rPr>
              <w:t>图</w:t>
            </w:r>
          </w:p>
          <w:p w14:paraId="79D22667">
            <w:pPr>
              <w:spacing w:line="360" w:lineRule="auto"/>
              <w:ind w:left="481" w:leftChars="229" w:firstLine="0" w:firstLineChars="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3.</w:t>
            </w:r>
            <w:r>
              <w:rPr>
                <w:rFonts w:hint="default" w:ascii="Times New Roman" w:hAnsi="Times New Roman" w:cs="Times New Roman"/>
                <w:b/>
                <w:bCs/>
                <w:color w:val="auto"/>
                <w:sz w:val="24"/>
                <w:highlight w:val="none"/>
              </w:rPr>
              <w:t>环境敏感目标</w:t>
            </w:r>
          </w:p>
          <w:p w14:paraId="573EC959">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snapToGrid w:val="0"/>
                <w:color w:val="auto"/>
                <w:kern w:val="0"/>
                <w:sz w:val="24"/>
                <w:highlight w:val="none"/>
                <w:lang w:val="en-US" w:eastAsia="zh-CN"/>
              </w:rPr>
              <w:t>根据《</w:t>
            </w:r>
            <w:r>
              <w:rPr>
                <w:rFonts w:hint="default" w:ascii="Times New Roman" w:hAnsi="Times New Roman" w:cs="Times New Roman"/>
                <w:bCs/>
                <w:color w:val="auto"/>
                <w:sz w:val="24"/>
                <w:highlight w:val="none"/>
              </w:rPr>
              <w:t>环境影响评价技术导则</w:t>
            </w:r>
            <w:r>
              <w:rPr>
                <w:rFonts w:hint="default" w:ascii="Times New Roman" w:hAnsi="Times New Roman" w:cs="Times New Roman"/>
                <w:bCs/>
                <w:color w:val="auto"/>
                <w:sz w:val="24"/>
                <w:highlight w:val="none"/>
                <w:lang w:val="en-US" w:eastAsia="zh-CN"/>
              </w:rPr>
              <w:t xml:space="preserve"> 地表水环境</w:t>
            </w:r>
            <w:r>
              <w:rPr>
                <w:rFonts w:hint="default" w:ascii="Times New Roman" w:hAnsi="Times New Roman" w:cs="Times New Roman"/>
                <w:snapToGrid w:val="0"/>
                <w:color w:val="auto"/>
                <w:kern w:val="0"/>
                <w:sz w:val="24"/>
                <w:highlight w:val="none"/>
                <w:lang w:val="en-US" w:eastAsia="zh-CN"/>
              </w:rPr>
              <w:t>》</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H</w:t>
            </w:r>
            <w:r>
              <w:rPr>
                <w:rFonts w:hint="default" w:ascii="Times New Roman" w:hAnsi="Times New Roman" w:cs="Times New Roman"/>
                <w:bCs/>
                <w:color w:val="auto"/>
                <w:sz w:val="24"/>
                <w:highlight w:val="none"/>
                <w:lang w:val="en-US" w:eastAsia="zh-CN"/>
              </w:rPr>
              <w:t>J2.3</w:t>
            </w:r>
            <w:r>
              <w:rPr>
                <w:rFonts w:hint="default" w:ascii="Times New Roman" w:hAnsi="Times New Roman" w:cs="Times New Roman"/>
                <w:bCs/>
                <w:color w:val="auto"/>
                <w:sz w:val="24"/>
                <w:highlight w:val="none"/>
              </w:rPr>
              <w:t>-2022</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本项目</w:t>
            </w:r>
            <w:r>
              <w:rPr>
                <w:rFonts w:hint="default" w:ascii="Times New Roman" w:hAnsi="Times New Roman" w:eastAsia="宋体" w:cs="Times New Roman"/>
                <w:snapToGrid w:val="0"/>
                <w:color w:val="auto"/>
                <w:kern w:val="0"/>
                <w:sz w:val="24"/>
                <w:highlight w:val="none"/>
                <w:lang w:val="en-US" w:eastAsia="zh-CN"/>
              </w:rPr>
              <w:t>不涉及饮用水水源保护区、饮用水取水口，涉水的自然保护区、风景名胜区，重要湿地、重点保护与珍稀水生生物的栖息地、重要水生生物的自然产卵场及索饵场、越冬场和洄游通道，天然渔场等渔业水体，以及水产种质资源保护区等</w:t>
            </w:r>
            <w:r>
              <w:rPr>
                <w:rFonts w:hint="default" w:ascii="Times New Roman" w:hAnsi="Times New Roman" w:cs="Times New Roman"/>
                <w:snapToGrid w:val="0"/>
                <w:color w:val="auto"/>
                <w:kern w:val="0"/>
                <w:sz w:val="24"/>
                <w:highlight w:val="none"/>
                <w:lang w:val="en-US" w:eastAsia="zh-CN"/>
              </w:rPr>
              <w:t>水环境保护目标</w:t>
            </w:r>
            <w:r>
              <w:rPr>
                <w:rFonts w:hint="default" w:ascii="Times New Roman" w:hAnsi="Times New Roman" w:eastAsia="宋体" w:cs="Times New Roman"/>
                <w:color w:val="auto"/>
                <w:sz w:val="24"/>
                <w:szCs w:val="24"/>
                <w:highlight w:val="none"/>
                <w:lang w:eastAsia="zh-CN"/>
              </w:rPr>
              <w:t>。</w:t>
            </w:r>
          </w:p>
          <w:p w14:paraId="2B46DDCF">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cs="Times New Roman"/>
                <w:snapToGrid w:val="0"/>
                <w:color w:val="auto"/>
                <w:kern w:val="0"/>
                <w:sz w:val="24"/>
                <w:highlight w:val="none"/>
                <w:lang w:val="en-US" w:eastAsia="zh-CN"/>
              </w:rPr>
            </w:pPr>
            <w:r>
              <w:rPr>
                <w:rFonts w:hint="default" w:ascii="Times New Roman" w:hAnsi="Times New Roman" w:cs="Times New Roman"/>
                <w:bCs/>
                <w:color w:val="auto"/>
                <w:sz w:val="24"/>
                <w:highlight w:val="none"/>
                <w:lang w:val="en-US" w:eastAsia="zh-CN"/>
              </w:rPr>
              <w:t>根</w:t>
            </w:r>
            <w:r>
              <w:rPr>
                <w:rFonts w:hint="default" w:ascii="Times New Roman" w:hAnsi="Times New Roman" w:cs="Times New Roman"/>
                <w:bCs/>
                <w:color w:val="auto"/>
                <w:sz w:val="24"/>
                <w:highlight w:val="none"/>
              </w:rPr>
              <w:t>据《建设</w:t>
            </w:r>
            <w:r>
              <w:rPr>
                <w:rFonts w:hint="default" w:ascii="Times New Roman" w:hAnsi="Times New Roman" w:cs="Times New Roman"/>
                <w:bCs/>
                <w:color w:val="auto"/>
                <w:sz w:val="24"/>
                <w:highlight w:val="none"/>
                <w:lang w:val="en-US" w:eastAsia="zh-CN"/>
              </w:rPr>
              <w:t>项</w:t>
            </w:r>
            <w:r>
              <w:rPr>
                <w:rFonts w:hint="default" w:ascii="Times New Roman" w:hAnsi="Times New Roman" w:cs="Times New Roman"/>
                <w:bCs/>
                <w:color w:val="auto"/>
                <w:sz w:val="24"/>
                <w:highlight w:val="none"/>
              </w:rPr>
              <w:t>目</w:t>
            </w:r>
            <w:r>
              <w:rPr>
                <w:rFonts w:hint="default" w:ascii="Times New Roman" w:hAnsi="Times New Roman" w:cs="Times New Roman"/>
                <w:bCs/>
                <w:color w:val="auto"/>
                <w:sz w:val="24"/>
                <w:highlight w:val="none"/>
                <w:lang w:val="en-US" w:eastAsia="zh-CN"/>
              </w:rPr>
              <w:t>环境影响评价</w:t>
            </w:r>
            <w:r>
              <w:rPr>
                <w:rFonts w:hint="default" w:ascii="Times New Roman" w:hAnsi="Times New Roman" w:cs="Times New Roman"/>
                <w:bCs/>
                <w:color w:val="auto"/>
                <w:sz w:val="24"/>
                <w:highlight w:val="none"/>
              </w:rPr>
              <w:t>分类</w:t>
            </w:r>
            <w:r>
              <w:rPr>
                <w:rFonts w:hint="default" w:ascii="Times New Roman" w:hAnsi="Times New Roman" w:cs="Times New Roman"/>
                <w:bCs/>
                <w:color w:val="auto"/>
                <w:sz w:val="24"/>
                <w:highlight w:val="none"/>
                <w:lang w:val="en-US" w:eastAsia="zh-CN"/>
              </w:rPr>
              <w:t>管</w:t>
            </w:r>
            <w:r>
              <w:rPr>
                <w:rFonts w:hint="default" w:ascii="Times New Roman" w:hAnsi="Times New Roman" w:cs="Times New Roman"/>
                <w:bCs/>
                <w:color w:val="auto"/>
                <w:sz w:val="24"/>
                <w:highlight w:val="none"/>
              </w:rPr>
              <w:t>理名录</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2021年版</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》《环境影响评价技术导则</w:t>
            </w:r>
            <w:r>
              <w:rPr>
                <w:rFonts w:hint="default" w:ascii="Times New Roman" w:hAnsi="Times New Roman" w:cs="Times New Roman"/>
                <w:bCs/>
                <w:color w:val="auto"/>
                <w:sz w:val="24"/>
                <w:highlight w:val="none"/>
                <w:lang w:val="en-US" w:eastAsia="zh-CN"/>
              </w:rPr>
              <w:t xml:space="preserve"> </w:t>
            </w:r>
            <w:r>
              <w:rPr>
                <w:rFonts w:hint="default" w:ascii="Times New Roman" w:hAnsi="Times New Roman" w:cs="Times New Roman"/>
                <w:bCs/>
                <w:color w:val="auto"/>
                <w:sz w:val="24"/>
                <w:highlight w:val="none"/>
              </w:rPr>
              <w:t>生态</w:t>
            </w:r>
            <w:r>
              <w:rPr>
                <w:rFonts w:hint="default" w:ascii="Times New Roman" w:hAnsi="Times New Roman" w:cs="Times New Roman"/>
                <w:bCs/>
                <w:color w:val="auto"/>
                <w:sz w:val="24"/>
                <w:highlight w:val="none"/>
                <w:lang w:val="en-US" w:eastAsia="zh-CN"/>
              </w:rPr>
              <w:t>影</w:t>
            </w:r>
            <w:r>
              <w:rPr>
                <w:rFonts w:hint="default" w:ascii="Times New Roman" w:hAnsi="Times New Roman" w:cs="Times New Roman"/>
                <w:bCs/>
                <w:color w:val="auto"/>
                <w:sz w:val="24"/>
                <w:highlight w:val="none"/>
              </w:rPr>
              <w:t>响》</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H19-2022</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w:t>
            </w:r>
            <w:r>
              <w:rPr>
                <w:rFonts w:hint="default" w:ascii="Times New Roman" w:hAnsi="Times New Roman" w:cs="Times New Roman"/>
                <w:color w:val="auto"/>
                <w:sz w:val="24"/>
                <w:highlight w:val="none"/>
              </w:rPr>
              <w:t>本</w:t>
            </w:r>
            <w:r>
              <w:rPr>
                <w:rFonts w:hint="default" w:ascii="Times New Roman" w:hAnsi="Times New Roman" w:cs="Times New Roman"/>
                <w:color w:val="auto"/>
                <w:sz w:val="24"/>
                <w:highlight w:val="none"/>
                <w:lang w:val="en-US" w:eastAsia="zh-CN"/>
              </w:rPr>
              <w:t>项目生态影响</w:t>
            </w:r>
            <w:r>
              <w:rPr>
                <w:rFonts w:hint="default" w:ascii="Times New Roman" w:hAnsi="Times New Roman" w:cs="Times New Roman"/>
                <w:bCs/>
                <w:color w:val="auto"/>
                <w:sz w:val="24"/>
                <w:highlight w:val="none"/>
              </w:rPr>
              <w:t>评价范围内不涉及</w:t>
            </w:r>
            <w:r>
              <w:rPr>
                <w:rFonts w:hint="default" w:ascii="Times New Roman" w:hAnsi="Times New Roman" w:cs="Times New Roman"/>
                <w:bCs/>
                <w:color w:val="auto"/>
                <w:sz w:val="24"/>
                <w:highlight w:val="none"/>
                <w:lang w:eastAsia="zh-CN"/>
              </w:rPr>
              <w:t>国家公园、自然保护区、风景名胜区、饮用水水源保护区</w:t>
            </w:r>
            <w:r>
              <w:rPr>
                <w:rFonts w:hint="default" w:ascii="Times New Roman" w:hAnsi="Times New Roman" w:cs="Times New Roman"/>
                <w:color w:val="auto"/>
                <w:sz w:val="24"/>
                <w:highlight w:val="none"/>
              </w:rPr>
              <w:t>等环境敏感区</w:t>
            </w:r>
            <w:r>
              <w:rPr>
                <w:rFonts w:hint="default" w:ascii="Times New Roman" w:hAnsi="Times New Roman" w:cs="Times New Roman"/>
                <w:snapToGrid w:val="0"/>
                <w:color w:val="auto"/>
                <w:kern w:val="0"/>
                <w:sz w:val="24"/>
                <w:highlight w:val="none"/>
                <w:lang w:val="en-US" w:eastAsia="zh-CN"/>
              </w:rPr>
              <w:t>，也</w:t>
            </w:r>
            <w:r>
              <w:rPr>
                <w:rFonts w:hint="default" w:ascii="Times New Roman" w:hAnsi="Times New Roman" w:cs="Times New Roman"/>
                <w:snapToGrid w:val="0"/>
                <w:color w:val="auto"/>
                <w:kern w:val="0"/>
                <w:sz w:val="24"/>
                <w:highlight w:val="none"/>
              </w:rPr>
              <w:t>不涉及重要物种的天然集中分布区、栖息地</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rPr>
              <w:t>重要水生生物的产卵场、索饵场、越冬场和洄游通道</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rPr>
              <w:t>迁徙鸟类的重要繁殖地、停歇地、越冬地以及野生动物迁徙通道等</w:t>
            </w:r>
            <w:r>
              <w:rPr>
                <w:rFonts w:hint="default" w:ascii="Times New Roman" w:hAnsi="Times New Roman" w:cs="Times New Roman"/>
                <w:snapToGrid w:val="0"/>
                <w:color w:val="auto"/>
                <w:kern w:val="0"/>
                <w:sz w:val="24"/>
                <w:highlight w:val="none"/>
                <w:lang w:val="en-US" w:eastAsia="zh-CN"/>
              </w:rPr>
              <w:t>重要生境，不涉及</w:t>
            </w:r>
            <w:r>
              <w:rPr>
                <w:rFonts w:hint="default" w:ascii="Times New Roman" w:hAnsi="Times New Roman" w:cs="Times New Roman"/>
                <w:snapToGrid w:val="0"/>
                <w:color w:val="auto"/>
                <w:kern w:val="0"/>
                <w:sz w:val="24"/>
                <w:highlight w:val="none"/>
              </w:rPr>
              <w:t>重要物种以及其他需要保护的物种、种群、生物群落及生态空间等生态保护目标</w:t>
            </w:r>
            <w:r>
              <w:rPr>
                <w:rFonts w:hint="eastAsia" w:cs="Times New Roman"/>
                <w:snapToGrid w:val="0"/>
                <w:color w:val="auto"/>
                <w:kern w:val="0"/>
                <w:sz w:val="24"/>
                <w:highlight w:val="none"/>
                <w:lang w:eastAsia="zh-CN"/>
              </w:rPr>
              <w:t>。</w:t>
            </w:r>
            <w:r>
              <w:rPr>
                <w:rFonts w:hint="default" w:ascii="Times New Roman" w:hAnsi="Times New Roman" w:cs="Times New Roman"/>
                <w:color w:val="auto"/>
                <w:sz w:val="24"/>
                <w:highlight w:val="none"/>
                <w:lang w:val="en-US" w:eastAsia="zh-CN"/>
              </w:rPr>
              <w:t>云雾山330千伏变电站</w:t>
            </w:r>
            <w:r>
              <w:rPr>
                <w:rFonts w:hint="eastAsia" w:cs="Times New Roman"/>
                <w:color w:val="auto"/>
                <w:sz w:val="24"/>
                <w:highlight w:val="none"/>
                <w:lang w:val="en-US" w:eastAsia="zh-CN"/>
              </w:rPr>
              <w:t>间隔扩建工程生态影响评价范围内涉及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szCs w:val="24"/>
                <w:highlight w:val="none"/>
                <w:lang w:val="en-US" w:eastAsia="zh-CN"/>
              </w:rPr>
              <w:t>输电线路穿越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bCs/>
                <w:color w:val="auto"/>
                <w:sz w:val="24"/>
                <w:szCs w:val="24"/>
                <w:highlight w:val="none"/>
                <w:lang w:val="en-US" w:eastAsia="zh-CN"/>
              </w:rPr>
              <w:t>10.514</w:t>
            </w:r>
            <w:r>
              <w:rPr>
                <w:rFonts w:hint="default" w:ascii="Times New Roman" w:hAnsi="Times New Roman" w:cs="Times New Roman"/>
                <w:bCs/>
                <w:color w:val="auto"/>
                <w:sz w:val="24"/>
                <w:szCs w:val="24"/>
                <w:highlight w:val="none"/>
                <w:lang w:val="en-US" w:eastAsia="zh-CN"/>
              </w:rPr>
              <w:t>km，</w:t>
            </w:r>
            <w:r>
              <w:rPr>
                <w:rFonts w:hint="default" w:ascii="Times New Roman" w:hAnsi="Times New Roman" w:cs="Times New Roman"/>
                <w:snapToGrid w:val="0"/>
                <w:color w:val="auto"/>
                <w:kern w:val="0"/>
                <w:sz w:val="24"/>
                <w:highlight w:val="none"/>
                <w:lang w:val="en-US" w:eastAsia="zh-CN"/>
              </w:rPr>
              <w:t>具体</w:t>
            </w:r>
            <w:r>
              <w:rPr>
                <w:rFonts w:hint="eastAsia" w:cs="Times New Roman"/>
                <w:snapToGrid w:val="0"/>
                <w:color w:val="auto"/>
                <w:kern w:val="0"/>
                <w:sz w:val="24"/>
                <w:highlight w:val="none"/>
                <w:lang w:val="en-US" w:eastAsia="zh-CN"/>
              </w:rPr>
              <w:t>情况</w:t>
            </w:r>
            <w:r>
              <w:rPr>
                <w:rFonts w:hint="default" w:ascii="Times New Roman" w:hAnsi="Times New Roman" w:cs="Times New Roman"/>
                <w:snapToGrid w:val="0"/>
                <w:color w:val="auto"/>
                <w:kern w:val="0"/>
                <w:sz w:val="24"/>
                <w:highlight w:val="none"/>
                <w:lang w:val="en-US" w:eastAsia="zh-CN"/>
              </w:rPr>
              <w:t>见下表</w:t>
            </w:r>
            <w:r>
              <w:rPr>
                <w:rFonts w:hint="eastAsia" w:cs="Times New Roman"/>
                <w:snapToGrid w:val="0"/>
                <w:color w:val="auto"/>
                <w:kern w:val="0"/>
                <w:sz w:val="24"/>
                <w:highlight w:val="none"/>
                <w:lang w:val="en-US" w:eastAsia="zh-CN"/>
              </w:rPr>
              <w:t>。变电站与生态红线的位置关系见附图3-3、输电线路与生态红线的位置关系见附图3-4</w:t>
            </w:r>
            <w:r>
              <w:rPr>
                <w:rFonts w:hint="default" w:ascii="Times New Roman" w:hAnsi="Times New Roman" w:cs="Times New Roman"/>
                <w:snapToGrid w:val="0"/>
                <w:color w:val="auto"/>
                <w:kern w:val="0"/>
                <w:sz w:val="24"/>
                <w:highlight w:val="none"/>
                <w:lang w:val="en-US" w:eastAsia="zh-CN"/>
              </w:rPr>
              <w:t>。</w:t>
            </w:r>
          </w:p>
          <w:p w14:paraId="74402D5C">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w:t>
            </w:r>
            <w:r>
              <w:rPr>
                <w:rFonts w:hint="default" w:ascii="Times New Roman" w:hAnsi="Times New Roman" w:eastAsia="宋体" w:cs="Times New Roman"/>
                <w:b/>
                <w:color w:val="auto"/>
                <w:kern w:val="2"/>
                <w:sz w:val="24"/>
                <w:szCs w:val="24"/>
                <w:highlight w:val="none"/>
                <w:lang w:val="en-US" w:eastAsia="zh-CN"/>
              </w:rPr>
              <w:t>3</w:t>
            </w:r>
            <w:r>
              <w:rPr>
                <w:rFonts w:hint="default" w:ascii="Times New Roman" w:hAnsi="Times New Roman" w:eastAsia="宋体" w:cs="Times New Roman"/>
                <w:b/>
                <w:color w:val="auto"/>
                <w:kern w:val="2"/>
                <w:sz w:val="24"/>
                <w:szCs w:val="24"/>
                <w:highlight w:val="none"/>
              </w:rPr>
              <w:t>-</w:t>
            </w:r>
            <w:r>
              <w:rPr>
                <w:rFonts w:hint="default" w:ascii="Times New Roman" w:hAnsi="Times New Roman" w:eastAsia="宋体" w:cs="Times New Roman"/>
                <w:b/>
                <w:color w:val="auto"/>
                <w:kern w:val="2"/>
                <w:sz w:val="24"/>
                <w:szCs w:val="24"/>
                <w:highlight w:val="none"/>
                <w:lang w:val="en-US" w:eastAsia="zh-CN"/>
              </w:rPr>
              <w:t>11</w:t>
            </w:r>
            <w:r>
              <w:rPr>
                <w:rFonts w:hint="default" w:ascii="Times New Roman" w:hAnsi="Times New Roman" w:eastAsia="宋体" w:cs="Times New Roman"/>
                <w:b/>
                <w:color w:val="auto"/>
                <w:kern w:val="2"/>
                <w:sz w:val="24"/>
                <w:szCs w:val="24"/>
                <w:highlight w:val="none"/>
              </w:rPr>
              <w:t xml:space="preserve"> </w:t>
            </w:r>
            <w:r>
              <w:rPr>
                <w:rFonts w:hint="default" w:ascii="Times New Roman" w:hAnsi="Times New Roman" w:eastAsia="宋体" w:cs="Times New Roman"/>
                <w:b/>
                <w:color w:val="auto"/>
                <w:kern w:val="2"/>
                <w:sz w:val="24"/>
                <w:szCs w:val="24"/>
                <w:highlight w:val="none"/>
                <w:lang w:val="en-US" w:eastAsia="zh-CN"/>
              </w:rPr>
              <w:t xml:space="preserve"> </w:t>
            </w:r>
            <w:r>
              <w:rPr>
                <w:rFonts w:hint="default" w:ascii="Times New Roman" w:hAnsi="Times New Roman" w:eastAsia="宋体" w:cs="Times New Roman"/>
                <w:b/>
                <w:bCs w:val="0"/>
                <w:color w:val="auto"/>
                <w:kern w:val="2"/>
                <w:sz w:val="24"/>
                <w:szCs w:val="24"/>
                <w:highlight w:val="none"/>
                <w:lang w:val="en-US" w:eastAsia="zh-CN"/>
              </w:rPr>
              <w:t>本项目</w:t>
            </w:r>
            <w:r>
              <w:rPr>
                <w:rFonts w:hint="eastAsia" w:cs="Times New Roman"/>
                <w:b/>
                <w:bCs w:val="0"/>
                <w:color w:val="auto"/>
                <w:kern w:val="2"/>
                <w:sz w:val="24"/>
                <w:szCs w:val="24"/>
                <w:highlight w:val="none"/>
                <w:lang w:val="en-US" w:eastAsia="zh-CN"/>
              </w:rPr>
              <w:t>变电站及</w:t>
            </w:r>
            <w:r>
              <w:rPr>
                <w:rFonts w:hint="default" w:ascii="Times New Roman" w:hAnsi="Times New Roman" w:eastAsia="宋体" w:cs="Times New Roman"/>
                <w:b/>
                <w:bCs w:val="0"/>
                <w:color w:val="auto"/>
                <w:kern w:val="2"/>
                <w:sz w:val="24"/>
                <w:szCs w:val="24"/>
                <w:highlight w:val="none"/>
                <w:lang w:val="en-US" w:eastAsia="zh-CN"/>
              </w:rPr>
              <w:t>输电线路涉及的生态保护</w:t>
            </w:r>
            <w:r>
              <w:rPr>
                <w:rFonts w:hint="default" w:ascii="Times New Roman" w:hAnsi="Times New Roman" w:eastAsia="宋体" w:cs="Times New Roman"/>
                <w:b/>
                <w:color w:val="auto"/>
                <w:kern w:val="2"/>
                <w:sz w:val="24"/>
                <w:szCs w:val="24"/>
                <w:highlight w:val="none"/>
                <w:lang w:val="en-US" w:eastAsia="zh-CN"/>
              </w:rPr>
              <w:t>目标</w:t>
            </w:r>
            <w:r>
              <w:rPr>
                <w:rFonts w:hint="default" w:ascii="Times New Roman" w:hAnsi="Times New Roman" w:eastAsia="宋体" w:cs="Times New Roman"/>
                <w:b/>
                <w:color w:val="auto"/>
                <w:kern w:val="2"/>
                <w:sz w:val="24"/>
                <w:szCs w:val="24"/>
                <w:highlight w:val="none"/>
              </w:rPr>
              <w:t>一览表</w:t>
            </w:r>
          </w:p>
          <w:tbl>
            <w:tblPr>
              <w:tblStyle w:val="32"/>
              <w:tblW w:w="85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9"/>
              <w:gridCol w:w="648"/>
              <w:gridCol w:w="535"/>
              <w:gridCol w:w="698"/>
              <w:gridCol w:w="379"/>
              <w:gridCol w:w="431"/>
              <w:gridCol w:w="690"/>
              <w:gridCol w:w="1141"/>
              <w:gridCol w:w="480"/>
              <w:gridCol w:w="639"/>
              <w:gridCol w:w="801"/>
              <w:gridCol w:w="1763"/>
            </w:tblGrid>
            <w:tr w14:paraId="786EB6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8" w:hRule="atLeast"/>
                <w:jc w:val="center"/>
              </w:trPr>
              <w:tc>
                <w:tcPr>
                  <w:tcW w:w="299" w:type="dxa"/>
                  <w:noWrap w:val="0"/>
                  <w:vAlign w:val="center"/>
                </w:tcPr>
                <w:p w14:paraId="16439A86">
                  <w:pPr>
                    <w:pStyle w:val="7"/>
                    <w:keepNext w:val="0"/>
                    <w:keepLines w:val="0"/>
                    <w:pageBreakBefore w:val="0"/>
                    <w:widowControl w:val="0"/>
                    <w:kinsoku/>
                    <w:wordWrap/>
                    <w:overflowPunct/>
                    <w:topLinePunct w:val="0"/>
                    <w:autoSpaceDE/>
                    <w:autoSpaceDN/>
                    <w:bidi w:val="0"/>
                    <w:adjustRightInd w:val="0"/>
                    <w:snapToGrid w:val="0"/>
                    <w:spacing w:before="0"/>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序号</w:t>
                  </w:r>
                </w:p>
              </w:tc>
              <w:tc>
                <w:tcPr>
                  <w:tcW w:w="648" w:type="dxa"/>
                  <w:noWrap w:val="0"/>
                  <w:vAlign w:val="center"/>
                </w:tcPr>
                <w:p w14:paraId="126575D0">
                  <w:pPr>
                    <w:pStyle w:val="7"/>
                    <w:keepNext w:val="0"/>
                    <w:keepLines w:val="0"/>
                    <w:pageBreakBefore w:val="0"/>
                    <w:widowControl w:val="0"/>
                    <w:kinsoku/>
                    <w:wordWrap/>
                    <w:overflowPunct/>
                    <w:topLinePunct w:val="0"/>
                    <w:autoSpaceDE/>
                    <w:autoSpaceDN/>
                    <w:bidi w:val="0"/>
                    <w:adjustRightInd w:val="0"/>
                    <w:snapToGrid w:val="0"/>
                    <w:spacing w:before="0"/>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生态保护目标名称</w:t>
                  </w:r>
                </w:p>
              </w:tc>
              <w:tc>
                <w:tcPr>
                  <w:tcW w:w="535" w:type="dxa"/>
                  <w:noWrap w:val="0"/>
                  <w:vAlign w:val="center"/>
                </w:tcPr>
                <w:p w14:paraId="71DE4190">
                  <w:pPr>
                    <w:autoSpaceDE w:val="0"/>
                    <w:autoSpaceDN w:val="0"/>
                    <w:snapToGrid w:val="0"/>
                    <w:jc w:val="center"/>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审批情况</w:t>
                  </w:r>
                </w:p>
              </w:tc>
              <w:tc>
                <w:tcPr>
                  <w:tcW w:w="698" w:type="dxa"/>
                  <w:noWrap w:val="0"/>
                  <w:vAlign w:val="center"/>
                </w:tcPr>
                <w:p w14:paraId="6ABB1D05">
                  <w:pPr>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cs="Times New Roman"/>
                      <w:b/>
                      <w:color w:val="auto"/>
                      <w:kern w:val="0"/>
                      <w:sz w:val="21"/>
                      <w:szCs w:val="21"/>
                      <w:lang w:val="en-US" w:eastAsia="zh-CN"/>
                    </w:rPr>
                    <w:t>行政主管部门</w:t>
                  </w:r>
                </w:p>
              </w:tc>
              <w:tc>
                <w:tcPr>
                  <w:tcW w:w="379" w:type="dxa"/>
                  <w:noWrap w:val="0"/>
                  <w:vAlign w:val="center"/>
                </w:tcPr>
                <w:p w14:paraId="17F27745">
                  <w:pPr>
                    <w:pStyle w:val="7"/>
                    <w:keepNext w:val="0"/>
                    <w:keepLines w:val="0"/>
                    <w:pageBreakBefore w:val="0"/>
                    <w:widowControl w:val="0"/>
                    <w:kinsoku/>
                    <w:wordWrap/>
                    <w:overflowPunct/>
                    <w:topLinePunct w:val="0"/>
                    <w:autoSpaceDE/>
                    <w:autoSpaceDN/>
                    <w:bidi w:val="0"/>
                    <w:adjustRightInd w:val="0"/>
                    <w:snapToGrid w:val="0"/>
                    <w:spacing w:before="0"/>
                    <w:jc w:val="both"/>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所在区域</w:t>
                  </w:r>
                </w:p>
              </w:tc>
              <w:tc>
                <w:tcPr>
                  <w:tcW w:w="431" w:type="dxa"/>
                  <w:noWrap w:val="0"/>
                  <w:vAlign w:val="center"/>
                </w:tcPr>
                <w:p w14:paraId="12DC2F32">
                  <w:pPr>
                    <w:autoSpaceDE w:val="0"/>
                    <w:autoSpaceDN w:val="0"/>
                    <w:snapToGrid w:val="0"/>
                    <w:jc w:val="center"/>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保护级别</w:t>
                  </w:r>
                </w:p>
              </w:tc>
              <w:tc>
                <w:tcPr>
                  <w:tcW w:w="690" w:type="dxa"/>
                  <w:noWrap w:val="0"/>
                  <w:vAlign w:val="center"/>
                </w:tcPr>
                <w:p w14:paraId="1B82BA80">
                  <w:pPr>
                    <w:adjustRightInd w:val="0"/>
                    <w:snapToGrid w:val="0"/>
                    <w:spacing w:line="240" w:lineRule="auto"/>
                    <w:jc w:val="center"/>
                    <w:textAlignment w:val="baseline"/>
                    <w:rPr>
                      <w:rFonts w:hint="default" w:ascii="Times New Roman" w:hAnsi="Times New Roman" w:cs="Times New Roman"/>
                      <w:b/>
                      <w:color w:val="auto"/>
                      <w:kern w:val="0"/>
                      <w:sz w:val="21"/>
                      <w:szCs w:val="21"/>
                      <w:lang w:val="en-US" w:eastAsia="zh-CN"/>
                    </w:rPr>
                  </w:pPr>
                  <w:r>
                    <w:rPr>
                      <w:rFonts w:hint="default" w:ascii="Times New Roman" w:hAnsi="Times New Roman" w:cs="Times New Roman"/>
                      <w:b/>
                      <w:color w:val="auto"/>
                      <w:kern w:val="0"/>
                      <w:sz w:val="21"/>
                      <w:szCs w:val="21"/>
                      <w:lang w:val="en-US" w:eastAsia="zh-CN"/>
                    </w:rPr>
                    <w:t>保护</w:t>
                  </w:r>
                </w:p>
                <w:p w14:paraId="3CBDE725">
                  <w:pPr>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cs="Times New Roman"/>
                      <w:b/>
                      <w:color w:val="auto"/>
                      <w:kern w:val="0"/>
                      <w:sz w:val="21"/>
                      <w:szCs w:val="21"/>
                      <w:lang w:val="en-US" w:eastAsia="zh-CN"/>
                    </w:rPr>
                    <w:t>类型</w:t>
                  </w:r>
                </w:p>
              </w:tc>
              <w:tc>
                <w:tcPr>
                  <w:tcW w:w="1141" w:type="dxa"/>
                  <w:noWrap w:val="0"/>
                  <w:vAlign w:val="center"/>
                </w:tcPr>
                <w:p w14:paraId="12BA09C4">
                  <w:pPr>
                    <w:pStyle w:val="7"/>
                    <w:keepNext w:val="0"/>
                    <w:keepLines w:val="0"/>
                    <w:pageBreakBefore w:val="0"/>
                    <w:widowControl w:val="0"/>
                    <w:kinsoku/>
                    <w:wordWrap/>
                    <w:overflowPunct/>
                    <w:topLinePunct w:val="0"/>
                    <w:autoSpaceDE/>
                    <w:autoSpaceDN/>
                    <w:bidi w:val="0"/>
                    <w:adjustRightInd w:val="0"/>
                    <w:snapToGrid w:val="0"/>
                    <w:spacing w:before="0"/>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具体</w:t>
                  </w:r>
                </w:p>
                <w:p w14:paraId="10D79505">
                  <w:pPr>
                    <w:pStyle w:val="7"/>
                    <w:keepNext w:val="0"/>
                    <w:keepLines w:val="0"/>
                    <w:pageBreakBefore w:val="0"/>
                    <w:widowControl w:val="0"/>
                    <w:kinsoku/>
                    <w:wordWrap/>
                    <w:overflowPunct/>
                    <w:topLinePunct w:val="0"/>
                    <w:autoSpaceDE/>
                    <w:autoSpaceDN/>
                    <w:bidi w:val="0"/>
                    <w:adjustRightInd w:val="0"/>
                    <w:snapToGrid w:val="0"/>
                    <w:spacing w:before="0"/>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范围</w:t>
                  </w:r>
                </w:p>
              </w:tc>
              <w:tc>
                <w:tcPr>
                  <w:tcW w:w="480" w:type="dxa"/>
                  <w:noWrap w:val="0"/>
                  <w:vAlign w:val="center"/>
                </w:tcPr>
                <w:p w14:paraId="4E1E9A21">
                  <w:pPr>
                    <w:pStyle w:val="7"/>
                    <w:keepNext w:val="0"/>
                    <w:keepLines w:val="0"/>
                    <w:pageBreakBefore w:val="0"/>
                    <w:widowControl w:val="0"/>
                    <w:kinsoku/>
                    <w:wordWrap/>
                    <w:overflowPunct/>
                    <w:topLinePunct w:val="0"/>
                    <w:autoSpaceDE/>
                    <w:autoSpaceDN/>
                    <w:bidi w:val="0"/>
                    <w:adjustRightInd w:val="0"/>
                    <w:snapToGrid w:val="0"/>
                    <w:spacing w:before="0"/>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生态</w:t>
                  </w:r>
                </w:p>
                <w:p w14:paraId="7C68DE71">
                  <w:pPr>
                    <w:pStyle w:val="7"/>
                    <w:keepNext w:val="0"/>
                    <w:keepLines w:val="0"/>
                    <w:pageBreakBefore w:val="0"/>
                    <w:widowControl w:val="0"/>
                    <w:kinsoku/>
                    <w:wordWrap/>
                    <w:overflowPunct/>
                    <w:topLinePunct w:val="0"/>
                    <w:autoSpaceDE/>
                    <w:autoSpaceDN/>
                    <w:bidi w:val="0"/>
                    <w:adjustRightInd w:val="0"/>
                    <w:snapToGrid w:val="0"/>
                    <w:spacing w:before="0"/>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功能</w:t>
                  </w:r>
                </w:p>
              </w:tc>
              <w:tc>
                <w:tcPr>
                  <w:tcW w:w="639" w:type="dxa"/>
                  <w:noWrap w:val="0"/>
                  <w:vAlign w:val="center"/>
                </w:tcPr>
                <w:p w14:paraId="3047CA0B">
                  <w:pPr>
                    <w:adjustRightInd w:val="0"/>
                    <w:snapToGrid w:val="0"/>
                    <w:spacing w:line="240" w:lineRule="auto"/>
                    <w:jc w:val="center"/>
                    <w:textAlignment w:val="baseline"/>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保护</w:t>
                  </w:r>
                </w:p>
                <w:p w14:paraId="3B10AFEB">
                  <w:pPr>
                    <w:pStyle w:val="7"/>
                    <w:keepNext w:val="0"/>
                    <w:keepLines w:val="0"/>
                    <w:pageBreakBefore w:val="0"/>
                    <w:widowControl w:val="0"/>
                    <w:kinsoku/>
                    <w:wordWrap/>
                    <w:overflowPunct/>
                    <w:topLinePunct w:val="0"/>
                    <w:autoSpaceDE/>
                    <w:autoSpaceDN/>
                    <w:bidi w:val="0"/>
                    <w:adjustRightInd w:val="0"/>
                    <w:snapToGrid w:val="0"/>
                    <w:spacing w:before="0"/>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cs="Times New Roman"/>
                      <w:b/>
                      <w:color w:val="auto"/>
                      <w:kern w:val="0"/>
                      <w:sz w:val="21"/>
                      <w:szCs w:val="21"/>
                      <w:lang w:eastAsia="zh-CN"/>
                    </w:rPr>
                    <w:t>内容</w:t>
                  </w:r>
                </w:p>
              </w:tc>
              <w:tc>
                <w:tcPr>
                  <w:tcW w:w="801" w:type="dxa"/>
                  <w:noWrap w:val="0"/>
                  <w:vAlign w:val="center"/>
                </w:tcPr>
                <w:p w14:paraId="4A0C4A68">
                  <w:pPr>
                    <w:adjustRightInd w:val="0"/>
                    <w:snapToGrid w:val="0"/>
                    <w:spacing w:line="240" w:lineRule="auto"/>
                    <w:jc w:val="center"/>
                    <w:textAlignment w:val="baseline"/>
                    <w:rPr>
                      <w:rFonts w:hint="default" w:ascii="Times New Roman" w:hAnsi="Times New Roman" w:cs="Times New Roman"/>
                      <w:b/>
                      <w:color w:val="auto"/>
                      <w:kern w:val="0"/>
                      <w:sz w:val="21"/>
                      <w:szCs w:val="21"/>
                      <w:lang w:eastAsia="zh-CN"/>
                    </w:rPr>
                  </w:pPr>
                  <w:r>
                    <w:rPr>
                      <w:rFonts w:hint="default" w:ascii="Times New Roman" w:hAnsi="Times New Roman" w:cs="Times New Roman"/>
                      <w:b/>
                      <w:color w:val="auto"/>
                      <w:kern w:val="0"/>
                      <w:sz w:val="21"/>
                      <w:szCs w:val="21"/>
                      <w:lang w:eastAsia="zh-CN"/>
                    </w:rPr>
                    <w:t>保护</w:t>
                  </w:r>
                </w:p>
                <w:p w14:paraId="4C2FC5C9">
                  <w:pPr>
                    <w:adjustRightInd w:val="0"/>
                    <w:snapToGrid w:val="0"/>
                    <w:spacing w:line="240" w:lineRule="auto"/>
                    <w:jc w:val="center"/>
                    <w:textAlignment w:val="baseline"/>
                    <w:rPr>
                      <w:rFonts w:hint="default" w:ascii="Times New Roman" w:hAnsi="Times New Roman" w:cs="Times New Roman"/>
                      <w:b/>
                      <w:color w:val="auto"/>
                      <w:kern w:val="0"/>
                      <w:sz w:val="21"/>
                      <w:szCs w:val="21"/>
                      <w:lang w:eastAsia="zh-CN"/>
                    </w:rPr>
                  </w:pPr>
                  <w:r>
                    <w:rPr>
                      <w:rFonts w:hint="default" w:ascii="Times New Roman" w:hAnsi="Times New Roman" w:cs="Times New Roman"/>
                      <w:b/>
                      <w:color w:val="auto"/>
                      <w:kern w:val="0"/>
                      <w:sz w:val="21"/>
                      <w:szCs w:val="21"/>
                      <w:lang w:eastAsia="zh-CN"/>
                    </w:rPr>
                    <w:t>要求</w:t>
                  </w:r>
                </w:p>
              </w:tc>
              <w:tc>
                <w:tcPr>
                  <w:tcW w:w="1763" w:type="dxa"/>
                  <w:noWrap w:val="0"/>
                  <w:vAlign w:val="center"/>
                </w:tcPr>
                <w:p w14:paraId="6F1C09DF">
                  <w:pPr>
                    <w:pStyle w:val="7"/>
                    <w:keepNext w:val="0"/>
                    <w:keepLines w:val="0"/>
                    <w:pageBreakBefore w:val="0"/>
                    <w:widowControl w:val="0"/>
                    <w:kinsoku/>
                    <w:wordWrap/>
                    <w:overflowPunct/>
                    <w:topLinePunct w:val="0"/>
                    <w:autoSpaceDE/>
                    <w:autoSpaceDN/>
                    <w:bidi w:val="0"/>
                    <w:adjustRightInd w:val="0"/>
                    <w:snapToGrid w:val="0"/>
                    <w:spacing w:before="0"/>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与本项目</w:t>
                  </w:r>
                </w:p>
                <w:p w14:paraId="69C761D6">
                  <w:pPr>
                    <w:pStyle w:val="7"/>
                    <w:keepNext w:val="0"/>
                    <w:keepLines w:val="0"/>
                    <w:pageBreakBefore w:val="0"/>
                    <w:widowControl w:val="0"/>
                    <w:kinsoku/>
                    <w:wordWrap/>
                    <w:overflowPunct/>
                    <w:topLinePunct w:val="0"/>
                    <w:autoSpaceDE/>
                    <w:autoSpaceDN/>
                    <w:bidi w:val="0"/>
                    <w:adjustRightInd w:val="0"/>
                    <w:snapToGrid w:val="0"/>
                    <w:spacing w:before="0"/>
                    <w:jc w:val="center"/>
                    <w:textAlignment w:val="baseline"/>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bidi="ar-SA"/>
                    </w:rPr>
                    <w:t>的位置关系</w:t>
                  </w:r>
                </w:p>
              </w:tc>
            </w:tr>
            <w:tr w14:paraId="56320F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299" w:type="dxa"/>
                  <w:vMerge w:val="restart"/>
                  <w:noWrap w:val="0"/>
                  <w:vAlign w:val="center"/>
                </w:tcPr>
                <w:p w14:paraId="48B0F5E4">
                  <w:pPr>
                    <w:pStyle w:val="7"/>
                    <w:jc w:val="center"/>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bidi="ar-SA"/>
                    </w:rPr>
                    <w:t>1</w:t>
                  </w:r>
                </w:p>
              </w:tc>
              <w:tc>
                <w:tcPr>
                  <w:tcW w:w="648" w:type="dxa"/>
                  <w:vMerge w:val="restart"/>
                  <w:noWrap w:val="0"/>
                  <w:vAlign w:val="center"/>
                </w:tcPr>
                <w:p w14:paraId="3B9C87D8">
                  <w:pPr>
                    <w:pStyle w:val="7"/>
                    <w:jc w:val="center"/>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bidi="ar-SA"/>
                    </w:rPr>
                    <w:t>东南黄土高原丘陵水土保持生态保护红线</w:t>
                  </w:r>
                </w:p>
              </w:tc>
              <w:tc>
                <w:tcPr>
                  <w:tcW w:w="535" w:type="dxa"/>
                  <w:vMerge w:val="restart"/>
                  <w:noWrap w:val="0"/>
                  <w:vAlign w:val="center"/>
                </w:tcPr>
                <w:p w14:paraId="61072EC6">
                  <w:pPr>
                    <w:autoSpaceDE w:val="0"/>
                    <w:autoSpaceDN w:val="0"/>
                    <w:snapToGrid w:val="0"/>
                    <w:jc w:val="center"/>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bidi="ar-SA"/>
                    </w:rPr>
                    <w:t>宁政发〔2018〕</w:t>
                  </w:r>
                </w:p>
                <w:p w14:paraId="2629166E">
                  <w:pPr>
                    <w:autoSpaceDE w:val="0"/>
                    <w:autoSpaceDN w:val="0"/>
                    <w:snapToGrid w:val="0"/>
                    <w:jc w:val="center"/>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bidi="ar-SA"/>
                    </w:rPr>
                    <w:t>23号</w:t>
                  </w:r>
                </w:p>
              </w:tc>
              <w:tc>
                <w:tcPr>
                  <w:tcW w:w="698" w:type="dxa"/>
                  <w:vMerge w:val="restart"/>
                  <w:noWrap w:val="0"/>
                  <w:vAlign w:val="center"/>
                </w:tcPr>
                <w:p w14:paraId="277BF3D7">
                  <w:pPr>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宁夏回族自治区自然资源厅</w:t>
                  </w:r>
                </w:p>
                <w:p w14:paraId="5B3DB6ED">
                  <w:pPr>
                    <w:adjustRightInd w:val="0"/>
                    <w:snapToGrid w:val="0"/>
                    <w:spacing w:line="240" w:lineRule="auto"/>
                    <w:jc w:val="center"/>
                    <w:textAlignment w:val="baseline"/>
                    <w:rPr>
                      <w:rFonts w:hint="default" w:ascii="Times New Roman" w:hAnsi="Times New Roman" w:cs="Times New Roman" w:eastAsiaTheme="minorEastAsia"/>
                      <w:color w:val="auto"/>
                      <w:sz w:val="21"/>
                      <w:szCs w:val="21"/>
                      <w:highlight w:val="none"/>
                      <w:lang w:val="en-US" w:eastAsia="zh-CN" w:bidi="ar-SA"/>
                    </w:rPr>
                  </w:pPr>
                </w:p>
              </w:tc>
              <w:tc>
                <w:tcPr>
                  <w:tcW w:w="379" w:type="dxa"/>
                  <w:vMerge w:val="restart"/>
                  <w:noWrap w:val="0"/>
                  <w:vAlign w:val="center"/>
                </w:tcPr>
                <w:p w14:paraId="0CE3C7DB">
                  <w:pPr>
                    <w:pStyle w:val="7"/>
                    <w:jc w:val="center"/>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bidi="ar-SA"/>
                    </w:rPr>
                    <w:t>固原市</w:t>
                  </w:r>
                </w:p>
              </w:tc>
              <w:tc>
                <w:tcPr>
                  <w:tcW w:w="431" w:type="dxa"/>
                  <w:vMerge w:val="restart"/>
                  <w:noWrap w:val="0"/>
                  <w:vAlign w:val="center"/>
                </w:tcPr>
                <w:p w14:paraId="55DAC32E">
                  <w:pPr>
                    <w:autoSpaceDE w:val="0"/>
                    <w:autoSpaceDN w:val="0"/>
                    <w:snapToGrid w:val="0"/>
                    <w:jc w:val="center"/>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bidi="ar-SA"/>
                    </w:rPr>
                    <w:t>/</w:t>
                  </w:r>
                </w:p>
              </w:tc>
              <w:tc>
                <w:tcPr>
                  <w:tcW w:w="690" w:type="dxa"/>
                  <w:vMerge w:val="restart"/>
                  <w:noWrap w:val="0"/>
                  <w:vAlign w:val="center"/>
                </w:tcPr>
                <w:p w14:paraId="715037C4">
                  <w:pPr>
                    <w:adjustRightInd w:val="0"/>
                    <w:snapToGrid w:val="0"/>
                    <w:spacing w:line="240" w:lineRule="auto"/>
                    <w:jc w:val="center"/>
                    <w:textAlignment w:val="baseline"/>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bCs/>
                      <w:color w:val="auto"/>
                      <w:kern w:val="0"/>
                      <w:sz w:val="21"/>
                      <w:szCs w:val="21"/>
                      <w:lang w:val="en-US" w:eastAsia="zh-CN"/>
                    </w:rPr>
                    <w:t>其他有必要严格保护的生态区</w:t>
                  </w:r>
                </w:p>
              </w:tc>
              <w:tc>
                <w:tcPr>
                  <w:tcW w:w="1141" w:type="dxa"/>
                  <w:vMerge w:val="restart"/>
                  <w:noWrap w:val="0"/>
                  <w:vAlign w:val="center"/>
                </w:tcPr>
                <w:p w14:paraId="797337C4">
                  <w:pPr>
                    <w:pStyle w:val="7"/>
                    <w:keepNext w:val="0"/>
                    <w:keepLines w:val="0"/>
                    <w:pageBreakBefore w:val="0"/>
                    <w:widowControl w:val="0"/>
                    <w:kinsoku/>
                    <w:wordWrap/>
                    <w:overflowPunct/>
                    <w:topLinePunct w:val="0"/>
                    <w:autoSpaceDE/>
                    <w:autoSpaceDN/>
                    <w:bidi w:val="0"/>
                    <w:adjustRightInd w:val="0"/>
                    <w:snapToGrid/>
                    <w:spacing w:before="0"/>
                    <w:jc w:val="center"/>
                    <w:textAlignment w:val="baseline"/>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bidi="ar-SA"/>
                    </w:rPr>
                    <w:t>位于宁夏回族自治区东南部，主要分布在彭阳县、原州区。生态系统类型为黄土丘陵沟壑区林农复合生态系统。</w:t>
                  </w:r>
                </w:p>
              </w:tc>
              <w:tc>
                <w:tcPr>
                  <w:tcW w:w="480" w:type="dxa"/>
                  <w:vMerge w:val="restart"/>
                  <w:noWrap w:val="0"/>
                  <w:vAlign w:val="center"/>
                </w:tcPr>
                <w:p w14:paraId="41C571B6">
                  <w:pPr>
                    <w:pStyle w:val="7"/>
                    <w:keepNext w:val="0"/>
                    <w:keepLines w:val="0"/>
                    <w:pageBreakBefore w:val="0"/>
                    <w:widowControl w:val="0"/>
                    <w:kinsoku/>
                    <w:wordWrap/>
                    <w:overflowPunct/>
                    <w:topLinePunct w:val="0"/>
                    <w:autoSpaceDE/>
                    <w:autoSpaceDN/>
                    <w:bidi w:val="0"/>
                    <w:adjustRightInd w:val="0"/>
                    <w:snapToGrid/>
                    <w:spacing w:before="0"/>
                    <w:jc w:val="center"/>
                    <w:textAlignment w:val="baseline"/>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bidi="ar-SA"/>
                    </w:rPr>
                    <w:t>水土保持</w:t>
                  </w:r>
                </w:p>
              </w:tc>
              <w:tc>
                <w:tcPr>
                  <w:tcW w:w="639" w:type="dxa"/>
                  <w:vMerge w:val="restart"/>
                  <w:noWrap w:val="0"/>
                  <w:vAlign w:val="center"/>
                </w:tcPr>
                <w:p w14:paraId="1C8D464A">
                  <w:pPr>
                    <w:pStyle w:val="7"/>
                    <w:keepNext w:val="0"/>
                    <w:keepLines w:val="0"/>
                    <w:pageBreakBefore w:val="0"/>
                    <w:widowControl w:val="0"/>
                    <w:kinsoku/>
                    <w:wordWrap/>
                    <w:overflowPunct/>
                    <w:topLinePunct w:val="0"/>
                    <w:autoSpaceDE/>
                    <w:autoSpaceDN/>
                    <w:bidi w:val="0"/>
                    <w:adjustRightInd w:val="0"/>
                    <w:snapToGrid/>
                    <w:spacing w:before="0"/>
                    <w:jc w:val="center"/>
                    <w:textAlignment w:val="baseline"/>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bidi="ar-SA"/>
                    </w:rPr>
                    <w:t>黄土丘陵沟壑区林农复合生态系统</w:t>
                  </w:r>
                </w:p>
              </w:tc>
              <w:tc>
                <w:tcPr>
                  <w:tcW w:w="801" w:type="dxa"/>
                  <w:vMerge w:val="restart"/>
                  <w:noWrap w:val="0"/>
                  <w:vAlign w:val="center"/>
                </w:tcPr>
                <w:p w14:paraId="42D90C18">
                  <w:pPr>
                    <w:adjustRightInd w:val="0"/>
                    <w:snapToGrid w:val="0"/>
                    <w:spacing w:line="240" w:lineRule="auto"/>
                    <w:jc w:val="center"/>
                    <w:textAlignment w:val="baseline"/>
                    <w:rPr>
                      <w:rFonts w:hint="default" w:ascii="Times New Roman" w:hAnsi="Times New Roman" w:cs="Times New Roman" w:eastAsiaTheme="minorEastAsia"/>
                      <w:color w:val="auto"/>
                      <w:sz w:val="21"/>
                      <w:szCs w:val="21"/>
                      <w:highlight w:val="none"/>
                      <w:lang w:val="en-US" w:eastAsia="zh-CN" w:bidi="ar-SA"/>
                    </w:rPr>
                  </w:pPr>
                  <w:r>
                    <w:rPr>
                      <w:rFonts w:hint="default" w:ascii="Times New Roman" w:hAnsi="Times New Roman" w:cs="Times New Roman" w:eastAsiaTheme="minorEastAsia"/>
                      <w:color w:val="auto"/>
                      <w:sz w:val="21"/>
                      <w:szCs w:val="21"/>
                      <w:highlight w:val="none"/>
                      <w:shd w:val="clear" w:color="auto" w:fill="auto"/>
                      <w:vertAlign w:val="baseline"/>
                      <w:lang w:val="en-US" w:eastAsia="zh-CN"/>
                    </w:rPr>
                    <w:t>生态功能不降低、面积不减少、性质不改变</w:t>
                  </w:r>
                </w:p>
              </w:tc>
              <w:tc>
                <w:tcPr>
                  <w:tcW w:w="1763" w:type="dxa"/>
                  <w:noWrap w:val="0"/>
                  <w:vAlign w:val="center"/>
                </w:tcPr>
                <w:p w14:paraId="733F8D1B">
                  <w:pPr>
                    <w:autoSpaceDE w:val="0"/>
                    <w:autoSpaceDN w:val="0"/>
                    <w:adjustRightInd w:val="0"/>
                    <w:jc w:val="both"/>
                    <w:rPr>
                      <w:rFonts w:hint="default" w:ascii="Times New Roman" w:hAnsi="Times New Roman" w:cs="Times New Roman" w:eastAsiaTheme="minorEastAsia"/>
                      <w:color w:val="auto"/>
                      <w:sz w:val="21"/>
                      <w:szCs w:val="21"/>
                      <w:highlight w:val="none"/>
                      <w:lang w:val="en-US" w:eastAsia="zh-CN" w:bidi="ar-SA"/>
                    </w:rPr>
                  </w:pPr>
                  <w:r>
                    <w:rPr>
                      <w:rFonts w:hint="eastAsia" w:cs="Times New Roman" w:eastAsiaTheme="minorEastAsia"/>
                      <w:color w:val="auto"/>
                      <w:sz w:val="21"/>
                      <w:szCs w:val="21"/>
                      <w:highlight w:val="none"/>
                      <w:lang w:val="en-US" w:eastAsia="zh-CN" w:bidi="ar-SA"/>
                    </w:rPr>
                    <w:t>生态保护红线</w:t>
                  </w:r>
                  <w:r>
                    <w:rPr>
                      <w:rFonts w:hint="default" w:ascii="Times New Roman" w:hAnsi="Times New Roman" w:cs="Times New Roman" w:eastAsiaTheme="minorEastAsia"/>
                      <w:color w:val="auto"/>
                      <w:sz w:val="21"/>
                      <w:szCs w:val="21"/>
                      <w:highlight w:val="none"/>
                      <w:lang w:val="en-US" w:eastAsia="zh-CN" w:bidi="ar-SA"/>
                    </w:rPr>
                    <w:t>分布于云雾山变电站西侧和东侧，变电站</w:t>
                  </w:r>
                  <w:r>
                    <w:rPr>
                      <w:rFonts w:hint="eastAsia" w:cs="Times New Roman" w:eastAsiaTheme="minorEastAsia"/>
                      <w:color w:val="auto"/>
                      <w:sz w:val="21"/>
                      <w:szCs w:val="21"/>
                      <w:highlight w:val="none"/>
                      <w:lang w:val="en-US" w:eastAsia="zh-CN" w:bidi="ar-SA"/>
                    </w:rPr>
                    <w:t>距离生态保护红线</w:t>
                  </w:r>
                  <w:r>
                    <w:rPr>
                      <w:rFonts w:hint="default" w:ascii="Times New Roman" w:hAnsi="Times New Roman" w:cs="Times New Roman" w:eastAsiaTheme="minorEastAsia"/>
                      <w:color w:val="auto"/>
                      <w:sz w:val="21"/>
                      <w:szCs w:val="21"/>
                      <w:highlight w:val="none"/>
                      <w:lang w:val="en-US" w:eastAsia="zh-CN" w:bidi="ar-SA"/>
                    </w:rPr>
                    <w:t>最近距离为69m。</w:t>
                  </w:r>
                </w:p>
              </w:tc>
            </w:tr>
            <w:tr w14:paraId="667E90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299" w:type="dxa"/>
                  <w:vMerge w:val="continue"/>
                  <w:noWrap w:val="0"/>
                  <w:vAlign w:val="center"/>
                </w:tcPr>
                <w:p w14:paraId="2270802C">
                  <w:pPr>
                    <w:autoSpaceDE w:val="0"/>
                    <w:autoSpaceDN w:val="0"/>
                    <w:adjustRightInd w:val="0"/>
                    <w:jc w:val="center"/>
                    <w:rPr>
                      <w:rFonts w:hint="default" w:ascii="Times New Roman" w:hAnsi="Times New Roman" w:cs="Times New Roman" w:eastAsiaTheme="minorEastAsia"/>
                      <w:color w:val="auto"/>
                      <w:sz w:val="21"/>
                      <w:szCs w:val="21"/>
                    </w:rPr>
                  </w:pPr>
                </w:p>
              </w:tc>
              <w:tc>
                <w:tcPr>
                  <w:tcW w:w="648" w:type="dxa"/>
                  <w:vMerge w:val="continue"/>
                  <w:noWrap w:val="0"/>
                  <w:vAlign w:val="center"/>
                </w:tcPr>
                <w:p w14:paraId="48ACCECE">
                  <w:pPr>
                    <w:autoSpaceDE w:val="0"/>
                    <w:autoSpaceDN w:val="0"/>
                    <w:adjustRightInd w:val="0"/>
                    <w:jc w:val="center"/>
                    <w:rPr>
                      <w:rFonts w:hint="default" w:ascii="Times New Roman" w:hAnsi="Times New Roman" w:cs="Times New Roman" w:eastAsiaTheme="minorEastAsia"/>
                      <w:color w:val="auto"/>
                      <w:sz w:val="21"/>
                      <w:szCs w:val="21"/>
                    </w:rPr>
                  </w:pPr>
                </w:p>
              </w:tc>
              <w:tc>
                <w:tcPr>
                  <w:tcW w:w="535" w:type="dxa"/>
                  <w:vMerge w:val="continue"/>
                  <w:noWrap w:val="0"/>
                  <w:vAlign w:val="center"/>
                </w:tcPr>
                <w:p w14:paraId="13B1E4B2">
                  <w:pPr>
                    <w:autoSpaceDE w:val="0"/>
                    <w:autoSpaceDN w:val="0"/>
                    <w:adjustRightInd w:val="0"/>
                    <w:jc w:val="center"/>
                    <w:rPr>
                      <w:rFonts w:hint="default" w:ascii="Times New Roman" w:hAnsi="Times New Roman" w:cs="Times New Roman" w:eastAsiaTheme="minorEastAsia"/>
                      <w:color w:val="auto"/>
                      <w:sz w:val="21"/>
                      <w:szCs w:val="21"/>
                    </w:rPr>
                  </w:pPr>
                </w:p>
              </w:tc>
              <w:tc>
                <w:tcPr>
                  <w:tcW w:w="698" w:type="dxa"/>
                  <w:vMerge w:val="continue"/>
                  <w:noWrap w:val="0"/>
                  <w:vAlign w:val="center"/>
                </w:tcPr>
                <w:p w14:paraId="40606A05">
                  <w:pPr>
                    <w:autoSpaceDE w:val="0"/>
                    <w:autoSpaceDN w:val="0"/>
                    <w:adjustRightInd w:val="0"/>
                    <w:jc w:val="center"/>
                    <w:rPr>
                      <w:rFonts w:hint="default" w:ascii="Times New Roman" w:hAnsi="Times New Roman" w:cs="Times New Roman" w:eastAsiaTheme="minorEastAsia"/>
                      <w:color w:val="auto"/>
                      <w:sz w:val="21"/>
                      <w:szCs w:val="21"/>
                    </w:rPr>
                  </w:pPr>
                </w:p>
              </w:tc>
              <w:tc>
                <w:tcPr>
                  <w:tcW w:w="379" w:type="dxa"/>
                  <w:vMerge w:val="continue"/>
                  <w:noWrap w:val="0"/>
                  <w:vAlign w:val="center"/>
                </w:tcPr>
                <w:p w14:paraId="036900DE">
                  <w:pPr>
                    <w:autoSpaceDE w:val="0"/>
                    <w:autoSpaceDN w:val="0"/>
                    <w:adjustRightInd w:val="0"/>
                    <w:jc w:val="center"/>
                    <w:rPr>
                      <w:rFonts w:hint="default" w:ascii="Times New Roman" w:hAnsi="Times New Roman" w:cs="Times New Roman" w:eastAsiaTheme="minorEastAsia"/>
                      <w:color w:val="auto"/>
                      <w:sz w:val="21"/>
                      <w:szCs w:val="21"/>
                    </w:rPr>
                  </w:pPr>
                </w:p>
              </w:tc>
              <w:tc>
                <w:tcPr>
                  <w:tcW w:w="431" w:type="dxa"/>
                  <w:vMerge w:val="continue"/>
                  <w:noWrap w:val="0"/>
                  <w:vAlign w:val="center"/>
                </w:tcPr>
                <w:p w14:paraId="56F254C4">
                  <w:pPr>
                    <w:autoSpaceDE w:val="0"/>
                    <w:autoSpaceDN w:val="0"/>
                    <w:adjustRightInd w:val="0"/>
                    <w:jc w:val="center"/>
                    <w:rPr>
                      <w:rFonts w:hint="default" w:ascii="Times New Roman" w:hAnsi="Times New Roman" w:cs="Times New Roman" w:eastAsiaTheme="minorEastAsia"/>
                      <w:color w:val="auto"/>
                      <w:sz w:val="21"/>
                      <w:szCs w:val="21"/>
                    </w:rPr>
                  </w:pPr>
                </w:p>
              </w:tc>
              <w:tc>
                <w:tcPr>
                  <w:tcW w:w="690" w:type="dxa"/>
                  <w:vMerge w:val="continue"/>
                  <w:noWrap w:val="0"/>
                  <w:vAlign w:val="center"/>
                </w:tcPr>
                <w:p w14:paraId="0706934F">
                  <w:pPr>
                    <w:autoSpaceDE w:val="0"/>
                    <w:autoSpaceDN w:val="0"/>
                    <w:adjustRightInd w:val="0"/>
                    <w:jc w:val="center"/>
                    <w:rPr>
                      <w:rFonts w:hint="default" w:ascii="Times New Roman" w:hAnsi="Times New Roman" w:cs="Times New Roman" w:eastAsiaTheme="minorEastAsia"/>
                      <w:color w:val="auto"/>
                      <w:sz w:val="21"/>
                      <w:szCs w:val="21"/>
                    </w:rPr>
                  </w:pPr>
                </w:p>
              </w:tc>
              <w:tc>
                <w:tcPr>
                  <w:tcW w:w="1141" w:type="dxa"/>
                  <w:vMerge w:val="continue"/>
                  <w:noWrap w:val="0"/>
                  <w:vAlign w:val="center"/>
                </w:tcPr>
                <w:p w14:paraId="6F32DEAB">
                  <w:pPr>
                    <w:autoSpaceDE w:val="0"/>
                    <w:autoSpaceDN w:val="0"/>
                    <w:adjustRightInd w:val="0"/>
                    <w:jc w:val="center"/>
                    <w:rPr>
                      <w:rFonts w:hint="default" w:ascii="Times New Roman" w:hAnsi="Times New Roman" w:cs="Times New Roman" w:eastAsiaTheme="minorEastAsia"/>
                      <w:color w:val="auto"/>
                      <w:sz w:val="21"/>
                      <w:szCs w:val="21"/>
                    </w:rPr>
                  </w:pPr>
                </w:p>
              </w:tc>
              <w:tc>
                <w:tcPr>
                  <w:tcW w:w="480" w:type="dxa"/>
                  <w:vMerge w:val="continue"/>
                  <w:noWrap w:val="0"/>
                  <w:vAlign w:val="center"/>
                </w:tcPr>
                <w:p w14:paraId="3C3FF5C1">
                  <w:pPr>
                    <w:autoSpaceDE w:val="0"/>
                    <w:autoSpaceDN w:val="0"/>
                    <w:adjustRightInd w:val="0"/>
                    <w:jc w:val="center"/>
                    <w:rPr>
                      <w:rFonts w:hint="default" w:ascii="Times New Roman" w:hAnsi="Times New Roman" w:cs="Times New Roman" w:eastAsiaTheme="minorEastAsia"/>
                      <w:color w:val="auto"/>
                      <w:sz w:val="21"/>
                      <w:szCs w:val="21"/>
                    </w:rPr>
                  </w:pPr>
                </w:p>
              </w:tc>
              <w:tc>
                <w:tcPr>
                  <w:tcW w:w="639" w:type="dxa"/>
                  <w:vMerge w:val="continue"/>
                  <w:noWrap w:val="0"/>
                  <w:vAlign w:val="center"/>
                </w:tcPr>
                <w:p w14:paraId="4D4D3DA7">
                  <w:pPr>
                    <w:autoSpaceDE w:val="0"/>
                    <w:autoSpaceDN w:val="0"/>
                    <w:adjustRightInd w:val="0"/>
                    <w:jc w:val="center"/>
                    <w:rPr>
                      <w:rFonts w:hint="default" w:ascii="Times New Roman" w:hAnsi="Times New Roman" w:cs="Times New Roman" w:eastAsiaTheme="minorEastAsia"/>
                      <w:color w:val="auto"/>
                      <w:sz w:val="21"/>
                      <w:szCs w:val="21"/>
                    </w:rPr>
                  </w:pPr>
                </w:p>
              </w:tc>
              <w:tc>
                <w:tcPr>
                  <w:tcW w:w="801" w:type="dxa"/>
                  <w:vMerge w:val="continue"/>
                  <w:noWrap w:val="0"/>
                  <w:vAlign w:val="center"/>
                </w:tcPr>
                <w:p w14:paraId="1CBB75B8">
                  <w:pPr>
                    <w:autoSpaceDE w:val="0"/>
                    <w:autoSpaceDN w:val="0"/>
                    <w:adjustRightInd w:val="0"/>
                    <w:jc w:val="center"/>
                    <w:rPr>
                      <w:rFonts w:hint="default" w:ascii="Times New Roman" w:hAnsi="Times New Roman" w:cs="Times New Roman" w:eastAsiaTheme="minorEastAsia"/>
                      <w:color w:val="auto"/>
                      <w:sz w:val="21"/>
                      <w:szCs w:val="21"/>
                    </w:rPr>
                  </w:pPr>
                </w:p>
              </w:tc>
              <w:tc>
                <w:tcPr>
                  <w:tcW w:w="1763" w:type="dxa"/>
                  <w:noWrap w:val="0"/>
                  <w:vAlign w:val="center"/>
                </w:tcPr>
                <w:p w14:paraId="5494506D">
                  <w:pPr>
                    <w:autoSpaceDE w:val="0"/>
                    <w:autoSpaceDN w:val="0"/>
                    <w:adjustRightIn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架空输电线路穿越东南黄土高原丘陵水土保持生态保护红线，穿越长度约</w:t>
                  </w:r>
                  <w:r>
                    <w:rPr>
                      <w:rFonts w:hint="eastAsia" w:cs="Times New Roman" w:eastAsiaTheme="minorEastAsia"/>
                      <w:color w:val="auto"/>
                      <w:sz w:val="21"/>
                      <w:szCs w:val="21"/>
                      <w:highlight w:val="none"/>
                      <w:lang w:val="en-US" w:eastAsia="zh-CN"/>
                    </w:rPr>
                    <w:t>10.514</w:t>
                  </w:r>
                  <w:r>
                    <w:rPr>
                      <w:rFonts w:hint="default" w:ascii="Times New Roman" w:hAnsi="Times New Roman" w:cs="Times New Roman" w:eastAsiaTheme="minorEastAsia"/>
                      <w:color w:val="auto"/>
                      <w:sz w:val="21"/>
                      <w:szCs w:val="21"/>
                      <w:highlight w:val="none"/>
                      <w:lang w:val="en-US" w:eastAsia="zh-CN"/>
                    </w:rPr>
                    <w:t>km，红线内立塔3</w:t>
                  </w:r>
                  <w:r>
                    <w:rPr>
                      <w:rFonts w:hint="eastAsia" w:cs="Times New Roman" w:eastAsiaTheme="minorEastAsia"/>
                      <w:color w:val="auto"/>
                      <w:sz w:val="21"/>
                      <w:szCs w:val="21"/>
                      <w:highlight w:val="none"/>
                      <w:lang w:val="en-US" w:eastAsia="zh-CN"/>
                    </w:rPr>
                    <w:t>5</w:t>
                  </w:r>
                  <w:r>
                    <w:rPr>
                      <w:rFonts w:hint="default" w:ascii="Times New Roman" w:hAnsi="Times New Roman" w:cs="Times New Roman" w:eastAsiaTheme="minorEastAsia"/>
                      <w:color w:val="auto"/>
                      <w:sz w:val="21"/>
                      <w:szCs w:val="21"/>
                      <w:highlight w:val="none"/>
                      <w:lang w:val="en-US" w:eastAsia="zh-CN"/>
                    </w:rPr>
                    <w:t>基，在红线内总占地面积</w:t>
                  </w:r>
                  <w:r>
                    <w:rPr>
                      <w:rFonts w:hint="eastAsia" w:ascii="Times New Roman" w:hAnsi="Times New Roman" w:cs="Times New Roman" w:eastAsiaTheme="minorEastAsia"/>
                      <w:color w:val="auto"/>
                      <w:sz w:val="21"/>
                      <w:szCs w:val="21"/>
                      <w:highlight w:val="none"/>
                      <w:lang w:val="en-US" w:eastAsia="zh-CN"/>
                    </w:rPr>
                    <w:t>3</w:t>
                  </w:r>
                  <w:r>
                    <w:rPr>
                      <w:rFonts w:hint="default" w:ascii="Times New Roman" w:hAnsi="Times New Roman" w:cs="Times New Roman" w:eastAsiaTheme="minorEastAsia"/>
                      <w:color w:val="auto"/>
                      <w:sz w:val="21"/>
                      <w:szCs w:val="21"/>
                      <w:highlight w:val="none"/>
                      <w:lang w:val="en-US" w:eastAsia="zh-CN"/>
                    </w:rPr>
                    <w:t>.1696hm</w:t>
                  </w:r>
                  <w:r>
                    <w:rPr>
                      <w:rFonts w:hint="default" w:ascii="Times New Roman" w:hAnsi="Times New Roman" w:cs="Times New Roman" w:eastAsiaTheme="minorEastAsia"/>
                      <w:color w:val="auto"/>
                      <w:sz w:val="21"/>
                      <w:szCs w:val="21"/>
                      <w:highlight w:val="none"/>
                      <w:vertAlign w:val="superscript"/>
                      <w:lang w:val="en-US" w:eastAsia="zh-CN"/>
                    </w:rPr>
                    <w:t>2</w:t>
                  </w:r>
                  <w:r>
                    <w:rPr>
                      <w:rFonts w:hint="default" w:ascii="Times New Roman" w:hAnsi="Times New Roman" w:cs="Times New Roman" w:eastAsiaTheme="minorEastAsia"/>
                      <w:color w:val="auto"/>
                      <w:sz w:val="21"/>
                      <w:szCs w:val="21"/>
                      <w:highlight w:val="none"/>
                      <w:lang w:val="en-US" w:eastAsia="zh-CN"/>
                    </w:rPr>
                    <w:t>。</w:t>
                  </w:r>
                </w:p>
              </w:tc>
            </w:tr>
          </w:tbl>
          <w:p w14:paraId="73CE9BB5">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根据现场调查，本项目110千伏输电线路沿线涉及4处电磁</w:t>
            </w:r>
            <w:r>
              <w:rPr>
                <w:rFonts w:hint="eastAsia" w:cs="Times New Roman"/>
                <w:b w:val="0"/>
                <w:bCs w:val="0"/>
                <w:color w:val="auto"/>
                <w:sz w:val="24"/>
                <w:highlight w:val="none"/>
                <w:lang w:val="en-US" w:eastAsia="zh-CN"/>
              </w:rPr>
              <w:t>和</w:t>
            </w:r>
            <w:r>
              <w:rPr>
                <w:rFonts w:hint="default" w:ascii="Times New Roman" w:hAnsi="Times New Roman" w:eastAsia="宋体" w:cs="Times New Roman"/>
                <w:b w:val="0"/>
                <w:bCs w:val="0"/>
                <w:color w:val="auto"/>
                <w:sz w:val="24"/>
                <w:highlight w:val="none"/>
                <w:lang w:val="en-US" w:eastAsia="zh-CN"/>
              </w:rPr>
              <w:t>声环境敏感目标，具体见下表。</w:t>
            </w:r>
          </w:p>
          <w:p w14:paraId="4D7975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表3-12    本项目输电线路涉及的电磁</w:t>
            </w:r>
            <w:r>
              <w:rPr>
                <w:rFonts w:hint="eastAsia" w:cs="Times New Roman"/>
                <w:b/>
                <w:bCs/>
                <w:color w:val="auto"/>
                <w:sz w:val="24"/>
                <w:highlight w:val="none"/>
                <w:lang w:val="en-US" w:eastAsia="zh-CN"/>
              </w:rPr>
              <w:t>和</w:t>
            </w:r>
            <w:r>
              <w:rPr>
                <w:rFonts w:hint="default" w:ascii="Times New Roman" w:hAnsi="Times New Roman" w:eastAsia="宋体" w:cs="Times New Roman"/>
                <w:b/>
                <w:bCs/>
                <w:color w:val="auto"/>
                <w:sz w:val="24"/>
                <w:highlight w:val="none"/>
                <w:lang w:val="en-US" w:eastAsia="zh-CN"/>
              </w:rPr>
              <w:t>声环境敏感目标一览表</w:t>
            </w:r>
          </w:p>
          <w:tbl>
            <w:tblPr>
              <w:tblStyle w:val="32"/>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0"/>
              <w:gridCol w:w="685"/>
              <w:gridCol w:w="917"/>
              <w:gridCol w:w="439"/>
              <w:gridCol w:w="1893"/>
              <w:gridCol w:w="1117"/>
              <w:gridCol w:w="1854"/>
              <w:gridCol w:w="433"/>
              <w:gridCol w:w="616"/>
            </w:tblGrid>
            <w:tr w14:paraId="4F732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2" w:type="dxa"/>
                  <w:tcBorders>
                    <w:tl2br w:val="nil"/>
                    <w:tr2bl w:val="nil"/>
                  </w:tcBorders>
                  <w:noWrap w:val="0"/>
                  <w:vAlign w:val="center"/>
                </w:tcPr>
                <w:p w14:paraId="6702A54E">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bCs/>
                      <w:color w:val="auto"/>
                      <w:kern w:val="0"/>
                      <w:sz w:val="20"/>
                      <w:szCs w:val="20"/>
                      <w:highlight w:val="none"/>
                      <w:lang w:val="en-US" w:eastAsia="zh-CN" w:bidi="ar"/>
                    </w:rPr>
                    <w:t>序号</w:t>
                  </w:r>
                </w:p>
              </w:tc>
              <w:tc>
                <w:tcPr>
                  <w:tcW w:w="662" w:type="dxa"/>
                  <w:tcBorders>
                    <w:tl2br w:val="nil"/>
                    <w:tr2bl w:val="nil"/>
                  </w:tcBorders>
                  <w:noWrap w:val="0"/>
                  <w:vAlign w:val="center"/>
                </w:tcPr>
                <w:p w14:paraId="3F53DB3E">
                  <w:pPr>
                    <w:keepNext w:val="0"/>
                    <w:keepLines w:val="0"/>
                    <w:widowControl/>
                    <w:suppressLineNumbers w:val="0"/>
                    <w:jc w:val="center"/>
                    <w:rPr>
                      <w:rFonts w:hint="default" w:ascii="Times New Roman" w:hAnsi="Times New Roman" w:eastAsia="宋体" w:cs="Times New Roman"/>
                      <w:b/>
                      <w:bCs/>
                      <w:color w:val="auto"/>
                      <w:sz w:val="20"/>
                      <w:szCs w:val="20"/>
                      <w:highlight w:val="none"/>
                      <w:vertAlign w:val="baseline"/>
                      <w:lang w:val="en-US"/>
                    </w:rPr>
                  </w:pPr>
                  <w:r>
                    <w:rPr>
                      <w:rFonts w:hint="default" w:ascii="Times New Roman" w:hAnsi="Times New Roman" w:eastAsia="宋体" w:cs="Times New Roman"/>
                      <w:b/>
                      <w:bCs/>
                      <w:color w:val="auto"/>
                      <w:kern w:val="0"/>
                      <w:sz w:val="20"/>
                      <w:szCs w:val="20"/>
                      <w:highlight w:val="none"/>
                      <w:lang w:val="en-US" w:eastAsia="zh-CN" w:bidi="ar"/>
                    </w:rPr>
                    <w:t>所在行政区域</w:t>
                  </w:r>
                </w:p>
              </w:tc>
              <w:tc>
                <w:tcPr>
                  <w:tcW w:w="886" w:type="dxa"/>
                  <w:tcBorders>
                    <w:tl2br w:val="nil"/>
                    <w:tr2bl w:val="nil"/>
                  </w:tcBorders>
                  <w:noWrap w:val="0"/>
                  <w:vAlign w:val="center"/>
                </w:tcPr>
                <w:p w14:paraId="3C1C216F">
                  <w:pPr>
                    <w:keepNext w:val="0"/>
                    <w:keepLines w:val="0"/>
                    <w:widowControl/>
                    <w:suppressLineNumbers w:val="0"/>
                    <w:jc w:val="center"/>
                    <w:rPr>
                      <w:rFonts w:hint="default" w:ascii="Times New Roman" w:hAnsi="Times New Roman" w:eastAsia="宋体" w:cs="Times New Roman"/>
                      <w:b/>
                      <w:bCs/>
                      <w:color w:val="auto"/>
                      <w:sz w:val="20"/>
                      <w:szCs w:val="20"/>
                      <w:highlight w:val="none"/>
                      <w:vertAlign w:val="baseline"/>
                    </w:rPr>
                  </w:pPr>
                  <w:r>
                    <w:rPr>
                      <w:rFonts w:hint="default" w:ascii="Times New Roman" w:hAnsi="Times New Roman" w:eastAsia="宋体" w:cs="Times New Roman"/>
                      <w:b/>
                      <w:bCs/>
                      <w:color w:val="auto"/>
                      <w:kern w:val="0"/>
                      <w:sz w:val="20"/>
                      <w:szCs w:val="20"/>
                      <w:highlight w:val="none"/>
                      <w:lang w:val="en-US" w:eastAsia="zh-CN" w:bidi="ar"/>
                    </w:rPr>
                    <w:t>环境敏感目标名称</w:t>
                  </w:r>
                </w:p>
              </w:tc>
              <w:tc>
                <w:tcPr>
                  <w:tcW w:w="424" w:type="dxa"/>
                  <w:tcBorders>
                    <w:tl2br w:val="nil"/>
                    <w:tr2bl w:val="nil"/>
                  </w:tcBorders>
                  <w:noWrap w:val="0"/>
                  <w:vAlign w:val="center"/>
                </w:tcPr>
                <w:p w14:paraId="0DF5789C">
                  <w:pPr>
                    <w:keepNext w:val="0"/>
                    <w:keepLines w:val="0"/>
                    <w:widowControl/>
                    <w:suppressLineNumbers w:val="0"/>
                    <w:jc w:val="center"/>
                    <w:rPr>
                      <w:rFonts w:hint="default" w:ascii="Times New Roman" w:hAnsi="Times New Roman" w:eastAsia="宋体" w:cs="Times New Roman"/>
                      <w:b/>
                      <w:bCs/>
                      <w:color w:val="auto"/>
                      <w:sz w:val="20"/>
                      <w:szCs w:val="20"/>
                      <w:highlight w:val="none"/>
                      <w:vertAlign w:val="baseline"/>
                    </w:rPr>
                  </w:pPr>
                  <w:r>
                    <w:rPr>
                      <w:rFonts w:hint="default" w:ascii="Times New Roman" w:hAnsi="Times New Roman" w:eastAsia="宋体" w:cs="Times New Roman"/>
                      <w:b/>
                      <w:bCs/>
                      <w:color w:val="auto"/>
                      <w:kern w:val="0"/>
                      <w:sz w:val="20"/>
                      <w:szCs w:val="20"/>
                      <w:highlight w:val="none"/>
                      <w:lang w:val="en-US" w:eastAsia="zh-CN" w:bidi="ar"/>
                    </w:rPr>
                    <w:t>功能</w:t>
                  </w:r>
                </w:p>
              </w:tc>
              <w:tc>
                <w:tcPr>
                  <w:tcW w:w="1830" w:type="dxa"/>
                  <w:tcBorders>
                    <w:tl2br w:val="nil"/>
                    <w:tr2bl w:val="nil"/>
                  </w:tcBorders>
                  <w:noWrap w:val="0"/>
                  <w:vAlign w:val="center"/>
                </w:tcPr>
                <w:p w14:paraId="4E66F32B">
                  <w:pPr>
                    <w:keepNext w:val="0"/>
                    <w:keepLines w:val="0"/>
                    <w:widowControl/>
                    <w:suppressLineNumbers w:val="0"/>
                    <w:jc w:val="center"/>
                    <w:rPr>
                      <w:rFonts w:hint="default" w:ascii="Times New Roman" w:hAnsi="Times New Roman" w:eastAsia="宋体" w:cs="Times New Roman"/>
                      <w:b/>
                      <w:bCs/>
                      <w:color w:val="auto"/>
                      <w:sz w:val="20"/>
                      <w:szCs w:val="20"/>
                      <w:highlight w:val="none"/>
                      <w:vertAlign w:val="baseline"/>
                    </w:rPr>
                  </w:pPr>
                  <w:r>
                    <w:rPr>
                      <w:rFonts w:hint="default" w:ascii="Times New Roman" w:hAnsi="Times New Roman" w:eastAsia="宋体" w:cs="Times New Roman"/>
                      <w:b/>
                      <w:bCs/>
                      <w:color w:val="auto"/>
                      <w:kern w:val="0"/>
                      <w:sz w:val="20"/>
                      <w:szCs w:val="20"/>
                      <w:highlight w:val="none"/>
                      <w:lang w:val="en-US" w:eastAsia="zh-CN" w:bidi="ar"/>
                    </w:rPr>
                    <w:t>方位及最近距离</w:t>
                  </w:r>
                </w:p>
              </w:tc>
              <w:tc>
                <w:tcPr>
                  <w:tcW w:w="1080" w:type="dxa"/>
                  <w:tcBorders>
                    <w:tl2br w:val="nil"/>
                    <w:tr2bl w:val="nil"/>
                  </w:tcBorders>
                  <w:noWrap w:val="0"/>
                  <w:vAlign w:val="center"/>
                </w:tcPr>
                <w:p w14:paraId="6A075977">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bCs/>
                      <w:color w:val="auto"/>
                      <w:kern w:val="0"/>
                      <w:sz w:val="20"/>
                      <w:szCs w:val="20"/>
                      <w:highlight w:val="none"/>
                      <w:lang w:val="en-US" w:eastAsia="zh-CN" w:bidi="ar"/>
                    </w:rPr>
                    <w:t>导线对地高度（m）</w:t>
                  </w:r>
                </w:p>
              </w:tc>
              <w:tc>
                <w:tcPr>
                  <w:tcW w:w="1792" w:type="dxa"/>
                  <w:tcBorders>
                    <w:tl2br w:val="nil"/>
                    <w:tr2bl w:val="nil"/>
                  </w:tcBorders>
                  <w:noWrap w:val="0"/>
                  <w:vAlign w:val="center"/>
                </w:tcPr>
                <w:p w14:paraId="36BE92B3">
                  <w:pPr>
                    <w:keepNext w:val="0"/>
                    <w:keepLines w:val="0"/>
                    <w:widowControl/>
                    <w:suppressLineNumbers w:val="0"/>
                    <w:jc w:val="center"/>
                    <w:rPr>
                      <w:rFonts w:hint="default" w:ascii="Times New Roman" w:hAnsi="Times New Roman" w:eastAsia="宋体" w:cs="Times New Roman"/>
                      <w:b/>
                      <w:bCs/>
                      <w:color w:val="auto"/>
                      <w:sz w:val="20"/>
                      <w:szCs w:val="20"/>
                      <w:highlight w:val="none"/>
                      <w:vertAlign w:val="baseline"/>
                    </w:rPr>
                  </w:pPr>
                  <w:r>
                    <w:rPr>
                      <w:rFonts w:hint="default" w:ascii="Times New Roman" w:hAnsi="Times New Roman" w:eastAsia="宋体" w:cs="Times New Roman"/>
                      <w:b/>
                      <w:bCs/>
                      <w:color w:val="auto"/>
                      <w:kern w:val="0"/>
                      <w:sz w:val="20"/>
                      <w:szCs w:val="20"/>
                      <w:highlight w:val="none"/>
                      <w:lang w:val="en-US" w:eastAsia="zh-CN" w:bidi="ar"/>
                    </w:rPr>
                    <w:t>建筑物数量、类别、层高</w:t>
                  </w:r>
                </w:p>
              </w:tc>
              <w:tc>
                <w:tcPr>
                  <w:tcW w:w="419" w:type="dxa"/>
                  <w:tcBorders>
                    <w:tl2br w:val="nil"/>
                    <w:tr2bl w:val="nil"/>
                  </w:tcBorders>
                  <w:noWrap w:val="0"/>
                  <w:vAlign w:val="center"/>
                </w:tcPr>
                <w:p w14:paraId="1BBC05F5">
                  <w:pPr>
                    <w:keepNext w:val="0"/>
                    <w:keepLines w:val="0"/>
                    <w:widowControl/>
                    <w:suppressLineNumbers w:val="0"/>
                    <w:jc w:val="center"/>
                    <w:rPr>
                      <w:rFonts w:hint="default" w:ascii="Times New Roman" w:hAnsi="Times New Roman" w:eastAsia="宋体" w:cs="Times New Roman"/>
                      <w:b/>
                      <w:bCs/>
                      <w:color w:val="auto"/>
                      <w:sz w:val="20"/>
                      <w:szCs w:val="20"/>
                      <w:highlight w:val="none"/>
                      <w:vertAlign w:val="baseline"/>
                    </w:rPr>
                  </w:pPr>
                  <w:r>
                    <w:rPr>
                      <w:rFonts w:hint="default" w:ascii="Times New Roman" w:hAnsi="Times New Roman" w:eastAsia="宋体" w:cs="Times New Roman"/>
                      <w:b/>
                      <w:bCs/>
                      <w:color w:val="auto"/>
                      <w:kern w:val="0"/>
                      <w:sz w:val="20"/>
                      <w:szCs w:val="20"/>
                      <w:highlight w:val="none"/>
                      <w:lang w:val="en-US" w:eastAsia="zh-CN" w:bidi="ar"/>
                    </w:rPr>
                    <w:t>规模</w:t>
                  </w:r>
                </w:p>
              </w:tc>
              <w:tc>
                <w:tcPr>
                  <w:tcW w:w="595" w:type="dxa"/>
                  <w:tcBorders>
                    <w:tl2br w:val="nil"/>
                    <w:tr2bl w:val="nil"/>
                  </w:tcBorders>
                  <w:noWrap w:val="0"/>
                  <w:vAlign w:val="center"/>
                </w:tcPr>
                <w:p w14:paraId="07EB921C">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bCs/>
                      <w:color w:val="auto"/>
                      <w:kern w:val="0"/>
                      <w:sz w:val="20"/>
                      <w:szCs w:val="20"/>
                      <w:highlight w:val="none"/>
                      <w:lang w:val="en-US" w:eastAsia="zh-CN" w:bidi="ar"/>
                    </w:rPr>
                    <w:t>影响</w:t>
                  </w:r>
                </w:p>
                <w:p w14:paraId="5572FEEC">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bCs/>
                      <w:color w:val="auto"/>
                      <w:kern w:val="0"/>
                      <w:sz w:val="20"/>
                      <w:szCs w:val="20"/>
                      <w:highlight w:val="none"/>
                      <w:lang w:val="en-US" w:eastAsia="zh-CN" w:bidi="ar"/>
                    </w:rPr>
                    <w:t>因素</w:t>
                  </w:r>
                </w:p>
              </w:tc>
            </w:tr>
            <w:tr w14:paraId="177A39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2" w:type="dxa"/>
                  <w:tcBorders>
                    <w:tl2br w:val="nil"/>
                    <w:tr2bl w:val="nil"/>
                  </w:tcBorders>
                  <w:noWrap w:val="0"/>
                  <w:vAlign w:val="center"/>
                </w:tcPr>
                <w:p w14:paraId="1CB2AA2B">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rPr>
                    <w:t>1#</w:t>
                  </w:r>
                </w:p>
              </w:tc>
              <w:tc>
                <w:tcPr>
                  <w:tcW w:w="662" w:type="dxa"/>
                  <w:vMerge w:val="restart"/>
                  <w:tcBorders>
                    <w:tl2br w:val="nil"/>
                    <w:tr2bl w:val="nil"/>
                  </w:tcBorders>
                  <w:noWrap w:val="0"/>
                  <w:vAlign w:val="center"/>
                </w:tcPr>
                <w:p w14:paraId="1D8C81B3">
                  <w:pPr>
                    <w:adjustRightInd w:val="0"/>
                    <w:snapToGrid w:val="0"/>
                    <w:spacing w:line="240" w:lineRule="auto"/>
                    <w:jc w:val="center"/>
                    <w:rPr>
                      <w:rFonts w:hint="default" w:ascii="Times New Roman" w:hAnsi="Times New Roman" w:eastAsia="宋体" w:cs="Times New Roman"/>
                      <w:b w:val="0"/>
                      <w:bCs w:val="0"/>
                      <w:color w:val="auto"/>
                      <w:sz w:val="20"/>
                      <w:szCs w:val="20"/>
                      <w:highlight w:val="none"/>
                      <w:vertAlign w:val="baseline"/>
                      <w:lang w:val="en-US"/>
                    </w:rPr>
                  </w:pPr>
                  <w:r>
                    <w:rPr>
                      <w:rFonts w:hint="default" w:ascii="Times New Roman" w:hAnsi="Times New Roman" w:eastAsia="宋体" w:cs="Times New Roman"/>
                      <w:b w:val="0"/>
                      <w:bCs w:val="0"/>
                      <w:color w:val="auto"/>
                      <w:sz w:val="20"/>
                      <w:szCs w:val="20"/>
                      <w:highlight w:val="none"/>
                      <w:vertAlign w:val="baseline"/>
                      <w:lang w:val="en-US" w:eastAsia="zh-CN"/>
                    </w:rPr>
                    <w:t>彭阳县交岔乡</w:t>
                  </w:r>
                </w:p>
              </w:tc>
              <w:tc>
                <w:tcPr>
                  <w:tcW w:w="886" w:type="dxa"/>
                  <w:tcBorders>
                    <w:tl2br w:val="nil"/>
                    <w:tr2bl w:val="nil"/>
                  </w:tcBorders>
                  <w:noWrap w:val="0"/>
                  <w:vAlign w:val="center"/>
                </w:tcPr>
                <w:p w14:paraId="5AB6A3EE">
                  <w:pPr>
                    <w:keepNext w:val="0"/>
                    <w:keepLines w:val="0"/>
                    <w:widowControl/>
                    <w:suppressLineNumbers w:val="0"/>
                    <w:jc w:val="center"/>
                    <w:rPr>
                      <w:rFonts w:hint="default" w:ascii="Times New Roman" w:hAnsi="Times New Roman" w:eastAsia="宋体" w:cs="Times New Roman"/>
                      <w:b w:val="0"/>
                      <w:bCs w:val="0"/>
                      <w:color w:val="auto"/>
                      <w:kern w:val="0"/>
                      <w:sz w:val="20"/>
                      <w:szCs w:val="20"/>
                      <w:highlight w:val="none"/>
                      <w:lang w:val="en-US" w:eastAsia="zh-CN" w:bidi="ar"/>
                    </w:rPr>
                  </w:pPr>
                  <w:r>
                    <w:rPr>
                      <w:rFonts w:hint="eastAsia" w:cs="Times New Roman"/>
                      <w:b w:val="0"/>
                      <w:bCs w:val="0"/>
                      <w:color w:val="auto"/>
                      <w:kern w:val="0"/>
                      <w:sz w:val="20"/>
                      <w:szCs w:val="20"/>
                      <w:highlight w:val="none"/>
                      <w:lang w:val="en-US" w:eastAsia="zh-CN" w:bidi="ar"/>
                    </w:rPr>
                    <w:t>马占材宅</w:t>
                  </w:r>
                </w:p>
              </w:tc>
              <w:tc>
                <w:tcPr>
                  <w:tcW w:w="424" w:type="dxa"/>
                  <w:tcBorders>
                    <w:tl2br w:val="nil"/>
                    <w:tr2bl w:val="nil"/>
                  </w:tcBorders>
                  <w:noWrap w:val="0"/>
                  <w:vAlign w:val="center"/>
                </w:tcPr>
                <w:p w14:paraId="4C5A4EC2">
                  <w:pPr>
                    <w:keepNext w:val="0"/>
                    <w:keepLines w:val="0"/>
                    <w:widowControl/>
                    <w:suppressLineNumbers w:val="0"/>
                    <w:jc w:val="center"/>
                    <w:rPr>
                      <w:rFonts w:hint="default" w:ascii="Times New Roman" w:hAnsi="Times New Roman" w:eastAsia="宋体" w:cs="Times New Roman"/>
                      <w:b w:val="0"/>
                      <w:bCs w:val="0"/>
                      <w:color w:val="auto"/>
                      <w:kern w:val="2"/>
                      <w:sz w:val="20"/>
                      <w:szCs w:val="20"/>
                      <w:highlight w:val="none"/>
                      <w:vertAlign w:val="baseline"/>
                      <w:lang w:val="en-US" w:eastAsia="zh-CN" w:bidi="ar-SA"/>
                    </w:rPr>
                  </w:pPr>
                  <w:r>
                    <w:rPr>
                      <w:rFonts w:hint="default" w:ascii="Times New Roman" w:hAnsi="Times New Roman" w:eastAsia="宋体" w:cs="Times New Roman"/>
                      <w:b w:val="0"/>
                      <w:bCs w:val="0"/>
                      <w:color w:val="auto"/>
                      <w:kern w:val="2"/>
                      <w:sz w:val="20"/>
                      <w:szCs w:val="20"/>
                      <w:highlight w:val="none"/>
                      <w:vertAlign w:val="baseline"/>
                      <w:lang w:val="en-US" w:eastAsia="zh-CN" w:bidi="ar-SA"/>
                    </w:rPr>
                    <w:t>居住</w:t>
                  </w:r>
                </w:p>
              </w:tc>
              <w:tc>
                <w:tcPr>
                  <w:tcW w:w="1830" w:type="dxa"/>
                  <w:tcBorders>
                    <w:tl2br w:val="nil"/>
                    <w:tr2bl w:val="nil"/>
                  </w:tcBorders>
                  <w:noWrap w:val="0"/>
                  <w:vAlign w:val="center"/>
                </w:tcPr>
                <w:p w14:paraId="779720E2">
                  <w:pPr>
                    <w:keepNext w:val="0"/>
                    <w:keepLines w:val="0"/>
                    <w:widowControl/>
                    <w:suppressLineNumbers w:val="0"/>
                    <w:jc w:val="both"/>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val="0"/>
                      <w:bCs w:val="0"/>
                      <w:color w:val="auto"/>
                      <w:sz w:val="20"/>
                      <w:szCs w:val="20"/>
                      <w:highlight w:val="none"/>
                      <w:lang w:val="en-US" w:eastAsia="zh-CN"/>
                    </w:rPr>
                    <w:t>单回架空输电线路G5#~6#杆塔间线路边导线东南侧23m</w:t>
                  </w:r>
                </w:p>
              </w:tc>
              <w:tc>
                <w:tcPr>
                  <w:tcW w:w="1080" w:type="dxa"/>
                  <w:tcBorders>
                    <w:tl2br w:val="nil"/>
                    <w:tr2bl w:val="nil"/>
                  </w:tcBorders>
                  <w:noWrap w:val="0"/>
                  <w:vAlign w:val="center"/>
                </w:tcPr>
                <w:p w14:paraId="74E1E98C">
                  <w:pPr>
                    <w:keepNext w:val="0"/>
                    <w:keepLines w:val="0"/>
                    <w:widowControl/>
                    <w:suppressLineNumbers w:val="0"/>
                    <w:jc w:val="center"/>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kern w:val="0"/>
                      <w:sz w:val="20"/>
                      <w:szCs w:val="20"/>
                      <w:highlight w:val="none"/>
                      <w:lang w:val="en-US" w:eastAsia="zh-CN" w:bidi="ar"/>
                    </w:rPr>
                    <w:t>13.6</w:t>
                  </w:r>
                </w:p>
              </w:tc>
              <w:tc>
                <w:tcPr>
                  <w:tcW w:w="1792" w:type="dxa"/>
                  <w:tcBorders>
                    <w:tl2br w:val="nil"/>
                    <w:tr2bl w:val="nil"/>
                  </w:tcBorders>
                  <w:noWrap w:val="0"/>
                  <w:vAlign w:val="center"/>
                </w:tcPr>
                <w:p w14:paraId="7E73958D">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color w:val="auto"/>
                      <w:sz w:val="20"/>
                      <w:szCs w:val="20"/>
                      <w:highlight w:val="none"/>
                    </w:rPr>
                    <w:t>1</w:t>
                  </w:r>
                  <w:r>
                    <w:rPr>
                      <w:rFonts w:hint="default" w:ascii="Times New Roman" w:hAnsi="Times New Roman" w:cs="Times New Roman"/>
                      <w:color w:val="auto"/>
                      <w:kern w:val="0"/>
                      <w:sz w:val="20"/>
                      <w:szCs w:val="20"/>
                      <w:highlight w:val="none"/>
                    </w:rPr>
                    <w:t>处</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b w:val="0"/>
                      <w:bCs w:val="0"/>
                      <w:color w:val="auto"/>
                      <w:sz w:val="20"/>
                      <w:szCs w:val="20"/>
                      <w:highlight w:val="none"/>
                      <w:vertAlign w:val="baseline"/>
                      <w:lang w:val="en-US" w:eastAsia="zh-CN"/>
                    </w:rPr>
                    <w:t>1层平顶，砖混结构，高3m</w:t>
                  </w:r>
                </w:p>
              </w:tc>
              <w:tc>
                <w:tcPr>
                  <w:tcW w:w="419" w:type="dxa"/>
                  <w:tcBorders>
                    <w:tl2br w:val="nil"/>
                    <w:tr2bl w:val="nil"/>
                  </w:tcBorders>
                  <w:noWrap w:val="0"/>
                  <w:vAlign w:val="center"/>
                </w:tcPr>
                <w:p w14:paraId="5836203C">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val="0"/>
                      <w:bCs w:val="0"/>
                      <w:color w:val="auto"/>
                      <w:kern w:val="0"/>
                      <w:sz w:val="20"/>
                      <w:szCs w:val="20"/>
                      <w:highlight w:val="none"/>
                      <w:lang w:val="en-US" w:eastAsia="zh-CN" w:bidi="ar"/>
                    </w:rPr>
                    <w:t>/</w:t>
                  </w:r>
                </w:p>
              </w:tc>
              <w:tc>
                <w:tcPr>
                  <w:tcW w:w="595" w:type="dxa"/>
                  <w:vMerge w:val="restart"/>
                  <w:tcBorders>
                    <w:tl2br w:val="nil"/>
                    <w:tr2bl w:val="nil"/>
                  </w:tcBorders>
                  <w:noWrap w:val="0"/>
                  <w:vAlign w:val="center"/>
                </w:tcPr>
                <w:p w14:paraId="27B6743D">
                  <w:pPr>
                    <w:adjustRightInd w:val="0"/>
                    <w:snapToGrid w:val="0"/>
                    <w:spacing w:line="240" w:lineRule="auto"/>
                    <w:jc w:val="center"/>
                    <w:rPr>
                      <w:rFonts w:hint="default" w:ascii="Times New Roman" w:hAnsi="Times New Roman" w:eastAsia="宋体" w:cs="Times New Roman"/>
                      <w:b w:val="0"/>
                      <w:bCs w:val="0"/>
                      <w:color w:val="auto"/>
                      <w:sz w:val="20"/>
                      <w:szCs w:val="20"/>
                      <w:highlight w:val="none"/>
                      <w:vertAlign w:val="baseline"/>
                      <w:lang w:val="en-US" w:eastAsia="zh-CN"/>
                    </w:rPr>
                  </w:pPr>
                  <w:r>
                    <w:rPr>
                      <w:rFonts w:hint="default" w:ascii="Times New Roman" w:hAnsi="Times New Roman" w:eastAsia="宋体" w:cs="Times New Roman"/>
                      <w:b w:val="0"/>
                      <w:bCs w:val="0"/>
                      <w:color w:val="auto"/>
                      <w:sz w:val="20"/>
                      <w:szCs w:val="20"/>
                      <w:highlight w:val="none"/>
                      <w:vertAlign w:val="baseline"/>
                      <w:lang w:val="en-US" w:eastAsia="zh-CN"/>
                    </w:rPr>
                    <w:t>电磁</w:t>
                  </w:r>
                  <w:r>
                    <w:rPr>
                      <w:rFonts w:hint="eastAsia" w:cs="Times New Roman"/>
                      <w:b w:val="0"/>
                      <w:bCs w:val="0"/>
                      <w:color w:val="auto"/>
                      <w:sz w:val="20"/>
                      <w:szCs w:val="20"/>
                      <w:highlight w:val="none"/>
                      <w:vertAlign w:val="baseline"/>
                      <w:lang w:val="en-US" w:eastAsia="zh-CN"/>
                    </w:rPr>
                    <w:t>、</w:t>
                  </w:r>
                  <w:r>
                    <w:rPr>
                      <w:rFonts w:hint="default" w:ascii="Times New Roman" w:hAnsi="Times New Roman" w:eastAsia="宋体" w:cs="Times New Roman"/>
                      <w:b w:val="0"/>
                      <w:bCs w:val="0"/>
                      <w:color w:val="auto"/>
                      <w:sz w:val="20"/>
                      <w:szCs w:val="20"/>
                      <w:highlight w:val="none"/>
                      <w:vertAlign w:val="baseline"/>
                      <w:lang w:val="en-US" w:eastAsia="zh-CN"/>
                    </w:rPr>
                    <w:t>声</w:t>
                  </w:r>
                </w:p>
              </w:tc>
            </w:tr>
            <w:tr w14:paraId="2CF38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2" w:type="dxa"/>
                  <w:tcBorders>
                    <w:tl2br w:val="nil"/>
                    <w:tr2bl w:val="nil"/>
                  </w:tcBorders>
                  <w:noWrap w:val="0"/>
                  <w:vAlign w:val="center"/>
                </w:tcPr>
                <w:p w14:paraId="273F645E">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sz w:val="20"/>
                      <w:szCs w:val="20"/>
                      <w:highlight w:val="none"/>
                      <w:lang w:val="en-US" w:eastAsia="zh-CN"/>
                    </w:rPr>
                    <w:t>2#</w:t>
                  </w:r>
                </w:p>
              </w:tc>
              <w:tc>
                <w:tcPr>
                  <w:tcW w:w="662" w:type="dxa"/>
                  <w:vMerge w:val="continue"/>
                  <w:tcBorders>
                    <w:tl2br w:val="nil"/>
                    <w:tr2bl w:val="nil"/>
                  </w:tcBorders>
                  <w:noWrap w:val="0"/>
                  <w:vAlign w:val="center"/>
                </w:tcPr>
                <w:p w14:paraId="12FA1314">
                  <w:pPr>
                    <w:adjustRightInd w:val="0"/>
                    <w:snapToGrid w:val="0"/>
                    <w:spacing w:line="240" w:lineRule="auto"/>
                    <w:jc w:val="center"/>
                    <w:rPr>
                      <w:rFonts w:hint="default" w:ascii="Times New Roman" w:hAnsi="Times New Roman" w:cs="Times New Roman"/>
                      <w:bCs/>
                      <w:color w:val="auto"/>
                      <w:sz w:val="20"/>
                      <w:szCs w:val="20"/>
                      <w:highlight w:val="none"/>
                      <w:lang w:val="en-US" w:eastAsia="zh-CN"/>
                    </w:rPr>
                  </w:pPr>
                </w:p>
              </w:tc>
              <w:tc>
                <w:tcPr>
                  <w:tcW w:w="886" w:type="dxa"/>
                  <w:tcBorders>
                    <w:tl2br w:val="nil"/>
                    <w:tr2bl w:val="nil"/>
                  </w:tcBorders>
                  <w:noWrap w:val="0"/>
                  <w:vAlign w:val="center"/>
                </w:tcPr>
                <w:p w14:paraId="3D42FF88">
                  <w:pPr>
                    <w:keepNext w:val="0"/>
                    <w:keepLines w:val="0"/>
                    <w:widowControl/>
                    <w:suppressLineNumbers w:val="0"/>
                    <w:jc w:val="center"/>
                    <w:rPr>
                      <w:rFonts w:hint="default" w:ascii="Times New Roman" w:hAnsi="Times New Roman" w:eastAsia="宋体" w:cs="Times New Roman"/>
                      <w:b w:val="0"/>
                      <w:bCs w:val="0"/>
                      <w:color w:val="auto"/>
                      <w:kern w:val="0"/>
                      <w:sz w:val="20"/>
                      <w:szCs w:val="20"/>
                      <w:highlight w:val="none"/>
                      <w:lang w:val="en-US" w:eastAsia="zh-CN" w:bidi="ar"/>
                    </w:rPr>
                  </w:pPr>
                  <w:r>
                    <w:rPr>
                      <w:rFonts w:hint="eastAsia" w:cs="Times New Roman"/>
                      <w:b w:val="0"/>
                      <w:bCs w:val="0"/>
                      <w:color w:val="auto"/>
                      <w:kern w:val="0"/>
                      <w:sz w:val="20"/>
                      <w:szCs w:val="20"/>
                      <w:highlight w:val="none"/>
                      <w:lang w:val="en-US" w:eastAsia="zh-CN" w:bidi="ar"/>
                    </w:rPr>
                    <w:t>张建礼宅</w:t>
                  </w:r>
                </w:p>
              </w:tc>
              <w:tc>
                <w:tcPr>
                  <w:tcW w:w="424" w:type="dxa"/>
                  <w:tcBorders>
                    <w:tl2br w:val="nil"/>
                    <w:tr2bl w:val="nil"/>
                  </w:tcBorders>
                  <w:noWrap w:val="0"/>
                  <w:vAlign w:val="center"/>
                </w:tcPr>
                <w:p w14:paraId="336F959A">
                  <w:pPr>
                    <w:keepNext w:val="0"/>
                    <w:keepLines w:val="0"/>
                    <w:widowControl/>
                    <w:suppressLineNumbers w:val="0"/>
                    <w:jc w:val="center"/>
                    <w:rPr>
                      <w:rFonts w:hint="default" w:ascii="Times New Roman" w:hAnsi="Times New Roman" w:eastAsia="宋体" w:cs="Times New Roman"/>
                      <w:b w:val="0"/>
                      <w:bCs w:val="0"/>
                      <w:color w:val="auto"/>
                      <w:kern w:val="0"/>
                      <w:sz w:val="20"/>
                      <w:szCs w:val="20"/>
                      <w:highlight w:val="none"/>
                      <w:lang w:val="en-US" w:eastAsia="zh-CN" w:bidi="ar"/>
                    </w:rPr>
                  </w:pPr>
                  <w:r>
                    <w:rPr>
                      <w:rFonts w:hint="default" w:ascii="Times New Roman" w:hAnsi="Times New Roman" w:eastAsia="宋体" w:cs="Times New Roman"/>
                      <w:b w:val="0"/>
                      <w:bCs w:val="0"/>
                      <w:color w:val="auto"/>
                      <w:kern w:val="2"/>
                      <w:sz w:val="20"/>
                      <w:szCs w:val="20"/>
                      <w:highlight w:val="none"/>
                      <w:vertAlign w:val="baseline"/>
                      <w:lang w:val="en-US" w:eastAsia="zh-CN" w:bidi="ar-SA"/>
                    </w:rPr>
                    <w:t>居住</w:t>
                  </w:r>
                </w:p>
              </w:tc>
              <w:tc>
                <w:tcPr>
                  <w:tcW w:w="1830" w:type="dxa"/>
                  <w:tcBorders>
                    <w:tl2br w:val="nil"/>
                    <w:tr2bl w:val="nil"/>
                  </w:tcBorders>
                  <w:noWrap w:val="0"/>
                  <w:vAlign w:val="center"/>
                </w:tcPr>
                <w:p w14:paraId="073A8E79">
                  <w:pPr>
                    <w:keepNext w:val="0"/>
                    <w:keepLines w:val="0"/>
                    <w:widowControl/>
                    <w:suppressLineNumbers w:val="0"/>
                    <w:jc w:val="both"/>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val="0"/>
                      <w:bCs w:val="0"/>
                      <w:color w:val="auto"/>
                      <w:sz w:val="20"/>
                      <w:szCs w:val="20"/>
                      <w:highlight w:val="none"/>
                      <w:lang w:val="en-US" w:eastAsia="zh-CN"/>
                    </w:rPr>
                    <w:t>单回架空输电线路G8#~9#杆塔间线路边导线西北侧</w:t>
                  </w:r>
                  <w:r>
                    <w:rPr>
                      <w:rFonts w:hint="default" w:ascii="Times New Roman" w:hAnsi="Times New Roman" w:eastAsia="宋体" w:cs="Times New Roman"/>
                      <w:b w:val="0"/>
                      <w:bCs w:val="0"/>
                      <w:color w:val="auto"/>
                      <w:kern w:val="0"/>
                      <w:sz w:val="20"/>
                      <w:szCs w:val="20"/>
                      <w:highlight w:val="none"/>
                      <w:lang w:val="en-US" w:eastAsia="zh-CN" w:bidi="ar"/>
                    </w:rPr>
                    <w:t>32.5m</w:t>
                  </w:r>
                </w:p>
              </w:tc>
              <w:tc>
                <w:tcPr>
                  <w:tcW w:w="1080" w:type="dxa"/>
                  <w:tcBorders>
                    <w:tl2br w:val="nil"/>
                    <w:tr2bl w:val="nil"/>
                  </w:tcBorders>
                  <w:noWrap w:val="0"/>
                  <w:vAlign w:val="center"/>
                </w:tcPr>
                <w:p w14:paraId="2DB6818C">
                  <w:pPr>
                    <w:keepNext w:val="0"/>
                    <w:keepLines w:val="0"/>
                    <w:widowControl/>
                    <w:suppressLineNumbers w:val="0"/>
                    <w:jc w:val="center"/>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kern w:val="0"/>
                      <w:sz w:val="20"/>
                      <w:szCs w:val="20"/>
                      <w:highlight w:val="none"/>
                      <w:lang w:val="en-US" w:eastAsia="zh-CN" w:bidi="ar"/>
                    </w:rPr>
                    <w:t>25.7</w:t>
                  </w:r>
                </w:p>
              </w:tc>
              <w:tc>
                <w:tcPr>
                  <w:tcW w:w="1792" w:type="dxa"/>
                  <w:tcBorders>
                    <w:tl2br w:val="nil"/>
                    <w:tr2bl w:val="nil"/>
                  </w:tcBorders>
                  <w:noWrap w:val="0"/>
                  <w:vAlign w:val="center"/>
                </w:tcPr>
                <w:p w14:paraId="69F20B63">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color w:val="auto"/>
                      <w:sz w:val="20"/>
                      <w:szCs w:val="20"/>
                      <w:highlight w:val="none"/>
                    </w:rPr>
                    <w:t>1</w:t>
                  </w:r>
                  <w:r>
                    <w:rPr>
                      <w:rFonts w:hint="default" w:ascii="Times New Roman" w:hAnsi="Times New Roman" w:cs="Times New Roman"/>
                      <w:color w:val="auto"/>
                      <w:kern w:val="0"/>
                      <w:sz w:val="20"/>
                      <w:szCs w:val="20"/>
                      <w:highlight w:val="none"/>
                    </w:rPr>
                    <w:t>处</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b w:val="0"/>
                      <w:bCs w:val="0"/>
                      <w:color w:val="auto"/>
                      <w:sz w:val="20"/>
                      <w:szCs w:val="20"/>
                      <w:highlight w:val="none"/>
                      <w:vertAlign w:val="baseline"/>
                      <w:lang w:val="en-US" w:eastAsia="zh-CN"/>
                    </w:rPr>
                    <w:t>1层平顶，砖混结构，高3m</w:t>
                  </w:r>
                </w:p>
              </w:tc>
              <w:tc>
                <w:tcPr>
                  <w:tcW w:w="419" w:type="dxa"/>
                  <w:tcBorders>
                    <w:tl2br w:val="nil"/>
                    <w:tr2bl w:val="nil"/>
                  </w:tcBorders>
                  <w:noWrap w:val="0"/>
                  <w:vAlign w:val="center"/>
                </w:tcPr>
                <w:p w14:paraId="6F171738">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val="0"/>
                      <w:bCs w:val="0"/>
                      <w:color w:val="auto"/>
                      <w:kern w:val="0"/>
                      <w:sz w:val="20"/>
                      <w:szCs w:val="20"/>
                      <w:highlight w:val="none"/>
                      <w:lang w:val="en-US" w:eastAsia="zh-CN" w:bidi="ar"/>
                    </w:rPr>
                    <w:t>/</w:t>
                  </w:r>
                </w:p>
              </w:tc>
              <w:tc>
                <w:tcPr>
                  <w:tcW w:w="595" w:type="dxa"/>
                  <w:vMerge w:val="continue"/>
                  <w:tcBorders>
                    <w:tl2br w:val="nil"/>
                    <w:tr2bl w:val="nil"/>
                  </w:tcBorders>
                  <w:noWrap w:val="0"/>
                  <w:vAlign w:val="center"/>
                </w:tcPr>
                <w:p w14:paraId="369D1D45">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p>
              </w:tc>
            </w:tr>
            <w:tr w14:paraId="74665B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2" w:type="dxa"/>
                  <w:tcBorders>
                    <w:tl2br w:val="nil"/>
                    <w:tr2bl w:val="nil"/>
                  </w:tcBorders>
                  <w:noWrap w:val="0"/>
                  <w:vAlign w:val="center"/>
                </w:tcPr>
                <w:p w14:paraId="62F8C4B9">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sz w:val="20"/>
                      <w:szCs w:val="20"/>
                      <w:highlight w:val="none"/>
                      <w:lang w:val="en-US" w:eastAsia="zh-CN"/>
                    </w:rPr>
                    <w:t>3#</w:t>
                  </w:r>
                </w:p>
              </w:tc>
              <w:tc>
                <w:tcPr>
                  <w:tcW w:w="662" w:type="dxa"/>
                  <w:vMerge w:val="continue"/>
                  <w:tcBorders>
                    <w:tl2br w:val="nil"/>
                    <w:tr2bl w:val="nil"/>
                  </w:tcBorders>
                  <w:noWrap w:val="0"/>
                  <w:vAlign w:val="center"/>
                </w:tcPr>
                <w:p w14:paraId="500C2ADE">
                  <w:pPr>
                    <w:adjustRightInd w:val="0"/>
                    <w:snapToGrid w:val="0"/>
                    <w:spacing w:line="240" w:lineRule="auto"/>
                    <w:jc w:val="center"/>
                    <w:rPr>
                      <w:rFonts w:hint="default" w:ascii="Times New Roman" w:hAnsi="Times New Roman" w:cs="Times New Roman"/>
                      <w:bCs/>
                      <w:color w:val="auto"/>
                      <w:sz w:val="20"/>
                      <w:szCs w:val="20"/>
                      <w:highlight w:val="none"/>
                      <w:lang w:val="en-US" w:eastAsia="zh-CN"/>
                    </w:rPr>
                  </w:pPr>
                </w:p>
              </w:tc>
              <w:tc>
                <w:tcPr>
                  <w:tcW w:w="886" w:type="dxa"/>
                  <w:tcBorders>
                    <w:tl2br w:val="nil"/>
                    <w:tr2bl w:val="nil"/>
                  </w:tcBorders>
                  <w:noWrap w:val="0"/>
                  <w:vAlign w:val="center"/>
                </w:tcPr>
                <w:p w14:paraId="06DA2C9F">
                  <w:pPr>
                    <w:keepNext w:val="0"/>
                    <w:keepLines w:val="0"/>
                    <w:widowControl/>
                    <w:suppressLineNumbers w:val="0"/>
                    <w:jc w:val="center"/>
                    <w:rPr>
                      <w:rFonts w:hint="default" w:ascii="Times New Roman" w:hAnsi="Times New Roman" w:eastAsia="宋体" w:cs="Times New Roman"/>
                      <w:b w:val="0"/>
                      <w:bCs w:val="0"/>
                      <w:color w:val="auto"/>
                      <w:kern w:val="0"/>
                      <w:sz w:val="20"/>
                      <w:szCs w:val="20"/>
                      <w:highlight w:val="none"/>
                      <w:lang w:val="en-US" w:eastAsia="zh-CN" w:bidi="ar"/>
                    </w:rPr>
                  </w:pPr>
                  <w:r>
                    <w:rPr>
                      <w:rFonts w:hint="eastAsia" w:cs="Times New Roman"/>
                      <w:b w:val="0"/>
                      <w:bCs w:val="0"/>
                      <w:color w:val="auto"/>
                      <w:kern w:val="0"/>
                      <w:sz w:val="20"/>
                      <w:szCs w:val="20"/>
                      <w:highlight w:val="none"/>
                      <w:lang w:val="en-US" w:eastAsia="zh-CN" w:bidi="ar"/>
                    </w:rPr>
                    <w:t>王新贵宅</w:t>
                  </w:r>
                </w:p>
              </w:tc>
              <w:tc>
                <w:tcPr>
                  <w:tcW w:w="424" w:type="dxa"/>
                  <w:tcBorders>
                    <w:tl2br w:val="nil"/>
                    <w:tr2bl w:val="nil"/>
                  </w:tcBorders>
                  <w:noWrap w:val="0"/>
                  <w:vAlign w:val="center"/>
                </w:tcPr>
                <w:p w14:paraId="1C95F753">
                  <w:pPr>
                    <w:keepNext w:val="0"/>
                    <w:keepLines w:val="0"/>
                    <w:widowControl/>
                    <w:suppressLineNumbers w:val="0"/>
                    <w:jc w:val="center"/>
                    <w:rPr>
                      <w:rFonts w:hint="default" w:ascii="Times New Roman" w:hAnsi="Times New Roman" w:eastAsia="宋体" w:cs="Times New Roman"/>
                      <w:b w:val="0"/>
                      <w:bCs w:val="0"/>
                      <w:color w:val="auto"/>
                      <w:kern w:val="0"/>
                      <w:sz w:val="20"/>
                      <w:szCs w:val="20"/>
                      <w:highlight w:val="none"/>
                      <w:lang w:val="en-US" w:eastAsia="zh-CN" w:bidi="ar"/>
                    </w:rPr>
                  </w:pPr>
                  <w:r>
                    <w:rPr>
                      <w:rFonts w:hint="default" w:ascii="Times New Roman" w:hAnsi="Times New Roman" w:eastAsia="宋体" w:cs="Times New Roman"/>
                      <w:b w:val="0"/>
                      <w:bCs w:val="0"/>
                      <w:color w:val="auto"/>
                      <w:kern w:val="2"/>
                      <w:sz w:val="20"/>
                      <w:szCs w:val="20"/>
                      <w:highlight w:val="none"/>
                      <w:vertAlign w:val="baseline"/>
                      <w:lang w:val="en-US" w:eastAsia="zh-CN" w:bidi="ar-SA"/>
                    </w:rPr>
                    <w:t>居住</w:t>
                  </w:r>
                </w:p>
              </w:tc>
              <w:tc>
                <w:tcPr>
                  <w:tcW w:w="1830" w:type="dxa"/>
                  <w:tcBorders>
                    <w:tl2br w:val="nil"/>
                    <w:tr2bl w:val="nil"/>
                  </w:tcBorders>
                  <w:noWrap w:val="0"/>
                  <w:vAlign w:val="center"/>
                </w:tcPr>
                <w:p w14:paraId="1E846881">
                  <w:pPr>
                    <w:keepNext w:val="0"/>
                    <w:keepLines w:val="0"/>
                    <w:widowControl/>
                    <w:suppressLineNumbers w:val="0"/>
                    <w:jc w:val="both"/>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val="0"/>
                      <w:bCs w:val="0"/>
                      <w:color w:val="auto"/>
                      <w:sz w:val="20"/>
                      <w:szCs w:val="20"/>
                      <w:highlight w:val="none"/>
                      <w:lang w:val="en-US" w:eastAsia="zh-CN"/>
                    </w:rPr>
                    <w:t>单回架空输电线路G19#~20#杆塔间线路边导线东南侧40</w:t>
                  </w:r>
                  <w:r>
                    <w:rPr>
                      <w:rFonts w:hint="default" w:ascii="Times New Roman" w:hAnsi="Times New Roman" w:eastAsia="宋体" w:cs="Times New Roman"/>
                      <w:b w:val="0"/>
                      <w:bCs w:val="0"/>
                      <w:color w:val="auto"/>
                      <w:kern w:val="0"/>
                      <w:sz w:val="20"/>
                      <w:szCs w:val="20"/>
                      <w:highlight w:val="none"/>
                      <w:lang w:val="en-US" w:eastAsia="zh-CN" w:bidi="ar"/>
                    </w:rPr>
                    <w:t>m</w:t>
                  </w:r>
                </w:p>
              </w:tc>
              <w:tc>
                <w:tcPr>
                  <w:tcW w:w="1080" w:type="dxa"/>
                  <w:tcBorders>
                    <w:tl2br w:val="nil"/>
                    <w:tr2bl w:val="nil"/>
                  </w:tcBorders>
                  <w:noWrap w:val="0"/>
                  <w:vAlign w:val="center"/>
                </w:tcPr>
                <w:p w14:paraId="402CB897">
                  <w:pPr>
                    <w:keepNext w:val="0"/>
                    <w:keepLines w:val="0"/>
                    <w:widowControl/>
                    <w:suppressLineNumbers w:val="0"/>
                    <w:jc w:val="center"/>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kern w:val="0"/>
                      <w:sz w:val="20"/>
                      <w:szCs w:val="20"/>
                      <w:highlight w:val="none"/>
                      <w:lang w:val="en-US" w:eastAsia="zh-CN" w:bidi="ar"/>
                    </w:rPr>
                    <w:t>18.2</w:t>
                  </w:r>
                </w:p>
              </w:tc>
              <w:tc>
                <w:tcPr>
                  <w:tcW w:w="1792" w:type="dxa"/>
                  <w:tcBorders>
                    <w:tl2br w:val="nil"/>
                    <w:tr2bl w:val="nil"/>
                  </w:tcBorders>
                  <w:noWrap w:val="0"/>
                  <w:vAlign w:val="center"/>
                </w:tcPr>
                <w:p w14:paraId="6D445EEF">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color w:val="auto"/>
                      <w:sz w:val="20"/>
                      <w:szCs w:val="20"/>
                      <w:highlight w:val="none"/>
                    </w:rPr>
                    <w:t>1</w:t>
                  </w:r>
                  <w:r>
                    <w:rPr>
                      <w:rFonts w:hint="default" w:ascii="Times New Roman" w:hAnsi="Times New Roman" w:cs="Times New Roman"/>
                      <w:color w:val="auto"/>
                      <w:kern w:val="0"/>
                      <w:sz w:val="20"/>
                      <w:szCs w:val="20"/>
                      <w:highlight w:val="none"/>
                    </w:rPr>
                    <w:t>处</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b w:val="0"/>
                      <w:bCs w:val="0"/>
                      <w:color w:val="auto"/>
                      <w:sz w:val="20"/>
                      <w:szCs w:val="20"/>
                      <w:highlight w:val="none"/>
                      <w:vertAlign w:val="baseline"/>
                      <w:lang w:val="en-US" w:eastAsia="zh-CN"/>
                    </w:rPr>
                    <w:t>1层平顶，砖混结构，高3m</w:t>
                  </w:r>
                </w:p>
              </w:tc>
              <w:tc>
                <w:tcPr>
                  <w:tcW w:w="419" w:type="dxa"/>
                  <w:tcBorders>
                    <w:tl2br w:val="nil"/>
                    <w:tr2bl w:val="nil"/>
                  </w:tcBorders>
                  <w:noWrap w:val="0"/>
                  <w:vAlign w:val="center"/>
                </w:tcPr>
                <w:p w14:paraId="4C616AB7">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r>
                    <w:rPr>
                      <w:rFonts w:hint="default" w:ascii="Times New Roman" w:hAnsi="Times New Roman" w:eastAsia="宋体" w:cs="Times New Roman"/>
                      <w:b w:val="0"/>
                      <w:bCs w:val="0"/>
                      <w:color w:val="auto"/>
                      <w:kern w:val="0"/>
                      <w:sz w:val="20"/>
                      <w:szCs w:val="20"/>
                      <w:highlight w:val="none"/>
                      <w:lang w:val="en-US" w:eastAsia="zh-CN" w:bidi="ar"/>
                    </w:rPr>
                    <w:t>/</w:t>
                  </w:r>
                </w:p>
              </w:tc>
              <w:tc>
                <w:tcPr>
                  <w:tcW w:w="595" w:type="dxa"/>
                  <w:vMerge w:val="continue"/>
                  <w:tcBorders>
                    <w:tl2br w:val="nil"/>
                    <w:tr2bl w:val="nil"/>
                  </w:tcBorders>
                  <w:noWrap w:val="0"/>
                  <w:vAlign w:val="center"/>
                </w:tcPr>
                <w:p w14:paraId="7DB312E3">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p>
              </w:tc>
            </w:tr>
            <w:tr w14:paraId="5D1FD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2" w:type="dxa"/>
                  <w:tcBorders>
                    <w:tl2br w:val="nil"/>
                    <w:tr2bl w:val="nil"/>
                  </w:tcBorders>
                  <w:noWrap w:val="0"/>
                  <w:vAlign w:val="center"/>
                </w:tcPr>
                <w:p w14:paraId="2641DE95">
                  <w:pPr>
                    <w:jc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val="en-US" w:eastAsia="zh-CN"/>
                    </w:rPr>
                    <w:t>4#</w:t>
                  </w:r>
                </w:p>
              </w:tc>
              <w:tc>
                <w:tcPr>
                  <w:tcW w:w="662" w:type="dxa"/>
                  <w:tcBorders>
                    <w:tl2br w:val="nil"/>
                    <w:tr2bl w:val="nil"/>
                  </w:tcBorders>
                  <w:noWrap w:val="0"/>
                  <w:vAlign w:val="center"/>
                </w:tcPr>
                <w:p w14:paraId="118A8FF7">
                  <w:pPr>
                    <w:adjustRightInd w:val="0"/>
                    <w:snapToGrid w:val="0"/>
                    <w:spacing w:line="240" w:lineRule="auto"/>
                    <w:jc w:val="center"/>
                    <w:rPr>
                      <w:rFonts w:hint="default" w:ascii="Times New Roman" w:hAnsi="Times New Roman" w:cs="Times New Roman"/>
                      <w:bCs/>
                      <w:color w:val="auto"/>
                      <w:sz w:val="20"/>
                      <w:szCs w:val="20"/>
                      <w:highlight w:val="none"/>
                      <w:lang w:val="en-US" w:eastAsia="zh-CN"/>
                    </w:rPr>
                  </w:pPr>
                  <w:r>
                    <w:rPr>
                      <w:rFonts w:hint="default" w:ascii="Times New Roman" w:hAnsi="Times New Roman" w:cs="Times New Roman"/>
                      <w:bCs/>
                      <w:color w:val="auto"/>
                      <w:sz w:val="20"/>
                      <w:szCs w:val="20"/>
                      <w:highlight w:val="none"/>
                      <w:lang w:val="en-US" w:eastAsia="zh-CN"/>
                    </w:rPr>
                    <w:t>彭阳县王洼镇</w:t>
                  </w:r>
                </w:p>
              </w:tc>
              <w:tc>
                <w:tcPr>
                  <w:tcW w:w="886" w:type="dxa"/>
                  <w:tcBorders>
                    <w:tl2br w:val="nil"/>
                    <w:tr2bl w:val="nil"/>
                  </w:tcBorders>
                  <w:noWrap w:val="0"/>
                  <w:vAlign w:val="center"/>
                </w:tcPr>
                <w:p w14:paraId="59B3F496">
                  <w:pPr>
                    <w:keepNext w:val="0"/>
                    <w:keepLines w:val="0"/>
                    <w:widowControl/>
                    <w:suppressLineNumbers w:val="0"/>
                    <w:jc w:val="center"/>
                    <w:rPr>
                      <w:rFonts w:hint="default" w:ascii="Times New Roman" w:hAnsi="Times New Roman" w:eastAsia="宋体" w:cs="Times New Roman"/>
                      <w:strike/>
                      <w:dstrike w:val="0"/>
                      <w:snapToGrid w:val="0"/>
                      <w:color w:val="auto"/>
                      <w:kern w:val="2"/>
                      <w:sz w:val="20"/>
                      <w:szCs w:val="20"/>
                      <w:highlight w:val="none"/>
                      <w:lang w:val="en-US" w:eastAsia="zh-CN" w:bidi="ar-SA"/>
                    </w:rPr>
                  </w:pPr>
                  <w:r>
                    <w:rPr>
                      <w:rFonts w:hint="eastAsia" w:cs="Times New Roman"/>
                      <w:b w:val="0"/>
                      <w:bCs w:val="0"/>
                      <w:color w:val="auto"/>
                      <w:kern w:val="0"/>
                      <w:sz w:val="20"/>
                      <w:szCs w:val="20"/>
                      <w:highlight w:val="none"/>
                      <w:lang w:val="en-US" w:eastAsia="zh-CN" w:bidi="ar"/>
                    </w:rPr>
                    <w:t>孙强宅</w:t>
                  </w:r>
                </w:p>
              </w:tc>
              <w:tc>
                <w:tcPr>
                  <w:tcW w:w="424" w:type="dxa"/>
                  <w:tcBorders>
                    <w:tl2br w:val="nil"/>
                    <w:tr2bl w:val="nil"/>
                  </w:tcBorders>
                  <w:noWrap w:val="0"/>
                  <w:vAlign w:val="center"/>
                </w:tcPr>
                <w:p w14:paraId="40CC54F1">
                  <w:pPr>
                    <w:keepNext w:val="0"/>
                    <w:keepLines w:val="0"/>
                    <w:widowControl/>
                    <w:suppressLineNumbers w:val="0"/>
                    <w:jc w:val="center"/>
                    <w:rPr>
                      <w:rFonts w:hint="default" w:ascii="Times New Roman" w:hAnsi="Times New Roman" w:eastAsia="宋体" w:cs="Times New Roman"/>
                      <w:b w:val="0"/>
                      <w:bCs w:val="0"/>
                      <w:strike/>
                      <w:dstrike w:val="0"/>
                      <w:color w:val="auto"/>
                      <w:kern w:val="2"/>
                      <w:sz w:val="20"/>
                      <w:szCs w:val="20"/>
                      <w:highlight w:val="none"/>
                      <w:vertAlign w:val="baseline"/>
                      <w:lang w:val="en-US" w:eastAsia="zh-CN" w:bidi="ar-SA"/>
                    </w:rPr>
                  </w:pPr>
                  <w:r>
                    <w:rPr>
                      <w:rFonts w:hint="default" w:ascii="Times New Roman" w:hAnsi="Times New Roman" w:eastAsia="宋体" w:cs="Times New Roman"/>
                      <w:b w:val="0"/>
                      <w:bCs w:val="0"/>
                      <w:color w:val="auto"/>
                      <w:kern w:val="2"/>
                      <w:sz w:val="20"/>
                      <w:szCs w:val="20"/>
                      <w:highlight w:val="none"/>
                      <w:vertAlign w:val="baseline"/>
                      <w:lang w:val="en-US" w:eastAsia="zh-CN" w:bidi="ar-SA"/>
                    </w:rPr>
                    <w:t>居住</w:t>
                  </w:r>
                </w:p>
              </w:tc>
              <w:tc>
                <w:tcPr>
                  <w:tcW w:w="1830" w:type="dxa"/>
                  <w:tcBorders>
                    <w:tl2br w:val="nil"/>
                    <w:tr2bl w:val="nil"/>
                  </w:tcBorders>
                  <w:noWrap w:val="0"/>
                  <w:vAlign w:val="center"/>
                </w:tcPr>
                <w:p w14:paraId="36AF4F48">
                  <w:pPr>
                    <w:jc w:val="both"/>
                    <w:rPr>
                      <w:rFonts w:hint="default" w:ascii="Times New Roman" w:hAnsi="Times New Roman" w:eastAsia="宋体" w:cs="Times New Roman"/>
                      <w:b w:val="0"/>
                      <w:bCs w:val="0"/>
                      <w:strike/>
                      <w:dstrike w:val="0"/>
                      <w:color w:val="auto"/>
                      <w:kern w:val="2"/>
                      <w:sz w:val="20"/>
                      <w:szCs w:val="20"/>
                      <w:highlight w:val="none"/>
                      <w:vertAlign w:val="baseline"/>
                      <w:lang w:val="en-US" w:eastAsia="zh-CN" w:bidi="ar-SA"/>
                    </w:rPr>
                  </w:pPr>
                  <w:r>
                    <w:rPr>
                      <w:rFonts w:hint="default" w:ascii="Times New Roman" w:hAnsi="Times New Roman" w:eastAsia="宋体" w:cs="Times New Roman"/>
                      <w:b w:val="0"/>
                      <w:bCs w:val="0"/>
                      <w:color w:val="auto"/>
                      <w:sz w:val="20"/>
                      <w:szCs w:val="20"/>
                      <w:highlight w:val="none"/>
                      <w:lang w:val="en-US" w:eastAsia="zh-CN"/>
                    </w:rPr>
                    <w:t>单回架空输电线路46#~G47#杆塔间线路边导线西北侧33m</w:t>
                  </w:r>
                </w:p>
              </w:tc>
              <w:tc>
                <w:tcPr>
                  <w:tcW w:w="1080" w:type="dxa"/>
                  <w:tcBorders>
                    <w:tl2br w:val="nil"/>
                    <w:tr2bl w:val="nil"/>
                  </w:tcBorders>
                  <w:noWrap w:val="0"/>
                  <w:vAlign w:val="center"/>
                </w:tcPr>
                <w:p w14:paraId="25D1E7C2">
                  <w:pPr>
                    <w:keepNext w:val="0"/>
                    <w:keepLines w:val="0"/>
                    <w:widowControl/>
                    <w:suppressLineNumbers w:val="0"/>
                    <w:jc w:val="center"/>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kern w:val="0"/>
                      <w:sz w:val="20"/>
                      <w:szCs w:val="20"/>
                      <w:highlight w:val="none"/>
                      <w:lang w:val="en-US" w:eastAsia="zh-CN" w:bidi="ar"/>
                    </w:rPr>
                    <w:t>24.6</w:t>
                  </w:r>
                </w:p>
              </w:tc>
              <w:tc>
                <w:tcPr>
                  <w:tcW w:w="1792" w:type="dxa"/>
                  <w:tcBorders>
                    <w:tl2br w:val="nil"/>
                    <w:tr2bl w:val="nil"/>
                  </w:tcBorders>
                  <w:noWrap w:val="0"/>
                  <w:vAlign w:val="center"/>
                </w:tcPr>
                <w:p w14:paraId="74CCEB3C">
                  <w:pPr>
                    <w:adjustRightInd w:val="0"/>
                    <w:snapToGrid w:val="0"/>
                    <w:spacing w:line="240" w:lineRule="auto"/>
                    <w:jc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rPr>
                    <w:t>1</w:t>
                  </w:r>
                  <w:r>
                    <w:rPr>
                      <w:rFonts w:hint="default" w:ascii="Times New Roman" w:hAnsi="Times New Roman" w:cs="Times New Roman"/>
                      <w:color w:val="auto"/>
                      <w:kern w:val="0"/>
                      <w:sz w:val="20"/>
                      <w:szCs w:val="20"/>
                      <w:highlight w:val="none"/>
                    </w:rPr>
                    <w:t>处</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b w:val="0"/>
                      <w:bCs w:val="0"/>
                      <w:color w:val="auto"/>
                      <w:sz w:val="20"/>
                      <w:szCs w:val="20"/>
                      <w:highlight w:val="none"/>
                      <w:vertAlign w:val="baseline"/>
                      <w:lang w:val="en-US" w:eastAsia="zh-CN"/>
                    </w:rPr>
                    <w:t>1层平顶，砖混结构，高3m</w:t>
                  </w:r>
                </w:p>
              </w:tc>
              <w:tc>
                <w:tcPr>
                  <w:tcW w:w="419" w:type="dxa"/>
                  <w:tcBorders>
                    <w:tl2br w:val="nil"/>
                    <w:tr2bl w:val="nil"/>
                  </w:tcBorders>
                  <w:noWrap w:val="0"/>
                  <w:vAlign w:val="center"/>
                </w:tcPr>
                <w:p w14:paraId="04BCA983">
                  <w:pPr>
                    <w:adjustRightInd w:val="0"/>
                    <w:snapToGrid w:val="0"/>
                    <w:spacing w:line="240" w:lineRule="auto"/>
                    <w:jc w:val="center"/>
                    <w:rPr>
                      <w:rFonts w:hint="default" w:ascii="Times New Roman" w:hAnsi="Times New Roman" w:eastAsia="宋体" w:cs="Times New Roman"/>
                      <w:b w:val="0"/>
                      <w:bCs w:val="0"/>
                      <w:color w:val="auto"/>
                      <w:kern w:val="2"/>
                      <w:sz w:val="20"/>
                      <w:szCs w:val="20"/>
                      <w:highlight w:val="none"/>
                      <w:vertAlign w:val="baseline"/>
                      <w:lang w:val="en-US" w:eastAsia="zh-CN" w:bidi="ar-SA"/>
                    </w:rPr>
                  </w:pPr>
                  <w:r>
                    <w:rPr>
                      <w:rFonts w:hint="default" w:ascii="Times New Roman" w:hAnsi="Times New Roman" w:eastAsia="宋体" w:cs="Times New Roman"/>
                      <w:b w:val="0"/>
                      <w:bCs w:val="0"/>
                      <w:color w:val="auto"/>
                      <w:kern w:val="0"/>
                      <w:sz w:val="20"/>
                      <w:szCs w:val="20"/>
                      <w:highlight w:val="none"/>
                      <w:lang w:val="en-US" w:eastAsia="zh-CN" w:bidi="ar"/>
                    </w:rPr>
                    <w:t>/</w:t>
                  </w:r>
                </w:p>
              </w:tc>
              <w:tc>
                <w:tcPr>
                  <w:tcW w:w="595" w:type="dxa"/>
                  <w:vMerge w:val="continue"/>
                  <w:tcBorders>
                    <w:tl2br w:val="nil"/>
                    <w:tr2bl w:val="nil"/>
                  </w:tcBorders>
                  <w:noWrap w:val="0"/>
                  <w:vAlign w:val="center"/>
                </w:tcPr>
                <w:p w14:paraId="1A3A1FA1">
                  <w:pPr>
                    <w:keepNext w:val="0"/>
                    <w:keepLines w:val="0"/>
                    <w:widowControl/>
                    <w:suppressLineNumbers w:val="0"/>
                    <w:jc w:val="center"/>
                    <w:rPr>
                      <w:rFonts w:hint="default" w:ascii="Times New Roman" w:hAnsi="Times New Roman" w:eastAsia="宋体" w:cs="Times New Roman"/>
                      <w:b/>
                      <w:bCs/>
                      <w:color w:val="auto"/>
                      <w:kern w:val="0"/>
                      <w:sz w:val="20"/>
                      <w:szCs w:val="20"/>
                      <w:highlight w:val="none"/>
                      <w:lang w:val="en-US" w:eastAsia="zh-CN" w:bidi="ar"/>
                    </w:rPr>
                  </w:pPr>
                </w:p>
              </w:tc>
            </w:tr>
            <w:tr w14:paraId="1F9936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20" w:type="dxa"/>
                  <w:gridSpan w:val="9"/>
                  <w:tcBorders>
                    <w:tl2br w:val="nil"/>
                    <w:tr2bl w:val="nil"/>
                  </w:tcBorders>
                  <w:noWrap w:val="0"/>
                  <w:vAlign w:val="center"/>
                </w:tcPr>
                <w:p w14:paraId="12E2AAF1">
                  <w:pPr>
                    <w:adjustRightInd w:val="0"/>
                    <w:snapToGrid w:val="0"/>
                    <w:spacing w:line="240" w:lineRule="auto"/>
                    <w:jc w:val="both"/>
                    <w:rPr>
                      <w:rFonts w:hint="default" w:ascii="Times New Roman" w:hAnsi="Times New Roman" w:eastAsia="宋体" w:cs="Times New Roman"/>
                      <w:b w:val="0"/>
                      <w:bCs w:val="0"/>
                      <w:color w:val="auto"/>
                      <w:sz w:val="20"/>
                      <w:szCs w:val="20"/>
                      <w:highlight w:val="none"/>
                      <w:vertAlign w:val="baseline"/>
                      <w:lang w:val="en-US" w:eastAsia="zh-CN"/>
                    </w:rPr>
                  </w:pPr>
                  <w:r>
                    <w:rPr>
                      <w:rFonts w:hint="default" w:ascii="Times New Roman" w:hAnsi="Times New Roman" w:eastAsia="宋体" w:cs="Times New Roman"/>
                      <w:b/>
                      <w:bCs/>
                      <w:color w:val="auto"/>
                      <w:kern w:val="0"/>
                      <w:sz w:val="20"/>
                      <w:szCs w:val="20"/>
                      <w:highlight w:val="none"/>
                      <w:lang w:val="en-US" w:eastAsia="zh-CN" w:bidi="ar"/>
                    </w:rPr>
                    <w:t>环境保护要求：</w:t>
                  </w:r>
                  <w:r>
                    <w:rPr>
                      <w:rFonts w:hint="default" w:ascii="Times New Roman" w:hAnsi="Times New Roman" w:eastAsia="宋体" w:cs="Times New Roman"/>
                      <w:b/>
                      <w:bCs/>
                      <w:color w:val="auto"/>
                      <w:kern w:val="0"/>
                      <w:sz w:val="20"/>
                      <w:szCs w:val="20"/>
                      <w:highlight w:val="none"/>
                      <w:lang w:val="en-US" w:eastAsia="zh-CN" w:bidi="ar"/>
                    </w:rPr>
                    <w:br w:type="textWrapping"/>
                  </w:r>
                  <w:r>
                    <w:rPr>
                      <w:rFonts w:hint="default" w:ascii="Times New Roman" w:hAnsi="Times New Roman" w:eastAsia="宋体" w:cs="Times New Roman"/>
                      <w:b w:val="0"/>
                      <w:bCs w:val="0"/>
                      <w:color w:val="auto"/>
                      <w:sz w:val="20"/>
                      <w:szCs w:val="20"/>
                      <w:highlight w:val="none"/>
                      <w:vertAlign w:val="baseline"/>
                      <w:lang w:val="en-US" w:eastAsia="zh-CN"/>
                    </w:rPr>
                    <w:t>①工频电场执行《电磁环境控制限值》（GB8702-2014）中规定的标准，公众曝露控制限值电场强度限值200/f（4000V/m）作为评价标准</w:t>
                  </w:r>
                  <w:r>
                    <w:rPr>
                      <w:rFonts w:hint="eastAsia" w:cs="Times New Roman"/>
                      <w:b w:val="0"/>
                      <w:bCs w:val="0"/>
                      <w:color w:val="auto"/>
                      <w:sz w:val="20"/>
                      <w:szCs w:val="20"/>
                      <w:highlight w:val="none"/>
                      <w:vertAlign w:val="baseline"/>
                      <w:lang w:val="en-US" w:eastAsia="zh-CN"/>
                    </w:rPr>
                    <w:t>。</w:t>
                  </w:r>
                </w:p>
                <w:p w14:paraId="67F32A73">
                  <w:pPr>
                    <w:keepNext w:val="0"/>
                    <w:keepLines w:val="0"/>
                    <w:widowControl/>
                    <w:suppressLineNumbers w:val="0"/>
                    <w:jc w:val="both"/>
                    <w:rPr>
                      <w:rFonts w:hint="default" w:ascii="Times New Roman" w:hAnsi="Times New Roman" w:eastAsia="宋体" w:cs="Times New Roman"/>
                      <w:b w:val="0"/>
                      <w:bCs w:val="0"/>
                      <w:color w:val="auto"/>
                      <w:sz w:val="20"/>
                      <w:szCs w:val="20"/>
                      <w:highlight w:val="none"/>
                      <w:vertAlign w:val="baseline"/>
                      <w:lang w:val="en-US" w:eastAsia="zh-CN"/>
                    </w:rPr>
                  </w:pPr>
                  <w:r>
                    <w:rPr>
                      <w:rFonts w:hint="default" w:ascii="Times New Roman" w:hAnsi="Times New Roman" w:eastAsia="宋体" w:cs="Times New Roman"/>
                      <w:b w:val="0"/>
                      <w:bCs w:val="0"/>
                      <w:color w:val="auto"/>
                      <w:sz w:val="20"/>
                      <w:szCs w:val="20"/>
                      <w:highlight w:val="none"/>
                      <w:vertAlign w:val="baseline"/>
                      <w:lang w:val="en-US" w:eastAsia="zh-CN"/>
                    </w:rPr>
                    <w:t>②工频磁场执行《电磁环境控制限值》（GB8702-2014）中规定的标准，公众曝露控制限值磁感应强度限值5/f（100μT）作为评价标准。</w:t>
                  </w:r>
                  <w:r>
                    <w:rPr>
                      <w:rFonts w:hint="default" w:ascii="Times New Roman" w:hAnsi="Times New Roman" w:eastAsia="宋体" w:cs="Times New Roman"/>
                      <w:b w:val="0"/>
                      <w:bCs w:val="0"/>
                      <w:color w:val="auto"/>
                      <w:sz w:val="20"/>
                      <w:szCs w:val="20"/>
                      <w:highlight w:val="none"/>
                      <w:vertAlign w:val="baseline"/>
                      <w:lang w:val="en-US" w:eastAsia="zh-CN"/>
                    </w:rPr>
                    <w:br w:type="textWrapping"/>
                  </w:r>
                  <w:r>
                    <w:rPr>
                      <w:rFonts w:hint="default" w:ascii="Times New Roman" w:hAnsi="Times New Roman" w:eastAsia="宋体" w:cs="Times New Roman"/>
                      <w:b w:val="0"/>
                      <w:bCs w:val="0"/>
                      <w:color w:val="auto"/>
                      <w:sz w:val="20"/>
                      <w:szCs w:val="20"/>
                      <w:highlight w:val="none"/>
                      <w:vertAlign w:val="baseline"/>
                      <w:lang w:val="en-US" w:eastAsia="zh-CN"/>
                    </w:rPr>
                    <w:t>③声环境执行《声环境质量标准》（GB3096-2008）1类标准限值要求（昼间：55dB</w:t>
                  </w:r>
                  <w:r>
                    <w:rPr>
                      <w:rFonts w:hint="eastAsia" w:cs="Times New Roman"/>
                      <w:b w:val="0"/>
                      <w:bCs w:val="0"/>
                      <w:color w:val="auto"/>
                      <w:sz w:val="20"/>
                      <w:szCs w:val="20"/>
                      <w:highlight w:val="none"/>
                      <w:vertAlign w:val="baseline"/>
                      <w:lang w:val="en-US" w:eastAsia="zh-CN"/>
                    </w:rPr>
                    <w:t>(A)</w:t>
                  </w:r>
                  <w:r>
                    <w:rPr>
                      <w:rFonts w:hint="default" w:ascii="Times New Roman" w:hAnsi="Times New Roman" w:eastAsia="宋体" w:cs="Times New Roman"/>
                      <w:b w:val="0"/>
                      <w:bCs w:val="0"/>
                      <w:color w:val="auto"/>
                      <w:sz w:val="20"/>
                      <w:szCs w:val="20"/>
                      <w:highlight w:val="none"/>
                      <w:vertAlign w:val="baseline"/>
                      <w:lang w:val="en-US" w:eastAsia="zh-CN"/>
                    </w:rPr>
                    <w:t>；夜间：45dB</w:t>
                  </w:r>
                  <w:r>
                    <w:rPr>
                      <w:rFonts w:hint="eastAsia" w:cs="Times New Roman"/>
                      <w:b w:val="0"/>
                      <w:bCs w:val="0"/>
                      <w:color w:val="auto"/>
                      <w:sz w:val="20"/>
                      <w:szCs w:val="20"/>
                      <w:highlight w:val="none"/>
                      <w:vertAlign w:val="baseline"/>
                      <w:lang w:val="en-US" w:eastAsia="zh-CN"/>
                    </w:rPr>
                    <w:t>(A)</w:t>
                  </w:r>
                  <w:r>
                    <w:rPr>
                      <w:rFonts w:hint="default" w:ascii="Times New Roman" w:hAnsi="Times New Roman" w:eastAsia="宋体" w:cs="Times New Roman"/>
                      <w:b w:val="0"/>
                      <w:bCs w:val="0"/>
                      <w:color w:val="auto"/>
                      <w:sz w:val="20"/>
                      <w:szCs w:val="20"/>
                      <w:highlight w:val="none"/>
                      <w:vertAlign w:val="baseline"/>
                      <w:lang w:val="en-US" w:eastAsia="zh-CN"/>
                    </w:rPr>
                    <w:t>）</w:t>
                  </w:r>
                  <w:r>
                    <w:rPr>
                      <w:rFonts w:hint="eastAsia" w:cs="Times New Roman"/>
                      <w:b w:val="0"/>
                      <w:bCs w:val="0"/>
                      <w:color w:val="auto"/>
                      <w:sz w:val="20"/>
                      <w:szCs w:val="20"/>
                      <w:highlight w:val="none"/>
                      <w:vertAlign w:val="baseline"/>
                      <w:lang w:val="en-US" w:eastAsia="zh-CN"/>
                    </w:rPr>
                    <w:t>。</w:t>
                  </w:r>
                  <w:r>
                    <w:rPr>
                      <w:rFonts w:hint="default" w:ascii="Times New Roman" w:hAnsi="Times New Roman" w:eastAsia="宋体" w:cs="Times New Roman"/>
                      <w:b w:val="0"/>
                      <w:bCs w:val="0"/>
                      <w:color w:val="auto"/>
                      <w:sz w:val="20"/>
                      <w:szCs w:val="20"/>
                      <w:highlight w:val="none"/>
                      <w:vertAlign w:val="baseline"/>
                      <w:lang w:val="en-US" w:eastAsia="zh-CN"/>
                    </w:rPr>
                    <w:br w:type="textWrapping"/>
                  </w:r>
                  <w:r>
                    <w:rPr>
                      <w:rFonts w:hint="default" w:ascii="Times New Roman" w:hAnsi="Times New Roman" w:eastAsia="宋体" w:cs="Times New Roman"/>
                      <w:b w:val="0"/>
                      <w:bCs w:val="0"/>
                      <w:color w:val="auto"/>
                      <w:sz w:val="20"/>
                      <w:szCs w:val="20"/>
                      <w:highlight w:val="none"/>
                      <w:vertAlign w:val="baseline"/>
                      <w:lang w:val="en-US" w:eastAsia="zh-CN"/>
                    </w:rPr>
                    <w:t>*</w:t>
                  </w:r>
                  <w:r>
                    <w:rPr>
                      <w:rFonts w:hint="default" w:ascii="Times New Roman" w:hAnsi="Times New Roman" w:eastAsia="宋体" w:cs="Times New Roman"/>
                      <w:b w:val="0"/>
                      <w:bCs w:val="0"/>
                      <w:color w:val="auto"/>
                      <w:sz w:val="21"/>
                      <w:szCs w:val="21"/>
                      <w:highlight w:val="none"/>
                      <w:lang w:val="en-US" w:eastAsia="zh-CN"/>
                    </w:rPr>
                    <w:t>导线对地最低高度来源于固原龙源电力勘测设计咨询有限公司提供的初步设计文件。</w:t>
                  </w:r>
                </w:p>
              </w:tc>
            </w:tr>
            <w:tr w14:paraId="23F4F7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20" w:type="dxa"/>
                  <w:gridSpan w:val="9"/>
                  <w:tcBorders>
                    <w:tl2br w:val="nil"/>
                    <w:tr2bl w:val="nil"/>
                  </w:tcBorders>
                  <w:noWrap w:val="0"/>
                  <w:vAlign w:val="center"/>
                </w:tcPr>
                <w:p w14:paraId="66765D00">
                  <w:pPr>
                    <w:keepNext w:val="0"/>
                    <w:keepLines w:val="0"/>
                    <w:widowControl/>
                    <w:suppressLineNumbers w:val="0"/>
                    <w:jc w:val="both"/>
                    <w:rPr>
                      <w:rFonts w:hint="default" w:ascii="Times New Roman" w:hAnsi="Times New Roman" w:eastAsia="宋体" w:cs="Times New Roman"/>
                      <w:b w:val="0"/>
                      <w:bCs w:val="0"/>
                      <w:color w:val="auto"/>
                      <w:sz w:val="20"/>
                      <w:szCs w:val="20"/>
                      <w:highlight w:val="none"/>
                      <w:vertAlign w:val="baseline"/>
                      <w:lang w:val="en-US" w:eastAsia="zh-CN"/>
                    </w:rPr>
                  </w:pPr>
                  <w:r>
                    <w:rPr>
                      <w:rFonts w:hint="default" w:ascii="Times New Roman" w:hAnsi="Times New Roman" w:eastAsia="宋体" w:cs="Times New Roman"/>
                      <w:color w:val="auto"/>
                      <w:kern w:val="2"/>
                      <w:sz w:val="24"/>
                      <w:szCs w:val="24"/>
                      <w:highlight w:val="none"/>
                      <w:lang w:val="en-US" w:eastAsia="zh-CN"/>
                    </w:rPr>
                    <w:drawing>
                      <wp:inline distT="0" distB="0" distL="114300" distR="114300">
                        <wp:extent cx="5244465" cy="6787515"/>
                        <wp:effectExtent l="0" t="0" r="13335" b="13335"/>
                        <wp:docPr id="43" name="图片 43" descr="输电线路沿线敏感目标分布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输电线路沿线敏感目标分布图（1）"/>
                                <pic:cNvPicPr>
                                  <a:picLocks noChangeAspect="1"/>
                                </pic:cNvPicPr>
                              </pic:nvPicPr>
                              <pic:blipFill>
                                <a:blip r:embed="rId52"/>
                                <a:stretch>
                                  <a:fillRect/>
                                </a:stretch>
                              </pic:blipFill>
                              <pic:spPr>
                                <a:xfrm>
                                  <a:off x="0" y="0"/>
                                  <a:ext cx="5244465" cy="6787515"/>
                                </a:xfrm>
                                <a:prstGeom prst="rect">
                                  <a:avLst/>
                                </a:prstGeom>
                              </pic:spPr>
                            </pic:pic>
                          </a:graphicData>
                        </a:graphic>
                      </wp:inline>
                    </w:drawing>
                  </w:r>
                </w:p>
              </w:tc>
            </w:tr>
            <w:tr w14:paraId="2381C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20" w:type="dxa"/>
                  <w:gridSpan w:val="9"/>
                  <w:tcBorders>
                    <w:tl2br w:val="nil"/>
                    <w:tr2bl w:val="nil"/>
                  </w:tcBorders>
                  <w:noWrap w:val="0"/>
                  <w:vAlign w:val="center"/>
                </w:tcPr>
                <w:p w14:paraId="3449BBF1">
                  <w:pPr>
                    <w:keepNext w:val="0"/>
                    <w:keepLines w:val="0"/>
                    <w:widowControl/>
                    <w:suppressLineNumbers w:val="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drawing>
                      <wp:inline distT="0" distB="0" distL="114300" distR="114300">
                        <wp:extent cx="5259070" cy="6805930"/>
                        <wp:effectExtent l="0" t="0" r="17780" b="13970"/>
                        <wp:docPr id="44" name="图片 44" descr="输电线路沿线敏感目标分布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输电线路沿线敏感目标分布图（1）"/>
                                <pic:cNvPicPr>
                                  <a:picLocks noChangeAspect="1"/>
                                </pic:cNvPicPr>
                              </pic:nvPicPr>
                              <pic:blipFill>
                                <a:blip r:embed="rId52"/>
                                <a:stretch>
                                  <a:fillRect/>
                                </a:stretch>
                              </pic:blipFill>
                              <pic:spPr>
                                <a:xfrm>
                                  <a:off x="0" y="0"/>
                                  <a:ext cx="5259070" cy="6805930"/>
                                </a:xfrm>
                                <a:prstGeom prst="rect">
                                  <a:avLst/>
                                </a:prstGeom>
                              </pic:spPr>
                            </pic:pic>
                          </a:graphicData>
                        </a:graphic>
                      </wp:inline>
                    </w:drawing>
                  </w:r>
                </w:p>
              </w:tc>
            </w:tr>
            <w:tr w14:paraId="49140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20" w:type="dxa"/>
                  <w:gridSpan w:val="9"/>
                  <w:tcBorders>
                    <w:tl2br w:val="nil"/>
                    <w:tr2bl w:val="nil"/>
                  </w:tcBorders>
                  <w:noWrap w:val="0"/>
                  <w:vAlign w:val="center"/>
                </w:tcPr>
                <w:p w14:paraId="48A6B300">
                  <w:pPr>
                    <w:keepNext w:val="0"/>
                    <w:keepLines w:val="0"/>
                    <w:widowControl/>
                    <w:suppressLineNumbers w:val="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drawing>
                      <wp:inline distT="0" distB="0" distL="114300" distR="114300">
                        <wp:extent cx="5323840" cy="6889750"/>
                        <wp:effectExtent l="0" t="0" r="10160" b="6350"/>
                        <wp:docPr id="49" name="图片 49" descr="输电线路沿线敏感目标分布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输电线路沿线敏感目标分布图（1）"/>
                                <pic:cNvPicPr>
                                  <a:picLocks noChangeAspect="1"/>
                                </pic:cNvPicPr>
                              </pic:nvPicPr>
                              <pic:blipFill>
                                <a:blip r:embed="rId52"/>
                                <a:stretch>
                                  <a:fillRect/>
                                </a:stretch>
                              </pic:blipFill>
                              <pic:spPr>
                                <a:xfrm>
                                  <a:off x="0" y="0"/>
                                  <a:ext cx="5323840" cy="6889750"/>
                                </a:xfrm>
                                <a:prstGeom prst="rect">
                                  <a:avLst/>
                                </a:prstGeom>
                              </pic:spPr>
                            </pic:pic>
                          </a:graphicData>
                        </a:graphic>
                      </wp:inline>
                    </w:drawing>
                  </w:r>
                </w:p>
              </w:tc>
            </w:tr>
            <w:tr w14:paraId="7E798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20" w:type="dxa"/>
                  <w:gridSpan w:val="9"/>
                  <w:tcBorders>
                    <w:tl2br w:val="nil"/>
                    <w:tr2bl w:val="nil"/>
                  </w:tcBorders>
                  <w:noWrap w:val="0"/>
                  <w:vAlign w:val="center"/>
                </w:tcPr>
                <w:p w14:paraId="00859713">
                  <w:pPr>
                    <w:keepNext w:val="0"/>
                    <w:keepLines w:val="0"/>
                    <w:widowControl/>
                    <w:suppressLineNumbers w:val="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drawing>
                      <wp:inline distT="0" distB="0" distL="114300" distR="114300">
                        <wp:extent cx="5280660" cy="6833870"/>
                        <wp:effectExtent l="0" t="0" r="15240" b="5080"/>
                        <wp:docPr id="50" name="图片 50" descr="输电线路沿线敏感目标分布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输电线路沿线敏感目标分布图（1）"/>
                                <pic:cNvPicPr>
                                  <a:picLocks noChangeAspect="1"/>
                                </pic:cNvPicPr>
                              </pic:nvPicPr>
                              <pic:blipFill>
                                <a:blip r:embed="rId52"/>
                                <a:stretch>
                                  <a:fillRect/>
                                </a:stretch>
                              </pic:blipFill>
                              <pic:spPr>
                                <a:xfrm>
                                  <a:off x="0" y="0"/>
                                  <a:ext cx="5280660" cy="6833870"/>
                                </a:xfrm>
                                <a:prstGeom prst="rect">
                                  <a:avLst/>
                                </a:prstGeom>
                              </pic:spPr>
                            </pic:pic>
                          </a:graphicData>
                        </a:graphic>
                      </wp:inline>
                    </w:drawing>
                  </w:r>
                </w:p>
              </w:tc>
            </w:tr>
          </w:tbl>
          <w:p w14:paraId="69F0197F">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根据现场调查，云雾山330</w:t>
            </w:r>
            <w:r>
              <w:rPr>
                <w:rFonts w:hint="default" w:ascii="Times New Roman" w:hAnsi="Times New Roman" w:eastAsia="宋体" w:cs="Times New Roman"/>
                <w:b w:val="0"/>
                <w:bCs w:val="0"/>
                <w:color w:val="auto"/>
                <w:sz w:val="24"/>
                <w:highlight w:val="none"/>
                <w:lang w:val="en-US" w:eastAsia="zh-CN"/>
              </w:rPr>
              <w:t>千伏</w:t>
            </w:r>
            <w:r>
              <w:rPr>
                <w:rFonts w:hint="default" w:ascii="Times New Roman" w:hAnsi="Times New Roman" w:eastAsia="宋体" w:cs="Times New Roman"/>
                <w:color w:val="auto"/>
                <w:kern w:val="2"/>
                <w:sz w:val="24"/>
                <w:szCs w:val="24"/>
                <w:highlight w:val="none"/>
                <w:lang w:val="en-US" w:eastAsia="zh-CN"/>
              </w:rPr>
              <w:t>变电站110</w:t>
            </w:r>
            <w:r>
              <w:rPr>
                <w:rFonts w:hint="default" w:ascii="Times New Roman" w:hAnsi="Times New Roman" w:eastAsia="宋体" w:cs="Times New Roman"/>
                <w:b w:val="0"/>
                <w:bCs w:val="0"/>
                <w:color w:val="auto"/>
                <w:sz w:val="24"/>
                <w:highlight w:val="none"/>
                <w:lang w:val="en-US" w:eastAsia="zh-CN"/>
              </w:rPr>
              <w:t>千伏</w:t>
            </w:r>
            <w:r>
              <w:rPr>
                <w:rFonts w:hint="default" w:ascii="Times New Roman" w:hAnsi="Times New Roman" w:eastAsia="宋体" w:cs="Times New Roman"/>
                <w:color w:val="auto"/>
                <w:kern w:val="2"/>
                <w:sz w:val="24"/>
                <w:szCs w:val="24"/>
                <w:highlight w:val="none"/>
                <w:lang w:val="en-US" w:eastAsia="zh-CN"/>
              </w:rPr>
              <w:t>间隔扩建工程声环境影响</w:t>
            </w:r>
            <w:r>
              <w:rPr>
                <w:rFonts w:hint="default" w:ascii="Times New Roman" w:hAnsi="Times New Roman" w:eastAsia="宋体" w:cs="Times New Roman"/>
                <w:color w:val="auto"/>
                <w:kern w:val="2"/>
                <w:sz w:val="24"/>
                <w:szCs w:val="24"/>
                <w:highlight w:val="none"/>
                <w:lang w:eastAsia="zh-CN"/>
              </w:rPr>
              <w:t>评价范围内</w:t>
            </w:r>
            <w:r>
              <w:rPr>
                <w:rFonts w:hint="default" w:ascii="Times New Roman" w:hAnsi="Times New Roman" w:eastAsia="宋体" w:cs="Times New Roman"/>
                <w:color w:val="auto"/>
                <w:kern w:val="2"/>
                <w:sz w:val="24"/>
                <w:szCs w:val="24"/>
                <w:highlight w:val="none"/>
                <w:lang w:val="en-US" w:eastAsia="zh-CN"/>
              </w:rPr>
              <w:t>有</w:t>
            </w:r>
            <w:r>
              <w:rPr>
                <w:rFonts w:hint="eastAsia" w:cs="Times New Roman"/>
                <w:color w:val="auto"/>
                <w:kern w:val="2"/>
                <w:sz w:val="24"/>
                <w:szCs w:val="24"/>
                <w:highlight w:val="none"/>
                <w:lang w:val="en-US" w:eastAsia="zh-CN"/>
              </w:rPr>
              <w:t>7</w:t>
            </w:r>
            <w:r>
              <w:rPr>
                <w:rFonts w:hint="default" w:ascii="Times New Roman" w:hAnsi="Times New Roman" w:eastAsia="宋体" w:cs="Times New Roman"/>
                <w:color w:val="auto"/>
                <w:kern w:val="2"/>
                <w:sz w:val="24"/>
                <w:szCs w:val="24"/>
                <w:highlight w:val="none"/>
                <w:lang w:val="en-US" w:eastAsia="zh-CN"/>
              </w:rPr>
              <w:t>处</w:t>
            </w:r>
            <w:r>
              <w:rPr>
                <w:rFonts w:hint="default" w:ascii="Times New Roman" w:hAnsi="Times New Roman" w:eastAsia="宋体" w:cs="Times New Roman"/>
                <w:color w:val="auto"/>
                <w:kern w:val="2"/>
                <w:sz w:val="24"/>
                <w:szCs w:val="24"/>
                <w:highlight w:val="none"/>
              </w:rPr>
              <w:t>声环境</w:t>
            </w:r>
            <w:r>
              <w:rPr>
                <w:rFonts w:hint="default" w:ascii="Times New Roman" w:hAnsi="Times New Roman" w:eastAsia="宋体" w:cs="Times New Roman"/>
                <w:color w:val="auto"/>
                <w:kern w:val="2"/>
                <w:sz w:val="24"/>
                <w:szCs w:val="24"/>
                <w:highlight w:val="none"/>
                <w:lang w:val="en-US" w:eastAsia="zh-CN"/>
              </w:rPr>
              <w:t>保护</w:t>
            </w:r>
            <w:r>
              <w:rPr>
                <w:rFonts w:hint="default" w:ascii="Times New Roman" w:hAnsi="Times New Roman" w:eastAsia="宋体" w:cs="Times New Roman"/>
                <w:color w:val="auto"/>
                <w:kern w:val="2"/>
                <w:sz w:val="24"/>
                <w:szCs w:val="24"/>
                <w:highlight w:val="none"/>
              </w:rPr>
              <w:t>目标</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具体见表</w:t>
            </w:r>
            <w:r>
              <w:rPr>
                <w:rFonts w:hint="eastAsia" w:cs="Times New Roman"/>
                <w:color w:val="auto"/>
                <w:kern w:val="2"/>
                <w:sz w:val="24"/>
                <w:szCs w:val="24"/>
                <w:highlight w:val="none"/>
                <w:lang w:val="en-US" w:eastAsia="zh-CN"/>
              </w:rPr>
              <w:t>3-13，附图3-5</w:t>
            </w:r>
            <w:r>
              <w:rPr>
                <w:rFonts w:hint="default" w:ascii="Times New Roman" w:hAnsi="Times New Roman" w:eastAsia="宋体" w:cs="Times New Roman"/>
                <w:color w:val="auto"/>
                <w:kern w:val="2"/>
                <w:sz w:val="24"/>
                <w:szCs w:val="24"/>
                <w:highlight w:val="none"/>
                <w:lang w:val="en-US" w:eastAsia="zh-CN"/>
              </w:rPr>
              <w:t>。</w:t>
            </w:r>
          </w:p>
          <w:p w14:paraId="4FEE1A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表3-13 云雾山330千伏变电站11</w:t>
            </w:r>
            <w:r>
              <w:rPr>
                <w:rFonts w:hint="eastAsia" w:cs="Times New Roman"/>
                <w:b/>
                <w:bCs/>
                <w:color w:val="auto"/>
                <w:sz w:val="24"/>
                <w:highlight w:val="none"/>
                <w:lang w:val="en-US" w:eastAsia="zh-CN"/>
              </w:rPr>
              <w:t>0</w:t>
            </w:r>
            <w:r>
              <w:rPr>
                <w:rFonts w:hint="default" w:ascii="Times New Roman" w:hAnsi="Times New Roman" w:eastAsia="宋体" w:cs="Times New Roman"/>
                <w:b/>
                <w:bCs/>
                <w:color w:val="auto"/>
                <w:sz w:val="24"/>
                <w:highlight w:val="none"/>
                <w:lang w:val="en-US" w:eastAsia="zh-CN"/>
              </w:rPr>
              <w:t>千伏间隔扩建工程声环境敏感目标一览表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968"/>
              <w:gridCol w:w="758"/>
              <w:gridCol w:w="679"/>
              <w:gridCol w:w="459"/>
              <w:gridCol w:w="858"/>
              <w:gridCol w:w="935"/>
              <w:gridCol w:w="990"/>
              <w:gridCol w:w="2479"/>
            </w:tblGrid>
            <w:tr w14:paraId="4412FC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48" w:type="pct"/>
                  <w:vMerge w:val="restart"/>
                  <w:tcBorders>
                    <w:tl2br w:val="nil"/>
                    <w:tr2bl w:val="nil"/>
                  </w:tcBorders>
                  <w:noWrap w:val="0"/>
                  <w:vAlign w:val="center"/>
                </w:tcPr>
                <w:p w14:paraId="3474E0C8">
                  <w:pPr>
                    <w:autoSpaceDE w:val="0"/>
                    <w:autoSpaceDN w:val="0"/>
                    <w:adjustRightInd w:val="0"/>
                    <w:jc w:val="center"/>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序号</w:t>
                  </w:r>
                </w:p>
              </w:tc>
              <w:tc>
                <w:tcPr>
                  <w:tcW w:w="566" w:type="pct"/>
                  <w:vMerge w:val="restart"/>
                  <w:tcBorders>
                    <w:tl2br w:val="nil"/>
                    <w:tr2bl w:val="nil"/>
                  </w:tcBorders>
                  <w:noWrap w:val="0"/>
                  <w:vAlign w:val="center"/>
                </w:tcPr>
                <w:p w14:paraId="0BA6DCF5">
                  <w:pPr>
                    <w:keepNext w:val="0"/>
                    <w:keepLines w:val="0"/>
                    <w:pageBreakBefore w:val="0"/>
                    <w:widowControl w:val="0"/>
                    <w:kinsoku/>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声环境保护目标名称</w:t>
                  </w:r>
                </w:p>
              </w:tc>
              <w:tc>
                <w:tcPr>
                  <w:tcW w:w="1108" w:type="pct"/>
                  <w:gridSpan w:val="3"/>
                  <w:tcBorders>
                    <w:tl2br w:val="nil"/>
                    <w:tr2bl w:val="nil"/>
                  </w:tcBorders>
                  <w:noWrap w:val="0"/>
                  <w:vAlign w:val="center"/>
                </w:tcPr>
                <w:p w14:paraId="7F66F68D">
                  <w:pPr>
                    <w:keepNext w:val="0"/>
                    <w:keepLines w:val="0"/>
                    <w:pageBreakBefore w:val="0"/>
                    <w:widowControl w:val="0"/>
                    <w:kinsoku/>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空间相对位置/m*</w:t>
                  </w:r>
                </w:p>
              </w:tc>
              <w:tc>
                <w:tcPr>
                  <w:tcW w:w="501" w:type="pct"/>
                  <w:vMerge w:val="restart"/>
                  <w:tcBorders>
                    <w:tl2br w:val="nil"/>
                    <w:tr2bl w:val="nil"/>
                  </w:tcBorders>
                  <w:noWrap w:val="0"/>
                  <w:vAlign w:val="center"/>
                </w:tcPr>
                <w:p w14:paraId="293F0256">
                  <w:pPr>
                    <w:keepNext w:val="0"/>
                    <w:keepLines w:val="0"/>
                    <w:pageBreakBefore w:val="0"/>
                    <w:widowControl w:val="0"/>
                    <w:kinsoku/>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距站界最近距离/m</w:t>
                  </w:r>
                </w:p>
              </w:tc>
              <w:tc>
                <w:tcPr>
                  <w:tcW w:w="546" w:type="pct"/>
                  <w:vMerge w:val="restart"/>
                  <w:tcBorders>
                    <w:tl2br w:val="nil"/>
                    <w:tr2bl w:val="nil"/>
                  </w:tcBorders>
                  <w:noWrap w:val="0"/>
                  <w:vAlign w:val="center"/>
                </w:tcPr>
                <w:p w14:paraId="4811D611">
                  <w:pPr>
                    <w:keepNext w:val="0"/>
                    <w:keepLines w:val="0"/>
                    <w:pageBreakBefore w:val="0"/>
                    <w:widowControl w:val="0"/>
                    <w:kinsoku/>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方位</w:t>
                  </w:r>
                </w:p>
              </w:tc>
              <w:tc>
                <w:tcPr>
                  <w:tcW w:w="578" w:type="pct"/>
                  <w:vMerge w:val="restart"/>
                  <w:tcBorders>
                    <w:tl2br w:val="nil"/>
                    <w:tr2bl w:val="nil"/>
                  </w:tcBorders>
                  <w:noWrap w:val="0"/>
                  <w:vAlign w:val="center"/>
                </w:tcPr>
                <w:p w14:paraId="4511F389">
                  <w:pPr>
                    <w:keepNext w:val="0"/>
                    <w:keepLines w:val="0"/>
                    <w:pageBreakBefore w:val="0"/>
                    <w:widowControl w:val="0"/>
                    <w:kinsoku/>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执行标准/功能区类别</w:t>
                  </w:r>
                </w:p>
              </w:tc>
              <w:tc>
                <w:tcPr>
                  <w:tcW w:w="1449" w:type="pct"/>
                  <w:vMerge w:val="restart"/>
                  <w:tcBorders>
                    <w:tl2br w:val="nil"/>
                    <w:tr2bl w:val="nil"/>
                  </w:tcBorders>
                  <w:noWrap w:val="0"/>
                  <w:vAlign w:val="center"/>
                </w:tcPr>
                <w:p w14:paraId="14E4FDE1">
                  <w:pPr>
                    <w:keepNext w:val="0"/>
                    <w:keepLines w:val="0"/>
                    <w:pageBreakBefore w:val="0"/>
                    <w:widowControl w:val="0"/>
                    <w:kinsoku/>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声环境保护目标情况说明</w:t>
                  </w:r>
                </w:p>
              </w:tc>
            </w:tr>
            <w:tr w14:paraId="1F2D5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48" w:type="pct"/>
                  <w:vMerge w:val="continue"/>
                  <w:tcBorders>
                    <w:tl2br w:val="nil"/>
                    <w:tr2bl w:val="nil"/>
                  </w:tcBorders>
                  <w:noWrap w:val="0"/>
                  <w:vAlign w:val="center"/>
                </w:tcPr>
                <w:p w14:paraId="25161D41">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566" w:type="pct"/>
                  <w:vMerge w:val="continue"/>
                  <w:tcBorders>
                    <w:tl2br w:val="nil"/>
                    <w:tr2bl w:val="nil"/>
                  </w:tcBorders>
                  <w:noWrap w:val="0"/>
                  <w:vAlign w:val="center"/>
                </w:tcPr>
                <w:p w14:paraId="14E4D6B0">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443" w:type="pct"/>
                  <w:tcBorders>
                    <w:tl2br w:val="nil"/>
                    <w:tr2bl w:val="nil"/>
                  </w:tcBorders>
                  <w:noWrap w:val="0"/>
                  <w:vAlign w:val="center"/>
                </w:tcPr>
                <w:p w14:paraId="0B120C08">
                  <w:pPr>
                    <w:autoSpaceDE w:val="0"/>
                    <w:autoSpaceDN w:val="0"/>
                    <w:adjustRightInd w:val="0"/>
                    <w:jc w:val="center"/>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X</w:t>
                  </w:r>
                </w:p>
              </w:tc>
              <w:tc>
                <w:tcPr>
                  <w:tcW w:w="397" w:type="pct"/>
                  <w:tcBorders>
                    <w:tl2br w:val="nil"/>
                    <w:tr2bl w:val="nil"/>
                  </w:tcBorders>
                  <w:noWrap w:val="0"/>
                  <w:vAlign w:val="center"/>
                </w:tcPr>
                <w:p w14:paraId="6A7715C0">
                  <w:pPr>
                    <w:autoSpaceDE w:val="0"/>
                    <w:autoSpaceDN w:val="0"/>
                    <w:adjustRightInd w:val="0"/>
                    <w:jc w:val="center"/>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Y</w:t>
                  </w:r>
                </w:p>
              </w:tc>
              <w:tc>
                <w:tcPr>
                  <w:tcW w:w="268" w:type="pct"/>
                  <w:tcBorders>
                    <w:tl2br w:val="nil"/>
                    <w:tr2bl w:val="nil"/>
                  </w:tcBorders>
                  <w:noWrap w:val="0"/>
                  <w:vAlign w:val="center"/>
                </w:tcPr>
                <w:p w14:paraId="4DB41A53">
                  <w:pPr>
                    <w:autoSpaceDE w:val="0"/>
                    <w:autoSpaceDN w:val="0"/>
                    <w:adjustRightInd w:val="0"/>
                    <w:jc w:val="center"/>
                    <w:rPr>
                      <w:rFonts w:hint="default" w:ascii="Times New Roman" w:hAnsi="Times New Roman" w:eastAsia="宋体" w:cs="Times New Roman"/>
                      <w:b/>
                      <w:bCs/>
                      <w:color w:val="auto"/>
                      <w:sz w:val="20"/>
                      <w:szCs w:val="22"/>
                      <w:highlight w:val="none"/>
                      <w:lang w:val="en-US" w:eastAsia="zh-CN"/>
                    </w:rPr>
                  </w:pPr>
                  <w:r>
                    <w:rPr>
                      <w:rFonts w:hint="default" w:ascii="Times New Roman" w:hAnsi="Times New Roman" w:eastAsia="宋体" w:cs="Times New Roman"/>
                      <w:b/>
                      <w:bCs/>
                      <w:color w:val="auto"/>
                      <w:sz w:val="20"/>
                      <w:szCs w:val="22"/>
                      <w:highlight w:val="none"/>
                      <w:lang w:val="en-US" w:eastAsia="zh-CN"/>
                    </w:rPr>
                    <w:t>Z</w:t>
                  </w:r>
                </w:p>
              </w:tc>
              <w:tc>
                <w:tcPr>
                  <w:tcW w:w="501" w:type="pct"/>
                  <w:vMerge w:val="continue"/>
                  <w:tcBorders>
                    <w:tl2br w:val="nil"/>
                    <w:tr2bl w:val="nil"/>
                  </w:tcBorders>
                  <w:noWrap w:val="0"/>
                  <w:vAlign w:val="center"/>
                </w:tcPr>
                <w:p w14:paraId="26CEDEBA">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546" w:type="pct"/>
                  <w:vMerge w:val="continue"/>
                  <w:tcBorders>
                    <w:tl2br w:val="nil"/>
                    <w:tr2bl w:val="nil"/>
                  </w:tcBorders>
                  <w:noWrap w:val="0"/>
                  <w:vAlign w:val="center"/>
                </w:tcPr>
                <w:p w14:paraId="15C6CADE">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578" w:type="pct"/>
                  <w:vMerge w:val="continue"/>
                  <w:tcBorders>
                    <w:tl2br w:val="nil"/>
                    <w:tr2bl w:val="nil"/>
                  </w:tcBorders>
                  <w:noWrap w:val="0"/>
                  <w:vAlign w:val="center"/>
                </w:tcPr>
                <w:p w14:paraId="5D038741">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1449" w:type="pct"/>
                  <w:vMerge w:val="continue"/>
                  <w:tcBorders>
                    <w:tl2br w:val="nil"/>
                    <w:tr2bl w:val="nil"/>
                  </w:tcBorders>
                  <w:noWrap w:val="0"/>
                  <w:vAlign w:val="center"/>
                </w:tcPr>
                <w:p w14:paraId="13CBE3D8">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r>
            <w:tr w14:paraId="5676D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48" w:type="pct"/>
                  <w:tcBorders>
                    <w:tl2br w:val="nil"/>
                    <w:tr2bl w:val="nil"/>
                  </w:tcBorders>
                  <w:noWrap w:val="0"/>
                  <w:vAlign w:val="center"/>
                </w:tcPr>
                <w:p w14:paraId="117A6539">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w:t>
                  </w:r>
                </w:p>
              </w:tc>
              <w:tc>
                <w:tcPr>
                  <w:tcW w:w="566" w:type="pct"/>
                  <w:vMerge w:val="restart"/>
                  <w:tcBorders>
                    <w:tl2br w:val="nil"/>
                    <w:tr2bl w:val="nil"/>
                  </w:tcBorders>
                  <w:noWrap w:val="0"/>
                  <w:vAlign w:val="center"/>
                </w:tcPr>
                <w:p w14:paraId="0A4A8DF4">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固原市原州区河川乡上黄村</w:t>
                  </w:r>
                </w:p>
              </w:tc>
              <w:tc>
                <w:tcPr>
                  <w:tcW w:w="443" w:type="pct"/>
                  <w:tcBorders>
                    <w:tl2br w:val="nil"/>
                    <w:tr2bl w:val="nil"/>
                  </w:tcBorders>
                  <w:noWrap w:val="0"/>
                  <w:vAlign w:val="center"/>
                </w:tcPr>
                <w:p w14:paraId="6F082B91">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87</w:t>
                  </w:r>
                </w:p>
              </w:tc>
              <w:tc>
                <w:tcPr>
                  <w:tcW w:w="397" w:type="pct"/>
                  <w:tcBorders>
                    <w:tl2br w:val="nil"/>
                    <w:tr2bl w:val="nil"/>
                  </w:tcBorders>
                  <w:noWrap w:val="0"/>
                  <w:vAlign w:val="center"/>
                </w:tcPr>
                <w:p w14:paraId="77F63BC6">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337</w:t>
                  </w:r>
                </w:p>
              </w:tc>
              <w:tc>
                <w:tcPr>
                  <w:tcW w:w="268" w:type="pct"/>
                  <w:tcBorders>
                    <w:tl2br w:val="nil"/>
                    <w:tr2bl w:val="nil"/>
                  </w:tcBorders>
                  <w:noWrap w:val="0"/>
                  <w:vAlign w:val="center"/>
                </w:tcPr>
                <w:p w14:paraId="52CA441A">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0</w:t>
                  </w:r>
                </w:p>
              </w:tc>
              <w:tc>
                <w:tcPr>
                  <w:tcW w:w="501" w:type="pct"/>
                  <w:tcBorders>
                    <w:tl2br w:val="nil"/>
                    <w:tr2bl w:val="nil"/>
                  </w:tcBorders>
                  <w:noWrap w:val="0"/>
                  <w:vAlign w:val="center"/>
                </w:tcPr>
                <w:p w14:paraId="659615D9">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w:t>
                  </w:r>
                  <w:r>
                    <w:rPr>
                      <w:rFonts w:hint="eastAsia" w:cs="Times New Roman"/>
                      <w:color w:val="auto"/>
                      <w:sz w:val="20"/>
                      <w:szCs w:val="22"/>
                      <w:highlight w:val="none"/>
                      <w:lang w:val="en-US" w:eastAsia="zh-CN"/>
                    </w:rPr>
                    <w:t>63</w:t>
                  </w:r>
                  <w:r>
                    <w:rPr>
                      <w:rFonts w:hint="default" w:ascii="Times New Roman" w:hAnsi="Times New Roman" w:eastAsia="宋体" w:cs="Times New Roman"/>
                      <w:color w:val="auto"/>
                      <w:sz w:val="20"/>
                      <w:szCs w:val="22"/>
                      <w:highlight w:val="none"/>
                      <w:lang w:val="en-US" w:eastAsia="zh-CN"/>
                    </w:rPr>
                    <w:t>m</w:t>
                  </w:r>
                </w:p>
              </w:tc>
              <w:tc>
                <w:tcPr>
                  <w:tcW w:w="546" w:type="pct"/>
                  <w:tcBorders>
                    <w:tl2br w:val="nil"/>
                    <w:tr2bl w:val="nil"/>
                  </w:tcBorders>
                  <w:noWrap w:val="0"/>
                  <w:vAlign w:val="center"/>
                </w:tcPr>
                <w:p w14:paraId="14F5C3CA">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西</w:t>
                  </w:r>
                  <w:r>
                    <w:rPr>
                      <w:rFonts w:hint="default" w:ascii="Times New Roman" w:hAnsi="Times New Roman" w:eastAsia="宋体" w:cs="Times New Roman"/>
                      <w:color w:val="auto"/>
                      <w:sz w:val="20"/>
                      <w:szCs w:val="22"/>
                      <w:highlight w:val="none"/>
                      <w:lang w:val="en-US" w:eastAsia="zh-CN"/>
                    </w:rPr>
                    <w:t>北侧</w:t>
                  </w:r>
                </w:p>
              </w:tc>
              <w:tc>
                <w:tcPr>
                  <w:tcW w:w="578" w:type="pct"/>
                  <w:vMerge w:val="restart"/>
                  <w:tcBorders>
                    <w:tl2br w:val="nil"/>
                    <w:tr2bl w:val="nil"/>
                  </w:tcBorders>
                  <w:noWrap w:val="0"/>
                  <w:vAlign w:val="center"/>
                </w:tcPr>
                <w:p w14:paraId="0CC35F4E">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《声环境质量标准》</w:t>
                  </w:r>
                </w:p>
                <w:p w14:paraId="7255DE07">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（GB3096-2008）1类</w:t>
                  </w:r>
                  <w:r>
                    <w:rPr>
                      <w:rFonts w:hint="default" w:ascii="Times New Roman" w:hAnsi="Times New Roman" w:eastAsia="宋体" w:cs="Times New Roman"/>
                      <w:b w:val="0"/>
                      <w:bCs/>
                      <w:color w:val="auto"/>
                      <w:kern w:val="0"/>
                      <w:sz w:val="20"/>
                      <w:szCs w:val="20"/>
                      <w:highlight w:val="none"/>
                      <w:lang w:val="en-US" w:eastAsia="zh-CN"/>
                    </w:rPr>
                    <w:t>（</w:t>
                  </w:r>
                  <w:r>
                    <w:rPr>
                      <w:rFonts w:hint="default" w:ascii="Times New Roman" w:hAnsi="Times New Roman" w:eastAsia="宋体" w:cs="Times New Roman"/>
                      <w:color w:val="auto"/>
                      <w:kern w:val="2"/>
                      <w:sz w:val="20"/>
                      <w:szCs w:val="20"/>
                      <w:highlight w:val="none"/>
                      <w:lang w:val="en-US" w:eastAsia="zh-CN"/>
                    </w:rPr>
                    <w:t>昼间55dB</w:t>
                  </w:r>
                  <w:r>
                    <w:rPr>
                      <w:rFonts w:hint="eastAsia" w:cs="Times New Roman"/>
                      <w:color w:val="auto"/>
                      <w:kern w:val="2"/>
                      <w:sz w:val="20"/>
                      <w:szCs w:val="20"/>
                      <w:highlight w:val="none"/>
                      <w:lang w:val="en-US" w:eastAsia="zh-CN"/>
                    </w:rPr>
                    <w:t>(A)</w:t>
                  </w:r>
                  <w:r>
                    <w:rPr>
                      <w:rFonts w:hint="default" w:ascii="Times New Roman" w:hAnsi="Times New Roman" w:eastAsia="宋体" w:cs="Times New Roman"/>
                      <w:color w:val="auto"/>
                      <w:kern w:val="2"/>
                      <w:sz w:val="20"/>
                      <w:szCs w:val="20"/>
                      <w:highlight w:val="none"/>
                      <w:lang w:val="en-US" w:eastAsia="zh-CN"/>
                    </w:rPr>
                    <w:t>、夜间45dB</w:t>
                  </w:r>
                  <w:r>
                    <w:rPr>
                      <w:rFonts w:hint="eastAsia" w:cs="Times New Roman"/>
                      <w:color w:val="auto"/>
                      <w:kern w:val="2"/>
                      <w:sz w:val="20"/>
                      <w:szCs w:val="20"/>
                      <w:highlight w:val="none"/>
                      <w:lang w:val="en-US" w:eastAsia="zh-CN"/>
                    </w:rPr>
                    <w:t>(A)</w:t>
                  </w:r>
                  <w:r>
                    <w:rPr>
                      <w:rFonts w:hint="default" w:ascii="Times New Roman" w:hAnsi="Times New Roman" w:eastAsia="宋体" w:cs="Times New Roman"/>
                      <w:b w:val="0"/>
                      <w:bCs/>
                      <w:color w:val="auto"/>
                      <w:kern w:val="0"/>
                      <w:sz w:val="20"/>
                      <w:szCs w:val="20"/>
                      <w:highlight w:val="none"/>
                      <w:lang w:val="en-US" w:eastAsia="zh-CN"/>
                    </w:rPr>
                    <w:t>）</w:t>
                  </w:r>
                </w:p>
              </w:tc>
              <w:tc>
                <w:tcPr>
                  <w:tcW w:w="1449" w:type="pct"/>
                  <w:tcBorders>
                    <w:tl2br w:val="nil"/>
                    <w:tr2bl w:val="nil"/>
                  </w:tcBorders>
                  <w:noWrap w:val="0"/>
                  <w:vAlign w:val="center"/>
                </w:tcPr>
                <w:p w14:paraId="5ED0D6DC">
                  <w:pPr>
                    <w:autoSpaceDE w:val="0"/>
                    <w:autoSpaceDN w:val="0"/>
                    <w:adjustRightInd w:val="0"/>
                    <w:jc w:val="both"/>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1户民房（黄明子家），1层尖顶（房高4.5m）</w:t>
                  </w:r>
                </w:p>
              </w:tc>
            </w:tr>
            <w:tr w14:paraId="6797C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48" w:type="pct"/>
                  <w:tcBorders>
                    <w:tl2br w:val="nil"/>
                    <w:tr2bl w:val="nil"/>
                  </w:tcBorders>
                  <w:noWrap w:val="0"/>
                  <w:vAlign w:val="center"/>
                </w:tcPr>
                <w:p w14:paraId="3B253527">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2#</w:t>
                  </w:r>
                </w:p>
              </w:tc>
              <w:tc>
                <w:tcPr>
                  <w:tcW w:w="566" w:type="pct"/>
                  <w:vMerge w:val="continue"/>
                  <w:tcBorders>
                    <w:tl2br w:val="nil"/>
                    <w:tr2bl w:val="nil"/>
                  </w:tcBorders>
                  <w:noWrap w:val="0"/>
                  <w:vAlign w:val="center"/>
                </w:tcPr>
                <w:p w14:paraId="71055E6F">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443" w:type="pct"/>
                  <w:tcBorders>
                    <w:tl2br w:val="nil"/>
                    <w:tr2bl w:val="nil"/>
                  </w:tcBorders>
                  <w:noWrap w:val="0"/>
                  <w:vAlign w:val="center"/>
                </w:tcPr>
                <w:p w14:paraId="7CDB6BBE">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-59</w:t>
                  </w:r>
                </w:p>
              </w:tc>
              <w:tc>
                <w:tcPr>
                  <w:tcW w:w="397" w:type="pct"/>
                  <w:tcBorders>
                    <w:tl2br w:val="nil"/>
                    <w:tr2bl w:val="nil"/>
                  </w:tcBorders>
                  <w:noWrap w:val="0"/>
                  <w:vAlign w:val="center"/>
                </w:tcPr>
                <w:p w14:paraId="1FFB2EBC">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337</w:t>
                  </w:r>
                </w:p>
              </w:tc>
              <w:tc>
                <w:tcPr>
                  <w:tcW w:w="268" w:type="pct"/>
                  <w:tcBorders>
                    <w:tl2br w:val="nil"/>
                    <w:tr2bl w:val="nil"/>
                  </w:tcBorders>
                  <w:noWrap w:val="0"/>
                  <w:vAlign w:val="center"/>
                </w:tcPr>
                <w:p w14:paraId="2AE82040">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0</w:t>
                  </w:r>
                </w:p>
              </w:tc>
              <w:tc>
                <w:tcPr>
                  <w:tcW w:w="501" w:type="pct"/>
                  <w:tcBorders>
                    <w:tl2br w:val="nil"/>
                    <w:tr2bl w:val="nil"/>
                  </w:tcBorders>
                  <w:noWrap w:val="0"/>
                  <w:vAlign w:val="center"/>
                </w:tcPr>
                <w:p w14:paraId="4AA68909">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w:t>
                  </w:r>
                  <w:r>
                    <w:rPr>
                      <w:rFonts w:hint="eastAsia" w:cs="Times New Roman"/>
                      <w:color w:val="auto"/>
                      <w:sz w:val="20"/>
                      <w:szCs w:val="22"/>
                      <w:highlight w:val="none"/>
                      <w:lang w:val="en-US" w:eastAsia="zh-CN"/>
                    </w:rPr>
                    <w:t>80</w:t>
                  </w:r>
                  <w:r>
                    <w:rPr>
                      <w:rFonts w:hint="default" w:ascii="Times New Roman" w:hAnsi="Times New Roman" w:eastAsia="宋体" w:cs="Times New Roman"/>
                      <w:color w:val="auto"/>
                      <w:sz w:val="20"/>
                      <w:szCs w:val="22"/>
                      <w:highlight w:val="none"/>
                      <w:lang w:val="en-US" w:eastAsia="zh-CN"/>
                    </w:rPr>
                    <w:t>m</w:t>
                  </w:r>
                </w:p>
              </w:tc>
              <w:tc>
                <w:tcPr>
                  <w:tcW w:w="546" w:type="pct"/>
                  <w:tcBorders>
                    <w:tl2br w:val="nil"/>
                    <w:tr2bl w:val="nil"/>
                  </w:tcBorders>
                  <w:noWrap w:val="0"/>
                  <w:vAlign w:val="center"/>
                </w:tcPr>
                <w:p w14:paraId="0EA04BD0">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西北侧</w:t>
                  </w:r>
                </w:p>
              </w:tc>
              <w:tc>
                <w:tcPr>
                  <w:tcW w:w="578" w:type="pct"/>
                  <w:vMerge w:val="continue"/>
                  <w:tcBorders>
                    <w:tl2br w:val="nil"/>
                    <w:tr2bl w:val="nil"/>
                  </w:tcBorders>
                  <w:noWrap w:val="0"/>
                  <w:vAlign w:val="center"/>
                </w:tcPr>
                <w:p w14:paraId="19E7388A">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1449" w:type="pct"/>
                  <w:tcBorders>
                    <w:tl2br w:val="nil"/>
                    <w:tr2bl w:val="nil"/>
                  </w:tcBorders>
                  <w:noWrap w:val="0"/>
                  <w:vAlign w:val="center"/>
                </w:tcPr>
                <w:p w14:paraId="12306404">
                  <w:pPr>
                    <w:autoSpaceDE w:val="0"/>
                    <w:autoSpaceDN w:val="0"/>
                    <w:adjustRightInd w:val="0"/>
                    <w:jc w:val="both"/>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1户民房（黄正吉家），1层尖顶（房高4.5m）</w:t>
                  </w:r>
                </w:p>
              </w:tc>
            </w:tr>
            <w:tr w14:paraId="5E129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48" w:type="pct"/>
                  <w:tcBorders>
                    <w:tl2br w:val="nil"/>
                    <w:tr2bl w:val="nil"/>
                  </w:tcBorders>
                  <w:noWrap w:val="0"/>
                  <w:vAlign w:val="center"/>
                </w:tcPr>
                <w:p w14:paraId="1926483B">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3#</w:t>
                  </w:r>
                </w:p>
              </w:tc>
              <w:tc>
                <w:tcPr>
                  <w:tcW w:w="566" w:type="pct"/>
                  <w:vMerge w:val="continue"/>
                  <w:tcBorders>
                    <w:tl2br w:val="nil"/>
                    <w:tr2bl w:val="nil"/>
                  </w:tcBorders>
                  <w:noWrap w:val="0"/>
                  <w:vAlign w:val="center"/>
                </w:tcPr>
                <w:p w14:paraId="518E8DA0">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443" w:type="pct"/>
                  <w:tcBorders>
                    <w:tl2br w:val="nil"/>
                    <w:tr2bl w:val="nil"/>
                  </w:tcBorders>
                  <w:noWrap w:val="0"/>
                  <w:vAlign w:val="center"/>
                </w:tcPr>
                <w:p w14:paraId="11AFCDDB">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-129</w:t>
                  </w:r>
                </w:p>
              </w:tc>
              <w:tc>
                <w:tcPr>
                  <w:tcW w:w="397" w:type="pct"/>
                  <w:tcBorders>
                    <w:tl2br w:val="nil"/>
                    <w:tr2bl w:val="nil"/>
                  </w:tcBorders>
                  <w:noWrap w:val="0"/>
                  <w:vAlign w:val="center"/>
                </w:tcPr>
                <w:p w14:paraId="627AF5F7">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246</w:t>
                  </w:r>
                </w:p>
              </w:tc>
              <w:tc>
                <w:tcPr>
                  <w:tcW w:w="268" w:type="pct"/>
                  <w:tcBorders>
                    <w:tl2br w:val="nil"/>
                    <w:tr2bl w:val="nil"/>
                  </w:tcBorders>
                  <w:noWrap w:val="0"/>
                  <w:vAlign w:val="center"/>
                </w:tcPr>
                <w:p w14:paraId="5C974736">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0</w:t>
                  </w:r>
                </w:p>
              </w:tc>
              <w:tc>
                <w:tcPr>
                  <w:tcW w:w="501" w:type="pct"/>
                  <w:tcBorders>
                    <w:tl2br w:val="nil"/>
                    <w:tr2bl w:val="nil"/>
                  </w:tcBorders>
                  <w:noWrap w:val="0"/>
                  <w:vAlign w:val="center"/>
                </w:tcPr>
                <w:p w14:paraId="7C7B1D92">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w:t>
                  </w:r>
                  <w:r>
                    <w:rPr>
                      <w:rFonts w:hint="eastAsia" w:cs="Times New Roman"/>
                      <w:color w:val="auto"/>
                      <w:sz w:val="20"/>
                      <w:szCs w:val="22"/>
                      <w:highlight w:val="none"/>
                      <w:lang w:val="en-US" w:eastAsia="zh-CN"/>
                    </w:rPr>
                    <w:t>72</w:t>
                  </w:r>
                  <w:r>
                    <w:rPr>
                      <w:rFonts w:hint="default" w:ascii="Times New Roman" w:hAnsi="Times New Roman" w:eastAsia="宋体" w:cs="Times New Roman"/>
                      <w:color w:val="auto"/>
                      <w:sz w:val="20"/>
                      <w:szCs w:val="22"/>
                      <w:highlight w:val="none"/>
                      <w:lang w:val="en-US" w:eastAsia="zh-CN"/>
                    </w:rPr>
                    <w:t>m</w:t>
                  </w:r>
                </w:p>
              </w:tc>
              <w:tc>
                <w:tcPr>
                  <w:tcW w:w="546" w:type="pct"/>
                  <w:tcBorders>
                    <w:tl2br w:val="nil"/>
                    <w:tr2bl w:val="nil"/>
                  </w:tcBorders>
                  <w:noWrap w:val="0"/>
                  <w:vAlign w:val="center"/>
                </w:tcPr>
                <w:p w14:paraId="08B13EC0">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西北侧</w:t>
                  </w:r>
                </w:p>
              </w:tc>
              <w:tc>
                <w:tcPr>
                  <w:tcW w:w="578" w:type="pct"/>
                  <w:vMerge w:val="continue"/>
                  <w:tcBorders>
                    <w:tl2br w:val="nil"/>
                    <w:tr2bl w:val="nil"/>
                  </w:tcBorders>
                  <w:noWrap w:val="0"/>
                  <w:vAlign w:val="center"/>
                </w:tcPr>
                <w:p w14:paraId="67A64D4B">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1449" w:type="pct"/>
                  <w:tcBorders>
                    <w:tl2br w:val="nil"/>
                    <w:tr2bl w:val="nil"/>
                  </w:tcBorders>
                  <w:noWrap w:val="0"/>
                  <w:vAlign w:val="center"/>
                </w:tcPr>
                <w:p w14:paraId="25C01BB8">
                  <w:pPr>
                    <w:autoSpaceDE w:val="0"/>
                    <w:autoSpaceDN w:val="0"/>
                    <w:adjustRightInd w:val="0"/>
                    <w:jc w:val="both"/>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1户民房（黄</w:t>
                  </w:r>
                  <w:r>
                    <w:rPr>
                      <w:rFonts w:hint="eastAsia" w:cs="Times New Roman"/>
                      <w:color w:val="auto"/>
                      <w:sz w:val="20"/>
                      <w:szCs w:val="22"/>
                      <w:highlight w:val="none"/>
                      <w:lang w:val="en-US" w:eastAsia="zh-CN"/>
                    </w:rPr>
                    <w:t>文辉</w:t>
                  </w:r>
                  <w:r>
                    <w:rPr>
                      <w:rFonts w:hint="default" w:ascii="Times New Roman" w:hAnsi="Times New Roman" w:eastAsia="宋体" w:cs="Times New Roman"/>
                      <w:color w:val="auto"/>
                      <w:sz w:val="20"/>
                      <w:szCs w:val="22"/>
                      <w:highlight w:val="none"/>
                      <w:lang w:val="en-US" w:eastAsia="zh-CN"/>
                    </w:rPr>
                    <w:t>家），1层尖顶（房高4.5m）</w:t>
                  </w:r>
                </w:p>
              </w:tc>
            </w:tr>
            <w:tr w14:paraId="11F4EF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48" w:type="pct"/>
                  <w:tcBorders>
                    <w:tl2br w:val="nil"/>
                    <w:tr2bl w:val="nil"/>
                  </w:tcBorders>
                  <w:noWrap w:val="0"/>
                  <w:vAlign w:val="center"/>
                </w:tcPr>
                <w:p w14:paraId="1C49E971">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4#</w:t>
                  </w:r>
                </w:p>
              </w:tc>
              <w:tc>
                <w:tcPr>
                  <w:tcW w:w="566" w:type="pct"/>
                  <w:vMerge w:val="continue"/>
                  <w:tcBorders>
                    <w:tl2br w:val="nil"/>
                    <w:tr2bl w:val="nil"/>
                  </w:tcBorders>
                  <w:noWrap w:val="0"/>
                  <w:vAlign w:val="center"/>
                </w:tcPr>
                <w:p w14:paraId="19BF48EC">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443" w:type="pct"/>
                  <w:tcBorders>
                    <w:tl2br w:val="nil"/>
                    <w:tr2bl w:val="nil"/>
                  </w:tcBorders>
                  <w:noWrap w:val="0"/>
                  <w:vAlign w:val="center"/>
                </w:tcPr>
                <w:p w14:paraId="10F066B2">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-131</w:t>
                  </w:r>
                </w:p>
              </w:tc>
              <w:tc>
                <w:tcPr>
                  <w:tcW w:w="397" w:type="pct"/>
                  <w:tcBorders>
                    <w:tl2br w:val="nil"/>
                    <w:tr2bl w:val="nil"/>
                  </w:tcBorders>
                  <w:noWrap w:val="0"/>
                  <w:vAlign w:val="center"/>
                </w:tcPr>
                <w:p w14:paraId="437D5771">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252</w:t>
                  </w:r>
                </w:p>
              </w:tc>
              <w:tc>
                <w:tcPr>
                  <w:tcW w:w="268" w:type="pct"/>
                  <w:tcBorders>
                    <w:tl2br w:val="nil"/>
                    <w:tr2bl w:val="nil"/>
                  </w:tcBorders>
                  <w:noWrap w:val="0"/>
                  <w:vAlign w:val="center"/>
                </w:tcPr>
                <w:p w14:paraId="201AF69D">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0</w:t>
                  </w:r>
                </w:p>
              </w:tc>
              <w:tc>
                <w:tcPr>
                  <w:tcW w:w="501" w:type="pct"/>
                  <w:tcBorders>
                    <w:tl2br w:val="nil"/>
                    <w:tr2bl w:val="nil"/>
                  </w:tcBorders>
                  <w:noWrap w:val="0"/>
                  <w:vAlign w:val="center"/>
                </w:tcPr>
                <w:p w14:paraId="1D51E4FE">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w:t>
                  </w:r>
                  <w:r>
                    <w:rPr>
                      <w:rFonts w:hint="eastAsia" w:cs="Times New Roman"/>
                      <w:color w:val="auto"/>
                      <w:sz w:val="20"/>
                      <w:szCs w:val="22"/>
                      <w:highlight w:val="none"/>
                      <w:lang w:val="en-US" w:eastAsia="zh-CN"/>
                    </w:rPr>
                    <w:t>85</w:t>
                  </w:r>
                  <w:r>
                    <w:rPr>
                      <w:rFonts w:hint="default" w:ascii="Times New Roman" w:hAnsi="Times New Roman" w:eastAsia="宋体" w:cs="Times New Roman"/>
                      <w:color w:val="auto"/>
                      <w:sz w:val="20"/>
                      <w:szCs w:val="22"/>
                      <w:highlight w:val="none"/>
                      <w:lang w:val="en-US" w:eastAsia="zh-CN"/>
                    </w:rPr>
                    <w:t>m</w:t>
                  </w:r>
                </w:p>
              </w:tc>
              <w:tc>
                <w:tcPr>
                  <w:tcW w:w="546" w:type="pct"/>
                  <w:tcBorders>
                    <w:tl2br w:val="nil"/>
                    <w:tr2bl w:val="nil"/>
                  </w:tcBorders>
                  <w:noWrap w:val="0"/>
                  <w:vAlign w:val="center"/>
                </w:tcPr>
                <w:p w14:paraId="5E35339F">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西北侧</w:t>
                  </w:r>
                </w:p>
              </w:tc>
              <w:tc>
                <w:tcPr>
                  <w:tcW w:w="578" w:type="pct"/>
                  <w:vMerge w:val="continue"/>
                  <w:tcBorders>
                    <w:tl2br w:val="nil"/>
                    <w:tr2bl w:val="nil"/>
                  </w:tcBorders>
                  <w:noWrap w:val="0"/>
                  <w:vAlign w:val="center"/>
                </w:tcPr>
                <w:p w14:paraId="52508A6F">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1449" w:type="pct"/>
                  <w:tcBorders>
                    <w:tl2br w:val="nil"/>
                    <w:tr2bl w:val="nil"/>
                  </w:tcBorders>
                  <w:noWrap w:val="0"/>
                  <w:vAlign w:val="center"/>
                </w:tcPr>
                <w:p w14:paraId="79551249">
                  <w:pPr>
                    <w:autoSpaceDE w:val="0"/>
                    <w:autoSpaceDN w:val="0"/>
                    <w:adjustRightInd w:val="0"/>
                    <w:jc w:val="both"/>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1户民房（黄</w:t>
                  </w:r>
                  <w:r>
                    <w:rPr>
                      <w:rFonts w:hint="eastAsia" w:cs="Times New Roman"/>
                      <w:color w:val="auto"/>
                      <w:sz w:val="20"/>
                      <w:szCs w:val="22"/>
                      <w:highlight w:val="none"/>
                      <w:lang w:val="en-US" w:eastAsia="zh-CN"/>
                    </w:rPr>
                    <w:t>吉</w:t>
                  </w:r>
                  <w:r>
                    <w:rPr>
                      <w:rFonts w:hint="default" w:ascii="Times New Roman" w:hAnsi="Times New Roman" w:eastAsia="宋体" w:cs="Times New Roman"/>
                      <w:color w:val="auto"/>
                      <w:sz w:val="20"/>
                      <w:szCs w:val="22"/>
                      <w:highlight w:val="none"/>
                      <w:lang w:val="en-US" w:eastAsia="zh-CN"/>
                    </w:rPr>
                    <w:t>家），1层尖顶（房高4.5m）</w:t>
                  </w:r>
                </w:p>
              </w:tc>
            </w:tr>
            <w:tr w14:paraId="674A26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48" w:type="pct"/>
                  <w:tcBorders>
                    <w:tl2br w:val="nil"/>
                    <w:tr2bl w:val="nil"/>
                  </w:tcBorders>
                  <w:shd w:val="clear" w:color="auto" w:fill="auto"/>
                  <w:noWrap w:val="0"/>
                  <w:vAlign w:val="center"/>
                </w:tcPr>
                <w:p w14:paraId="4591C34D">
                  <w:pPr>
                    <w:autoSpaceDE w:val="0"/>
                    <w:autoSpaceDN w:val="0"/>
                    <w:adjustRightInd w:val="0"/>
                    <w:jc w:val="center"/>
                    <w:rPr>
                      <w:rFonts w:hint="eastAsia" w:ascii="Times New Roman" w:hAnsi="Times New Roman" w:eastAsia="宋体" w:cs="Times New Roman"/>
                      <w:color w:val="auto"/>
                      <w:kern w:val="2"/>
                      <w:sz w:val="20"/>
                      <w:szCs w:val="22"/>
                      <w:highlight w:val="none"/>
                      <w:lang w:val="en-US" w:eastAsia="zh-CN" w:bidi="ar-SA"/>
                    </w:rPr>
                  </w:pPr>
                  <w:r>
                    <w:rPr>
                      <w:rFonts w:hint="eastAsia" w:cs="Times New Roman"/>
                      <w:color w:val="auto"/>
                      <w:sz w:val="20"/>
                      <w:szCs w:val="22"/>
                      <w:highlight w:val="none"/>
                      <w:lang w:val="en-US" w:eastAsia="zh-CN"/>
                    </w:rPr>
                    <w:t>5#</w:t>
                  </w:r>
                </w:p>
              </w:tc>
              <w:tc>
                <w:tcPr>
                  <w:tcW w:w="566" w:type="pct"/>
                  <w:vMerge w:val="continue"/>
                  <w:tcBorders>
                    <w:tl2br w:val="nil"/>
                    <w:tr2bl w:val="nil"/>
                  </w:tcBorders>
                  <w:noWrap w:val="0"/>
                  <w:vAlign w:val="center"/>
                </w:tcPr>
                <w:p w14:paraId="01C01CEF">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443" w:type="pct"/>
                  <w:tcBorders>
                    <w:tl2br w:val="nil"/>
                    <w:tr2bl w:val="nil"/>
                  </w:tcBorders>
                  <w:noWrap w:val="0"/>
                  <w:vAlign w:val="center"/>
                </w:tcPr>
                <w:p w14:paraId="6BB086C5">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-110</w:t>
                  </w:r>
                </w:p>
              </w:tc>
              <w:tc>
                <w:tcPr>
                  <w:tcW w:w="397" w:type="pct"/>
                  <w:tcBorders>
                    <w:tl2br w:val="nil"/>
                    <w:tr2bl w:val="nil"/>
                  </w:tcBorders>
                  <w:noWrap w:val="0"/>
                  <w:vAlign w:val="center"/>
                </w:tcPr>
                <w:p w14:paraId="3F44F91F">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267</w:t>
                  </w:r>
                </w:p>
              </w:tc>
              <w:tc>
                <w:tcPr>
                  <w:tcW w:w="268" w:type="pct"/>
                  <w:tcBorders>
                    <w:tl2br w:val="nil"/>
                    <w:tr2bl w:val="nil"/>
                  </w:tcBorders>
                  <w:noWrap w:val="0"/>
                  <w:vAlign w:val="center"/>
                </w:tcPr>
                <w:p w14:paraId="5990138A">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0</w:t>
                  </w:r>
                </w:p>
              </w:tc>
              <w:tc>
                <w:tcPr>
                  <w:tcW w:w="501" w:type="pct"/>
                  <w:tcBorders>
                    <w:tl2br w:val="nil"/>
                    <w:tr2bl w:val="nil"/>
                  </w:tcBorders>
                  <w:noWrap w:val="0"/>
                  <w:vAlign w:val="center"/>
                </w:tcPr>
                <w:p w14:paraId="22F34369">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198m</w:t>
                  </w:r>
                </w:p>
              </w:tc>
              <w:tc>
                <w:tcPr>
                  <w:tcW w:w="546" w:type="pct"/>
                  <w:tcBorders>
                    <w:tl2br w:val="nil"/>
                    <w:tr2bl w:val="nil"/>
                  </w:tcBorders>
                  <w:noWrap w:val="0"/>
                  <w:vAlign w:val="center"/>
                </w:tcPr>
                <w:p w14:paraId="5B72A897">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西北侧</w:t>
                  </w:r>
                </w:p>
              </w:tc>
              <w:tc>
                <w:tcPr>
                  <w:tcW w:w="578" w:type="pct"/>
                  <w:vMerge w:val="continue"/>
                  <w:tcBorders>
                    <w:tl2br w:val="nil"/>
                    <w:tr2bl w:val="nil"/>
                  </w:tcBorders>
                  <w:noWrap w:val="0"/>
                  <w:vAlign w:val="center"/>
                </w:tcPr>
                <w:p w14:paraId="258CD387">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1449" w:type="pct"/>
                  <w:tcBorders>
                    <w:tl2br w:val="nil"/>
                    <w:tr2bl w:val="nil"/>
                  </w:tcBorders>
                  <w:noWrap w:val="0"/>
                  <w:vAlign w:val="center"/>
                </w:tcPr>
                <w:p w14:paraId="7B02E2A2">
                  <w:pPr>
                    <w:autoSpaceDE w:val="0"/>
                    <w:autoSpaceDN w:val="0"/>
                    <w:adjustRightInd w:val="0"/>
                    <w:jc w:val="both"/>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1户民房（</w:t>
                  </w:r>
                  <w:r>
                    <w:rPr>
                      <w:rFonts w:hint="eastAsia" w:cs="Times New Roman"/>
                      <w:color w:val="auto"/>
                      <w:sz w:val="20"/>
                      <w:szCs w:val="22"/>
                      <w:highlight w:val="none"/>
                      <w:lang w:val="en-US" w:eastAsia="zh-CN"/>
                    </w:rPr>
                    <w:t>王军</w:t>
                  </w:r>
                  <w:r>
                    <w:rPr>
                      <w:rFonts w:hint="default" w:ascii="Times New Roman" w:hAnsi="Times New Roman" w:eastAsia="宋体" w:cs="Times New Roman"/>
                      <w:color w:val="auto"/>
                      <w:sz w:val="20"/>
                      <w:szCs w:val="22"/>
                      <w:highlight w:val="none"/>
                      <w:lang w:val="en-US" w:eastAsia="zh-CN"/>
                    </w:rPr>
                    <w:t>家），1层尖顶（房高4.5m）</w:t>
                  </w:r>
                </w:p>
              </w:tc>
            </w:tr>
            <w:tr w14:paraId="1E712E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48" w:type="pct"/>
                  <w:tcBorders>
                    <w:tl2br w:val="nil"/>
                    <w:tr2bl w:val="nil"/>
                  </w:tcBorders>
                  <w:shd w:val="clear" w:color="auto" w:fill="auto"/>
                  <w:noWrap w:val="0"/>
                  <w:vAlign w:val="center"/>
                </w:tcPr>
                <w:p w14:paraId="08AFF8DA">
                  <w:pPr>
                    <w:autoSpaceDE w:val="0"/>
                    <w:autoSpaceDN w:val="0"/>
                    <w:adjustRightInd w:val="0"/>
                    <w:jc w:val="center"/>
                    <w:rPr>
                      <w:rFonts w:hint="default" w:ascii="Times New Roman" w:hAnsi="Times New Roman" w:eastAsia="宋体" w:cs="Times New Roman"/>
                      <w:color w:val="auto"/>
                      <w:kern w:val="2"/>
                      <w:sz w:val="20"/>
                      <w:szCs w:val="22"/>
                      <w:highlight w:val="none"/>
                      <w:lang w:val="en-US" w:eastAsia="zh-CN" w:bidi="ar-SA"/>
                    </w:rPr>
                  </w:pPr>
                  <w:r>
                    <w:rPr>
                      <w:rFonts w:hint="eastAsia" w:cs="Times New Roman"/>
                      <w:color w:val="auto"/>
                      <w:sz w:val="20"/>
                      <w:szCs w:val="22"/>
                      <w:highlight w:val="none"/>
                      <w:lang w:val="en-US" w:eastAsia="zh-CN"/>
                    </w:rPr>
                    <w:t>6#</w:t>
                  </w:r>
                </w:p>
              </w:tc>
              <w:tc>
                <w:tcPr>
                  <w:tcW w:w="566" w:type="pct"/>
                  <w:vMerge w:val="continue"/>
                  <w:tcBorders>
                    <w:tl2br w:val="nil"/>
                    <w:tr2bl w:val="nil"/>
                  </w:tcBorders>
                  <w:noWrap w:val="0"/>
                  <w:vAlign w:val="center"/>
                </w:tcPr>
                <w:p w14:paraId="48272A14">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443" w:type="pct"/>
                  <w:tcBorders>
                    <w:tl2br w:val="nil"/>
                    <w:tr2bl w:val="nil"/>
                  </w:tcBorders>
                  <w:noWrap w:val="0"/>
                  <w:vAlign w:val="center"/>
                </w:tcPr>
                <w:p w14:paraId="15231670">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-90</w:t>
                  </w:r>
                </w:p>
              </w:tc>
              <w:tc>
                <w:tcPr>
                  <w:tcW w:w="397" w:type="pct"/>
                  <w:tcBorders>
                    <w:tl2br w:val="nil"/>
                    <w:tr2bl w:val="nil"/>
                  </w:tcBorders>
                  <w:noWrap w:val="0"/>
                  <w:vAlign w:val="center"/>
                </w:tcPr>
                <w:p w14:paraId="54C8EEE0">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-113</w:t>
                  </w:r>
                </w:p>
              </w:tc>
              <w:tc>
                <w:tcPr>
                  <w:tcW w:w="268" w:type="pct"/>
                  <w:tcBorders>
                    <w:tl2br w:val="nil"/>
                    <w:tr2bl w:val="nil"/>
                  </w:tcBorders>
                  <w:noWrap w:val="0"/>
                  <w:vAlign w:val="center"/>
                </w:tcPr>
                <w:p w14:paraId="383FDC98">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0</w:t>
                  </w:r>
                </w:p>
              </w:tc>
              <w:tc>
                <w:tcPr>
                  <w:tcW w:w="501" w:type="pct"/>
                  <w:tcBorders>
                    <w:tl2br w:val="nil"/>
                    <w:tr2bl w:val="nil"/>
                  </w:tcBorders>
                  <w:noWrap w:val="0"/>
                  <w:vAlign w:val="center"/>
                </w:tcPr>
                <w:p w14:paraId="7695814E">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w:t>
                  </w:r>
                  <w:r>
                    <w:rPr>
                      <w:rFonts w:hint="eastAsia" w:cs="Times New Roman"/>
                      <w:color w:val="auto"/>
                      <w:sz w:val="20"/>
                      <w:szCs w:val="22"/>
                      <w:highlight w:val="none"/>
                      <w:lang w:val="en-US" w:eastAsia="zh-CN"/>
                    </w:rPr>
                    <w:t>60</w:t>
                  </w:r>
                  <w:r>
                    <w:rPr>
                      <w:rFonts w:hint="default" w:ascii="Times New Roman" w:hAnsi="Times New Roman" w:eastAsia="宋体" w:cs="Times New Roman"/>
                      <w:color w:val="auto"/>
                      <w:sz w:val="20"/>
                      <w:szCs w:val="22"/>
                      <w:highlight w:val="none"/>
                      <w:lang w:val="en-US" w:eastAsia="zh-CN"/>
                    </w:rPr>
                    <w:t>m</w:t>
                  </w:r>
                </w:p>
              </w:tc>
              <w:tc>
                <w:tcPr>
                  <w:tcW w:w="546" w:type="pct"/>
                  <w:tcBorders>
                    <w:tl2br w:val="nil"/>
                    <w:tr2bl w:val="nil"/>
                  </w:tcBorders>
                  <w:noWrap w:val="0"/>
                  <w:vAlign w:val="center"/>
                </w:tcPr>
                <w:p w14:paraId="3EBDDFCB">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西</w:t>
                  </w:r>
                  <w:r>
                    <w:rPr>
                      <w:rFonts w:hint="eastAsia" w:cs="Times New Roman"/>
                      <w:color w:val="auto"/>
                      <w:sz w:val="20"/>
                      <w:szCs w:val="22"/>
                      <w:highlight w:val="none"/>
                      <w:lang w:val="en-US" w:eastAsia="zh-CN"/>
                    </w:rPr>
                    <w:t>北</w:t>
                  </w:r>
                  <w:r>
                    <w:rPr>
                      <w:rFonts w:hint="default" w:ascii="Times New Roman" w:hAnsi="Times New Roman" w:eastAsia="宋体" w:cs="Times New Roman"/>
                      <w:color w:val="auto"/>
                      <w:sz w:val="20"/>
                      <w:szCs w:val="22"/>
                      <w:highlight w:val="none"/>
                      <w:lang w:val="en-US" w:eastAsia="zh-CN"/>
                    </w:rPr>
                    <w:t>侧</w:t>
                  </w:r>
                </w:p>
              </w:tc>
              <w:tc>
                <w:tcPr>
                  <w:tcW w:w="578" w:type="pct"/>
                  <w:vMerge w:val="continue"/>
                  <w:tcBorders>
                    <w:tl2br w:val="nil"/>
                    <w:tr2bl w:val="nil"/>
                  </w:tcBorders>
                  <w:noWrap w:val="0"/>
                  <w:vAlign w:val="center"/>
                </w:tcPr>
                <w:p w14:paraId="04FD2F28">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1449" w:type="pct"/>
                  <w:tcBorders>
                    <w:tl2br w:val="nil"/>
                    <w:tr2bl w:val="nil"/>
                  </w:tcBorders>
                  <w:noWrap w:val="0"/>
                  <w:vAlign w:val="center"/>
                </w:tcPr>
                <w:p w14:paraId="5BED490B">
                  <w:pPr>
                    <w:autoSpaceDE w:val="0"/>
                    <w:autoSpaceDN w:val="0"/>
                    <w:adjustRightInd w:val="0"/>
                    <w:jc w:val="both"/>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1户民房（黄玉</w:t>
                  </w:r>
                  <w:r>
                    <w:rPr>
                      <w:rFonts w:hint="eastAsia" w:cs="Times New Roman"/>
                      <w:color w:val="auto"/>
                      <w:sz w:val="20"/>
                      <w:szCs w:val="22"/>
                      <w:highlight w:val="none"/>
                      <w:lang w:val="en-US" w:eastAsia="zh-CN"/>
                    </w:rPr>
                    <w:t>小</w:t>
                  </w:r>
                  <w:r>
                    <w:rPr>
                      <w:rFonts w:hint="default" w:ascii="Times New Roman" w:hAnsi="Times New Roman" w:eastAsia="宋体" w:cs="Times New Roman"/>
                      <w:color w:val="auto"/>
                      <w:sz w:val="20"/>
                      <w:szCs w:val="22"/>
                      <w:highlight w:val="none"/>
                      <w:lang w:val="en-US" w:eastAsia="zh-CN"/>
                    </w:rPr>
                    <w:t>家），1层尖顶（房高4.5m）</w:t>
                  </w:r>
                </w:p>
              </w:tc>
            </w:tr>
            <w:tr w14:paraId="62498C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48" w:type="pct"/>
                  <w:tcBorders>
                    <w:tl2br w:val="nil"/>
                    <w:tr2bl w:val="nil"/>
                  </w:tcBorders>
                  <w:noWrap w:val="0"/>
                  <w:vAlign w:val="center"/>
                </w:tcPr>
                <w:p w14:paraId="3F42645A">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7#</w:t>
                  </w:r>
                </w:p>
              </w:tc>
              <w:tc>
                <w:tcPr>
                  <w:tcW w:w="566" w:type="pct"/>
                  <w:vMerge w:val="continue"/>
                  <w:tcBorders>
                    <w:tl2br w:val="nil"/>
                    <w:tr2bl w:val="nil"/>
                  </w:tcBorders>
                  <w:noWrap w:val="0"/>
                  <w:vAlign w:val="center"/>
                </w:tcPr>
                <w:p w14:paraId="02E9C188">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443" w:type="pct"/>
                  <w:tcBorders>
                    <w:tl2br w:val="nil"/>
                    <w:tr2bl w:val="nil"/>
                  </w:tcBorders>
                  <w:noWrap w:val="0"/>
                  <w:vAlign w:val="center"/>
                </w:tcPr>
                <w:p w14:paraId="73D82292">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-78</w:t>
                  </w:r>
                </w:p>
              </w:tc>
              <w:tc>
                <w:tcPr>
                  <w:tcW w:w="397" w:type="pct"/>
                  <w:tcBorders>
                    <w:tl2br w:val="nil"/>
                    <w:tr2bl w:val="nil"/>
                  </w:tcBorders>
                  <w:noWrap w:val="0"/>
                  <w:vAlign w:val="center"/>
                </w:tcPr>
                <w:p w14:paraId="37F2A91E">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125</w:t>
                  </w:r>
                </w:p>
              </w:tc>
              <w:tc>
                <w:tcPr>
                  <w:tcW w:w="268" w:type="pct"/>
                  <w:tcBorders>
                    <w:tl2br w:val="nil"/>
                    <w:tr2bl w:val="nil"/>
                  </w:tcBorders>
                  <w:noWrap w:val="0"/>
                  <w:vAlign w:val="center"/>
                </w:tcPr>
                <w:p w14:paraId="6743F8B3">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0</w:t>
                  </w:r>
                </w:p>
              </w:tc>
              <w:tc>
                <w:tcPr>
                  <w:tcW w:w="501" w:type="pct"/>
                  <w:tcBorders>
                    <w:tl2br w:val="nil"/>
                    <w:tr2bl w:val="nil"/>
                  </w:tcBorders>
                  <w:noWrap w:val="0"/>
                  <w:vAlign w:val="center"/>
                </w:tcPr>
                <w:p w14:paraId="5D4385E4">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eastAsia" w:cs="Times New Roman"/>
                      <w:color w:val="auto"/>
                      <w:sz w:val="20"/>
                      <w:szCs w:val="22"/>
                      <w:highlight w:val="none"/>
                      <w:lang w:val="en-US" w:eastAsia="zh-CN"/>
                    </w:rPr>
                    <w:t>197</w:t>
                  </w:r>
                </w:p>
              </w:tc>
              <w:tc>
                <w:tcPr>
                  <w:tcW w:w="546" w:type="pct"/>
                  <w:tcBorders>
                    <w:tl2br w:val="nil"/>
                    <w:tr2bl w:val="nil"/>
                  </w:tcBorders>
                  <w:noWrap w:val="0"/>
                  <w:vAlign w:val="center"/>
                </w:tcPr>
                <w:p w14:paraId="45ED0B17">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西南侧</w:t>
                  </w:r>
                </w:p>
              </w:tc>
              <w:tc>
                <w:tcPr>
                  <w:tcW w:w="578" w:type="pct"/>
                  <w:vMerge w:val="continue"/>
                  <w:tcBorders>
                    <w:tl2br w:val="nil"/>
                    <w:tr2bl w:val="nil"/>
                  </w:tcBorders>
                  <w:noWrap w:val="0"/>
                  <w:vAlign w:val="center"/>
                </w:tcPr>
                <w:p w14:paraId="1948FCA7">
                  <w:pPr>
                    <w:autoSpaceDE w:val="0"/>
                    <w:autoSpaceDN w:val="0"/>
                    <w:adjustRightInd w:val="0"/>
                    <w:jc w:val="center"/>
                    <w:rPr>
                      <w:rFonts w:hint="default" w:ascii="Times New Roman" w:hAnsi="Times New Roman" w:eastAsia="宋体" w:cs="Times New Roman"/>
                      <w:color w:val="auto"/>
                      <w:sz w:val="20"/>
                      <w:szCs w:val="22"/>
                      <w:highlight w:val="none"/>
                      <w:lang w:val="en-US" w:eastAsia="zh-CN"/>
                    </w:rPr>
                  </w:pPr>
                </w:p>
              </w:tc>
              <w:tc>
                <w:tcPr>
                  <w:tcW w:w="1449" w:type="pct"/>
                  <w:tcBorders>
                    <w:tl2br w:val="nil"/>
                    <w:tr2bl w:val="nil"/>
                  </w:tcBorders>
                  <w:noWrap w:val="0"/>
                  <w:vAlign w:val="center"/>
                </w:tcPr>
                <w:p w14:paraId="28FDDE83">
                  <w:pPr>
                    <w:autoSpaceDE w:val="0"/>
                    <w:autoSpaceDN w:val="0"/>
                    <w:adjustRightInd w:val="0"/>
                    <w:jc w:val="both"/>
                    <w:rPr>
                      <w:rFonts w:hint="default" w:ascii="Times New Roman" w:hAnsi="Times New Roman" w:eastAsia="宋体" w:cs="Times New Roman"/>
                      <w:color w:val="auto"/>
                      <w:sz w:val="20"/>
                      <w:szCs w:val="22"/>
                      <w:highlight w:val="none"/>
                      <w:lang w:val="en-US" w:eastAsia="zh-CN"/>
                    </w:rPr>
                  </w:pPr>
                  <w:r>
                    <w:rPr>
                      <w:rFonts w:hint="default" w:ascii="Times New Roman" w:hAnsi="Times New Roman" w:eastAsia="宋体" w:cs="Times New Roman"/>
                      <w:color w:val="auto"/>
                      <w:sz w:val="20"/>
                      <w:szCs w:val="22"/>
                      <w:highlight w:val="none"/>
                      <w:lang w:val="en-US" w:eastAsia="zh-CN"/>
                    </w:rPr>
                    <w:t>1户民房（</w:t>
                  </w:r>
                  <w:r>
                    <w:rPr>
                      <w:rFonts w:hint="eastAsia" w:cs="Times New Roman"/>
                      <w:color w:val="auto"/>
                      <w:sz w:val="20"/>
                      <w:szCs w:val="22"/>
                      <w:highlight w:val="none"/>
                      <w:lang w:val="en-US" w:eastAsia="zh-CN"/>
                    </w:rPr>
                    <w:t>刘学武</w:t>
                  </w:r>
                  <w:r>
                    <w:rPr>
                      <w:rFonts w:hint="default" w:ascii="Times New Roman" w:hAnsi="Times New Roman" w:eastAsia="宋体" w:cs="Times New Roman"/>
                      <w:color w:val="auto"/>
                      <w:sz w:val="20"/>
                      <w:szCs w:val="22"/>
                      <w:highlight w:val="none"/>
                      <w:lang w:val="en-US" w:eastAsia="zh-CN"/>
                    </w:rPr>
                    <w:t>家），1层尖顶（房高4.5m）</w:t>
                  </w:r>
                </w:p>
              </w:tc>
            </w:tr>
            <w:tr w14:paraId="0C7D8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000" w:type="pct"/>
                  <w:gridSpan w:val="9"/>
                  <w:tcBorders>
                    <w:tl2br w:val="nil"/>
                    <w:tr2bl w:val="nil"/>
                  </w:tcBorders>
                  <w:noWrap w:val="0"/>
                  <w:vAlign w:val="center"/>
                </w:tcPr>
                <w:p w14:paraId="73750587">
                  <w:pPr>
                    <w:pStyle w:val="10"/>
                    <w:keepNext w:val="0"/>
                    <w:keepLines w:val="0"/>
                    <w:pageBreakBefore w:val="0"/>
                    <w:widowControl/>
                    <w:kinsoku/>
                    <w:wordWrap/>
                    <w:overflowPunct/>
                    <w:topLinePunct w:val="0"/>
                    <w:autoSpaceDE/>
                    <w:autoSpaceDN/>
                    <w:bidi w:val="0"/>
                    <w:adjustRightInd w:val="0"/>
                    <w:snapToGrid w:val="0"/>
                    <w:spacing w:before="0" w:after="0" w:line="240" w:lineRule="auto"/>
                    <w:ind w:right="108"/>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b w:val="0"/>
                      <w:bCs w:val="0"/>
                      <w:i w:val="0"/>
                      <w:iCs w:val="0"/>
                      <w:color w:val="auto"/>
                      <w:kern w:val="0"/>
                      <w:sz w:val="20"/>
                      <w:szCs w:val="20"/>
                      <w:highlight w:val="none"/>
                      <w:u w:val="none"/>
                      <w:lang w:val="en-US" w:eastAsia="zh-CN"/>
                    </w:rPr>
                    <w:t>*</w:t>
                  </w:r>
                  <w:r>
                    <w:rPr>
                      <w:rFonts w:hint="default" w:ascii="Times New Roman" w:hAnsi="Times New Roman" w:cs="Times New Roman"/>
                      <w:color w:val="auto"/>
                      <w:sz w:val="20"/>
                      <w:szCs w:val="20"/>
                      <w:highlight w:val="none"/>
                    </w:rPr>
                    <w:t>注：空间相对位置以变电站西</w:t>
                  </w:r>
                  <w:r>
                    <w:rPr>
                      <w:rFonts w:hint="default" w:ascii="Times New Roman" w:hAnsi="Times New Roman" w:cs="Times New Roman"/>
                      <w:color w:val="auto"/>
                      <w:sz w:val="20"/>
                      <w:szCs w:val="20"/>
                      <w:highlight w:val="none"/>
                      <w:lang w:val="en-US" w:eastAsia="zh-CN"/>
                    </w:rPr>
                    <w:t>南</w:t>
                  </w:r>
                  <w:r>
                    <w:rPr>
                      <w:rFonts w:hint="default" w:ascii="Times New Roman" w:hAnsi="Times New Roman" w:cs="Times New Roman"/>
                      <w:color w:val="auto"/>
                      <w:sz w:val="20"/>
                      <w:szCs w:val="20"/>
                      <w:highlight w:val="none"/>
                    </w:rPr>
                    <w:t>侧和</w:t>
                  </w:r>
                  <w:r>
                    <w:rPr>
                      <w:rFonts w:hint="default" w:ascii="Times New Roman" w:hAnsi="Times New Roman" w:cs="Times New Roman"/>
                      <w:color w:val="auto"/>
                      <w:sz w:val="20"/>
                      <w:szCs w:val="20"/>
                      <w:highlight w:val="none"/>
                      <w:lang w:val="en-US" w:eastAsia="zh-CN"/>
                    </w:rPr>
                    <w:t>东</w:t>
                  </w:r>
                  <w:r>
                    <w:rPr>
                      <w:rFonts w:hint="default" w:ascii="Times New Roman" w:hAnsi="Times New Roman" w:cs="Times New Roman"/>
                      <w:color w:val="auto"/>
                      <w:sz w:val="20"/>
                      <w:szCs w:val="20"/>
                      <w:highlight w:val="none"/>
                    </w:rPr>
                    <w:t>南侧围墙夹角为原点，</w:t>
                  </w:r>
                  <w:r>
                    <w:rPr>
                      <w:rFonts w:hint="default" w:ascii="Times New Roman" w:hAnsi="Times New Roman" w:cs="Times New Roman"/>
                      <w:color w:val="auto"/>
                      <w:sz w:val="20"/>
                      <w:szCs w:val="20"/>
                      <w:highlight w:val="none"/>
                      <w:lang w:val="en-US" w:eastAsia="zh-CN"/>
                    </w:rPr>
                    <w:t>东</w:t>
                  </w:r>
                  <w:r>
                    <w:rPr>
                      <w:rFonts w:hint="default" w:ascii="Times New Roman" w:hAnsi="Times New Roman" w:cs="Times New Roman"/>
                      <w:color w:val="auto"/>
                      <w:sz w:val="20"/>
                      <w:szCs w:val="20"/>
                      <w:highlight w:val="none"/>
                    </w:rPr>
                    <w:t>南侧围墙为X轴，西</w:t>
                  </w:r>
                  <w:r>
                    <w:rPr>
                      <w:rFonts w:hint="default" w:ascii="Times New Roman" w:hAnsi="Times New Roman" w:cs="Times New Roman"/>
                      <w:color w:val="auto"/>
                      <w:sz w:val="20"/>
                      <w:szCs w:val="20"/>
                      <w:highlight w:val="none"/>
                      <w:lang w:val="en-US" w:eastAsia="zh-CN"/>
                    </w:rPr>
                    <w:t>南</w:t>
                  </w:r>
                  <w:r>
                    <w:rPr>
                      <w:rFonts w:hint="default" w:ascii="Times New Roman" w:hAnsi="Times New Roman" w:cs="Times New Roman"/>
                      <w:color w:val="auto"/>
                      <w:sz w:val="20"/>
                      <w:szCs w:val="20"/>
                      <w:highlight w:val="none"/>
                    </w:rPr>
                    <w:t>侧围墙为Y轴，以站内水平地面为Z轴原点。</w:t>
                  </w:r>
                </w:p>
              </w:tc>
            </w:tr>
          </w:tbl>
          <w:p w14:paraId="114878D3">
            <w:pPr>
              <w:pStyle w:val="13"/>
              <w:ind w:left="0" w:leftChars="0" w:firstLine="0" w:firstLineChars="0"/>
              <w:rPr>
                <w:rFonts w:hint="default" w:ascii="Times New Roman" w:hAnsi="Times New Roman" w:eastAsia="宋体" w:cs="Times New Roman"/>
                <w:color w:val="auto"/>
                <w:highlight w:val="none"/>
                <w:lang w:val="en-US" w:eastAsia="zh-CN"/>
              </w:rPr>
            </w:pPr>
          </w:p>
        </w:tc>
      </w:tr>
      <w:tr w14:paraId="73B839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7" w:type="dxa"/>
            <w:noWrap w:val="0"/>
            <w:vAlign w:val="center"/>
          </w:tcPr>
          <w:p w14:paraId="1575700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评价</w:t>
            </w:r>
          </w:p>
          <w:p w14:paraId="75E9B2C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标准</w:t>
            </w:r>
          </w:p>
        </w:tc>
        <w:tc>
          <w:tcPr>
            <w:tcW w:w="8767" w:type="dxa"/>
            <w:noWrap w:val="0"/>
            <w:vAlign w:val="center"/>
          </w:tcPr>
          <w:p w14:paraId="075E5F28">
            <w:pPr>
              <w:keepNext w:val="0"/>
              <w:keepLines w:val="0"/>
              <w:pageBreakBefore w:val="0"/>
              <w:widowControl w:val="0"/>
              <w:tabs>
                <w:tab w:val="left" w:pos="4797"/>
              </w:tabs>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val="0"/>
                <w:color w:val="auto"/>
                <w:kern w:val="2"/>
                <w:sz w:val="24"/>
                <w:szCs w:val="20"/>
                <w:lang w:val="en-US" w:eastAsia="zh-CN" w:bidi="ar-SA"/>
              </w:rPr>
            </w:pPr>
            <w:r>
              <w:rPr>
                <w:rFonts w:hint="default" w:ascii="Times New Roman" w:hAnsi="Times New Roman" w:eastAsia="宋体" w:cs="Times New Roman"/>
                <w:b/>
                <w:bCs w:val="0"/>
                <w:color w:val="auto"/>
                <w:kern w:val="2"/>
                <w:sz w:val="24"/>
                <w:szCs w:val="20"/>
                <w:lang w:val="en-US" w:eastAsia="zh-CN" w:bidi="ar-SA"/>
              </w:rPr>
              <w:t>1.环境质量标准</w:t>
            </w:r>
          </w:p>
          <w:p w14:paraId="0C5A9B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⑴</w:t>
            </w:r>
            <w:r>
              <w:rPr>
                <w:rFonts w:hint="default" w:ascii="Times New Roman" w:hAnsi="Times New Roman" w:cs="Times New Roman"/>
                <w:color w:val="auto"/>
                <w:sz w:val="24"/>
                <w:highlight w:val="none"/>
              </w:rPr>
              <w:t>声环境</w:t>
            </w:r>
          </w:p>
          <w:p w14:paraId="778B159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0"/>
                <w:sz w:val="24"/>
                <w:szCs w:val="24"/>
                <w:lang w:val="en-US" w:eastAsia="zh-CN" w:bidi="ar"/>
              </w:rPr>
              <w:t>①</w:t>
            </w:r>
            <w:r>
              <w:rPr>
                <w:rFonts w:hint="default" w:ascii="Times New Roman" w:hAnsi="Times New Roman" w:eastAsia="宋体" w:cs="Times New Roman"/>
                <w:color w:val="auto"/>
                <w:sz w:val="24"/>
                <w:highlight w:val="none"/>
                <w:lang w:val="en-US" w:eastAsia="zh-CN"/>
              </w:rPr>
              <w:t>间隔扩建工程</w:t>
            </w:r>
          </w:p>
          <w:p w14:paraId="5ADA621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w:t>
            </w:r>
            <w:r>
              <w:rPr>
                <w:rFonts w:hint="default" w:ascii="Times New Roman" w:hAnsi="Times New Roman" w:eastAsia="宋体" w:cs="Times New Roman"/>
                <w:color w:val="auto"/>
                <w:kern w:val="0"/>
                <w:sz w:val="24"/>
                <w:szCs w:val="24"/>
                <w:lang w:val="en-US" w:eastAsia="zh-CN"/>
              </w:rPr>
              <w:t>固原市生态环境局关于</w:t>
            </w:r>
            <w:r>
              <w:rPr>
                <w:rFonts w:hint="default" w:ascii="Times New Roman" w:hAnsi="Times New Roman" w:eastAsia="宋体" w:cs="Times New Roman"/>
                <w:b w:val="0"/>
                <w:bCs w:val="0"/>
                <w:color w:val="auto"/>
                <w:sz w:val="24"/>
                <w:highlight w:val="none"/>
                <w:lang w:val="en-US" w:eastAsia="zh-CN"/>
              </w:rPr>
              <w:t>宁夏云雾山330千伏输变电工程的</w:t>
            </w:r>
            <w:r>
              <w:rPr>
                <w:rFonts w:hint="default" w:ascii="Times New Roman" w:hAnsi="Times New Roman" w:eastAsia="宋体" w:cs="Times New Roman"/>
                <w:color w:val="auto"/>
                <w:kern w:val="0"/>
                <w:sz w:val="24"/>
                <w:szCs w:val="24"/>
                <w:lang w:val="en-US" w:eastAsia="zh-CN"/>
              </w:rPr>
              <w:t>环评</w:t>
            </w:r>
            <w:r>
              <w:rPr>
                <w:rFonts w:hint="default" w:ascii="Times New Roman" w:hAnsi="Times New Roman" w:cs="Times New Roman"/>
                <w:color w:val="auto"/>
                <w:sz w:val="24"/>
                <w:szCs w:val="24"/>
              </w:rPr>
              <w:t>批复</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color w:val="auto"/>
                <w:sz w:val="24"/>
                <w:lang w:val="en-US" w:eastAsia="zh-CN"/>
              </w:rPr>
              <w:t>固环评审〔2</w:t>
            </w:r>
            <w:r>
              <w:rPr>
                <w:rFonts w:hint="eastAsia" w:cs="Times New Roman"/>
                <w:color w:val="auto"/>
                <w:sz w:val="24"/>
                <w:lang w:val="en-US" w:eastAsia="zh-CN"/>
              </w:rPr>
              <w:t>02</w:t>
            </w:r>
            <w:r>
              <w:rPr>
                <w:rFonts w:hint="default" w:ascii="Times New Roman" w:hAnsi="Times New Roman" w:cs="Times New Roman"/>
                <w:color w:val="auto"/>
                <w:sz w:val="24"/>
                <w:lang w:val="en-US" w:eastAsia="zh-CN"/>
              </w:rPr>
              <w:t>4〕27号</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b w:val="0"/>
                <w:bCs w:val="0"/>
                <w:color w:val="auto"/>
                <w:sz w:val="24"/>
                <w:highlight w:val="none"/>
                <w:lang w:val="en-US" w:eastAsia="zh-CN"/>
              </w:rPr>
              <w:t>云雾山330千伏变电站</w:t>
            </w:r>
            <w:r>
              <w:rPr>
                <w:rFonts w:hint="default" w:ascii="Times New Roman" w:hAnsi="Times New Roman" w:eastAsia="宋体" w:cs="Times New Roman"/>
                <w:color w:val="auto"/>
                <w:sz w:val="24"/>
                <w:szCs w:val="24"/>
                <w:highlight w:val="none"/>
                <w:lang w:val="en-US" w:eastAsia="zh-CN"/>
              </w:rPr>
              <w:t>执行</w:t>
            </w:r>
            <w:r>
              <w:rPr>
                <w:rFonts w:hint="default" w:ascii="Times New Roman" w:hAnsi="Times New Roman" w:cs="Times New Roman"/>
                <w:color w:val="auto"/>
                <w:kern w:val="0"/>
                <w:sz w:val="24"/>
                <w:highlight w:val="none"/>
                <w:lang w:val="en-US" w:eastAsia="zh-CN"/>
              </w:rPr>
              <w:t>《工业企业厂界环境噪声排放标准》（GB12348-2008）中2类标准限值要求</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云雾山330千伏变电站声环境影响评价范围内声环境保护目标执行</w:t>
            </w:r>
            <w:r>
              <w:rPr>
                <w:rFonts w:hint="default" w:ascii="Times New Roman" w:hAnsi="Times New Roman" w:eastAsia="宋体" w:cs="Times New Roman"/>
                <w:color w:val="auto"/>
                <w:sz w:val="24"/>
                <w:szCs w:val="24"/>
                <w:highlight w:val="none"/>
                <w:lang w:val="en-US" w:eastAsia="zh-CN"/>
              </w:rPr>
              <w:t>《声环境质量标准》（GB3096-2008）1类标准。</w:t>
            </w:r>
          </w:p>
          <w:p w14:paraId="74F3CA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w:t>
            </w:r>
            <w:r>
              <w:rPr>
                <w:rFonts w:hint="default" w:ascii="Times New Roman" w:hAnsi="Times New Roman" w:eastAsia="宋体" w:cs="Times New Roman"/>
                <w:b/>
                <w:color w:val="auto"/>
                <w:kern w:val="2"/>
                <w:sz w:val="24"/>
                <w:szCs w:val="24"/>
                <w:highlight w:val="none"/>
                <w:lang w:val="en-US" w:eastAsia="zh-CN"/>
              </w:rPr>
              <w:t>3</w:t>
            </w:r>
            <w:r>
              <w:rPr>
                <w:rFonts w:hint="default" w:ascii="Times New Roman" w:hAnsi="Times New Roman" w:eastAsia="宋体" w:cs="Times New Roman"/>
                <w:b/>
                <w:color w:val="auto"/>
                <w:kern w:val="2"/>
                <w:sz w:val="24"/>
                <w:szCs w:val="24"/>
                <w:highlight w:val="none"/>
              </w:rPr>
              <w:t>-</w:t>
            </w:r>
            <w:r>
              <w:rPr>
                <w:rFonts w:hint="default" w:ascii="Times New Roman" w:hAnsi="Times New Roman" w:eastAsia="宋体" w:cs="Times New Roman"/>
                <w:b/>
                <w:color w:val="auto"/>
                <w:kern w:val="2"/>
                <w:sz w:val="24"/>
                <w:szCs w:val="24"/>
                <w:highlight w:val="none"/>
                <w:lang w:val="en-US" w:eastAsia="zh-CN"/>
              </w:rPr>
              <w:t>14</w:t>
            </w:r>
            <w:r>
              <w:rPr>
                <w:rFonts w:hint="default" w:ascii="Times New Roman" w:hAnsi="Times New Roman" w:eastAsia="宋体" w:cs="Times New Roman"/>
                <w:b/>
                <w:color w:val="auto"/>
                <w:kern w:val="2"/>
                <w:sz w:val="24"/>
                <w:szCs w:val="24"/>
                <w:highlight w:val="none"/>
              </w:rPr>
              <w:t xml:space="preserve">  </w:t>
            </w:r>
            <w:r>
              <w:rPr>
                <w:rFonts w:hint="default" w:ascii="Times New Roman" w:hAnsi="Times New Roman" w:eastAsia="宋体" w:cs="Times New Roman"/>
                <w:b/>
                <w:color w:val="auto"/>
                <w:kern w:val="2"/>
                <w:sz w:val="24"/>
                <w:szCs w:val="24"/>
                <w:highlight w:val="none"/>
                <w:lang w:eastAsia="zh-CN"/>
              </w:rPr>
              <w:t>本项目</w:t>
            </w:r>
            <w:r>
              <w:rPr>
                <w:rFonts w:hint="default" w:ascii="Times New Roman" w:hAnsi="Times New Roman" w:eastAsia="宋体" w:cs="Times New Roman"/>
                <w:b/>
                <w:color w:val="auto"/>
                <w:kern w:val="2"/>
                <w:sz w:val="24"/>
                <w:szCs w:val="24"/>
                <w:highlight w:val="none"/>
                <w:lang w:val="en-US" w:eastAsia="zh-CN"/>
              </w:rPr>
              <w:t>间隔扩建工程</w:t>
            </w:r>
            <w:r>
              <w:rPr>
                <w:rFonts w:hint="default" w:ascii="Times New Roman" w:hAnsi="Times New Roman" w:eastAsia="宋体" w:cs="Times New Roman"/>
                <w:b/>
                <w:color w:val="auto"/>
                <w:kern w:val="2"/>
                <w:sz w:val="24"/>
                <w:szCs w:val="24"/>
                <w:highlight w:val="none"/>
              </w:rPr>
              <w:t>声环境评价标准一览表</w:t>
            </w:r>
          </w:p>
          <w:tbl>
            <w:tblPr>
              <w:tblStyle w:val="32"/>
              <w:tblW w:w="49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9"/>
              <w:gridCol w:w="1087"/>
              <w:gridCol w:w="3403"/>
              <w:gridCol w:w="1077"/>
              <w:gridCol w:w="1619"/>
            </w:tblGrid>
            <w:tr w14:paraId="4BF1E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00" w:type="dxa"/>
                  <w:tcBorders>
                    <w:top w:val="single" w:color="auto" w:sz="12" w:space="0"/>
                  </w:tcBorders>
                  <w:noWrap w:val="0"/>
                  <w:vAlign w:val="center"/>
                </w:tcPr>
                <w:p w14:paraId="665FFB93">
                  <w:pPr>
                    <w:adjustRightInd/>
                    <w:spacing w:line="300" w:lineRule="exact"/>
                    <w:jc w:val="center"/>
                    <w:textAlignment w:val="auto"/>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名称</w:t>
                  </w:r>
                </w:p>
              </w:tc>
              <w:tc>
                <w:tcPr>
                  <w:tcW w:w="4493" w:type="dxa"/>
                  <w:gridSpan w:val="2"/>
                  <w:tcBorders>
                    <w:top w:val="single" w:color="auto" w:sz="12" w:space="0"/>
                  </w:tcBorders>
                  <w:noWrap w:val="0"/>
                  <w:vAlign w:val="center"/>
                </w:tcPr>
                <w:p w14:paraId="7AEF5CCD">
                  <w:pPr>
                    <w:adjustRightInd/>
                    <w:spacing w:line="300" w:lineRule="exact"/>
                    <w:jc w:val="center"/>
                    <w:textAlignment w:val="auto"/>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执行标准</w:t>
                  </w:r>
                </w:p>
              </w:tc>
              <w:tc>
                <w:tcPr>
                  <w:tcW w:w="1078" w:type="dxa"/>
                  <w:tcBorders>
                    <w:top w:val="single" w:color="auto" w:sz="12" w:space="0"/>
                  </w:tcBorders>
                  <w:noWrap w:val="0"/>
                  <w:vAlign w:val="center"/>
                </w:tcPr>
                <w:p w14:paraId="03B92820">
                  <w:pPr>
                    <w:adjustRightInd/>
                    <w:spacing w:line="300" w:lineRule="exact"/>
                    <w:jc w:val="center"/>
                    <w:textAlignment w:val="auto"/>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执行类别</w:t>
                  </w:r>
                </w:p>
              </w:tc>
              <w:tc>
                <w:tcPr>
                  <w:tcW w:w="1620" w:type="dxa"/>
                  <w:tcBorders>
                    <w:top w:val="single" w:color="auto" w:sz="12" w:space="0"/>
                    <w:right w:val="nil"/>
                  </w:tcBorders>
                  <w:noWrap w:val="0"/>
                  <w:vAlign w:val="center"/>
                </w:tcPr>
                <w:p w14:paraId="7B256A38">
                  <w:pPr>
                    <w:adjustRightInd/>
                    <w:spacing w:line="300" w:lineRule="exact"/>
                    <w:jc w:val="center"/>
                    <w:textAlignment w:val="auto"/>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噪声限值</w:t>
                  </w:r>
                </w:p>
              </w:tc>
            </w:tr>
            <w:tr w14:paraId="21A6C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00" w:type="dxa"/>
                  <w:vMerge w:val="restart"/>
                  <w:tcBorders>
                    <w:left w:val="nil"/>
                  </w:tcBorders>
                  <w:noWrap w:val="0"/>
                  <w:vAlign w:val="center"/>
                </w:tcPr>
                <w:p w14:paraId="3A2C3EEB">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云雾山330千伏变电站110千伏间隔扩建侧</w:t>
                  </w:r>
                </w:p>
              </w:tc>
              <w:tc>
                <w:tcPr>
                  <w:tcW w:w="1088" w:type="dxa"/>
                  <w:noWrap w:val="0"/>
                  <w:vAlign w:val="center"/>
                </w:tcPr>
                <w:p w14:paraId="0F662864">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声环境保护目标</w:t>
                  </w:r>
                </w:p>
              </w:tc>
              <w:tc>
                <w:tcPr>
                  <w:tcW w:w="3405" w:type="dxa"/>
                  <w:noWrap w:val="0"/>
                  <w:vAlign w:val="center"/>
                </w:tcPr>
                <w:p w14:paraId="3612B326">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《声环境质量标准》GB3096-2008）</w:t>
                  </w:r>
                </w:p>
              </w:tc>
              <w:tc>
                <w:tcPr>
                  <w:tcW w:w="1078" w:type="dxa"/>
                  <w:noWrap w:val="0"/>
                  <w:vAlign w:val="center"/>
                </w:tcPr>
                <w:p w14:paraId="0BDF6997">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1类</w:t>
                  </w:r>
                </w:p>
              </w:tc>
              <w:tc>
                <w:tcPr>
                  <w:tcW w:w="1620" w:type="dxa"/>
                  <w:tcBorders>
                    <w:right w:val="nil"/>
                  </w:tcBorders>
                  <w:noWrap w:val="0"/>
                  <w:vAlign w:val="center"/>
                </w:tcPr>
                <w:p w14:paraId="2C47BA76">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昼间55dB(A)</w:t>
                  </w:r>
                </w:p>
                <w:p w14:paraId="1A730087">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夜间45dB(A)</w:t>
                  </w:r>
                </w:p>
              </w:tc>
            </w:tr>
            <w:tr w14:paraId="01427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00" w:type="dxa"/>
                  <w:vMerge w:val="continue"/>
                  <w:tcBorders>
                    <w:left w:val="nil"/>
                    <w:bottom w:val="single" w:color="auto" w:sz="12" w:space="0"/>
                  </w:tcBorders>
                  <w:noWrap w:val="0"/>
                  <w:vAlign w:val="center"/>
                </w:tcPr>
                <w:p w14:paraId="61711181">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1088" w:type="dxa"/>
                  <w:tcBorders>
                    <w:bottom w:val="single" w:color="auto" w:sz="12" w:space="0"/>
                  </w:tcBorders>
                  <w:noWrap w:val="0"/>
                  <w:vAlign w:val="center"/>
                </w:tcPr>
                <w:p w14:paraId="742DD187">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变电站</w:t>
                  </w:r>
                </w:p>
              </w:tc>
              <w:tc>
                <w:tcPr>
                  <w:tcW w:w="3405" w:type="dxa"/>
                  <w:tcBorders>
                    <w:bottom w:val="single" w:color="auto" w:sz="12" w:space="0"/>
                  </w:tcBorders>
                  <w:noWrap w:val="0"/>
                  <w:vAlign w:val="center"/>
                </w:tcPr>
                <w:p w14:paraId="5469C6BA">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《工业企业厂界环境噪声排放标准》（GB12348-2008）</w:t>
                  </w:r>
                </w:p>
              </w:tc>
              <w:tc>
                <w:tcPr>
                  <w:tcW w:w="1078" w:type="dxa"/>
                  <w:tcBorders>
                    <w:bottom w:val="single" w:color="auto" w:sz="12" w:space="0"/>
                  </w:tcBorders>
                  <w:noWrap w:val="0"/>
                  <w:vAlign w:val="center"/>
                </w:tcPr>
                <w:p w14:paraId="5ABDAC2B">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2类</w:t>
                  </w:r>
                </w:p>
              </w:tc>
              <w:tc>
                <w:tcPr>
                  <w:tcW w:w="1620" w:type="dxa"/>
                  <w:tcBorders>
                    <w:bottom w:val="single" w:color="auto" w:sz="12" w:space="0"/>
                    <w:right w:val="nil"/>
                  </w:tcBorders>
                  <w:noWrap w:val="0"/>
                  <w:vAlign w:val="center"/>
                </w:tcPr>
                <w:p w14:paraId="6605D32B">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昼间60dB(A)</w:t>
                  </w:r>
                </w:p>
                <w:p w14:paraId="23525CC6">
                  <w:pPr>
                    <w:adjustRightInd/>
                    <w:spacing w:line="30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夜间50dB(A)</w:t>
                  </w:r>
                </w:p>
              </w:tc>
            </w:tr>
          </w:tbl>
          <w:p w14:paraId="6CEF274A">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②架空线路工程</w:t>
            </w:r>
          </w:p>
          <w:p w14:paraId="2184F08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根据</w:t>
            </w:r>
            <w:r>
              <w:rPr>
                <w:rFonts w:hint="default" w:ascii="Times New Roman" w:hAnsi="Times New Roman" w:eastAsia="宋体" w:cs="Times New Roman"/>
                <w:color w:val="auto"/>
                <w:sz w:val="24"/>
                <w:szCs w:val="24"/>
                <w:highlight w:val="none"/>
                <w:lang w:val="en-US" w:eastAsia="zh-CN"/>
              </w:rPr>
              <w:t>固原市人民</w:t>
            </w:r>
            <w:r>
              <w:rPr>
                <w:rFonts w:hint="default" w:ascii="Times New Roman" w:hAnsi="Times New Roman" w:eastAsia="宋体" w:cs="Times New Roman"/>
                <w:color w:val="auto"/>
                <w:sz w:val="24"/>
                <w:szCs w:val="24"/>
                <w:highlight w:val="none"/>
              </w:rPr>
              <w:t>政府办公室关于</w:t>
            </w:r>
            <w:r>
              <w:rPr>
                <w:rFonts w:hint="default" w:ascii="Times New Roman" w:hAnsi="Times New Roman" w:eastAsia="宋体" w:cs="Times New Roman"/>
                <w:color w:val="auto"/>
                <w:sz w:val="24"/>
                <w:szCs w:val="24"/>
                <w:highlight w:val="none"/>
                <w:lang w:val="en-US" w:eastAsia="zh-CN"/>
              </w:rPr>
              <w:t>修订《</w:t>
            </w:r>
            <w:r>
              <w:rPr>
                <w:rFonts w:hint="default" w:ascii="Times New Roman" w:hAnsi="Times New Roman" w:eastAsia="宋体" w:cs="Times New Roman"/>
                <w:color w:val="auto"/>
                <w:sz w:val="24"/>
                <w:szCs w:val="24"/>
                <w:highlight w:val="none"/>
                <w:lang w:eastAsia="zh-CN"/>
              </w:rPr>
              <w:t>固原</w:t>
            </w:r>
            <w:r>
              <w:rPr>
                <w:rFonts w:hint="default" w:ascii="Times New Roman" w:hAnsi="Times New Roman" w:eastAsia="宋体" w:cs="Times New Roman"/>
                <w:color w:val="auto"/>
                <w:sz w:val="24"/>
                <w:szCs w:val="24"/>
                <w:highlight w:val="none"/>
              </w:rPr>
              <w:t>市</w:t>
            </w:r>
            <w:r>
              <w:rPr>
                <w:rFonts w:hint="default" w:ascii="Times New Roman" w:hAnsi="Times New Roman" w:eastAsia="宋体" w:cs="Times New Roman"/>
                <w:color w:val="auto"/>
                <w:sz w:val="24"/>
                <w:szCs w:val="24"/>
                <w:highlight w:val="none"/>
                <w:lang w:val="en-US" w:eastAsia="zh-CN"/>
              </w:rPr>
              <w:t>区</w:t>
            </w:r>
            <w:r>
              <w:rPr>
                <w:rFonts w:hint="default" w:ascii="Times New Roman" w:hAnsi="Times New Roman" w:eastAsia="宋体" w:cs="Times New Roman"/>
                <w:color w:val="auto"/>
                <w:sz w:val="24"/>
                <w:szCs w:val="24"/>
                <w:highlight w:val="none"/>
              </w:rPr>
              <w:t>声环境功能区划分方案</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的通知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固</w:t>
            </w:r>
            <w:r>
              <w:rPr>
                <w:rFonts w:hint="default" w:ascii="Times New Roman" w:hAnsi="Times New Roman" w:eastAsia="宋体" w:cs="Times New Roman"/>
                <w:color w:val="auto"/>
                <w:sz w:val="24"/>
                <w:szCs w:val="24"/>
                <w:highlight w:val="none"/>
                <w:lang w:eastAsia="zh-CN"/>
              </w:rPr>
              <w:t>政办发〔2023〕</w:t>
            </w:r>
            <w:r>
              <w:rPr>
                <w:rFonts w:hint="default" w:ascii="Times New Roman" w:hAnsi="Times New Roman" w:eastAsia="宋体" w:cs="Times New Roman"/>
                <w:color w:val="auto"/>
                <w:sz w:val="24"/>
                <w:szCs w:val="24"/>
                <w:highlight w:val="none"/>
                <w:lang w:val="en-US" w:eastAsia="zh-CN"/>
              </w:rPr>
              <w:t>48</w:t>
            </w:r>
            <w:r>
              <w:rPr>
                <w:rFonts w:hint="default" w:ascii="Times New Roman" w:hAnsi="Times New Roman" w:eastAsia="宋体" w:cs="Times New Roman"/>
                <w:color w:val="auto"/>
                <w:sz w:val="24"/>
                <w:szCs w:val="24"/>
                <w:highlight w:val="none"/>
                <w:lang w:eastAsia="zh-CN"/>
              </w:rPr>
              <w:t>号，2023年12月</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日），</w:t>
            </w:r>
            <w:r>
              <w:rPr>
                <w:rFonts w:hint="default" w:ascii="Times New Roman" w:hAnsi="Times New Roman" w:eastAsia="宋体" w:cs="Times New Roman"/>
                <w:color w:val="auto"/>
                <w:sz w:val="24"/>
                <w:szCs w:val="24"/>
                <w:highlight w:val="none"/>
                <w:lang w:val="en-US" w:eastAsia="zh-CN"/>
              </w:rPr>
              <w:t>输电线路经过农村区域执行《声环境质量标准》（GB3096-2008）1类标准，经过居住、商业、工业混杂区执行《声环境质量标准》（GB3096-2008）2类标准，途经交通干线两侧相应范围内执行《声环境质量标准》（GB3096-2008）4a 类标准。</w:t>
            </w:r>
          </w:p>
          <w:p w14:paraId="6649B8AD">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15</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 xml:space="preserve"> 本项目输电线路工程噪声</w:t>
            </w:r>
            <w:r>
              <w:rPr>
                <w:rFonts w:hint="default" w:ascii="Times New Roman" w:hAnsi="Times New Roman" w:eastAsia="宋体" w:cs="Times New Roman"/>
                <w:b/>
                <w:bCs/>
                <w:color w:val="auto"/>
                <w:sz w:val="24"/>
                <w:highlight w:val="none"/>
              </w:rPr>
              <w:t>评价标准一览表</w:t>
            </w:r>
          </w:p>
          <w:tbl>
            <w:tblPr>
              <w:tblStyle w:val="31"/>
              <w:tblW w:w="850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609"/>
              <w:gridCol w:w="1402"/>
              <w:gridCol w:w="2264"/>
              <w:gridCol w:w="2229"/>
            </w:tblGrid>
            <w:tr w14:paraId="45E1A7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609" w:type="dxa"/>
                  <w:vMerge w:val="restart"/>
                  <w:tcBorders>
                    <w:tl2br w:val="nil"/>
                    <w:tr2bl w:val="nil"/>
                  </w:tcBorders>
                  <w:noWrap w:val="0"/>
                  <w:vAlign w:val="center"/>
                </w:tcPr>
                <w:p w14:paraId="10C362A0">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b/>
                      <w:bCs w:val="0"/>
                      <w:color w:val="auto"/>
                      <w:szCs w:val="21"/>
                      <w:highlight w:val="none"/>
                      <w:shd w:val="clear" w:color="auto" w:fill="auto"/>
                      <w:lang w:val="en-US" w:eastAsia="zh-CN"/>
                    </w:rPr>
                  </w:pPr>
                  <w:r>
                    <w:rPr>
                      <w:rFonts w:hint="default" w:ascii="Times New Roman" w:hAnsi="Times New Roman" w:eastAsia="宋体" w:cs="Times New Roman"/>
                      <w:b/>
                      <w:bCs w:val="0"/>
                      <w:color w:val="auto"/>
                      <w:szCs w:val="21"/>
                      <w:highlight w:val="none"/>
                      <w:shd w:val="clear" w:color="auto" w:fill="auto"/>
                      <w:lang w:val="en-US" w:eastAsia="zh-CN"/>
                    </w:rPr>
                    <w:t>线路所在区域</w:t>
                  </w:r>
                </w:p>
              </w:tc>
              <w:tc>
                <w:tcPr>
                  <w:tcW w:w="1402" w:type="dxa"/>
                  <w:vMerge w:val="restart"/>
                  <w:tcBorders>
                    <w:tl2br w:val="nil"/>
                    <w:tr2bl w:val="nil"/>
                  </w:tcBorders>
                  <w:noWrap w:val="0"/>
                  <w:vAlign w:val="center"/>
                </w:tcPr>
                <w:p w14:paraId="02CEF29E">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r>
                    <w:rPr>
                      <w:rFonts w:hint="default" w:ascii="Times New Roman" w:hAnsi="Times New Roman" w:cs="Times New Roman"/>
                      <w:b/>
                      <w:color w:val="auto"/>
                      <w:szCs w:val="21"/>
                      <w:highlight w:val="none"/>
                      <w:shd w:val="clear" w:color="auto" w:fill="auto"/>
                    </w:rPr>
                    <w:t>声环境功能区类别</w:t>
                  </w:r>
                </w:p>
              </w:tc>
              <w:tc>
                <w:tcPr>
                  <w:tcW w:w="4493" w:type="dxa"/>
                  <w:gridSpan w:val="2"/>
                  <w:tcBorders>
                    <w:tl2br w:val="nil"/>
                    <w:tr2bl w:val="nil"/>
                  </w:tcBorders>
                  <w:noWrap w:val="0"/>
                  <w:vAlign w:val="center"/>
                </w:tcPr>
                <w:p w14:paraId="0C117AC1">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r>
                    <w:rPr>
                      <w:rFonts w:hint="default" w:ascii="Times New Roman" w:hAnsi="Times New Roman" w:cs="Times New Roman"/>
                      <w:b/>
                      <w:color w:val="auto"/>
                      <w:szCs w:val="21"/>
                      <w:highlight w:val="none"/>
                      <w:shd w:val="clear" w:color="auto" w:fill="auto"/>
                    </w:rPr>
                    <w:t>《声环境质量标准》（GB3096-2008）限值</w:t>
                  </w:r>
                  <w:r>
                    <w:rPr>
                      <w:rFonts w:hint="default" w:ascii="Times New Roman" w:hAnsi="Times New Roman" w:cs="Times New Roman"/>
                      <w:b/>
                      <w:color w:val="auto"/>
                      <w:szCs w:val="21"/>
                      <w:highlight w:val="none"/>
                      <w:shd w:val="clear" w:color="auto" w:fill="auto"/>
                      <w:lang w:eastAsia="zh-CN"/>
                    </w:rPr>
                    <w:t>要求</w:t>
                  </w:r>
                </w:p>
              </w:tc>
            </w:tr>
            <w:tr w14:paraId="1BB404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609" w:type="dxa"/>
                  <w:vMerge w:val="continue"/>
                  <w:tcBorders>
                    <w:tl2br w:val="nil"/>
                    <w:tr2bl w:val="nil"/>
                  </w:tcBorders>
                  <w:noWrap w:val="0"/>
                  <w:vAlign w:val="center"/>
                </w:tcPr>
                <w:p w14:paraId="2C20C351">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bCs w:val="0"/>
                      <w:color w:val="auto"/>
                      <w:szCs w:val="21"/>
                      <w:highlight w:val="none"/>
                      <w:shd w:val="clear" w:color="auto" w:fill="auto"/>
                    </w:rPr>
                  </w:pPr>
                </w:p>
              </w:tc>
              <w:tc>
                <w:tcPr>
                  <w:tcW w:w="1402" w:type="dxa"/>
                  <w:vMerge w:val="continue"/>
                  <w:tcBorders>
                    <w:tl2br w:val="nil"/>
                    <w:tr2bl w:val="nil"/>
                  </w:tcBorders>
                  <w:noWrap w:val="0"/>
                  <w:vAlign w:val="center"/>
                </w:tcPr>
                <w:p w14:paraId="59542270">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p>
              </w:tc>
              <w:tc>
                <w:tcPr>
                  <w:tcW w:w="2264" w:type="dxa"/>
                  <w:tcBorders>
                    <w:tl2br w:val="nil"/>
                    <w:tr2bl w:val="nil"/>
                  </w:tcBorders>
                  <w:noWrap w:val="0"/>
                  <w:vAlign w:val="center"/>
                </w:tcPr>
                <w:p w14:paraId="73ED8A99">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r>
                    <w:rPr>
                      <w:rFonts w:hint="default" w:ascii="Times New Roman" w:hAnsi="Times New Roman" w:cs="Times New Roman"/>
                      <w:b/>
                      <w:color w:val="auto"/>
                      <w:szCs w:val="21"/>
                      <w:highlight w:val="none"/>
                      <w:shd w:val="clear" w:color="auto" w:fill="auto"/>
                    </w:rPr>
                    <w:t>昼间</w:t>
                  </w:r>
                </w:p>
              </w:tc>
              <w:tc>
                <w:tcPr>
                  <w:tcW w:w="2229" w:type="dxa"/>
                  <w:tcBorders>
                    <w:tl2br w:val="nil"/>
                    <w:tr2bl w:val="nil"/>
                  </w:tcBorders>
                  <w:noWrap w:val="0"/>
                  <w:vAlign w:val="center"/>
                </w:tcPr>
                <w:p w14:paraId="2873DEA2">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b/>
                      <w:color w:val="auto"/>
                      <w:szCs w:val="21"/>
                      <w:highlight w:val="none"/>
                      <w:shd w:val="clear" w:color="auto" w:fill="auto"/>
                    </w:rPr>
                  </w:pPr>
                  <w:r>
                    <w:rPr>
                      <w:rFonts w:hint="default" w:ascii="Times New Roman" w:hAnsi="Times New Roman" w:cs="Times New Roman"/>
                      <w:b/>
                      <w:color w:val="auto"/>
                      <w:szCs w:val="21"/>
                      <w:highlight w:val="none"/>
                      <w:shd w:val="clear" w:color="auto" w:fill="auto"/>
                    </w:rPr>
                    <w:t>夜间</w:t>
                  </w:r>
                </w:p>
              </w:tc>
            </w:tr>
            <w:tr w14:paraId="3E198C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609" w:type="dxa"/>
                  <w:tcBorders>
                    <w:tl2br w:val="nil"/>
                    <w:tr2bl w:val="nil"/>
                  </w:tcBorders>
                  <w:noWrap w:val="0"/>
                  <w:vAlign w:val="center"/>
                </w:tcPr>
                <w:p w14:paraId="43B18C56">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农村区域</w:t>
                  </w:r>
                </w:p>
              </w:tc>
              <w:tc>
                <w:tcPr>
                  <w:tcW w:w="1402" w:type="dxa"/>
                  <w:tcBorders>
                    <w:tl2br w:val="nil"/>
                    <w:tr2bl w:val="nil"/>
                  </w:tcBorders>
                  <w:noWrap w:val="0"/>
                  <w:vAlign w:val="center"/>
                </w:tcPr>
                <w:p w14:paraId="7EFE6C95">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eastAsia="zh-CN"/>
                    </w:rPr>
                  </w:pPr>
                  <w:r>
                    <w:rPr>
                      <w:rFonts w:hint="default" w:ascii="Times New Roman" w:hAnsi="Times New Roman" w:cs="Times New Roman"/>
                      <w:color w:val="auto"/>
                      <w:szCs w:val="21"/>
                      <w:highlight w:val="none"/>
                      <w:shd w:val="clear" w:color="auto" w:fill="auto"/>
                      <w:lang w:val="en-US" w:eastAsia="zh-CN"/>
                    </w:rPr>
                    <w:t>1</w:t>
                  </w:r>
                  <w:r>
                    <w:rPr>
                      <w:rFonts w:hint="default" w:ascii="Times New Roman" w:hAnsi="Times New Roman" w:cs="Times New Roman"/>
                      <w:color w:val="auto"/>
                      <w:szCs w:val="21"/>
                      <w:highlight w:val="none"/>
                      <w:shd w:val="clear" w:color="auto" w:fill="auto"/>
                    </w:rPr>
                    <w:t>类</w:t>
                  </w:r>
                </w:p>
              </w:tc>
              <w:tc>
                <w:tcPr>
                  <w:tcW w:w="2264" w:type="dxa"/>
                  <w:tcBorders>
                    <w:tl2br w:val="nil"/>
                    <w:tr2bl w:val="nil"/>
                  </w:tcBorders>
                  <w:noWrap w:val="0"/>
                  <w:vAlign w:val="center"/>
                </w:tcPr>
                <w:p w14:paraId="4DEB31E8">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55</w:t>
                  </w:r>
                </w:p>
              </w:tc>
              <w:tc>
                <w:tcPr>
                  <w:tcW w:w="2229" w:type="dxa"/>
                  <w:tcBorders>
                    <w:tl2br w:val="nil"/>
                    <w:tr2bl w:val="nil"/>
                  </w:tcBorders>
                  <w:noWrap w:val="0"/>
                  <w:vAlign w:val="center"/>
                </w:tcPr>
                <w:p w14:paraId="077A0CEA">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45</w:t>
                  </w:r>
                </w:p>
              </w:tc>
            </w:tr>
            <w:tr w14:paraId="5D3AE0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609" w:type="dxa"/>
                  <w:tcBorders>
                    <w:tl2br w:val="nil"/>
                    <w:tr2bl w:val="nil"/>
                  </w:tcBorders>
                  <w:noWrap w:val="0"/>
                  <w:vAlign w:val="center"/>
                </w:tcPr>
                <w:p w14:paraId="5A252238">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居住、商业、工业混杂区</w:t>
                  </w:r>
                </w:p>
              </w:tc>
              <w:tc>
                <w:tcPr>
                  <w:tcW w:w="1402" w:type="dxa"/>
                  <w:tcBorders>
                    <w:tl2br w:val="nil"/>
                    <w:tr2bl w:val="nil"/>
                  </w:tcBorders>
                  <w:noWrap w:val="0"/>
                  <w:vAlign w:val="center"/>
                </w:tcPr>
                <w:p w14:paraId="581D51D8">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2</w:t>
                  </w:r>
                  <w:r>
                    <w:rPr>
                      <w:rFonts w:hint="default" w:ascii="Times New Roman" w:hAnsi="Times New Roman" w:cs="Times New Roman"/>
                      <w:color w:val="auto"/>
                      <w:szCs w:val="21"/>
                      <w:highlight w:val="none"/>
                      <w:shd w:val="clear" w:color="auto" w:fill="auto"/>
                    </w:rPr>
                    <w:t>类</w:t>
                  </w:r>
                </w:p>
              </w:tc>
              <w:tc>
                <w:tcPr>
                  <w:tcW w:w="2264" w:type="dxa"/>
                  <w:tcBorders>
                    <w:tl2br w:val="nil"/>
                    <w:tr2bl w:val="nil"/>
                  </w:tcBorders>
                  <w:noWrap w:val="0"/>
                  <w:vAlign w:val="center"/>
                </w:tcPr>
                <w:p w14:paraId="6298F19C">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60</w:t>
                  </w:r>
                </w:p>
              </w:tc>
              <w:tc>
                <w:tcPr>
                  <w:tcW w:w="2229" w:type="dxa"/>
                  <w:tcBorders>
                    <w:tl2br w:val="nil"/>
                    <w:tr2bl w:val="nil"/>
                  </w:tcBorders>
                  <w:noWrap w:val="0"/>
                  <w:vAlign w:val="center"/>
                </w:tcPr>
                <w:p w14:paraId="599BF589">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50</w:t>
                  </w:r>
                </w:p>
              </w:tc>
            </w:tr>
            <w:tr w14:paraId="215E16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609" w:type="dxa"/>
                  <w:tcBorders>
                    <w:tl2br w:val="nil"/>
                    <w:tr2bl w:val="nil"/>
                  </w:tcBorders>
                  <w:noWrap w:val="0"/>
                  <w:vAlign w:val="center"/>
                </w:tcPr>
                <w:p w14:paraId="53529F31">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交通干线两侧相应范围内</w:t>
                  </w:r>
                </w:p>
              </w:tc>
              <w:tc>
                <w:tcPr>
                  <w:tcW w:w="1402" w:type="dxa"/>
                  <w:tcBorders>
                    <w:tl2br w:val="nil"/>
                    <w:tr2bl w:val="nil"/>
                  </w:tcBorders>
                  <w:noWrap w:val="0"/>
                  <w:vAlign w:val="center"/>
                </w:tcPr>
                <w:p w14:paraId="30910789">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4a</w:t>
                  </w:r>
                  <w:r>
                    <w:rPr>
                      <w:rFonts w:hint="default" w:ascii="Times New Roman" w:hAnsi="Times New Roman" w:cs="Times New Roman"/>
                      <w:color w:val="auto"/>
                      <w:szCs w:val="21"/>
                      <w:highlight w:val="none"/>
                      <w:shd w:val="clear" w:color="auto" w:fill="auto"/>
                    </w:rPr>
                    <w:t>类</w:t>
                  </w:r>
                </w:p>
              </w:tc>
              <w:tc>
                <w:tcPr>
                  <w:tcW w:w="2264" w:type="dxa"/>
                  <w:tcBorders>
                    <w:tl2br w:val="nil"/>
                    <w:tr2bl w:val="nil"/>
                  </w:tcBorders>
                  <w:noWrap w:val="0"/>
                  <w:vAlign w:val="center"/>
                </w:tcPr>
                <w:p w14:paraId="13D7917C">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70</w:t>
                  </w:r>
                </w:p>
              </w:tc>
              <w:tc>
                <w:tcPr>
                  <w:tcW w:w="2229" w:type="dxa"/>
                  <w:tcBorders>
                    <w:tl2br w:val="nil"/>
                    <w:tr2bl w:val="nil"/>
                  </w:tcBorders>
                  <w:noWrap w:val="0"/>
                  <w:vAlign w:val="center"/>
                </w:tcPr>
                <w:p w14:paraId="268E40C4">
                  <w:pPr>
                    <w:keepNext w:val="0"/>
                    <w:keepLines w:val="0"/>
                    <w:pageBreakBefore w:val="0"/>
                    <w:widowControl w:val="0"/>
                    <w:kinsoku/>
                    <w:wordWrap/>
                    <w:overflowPunct/>
                    <w:bidi w:val="0"/>
                    <w:adjustRightInd w:val="0"/>
                    <w:snapToGrid w:val="0"/>
                    <w:spacing w:line="240" w:lineRule="auto"/>
                    <w:jc w:val="center"/>
                    <w:textAlignment w:val="auto"/>
                    <w:outlineLvl w:val="9"/>
                    <w:rPr>
                      <w:rFonts w:hint="default" w:ascii="Times New Roman" w:hAnsi="Times New Roman" w:cs="Times New Roman"/>
                      <w:color w:val="auto"/>
                      <w:szCs w:val="21"/>
                      <w:highlight w:val="none"/>
                      <w:shd w:val="clear" w:color="auto" w:fill="auto"/>
                      <w:lang w:val="en-US" w:eastAsia="zh-CN"/>
                    </w:rPr>
                  </w:pPr>
                  <w:r>
                    <w:rPr>
                      <w:rFonts w:hint="default" w:ascii="Times New Roman" w:hAnsi="Times New Roman" w:cs="Times New Roman"/>
                      <w:color w:val="auto"/>
                      <w:szCs w:val="21"/>
                      <w:highlight w:val="none"/>
                      <w:shd w:val="clear" w:color="auto" w:fill="auto"/>
                      <w:lang w:val="en-US" w:eastAsia="zh-CN"/>
                    </w:rPr>
                    <w:t>55</w:t>
                  </w:r>
                </w:p>
              </w:tc>
            </w:tr>
          </w:tbl>
          <w:p w14:paraId="75DD166B">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⑵</w:t>
            </w:r>
            <w:r>
              <w:rPr>
                <w:rFonts w:hint="default" w:ascii="Times New Roman" w:hAnsi="Times New Roman" w:cs="Times New Roman"/>
                <w:color w:val="auto"/>
                <w:sz w:val="24"/>
                <w:highlight w:val="none"/>
              </w:rPr>
              <w:t>电磁环境</w:t>
            </w:r>
          </w:p>
          <w:p w14:paraId="6FDE2780">
            <w:pPr>
              <w:autoSpaceDN w:val="0"/>
              <w:adjustRightInd w:val="0"/>
              <w:snapToGrid w:val="0"/>
              <w:spacing w:line="360" w:lineRule="auto"/>
              <w:ind w:firstLine="480" w:firstLineChars="200"/>
              <w:textAlignment w:val="baseline"/>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①工频电场执行《电磁环境控制限值》（GB8702-2014）中规定的标准，公众曝露控制限值电场强度限值200/f（4000V/m）作为评价标准；架空输电线路下的耕地、园地、牧草地、畜禽饲养地、养殖水面、道路等场所，其频率50Hz的电场强度控制限值为10kV/m，且应给出警示和防护指示标志</w:t>
            </w:r>
            <w:r>
              <w:rPr>
                <w:rFonts w:hint="default" w:ascii="Times New Roman" w:hAnsi="Times New Roman" w:cs="Times New Roman"/>
                <w:color w:val="auto"/>
                <w:sz w:val="24"/>
                <w:highlight w:val="none"/>
                <w:lang w:eastAsia="zh-CN"/>
              </w:rPr>
              <w:t>。</w:t>
            </w:r>
          </w:p>
          <w:p w14:paraId="6BD0FD17">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②工频磁场执行《电磁环境控制限值》（GB8702-2014）中规定的标准，公众曝露控制限值磁感应强度限值5/f（100μT）作为评价标准。</w:t>
            </w:r>
          </w:p>
          <w:p w14:paraId="77AE8A51">
            <w:pPr>
              <w:spacing w:line="24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 xml:space="preserve">16 </w:t>
            </w:r>
            <w:r>
              <w:rPr>
                <w:rFonts w:hint="default" w:ascii="Times New Roman" w:hAnsi="Times New Roman" w:eastAsia="宋体" w:cs="Times New Roman"/>
                <w:b/>
                <w:bCs/>
                <w:color w:val="auto"/>
                <w:sz w:val="24"/>
                <w:highlight w:val="none"/>
              </w:rPr>
              <w:t xml:space="preserve">   电磁环境控制限值</w:t>
            </w:r>
          </w:p>
          <w:tbl>
            <w:tblPr>
              <w:tblStyle w:val="31"/>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7153"/>
            </w:tblGrid>
            <w:tr w14:paraId="2F958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51" w:type="dxa"/>
                  <w:noWrap w:val="0"/>
                  <w:vAlign w:val="center"/>
                </w:tcPr>
                <w:p w14:paraId="5BC47360">
                  <w:pPr>
                    <w:spacing w:line="240" w:lineRule="atLeast"/>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污染物名称</w:t>
                  </w:r>
                </w:p>
              </w:tc>
              <w:tc>
                <w:tcPr>
                  <w:tcW w:w="7075" w:type="dxa"/>
                  <w:noWrap w:val="0"/>
                  <w:vAlign w:val="center"/>
                </w:tcPr>
                <w:p w14:paraId="27D5E4BD">
                  <w:pPr>
                    <w:spacing w:line="240" w:lineRule="atLeast"/>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w:t>
                  </w:r>
                </w:p>
              </w:tc>
            </w:tr>
            <w:tr w14:paraId="56C2FA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51" w:type="dxa"/>
                  <w:vMerge w:val="restart"/>
                  <w:noWrap w:val="0"/>
                  <w:vAlign w:val="center"/>
                </w:tcPr>
                <w:p w14:paraId="37B2D9E7">
                  <w:pPr>
                    <w:spacing w:line="24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工频电场</w:t>
                  </w:r>
                </w:p>
              </w:tc>
              <w:tc>
                <w:tcPr>
                  <w:tcW w:w="7140" w:type="dxa"/>
                  <w:noWrap w:val="0"/>
                  <w:vAlign w:val="center"/>
                </w:tcPr>
                <w:p w14:paraId="42BDBEC9">
                  <w:pPr>
                    <w:pStyle w:val="55"/>
                    <w:spacing w:before="24" w:after="24" w:line="240" w:lineRule="auto"/>
                    <w:ind w:left="0" w:lef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4000V/m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公众曝露控制限值</w:t>
                  </w:r>
                  <w:r>
                    <w:rPr>
                      <w:rFonts w:hint="default" w:ascii="Times New Roman" w:hAnsi="Times New Roman" w:eastAsia="宋体" w:cs="Times New Roman"/>
                      <w:color w:val="auto"/>
                      <w:sz w:val="21"/>
                      <w:szCs w:val="21"/>
                      <w:highlight w:val="none"/>
                      <w:lang w:eastAsia="zh-CN"/>
                    </w:rPr>
                    <w:t>）</w:t>
                  </w:r>
                </w:p>
              </w:tc>
            </w:tr>
            <w:tr w14:paraId="0452BF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51" w:type="dxa"/>
                  <w:vMerge w:val="continue"/>
                  <w:noWrap w:val="0"/>
                  <w:vAlign w:val="center"/>
                </w:tcPr>
                <w:p w14:paraId="595410F7">
                  <w:pPr>
                    <w:spacing w:line="240" w:lineRule="atLeast"/>
                    <w:jc w:val="center"/>
                    <w:rPr>
                      <w:rFonts w:hint="default" w:ascii="Times New Roman" w:hAnsi="Times New Roman" w:eastAsia="宋体" w:cs="Times New Roman"/>
                      <w:color w:val="auto"/>
                      <w:sz w:val="21"/>
                      <w:szCs w:val="21"/>
                      <w:highlight w:val="none"/>
                    </w:rPr>
                  </w:pPr>
                </w:p>
              </w:tc>
              <w:tc>
                <w:tcPr>
                  <w:tcW w:w="7151" w:type="dxa"/>
                  <w:noWrap w:val="0"/>
                  <w:vAlign w:val="center"/>
                </w:tcPr>
                <w:p w14:paraId="38977ECC">
                  <w:pPr>
                    <w:pStyle w:val="55"/>
                    <w:spacing w:before="24" w:after="24" w:line="240" w:lineRule="auto"/>
                    <w:ind w:left="0" w:leftChars="0" w:firstLine="0" w:firstLine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架空输电线路线下的耕地、园地、牧草地、畜禽饲养地、养殖水面、道路等场所，其频率50Hz的电场强度控制限值：10kV/m。</w:t>
                  </w:r>
                </w:p>
              </w:tc>
            </w:tr>
            <w:tr w14:paraId="0ABEA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51" w:type="dxa"/>
                  <w:noWrap w:val="0"/>
                  <w:vAlign w:val="center"/>
                </w:tcPr>
                <w:p w14:paraId="70049203">
                  <w:pPr>
                    <w:spacing w:line="24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工频</w:t>
                  </w:r>
                  <w:r>
                    <w:rPr>
                      <w:rFonts w:hint="default" w:ascii="Times New Roman" w:hAnsi="Times New Roman" w:eastAsia="宋体" w:cs="Times New Roman"/>
                      <w:color w:val="auto"/>
                      <w:sz w:val="21"/>
                      <w:szCs w:val="21"/>
                      <w:highlight w:val="none"/>
                    </w:rPr>
                    <w:cr/>
                  </w:r>
                  <w:r>
                    <w:rPr>
                      <w:rFonts w:hint="default" w:ascii="Times New Roman" w:hAnsi="Times New Roman" w:eastAsia="宋体" w:cs="Times New Roman"/>
                      <w:color w:val="auto"/>
                      <w:sz w:val="21"/>
                      <w:szCs w:val="21"/>
                      <w:highlight w:val="none"/>
                    </w:rPr>
                    <w:t>磁场</w:t>
                  </w:r>
                </w:p>
              </w:tc>
              <w:tc>
                <w:tcPr>
                  <w:tcW w:w="7153" w:type="dxa"/>
                  <w:noWrap w:val="0"/>
                  <w:vAlign w:val="center"/>
                </w:tcPr>
                <w:p w14:paraId="58691EDA">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100μT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公众曝露控制限值</w:t>
                  </w:r>
                  <w:r>
                    <w:rPr>
                      <w:rFonts w:hint="default" w:ascii="Times New Roman" w:hAnsi="Times New Roman" w:eastAsia="宋体" w:cs="Times New Roman"/>
                      <w:color w:val="auto"/>
                      <w:sz w:val="21"/>
                      <w:szCs w:val="21"/>
                      <w:highlight w:val="none"/>
                      <w:lang w:eastAsia="zh-CN"/>
                    </w:rPr>
                    <w:t>）</w:t>
                  </w:r>
                </w:p>
              </w:tc>
            </w:tr>
          </w:tbl>
          <w:p w14:paraId="228BBC16">
            <w:pPr>
              <w:keepNext w:val="0"/>
              <w:keepLines w:val="0"/>
              <w:pageBreakBefore w:val="0"/>
              <w:widowControl w:val="0"/>
              <w:tabs>
                <w:tab w:val="left" w:pos="4797"/>
              </w:tabs>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val="0"/>
                <w:color w:val="auto"/>
                <w:kern w:val="2"/>
                <w:sz w:val="24"/>
                <w:szCs w:val="20"/>
                <w:lang w:val="en-US" w:eastAsia="zh-CN" w:bidi="ar-SA"/>
              </w:rPr>
            </w:pPr>
            <w:r>
              <w:rPr>
                <w:rFonts w:hint="default" w:ascii="Times New Roman" w:hAnsi="Times New Roman" w:eastAsia="宋体" w:cs="Times New Roman"/>
                <w:b/>
                <w:bCs w:val="0"/>
                <w:color w:val="auto"/>
                <w:kern w:val="2"/>
                <w:sz w:val="24"/>
                <w:szCs w:val="20"/>
                <w:lang w:val="en-US" w:eastAsia="zh-CN" w:bidi="ar-SA"/>
              </w:rPr>
              <w:t>2.污染物排放标准</w:t>
            </w:r>
          </w:p>
          <w:p w14:paraId="3A6CF4B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⑴大气</w:t>
            </w:r>
            <w:r>
              <w:rPr>
                <w:rFonts w:hint="default" w:ascii="Times New Roman" w:hAnsi="Times New Roman" w:cs="Times New Roman"/>
                <w:color w:val="auto"/>
                <w:sz w:val="24"/>
                <w:highlight w:val="none"/>
                <w:lang w:val="en-US" w:eastAsia="zh-CN"/>
              </w:rPr>
              <w:t>环境</w:t>
            </w:r>
          </w:p>
          <w:p w14:paraId="54589F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施工期扬尘执行《大气污染物综合排放标准》（GB16297-1996）中其他颗粒物的无组织排放监控浓度限值</w:t>
            </w:r>
            <w:r>
              <w:rPr>
                <w:rFonts w:hint="default" w:ascii="Times New Roman" w:hAnsi="Times New Roman" w:cs="Times New Roman"/>
                <w:bCs/>
                <w:color w:val="auto"/>
                <w:sz w:val="24"/>
                <w:highlight w:val="none"/>
              </w:rPr>
              <w:t>，具体见表</w:t>
            </w:r>
            <w:r>
              <w:rPr>
                <w:rFonts w:hint="default" w:ascii="Times New Roman" w:hAnsi="Times New Roman" w:cs="Times New Roman"/>
                <w:bCs/>
                <w:color w:val="auto"/>
                <w:sz w:val="24"/>
                <w:highlight w:val="none"/>
                <w:lang w:val="en-US" w:eastAsia="zh-CN"/>
              </w:rPr>
              <w:t>3-17</w:t>
            </w:r>
            <w:r>
              <w:rPr>
                <w:rFonts w:hint="default" w:ascii="Times New Roman" w:hAnsi="Times New Roman" w:cs="Times New Roman"/>
                <w:bCs/>
                <w:color w:val="auto"/>
                <w:sz w:val="24"/>
                <w:highlight w:val="none"/>
              </w:rPr>
              <w:t>。</w:t>
            </w:r>
          </w:p>
          <w:p w14:paraId="03F68BB3">
            <w:pPr>
              <w:spacing w:line="240" w:lineRule="auto"/>
              <w:jc w:val="center"/>
              <w:rPr>
                <w:rFonts w:hint="default" w:ascii="Times New Roman" w:hAnsi="Times New Roman" w:eastAsia="宋体" w:cs="Times New Roman"/>
                <w:b/>
                <w:bCs/>
                <w:color w:val="auto"/>
                <w:sz w:val="24"/>
                <w:highlight w:val="none"/>
                <w:lang w:val="en-US"/>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3-17</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施工扬尘排放限值</w:t>
            </w:r>
          </w:p>
          <w:tbl>
            <w:tblPr>
              <w:tblStyle w:val="31"/>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148"/>
              <w:gridCol w:w="2755"/>
              <w:gridCol w:w="2646"/>
            </w:tblGrid>
            <w:tr w14:paraId="41C462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840" w:type="pct"/>
                  <w:tcBorders>
                    <w:tl2br w:val="nil"/>
                    <w:tr2bl w:val="nil"/>
                  </w:tcBorders>
                  <w:noWrap w:val="0"/>
                  <w:vAlign w:val="center"/>
                </w:tcPr>
                <w:p w14:paraId="127DFB9A">
                  <w:pPr>
                    <w:adjustRightInd w:val="0"/>
                    <w:snapToGrid w:val="0"/>
                    <w:jc w:val="center"/>
                    <w:rPr>
                      <w:rFonts w:hint="default" w:ascii="Times New Roman" w:hAnsi="Times New Roman" w:eastAsia="宋体" w:cs="Times New Roman"/>
                      <w:b/>
                      <w:bCs w:val="0"/>
                      <w:color w:val="auto"/>
                      <w:sz w:val="21"/>
                      <w:szCs w:val="21"/>
                      <w:highlight w:val="none"/>
                      <w:lang w:eastAsia="zh-CN"/>
                    </w:rPr>
                  </w:pPr>
                  <w:r>
                    <w:rPr>
                      <w:rFonts w:hint="default" w:ascii="Times New Roman" w:hAnsi="Times New Roman" w:cs="Times New Roman"/>
                      <w:b/>
                      <w:bCs w:val="0"/>
                      <w:color w:val="auto"/>
                      <w:sz w:val="21"/>
                      <w:szCs w:val="21"/>
                      <w:highlight w:val="none"/>
                      <w:lang w:val="en-US" w:eastAsia="zh-CN"/>
                    </w:rPr>
                    <w:t>污染物</w:t>
                  </w:r>
                </w:p>
              </w:tc>
              <w:tc>
                <w:tcPr>
                  <w:tcW w:w="1611" w:type="pct"/>
                  <w:tcBorders>
                    <w:tl2br w:val="nil"/>
                    <w:tr2bl w:val="nil"/>
                  </w:tcBorders>
                  <w:noWrap w:val="0"/>
                  <w:vAlign w:val="center"/>
                </w:tcPr>
                <w:p w14:paraId="010302BF">
                  <w:pPr>
                    <w:adjustRightInd w:val="0"/>
                    <w:snapToGrid w:val="0"/>
                    <w:jc w:val="center"/>
                    <w:rPr>
                      <w:rFonts w:hint="default" w:ascii="Times New Roman" w:hAnsi="Times New Roman" w:eastAsia="宋体" w:cs="Times New Roman"/>
                      <w:b/>
                      <w:bCs w:val="0"/>
                      <w:color w:val="auto"/>
                      <w:sz w:val="21"/>
                      <w:szCs w:val="21"/>
                      <w:highlight w:val="none"/>
                      <w:lang w:eastAsia="zh-CN"/>
                    </w:rPr>
                  </w:pPr>
                  <w:r>
                    <w:rPr>
                      <w:rFonts w:hint="default" w:ascii="Times New Roman" w:hAnsi="Times New Roman" w:cs="Times New Roman"/>
                      <w:b/>
                      <w:bCs w:val="0"/>
                      <w:color w:val="auto"/>
                      <w:sz w:val="21"/>
                      <w:szCs w:val="21"/>
                      <w:highlight w:val="none"/>
                      <w:lang w:val="en-US" w:eastAsia="zh-CN"/>
                    </w:rPr>
                    <w:t>监控点</w:t>
                  </w:r>
                </w:p>
              </w:tc>
              <w:tc>
                <w:tcPr>
                  <w:tcW w:w="1547" w:type="pct"/>
                  <w:tcBorders>
                    <w:tl2br w:val="nil"/>
                    <w:tr2bl w:val="nil"/>
                  </w:tcBorders>
                  <w:noWrap w:val="0"/>
                  <w:vAlign w:val="center"/>
                </w:tcPr>
                <w:p w14:paraId="040E06CF">
                  <w:pPr>
                    <w:adjustRightInd w:val="0"/>
                    <w:snapToGrid w:val="0"/>
                    <w:jc w:val="center"/>
                    <w:rPr>
                      <w:rFonts w:hint="default" w:ascii="Times New Roman" w:hAnsi="Times New Roman" w:eastAsia="宋体" w:cs="Times New Roman"/>
                      <w:b/>
                      <w:bCs w:val="0"/>
                      <w:color w:val="auto"/>
                      <w:sz w:val="21"/>
                      <w:szCs w:val="21"/>
                      <w:highlight w:val="none"/>
                      <w:lang w:eastAsia="zh-CN"/>
                    </w:rPr>
                  </w:pPr>
                  <w:r>
                    <w:rPr>
                      <w:rFonts w:hint="default" w:ascii="Times New Roman" w:hAnsi="Times New Roman" w:cs="Times New Roman"/>
                      <w:b/>
                      <w:bCs w:val="0"/>
                      <w:color w:val="auto"/>
                      <w:sz w:val="21"/>
                      <w:szCs w:val="21"/>
                      <w:highlight w:val="none"/>
                      <w:lang w:val="en-US" w:eastAsia="zh-CN"/>
                    </w:rPr>
                    <w:t>浓度</w:t>
                  </w:r>
                </w:p>
              </w:tc>
            </w:tr>
            <w:tr w14:paraId="0270A4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840" w:type="pct"/>
                  <w:tcBorders>
                    <w:tl2br w:val="nil"/>
                    <w:tr2bl w:val="nil"/>
                  </w:tcBorders>
                  <w:noWrap w:val="0"/>
                  <w:vAlign w:val="center"/>
                </w:tcPr>
                <w:p w14:paraId="4ABDC4D5">
                  <w:pPr>
                    <w:adjustRightInd w:val="0"/>
                    <w:snapToGrid w:val="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其他颗粒物</w:t>
                  </w:r>
                </w:p>
              </w:tc>
              <w:tc>
                <w:tcPr>
                  <w:tcW w:w="1611" w:type="pct"/>
                  <w:tcBorders>
                    <w:tl2br w:val="nil"/>
                    <w:tr2bl w:val="nil"/>
                  </w:tcBorders>
                  <w:noWrap w:val="0"/>
                  <w:vAlign w:val="center"/>
                </w:tcPr>
                <w:p w14:paraId="0F4C8C6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周界外浓度最高点</w:t>
                  </w:r>
                </w:p>
              </w:tc>
              <w:tc>
                <w:tcPr>
                  <w:tcW w:w="1547" w:type="pct"/>
                  <w:tcBorders>
                    <w:tl2br w:val="nil"/>
                    <w:tr2bl w:val="nil"/>
                  </w:tcBorders>
                  <w:noWrap w:val="0"/>
                  <w:vAlign w:val="center"/>
                </w:tcPr>
                <w:p w14:paraId="41108818">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1.0mg/m³</w:t>
                  </w:r>
                </w:p>
              </w:tc>
            </w:tr>
          </w:tbl>
          <w:p w14:paraId="4216FA3A">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eastAsia="zh-CN"/>
              </w:rPr>
              <w:t>⑵</w:t>
            </w:r>
            <w:r>
              <w:rPr>
                <w:rFonts w:hint="default" w:ascii="Times New Roman" w:hAnsi="Times New Roman" w:eastAsia="宋体" w:cs="Times New Roman"/>
                <w:color w:val="auto"/>
                <w:sz w:val="24"/>
                <w:highlight w:val="none"/>
                <w:lang w:val="en-US" w:eastAsia="zh-CN"/>
              </w:rPr>
              <w:t>声环境</w:t>
            </w:r>
          </w:p>
          <w:p w14:paraId="5C4DE9F2">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lang w:eastAsia="zh-CN"/>
              </w:rPr>
              <w:t>①</w:t>
            </w:r>
            <w:r>
              <w:rPr>
                <w:rFonts w:hint="default" w:ascii="Times New Roman" w:hAnsi="Times New Roman" w:cs="Times New Roman"/>
                <w:color w:val="auto"/>
                <w:sz w:val="24"/>
                <w:highlight w:val="none"/>
              </w:rPr>
              <w:t>施工期声环境执行</w:t>
            </w:r>
            <w:r>
              <w:rPr>
                <w:rFonts w:hint="default" w:ascii="Times New Roman" w:hAnsi="Times New Roman" w:cs="Times New Roman"/>
                <w:bCs/>
                <w:color w:val="auto"/>
                <w:sz w:val="24"/>
                <w:highlight w:val="none"/>
              </w:rPr>
              <w:t>《建筑施工噪声排放标准》（GB12523-20</w:t>
            </w:r>
            <w:r>
              <w:rPr>
                <w:rFonts w:hint="default" w:ascii="Times New Roman" w:hAnsi="Times New Roman" w:cs="Times New Roman"/>
                <w:bCs/>
                <w:color w:val="auto"/>
                <w:sz w:val="24"/>
                <w:highlight w:val="none"/>
                <w:lang w:val="en-US" w:eastAsia="zh-CN"/>
              </w:rPr>
              <w:t>25</w:t>
            </w:r>
            <w:r>
              <w:rPr>
                <w:rFonts w:hint="default" w:ascii="Times New Roman" w:hAnsi="Times New Roman" w:cs="Times New Roman"/>
                <w:bCs/>
                <w:color w:val="auto"/>
                <w:sz w:val="24"/>
                <w:highlight w:val="none"/>
              </w:rPr>
              <w:t>），具体见表3-</w:t>
            </w:r>
            <w:r>
              <w:rPr>
                <w:rFonts w:hint="default" w:ascii="Times New Roman" w:hAnsi="Times New Roman" w:cs="Times New Roman"/>
                <w:bCs/>
                <w:color w:val="auto"/>
                <w:sz w:val="24"/>
                <w:highlight w:val="none"/>
                <w:lang w:val="en-US" w:eastAsia="zh-CN"/>
              </w:rPr>
              <w:t>18</w:t>
            </w:r>
            <w:r>
              <w:rPr>
                <w:rFonts w:hint="default" w:ascii="Times New Roman" w:hAnsi="Times New Roman" w:cs="Times New Roman"/>
                <w:bCs/>
                <w:color w:val="auto"/>
                <w:sz w:val="24"/>
                <w:highlight w:val="none"/>
              </w:rPr>
              <w:t>。</w:t>
            </w:r>
          </w:p>
          <w:p w14:paraId="3382E7E0">
            <w:pPr>
              <w:spacing w:line="240" w:lineRule="auto"/>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表3-18    建筑施工噪声排放标准限值</w:t>
            </w:r>
          </w:p>
          <w:tbl>
            <w:tblPr>
              <w:tblStyle w:val="31"/>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55"/>
              <w:gridCol w:w="4049"/>
            </w:tblGrid>
            <w:tr w14:paraId="47B1A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6" w:type="dxa"/>
                  <w:tcBorders>
                    <w:tl2br w:val="nil"/>
                    <w:tr2bl w:val="nil"/>
                  </w:tcBorders>
                  <w:noWrap w:val="0"/>
                  <w:vAlign w:val="center"/>
                </w:tcPr>
                <w:p w14:paraId="67A48AD9">
                  <w:pPr>
                    <w:spacing w:line="240" w:lineRule="auto"/>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昼间</w:t>
                  </w:r>
                </w:p>
              </w:tc>
              <w:tc>
                <w:tcPr>
                  <w:tcW w:w="3914" w:type="dxa"/>
                  <w:tcBorders>
                    <w:tl2br w:val="nil"/>
                    <w:tr2bl w:val="nil"/>
                  </w:tcBorders>
                  <w:noWrap w:val="0"/>
                  <w:vAlign w:val="center"/>
                </w:tcPr>
                <w:p w14:paraId="745EBB0A">
                  <w:pPr>
                    <w:adjustRightInd w:val="0"/>
                    <w:snapToGrid w:val="0"/>
                    <w:spacing w:line="240" w:lineRule="atLeast"/>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夜间</w:t>
                  </w:r>
                </w:p>
              </w:tc>
            </w:tr>
            <w:tr w14:paraId="510E9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6" w:type="dxa"/>
                  <w:tcBorders>
                    <w:tl2br w:val="nil"/>
                    <w:tr2bl w:val="nil"/>
                  </w:tcBorders>
                  <w:noWrap w:val="0"/>
                  <w:vAlign w:val="center"/>
                </w:tcPr>
                <w:p w14:paraId="242CA88F">
                  <w:pPr>
                    <w:adjustRightInd w:val="0"/>
                    <w:snapToGrid w:val="0"/>
                    <w:spacing w:line="240" w:lineRule="atLeast"/>
                    <w:jc w:val="center"/>
                    <w:rPr>
                      <w:rFonts w:hint="default" w:ascii="Times New Roman" w:hAnsi="Times New Roman" w:eastAsia="黑体" w:cs="Times New Roman"/>
                      <w:color w:val="auto"/>
                      <w:szCs w:val="21"/>
                      <w:highlight w:val="none"/>
                      <w:lang w:eastAsia="zh-CN"/>
                    </w:rPr>
                  </w:pPr>
                  <w:r>
                    <w:rPr>
                      <w:rFonts w:hint="default" w:ascii="Times New Roman" w:hAnsi="Times New Roman" w:cs="Times New Roman"/>
                      <w:color w:val="auto"/>
                      <w:szCs w:val="21"/>
                      <w:highlight w:val="none"/>
                    </w:rPr>
                    <w:t>70</w:t>
                  </w:r>
                  <w:r>
                    <w:rPr>
                      <w:rFonts w:hint="default" w:ascii="Times New Roman" w:hAnsi="Times New Roman" w:eastAsia="黑体" w:cs="Times New Roman"/>
                      <w:bCs/>
                      <w:color w:val="auto"/>
                      <w:szCs w:val="21"/>
                      <w:highlight w:val="none"/>
                    </w:rPr>
                    <w:t>dB</w:t>
                  </w:r>
                  <w:r>
                    <w:rPr>
                      <w:rFonts w:hint="default" w:ascii="Times New Roman" w:hAnsi="Times New Roman" w:eastAsia="黑体" w:cs="Times New Roman"/>
                      <w:bCs/>
                      <w:color w:val="auto"/>
                      <w:szCs w:val="21"/>
                      <w:highlight w:val="none"/>
                      <w:lang w:eastAsia="zh-CN"/>
                    </w:rPr>
                    <w:t>(A)</w:t>
                  </w:r>
                </w:p>
              </w:tc>
              <w:tc>
                <w:tcPr>
                  <w:tcW w:w="3914" w:type="dxa"/>
                  <w:tcBorders>
                    <w:tl2br w:val="nil"/>
                    <w:tr2bl w:val="nil"/>
                  </w:tcBorders>
                  <w:noWrap w:val="0"/>
                  <w:vAlign w:val="center"/>
                </w:tcPr>
                <w:p w14:paraId="170584D3">
                  <w:pPr>
                    <w:adjustRightInd w:val="0"/>
                    <w:snapToGrid w:val="0"/>
                    <w:spacing w:line="240" w:lineRule="atLeast"/>
                    <w:jc w:val="center"/>
                    <w:rPr>
                      <w:rFonts w:hint="default" w:ascii="Times New Roman" w:hAnsi="Times New Roman" w:eastAsia="黑体" w:cs="Times New Roman"/>
                      <w:color w:val="auto"/>
                      <w:szCs w:val="21"/>
                      <w:highlight w:val="none"/>
                      <w:lang w:eastAsia="zh-CN"/>
                    </w:rPr>
                  </w:pPr>
                  <w:r>
                    <w:rPr>
                      <w:rFonts w:hint="default" w:ascii="Times New Roman" w:hAnsi="Times New Roman" w:cs="Times New Roman"/>
                      <w:color w:val="auto"/>
                      <w:szCs w:val="21"/>
                      <w:highlight w:val="none"/>
                    </w:rPr>
                    <w:t>55</w:t>
                  </w:r>
                  <w:r>
                    <w:rPr>
                      <w:rFonts w:hint="default" w:ascii="Times New Roman" w:hAnsi="Times New Roman" w:eastAsia="黑体" w:cs="Times New Roman"/>
                      <w:bCs/>
                      <w:color w:val="auto"/>
                      <w:szCs w:val="21"/>
                      <w:highlight w:val="none"/>
                    </w:rPr>
                    <w:t>dB</w:t>
                  </w:r>
                  <w:r>
                    <w:rPr>
                      <w:rFonts w:hint="default" w:ascii="Times New Roman" w:hAnsi="Times New Roman" w:eastAsia="黑体" w:cs="Times New Roman"/>
                      <w:bCs/>
                      <w:color w:val="auto"/>
                      <w:szCs w:val="21"/>
                      <w:highlight w:val="none"/>
                      <w:lang w:eastAsia="zh-CN"/>
                    </w:rPr>
                    <w:t>(A)</w:t>
                  </w:r>
                </w:p>
              </w:tc>
            </w:tr>
          </w:tbl>
          <w:p w14:paraId="6A93B9B2">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②</w:t>
            </w:r>
            <w:r>
              <w:rPr>
                <w:rFonts w:hint="default" w:ascii="Times New Roman" w:hAnsi="Times New Roman" w:cs="Times New Roman"/>
                <w:color w:val="auto"/>
                <w:sz w:val="24"/>
                <w:highlight w:val="none"/>
              </w:rPr>
              <w:t>运行期</w:t>
            </w:r>
            <w:r>
              <w:rPr>
                <w:rFonts w:hint="default" w:ascii="Times New Roman" w:hAnsi="Times New Roman" w:cs="Times New Roman"/>
                <w:color w:val="auto"/>
                <w:sz w:val="24"/>
                <w:highlight w:val="none"/>
                <w:lang w:val="en-US" w:eastAsia="zh-CN"/>
              </w:rPr>
              <w:t>云雾山330千伏变电站间隔扩建侧噪声</w:t>
            </w:r>
            <w:r>
              <w:rPr>
                <w:rFonts w:hint="default" w:ascii="Times New Roman" w:hAnsi="Times New Roman" w:cs="Times New Roman"/>
                <w:color w:val="auto"/>
                <w:sz w:val="24"/>
                <w:highlight w:val="none"/>
              </w:rPr>
              <w:t>执行《工业企业厂界环境噪声排放标准》</w:t>
            </w:r>
            <w:r>
              <w:rPr>
                <w:rFonts w:hint="default" w:ascii="Times New Roman" w:hAnsi="Times New Roman" w:cs="Times New Roman"/>
                <w:color w:val="auto"/>
                <w:sz w:val="24"/>
                <w:highlight w:val="none"/>
                <w:lang w:eastAsia="zh-CN"/>
              </w:rPr>
              <w:t>（GB12348-2008）2类标准</w:t>
            </w:r>
            <w:r>
              <w:rPr>
                <w:rFonts w:hint="default" w:ascii="Times New Roman" w:hAnsi="Times New Roman" w:cs="Times New Roman"/>
                <w:color w:val="auto"/>
                <w:sz w:val="24"/>
                <w:highlight w:val="none"/>
              </w:rPr>
              <w:t>，具体见表3-</w:t>
            </w:r>
            <w:r>
              <w:rPr>
                <w:rFonts w:hint="default" w:ascii="Times New Roman" w:hAnsi="Times New Roman" w:cs="Times New Roman"/>
                <w:color w:val="auto"/>
                <w:sz w:val="24"/>
                <w:highlight w:val="none"/>
                <w:lang w:val="en-US" w:eastAsia="zh-CN"/>
              </w:rPr>
              <w:t>19</w:t>
            </w:r>
            <w:r>
              <w:rPr>
                <w:rFonts w:hint="default" w:ascii="Times New Roman" w:hAnsi="Times New Roman" w:cs="Times New Roman"/>
                <w:color w:val="auto"/>
                <w:sz w:val="24"/>
                <w:highlight w:val="none"/>
              </w:rPr>
              <w:t>。</w:t>
            </w:r>
          </w:p>
          <w:p w14:paraId="505F7356">
            <w:pPr>
              <w:spacing w:line="240" w:lineRule="auto"/>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表3-19  工业企业厂界环境噪声排放限值</w:t>
            </w:r>
          </w:p>
          <w:tbl>
            <w:tblPr>
              <w:tblStyle w:val="31"/>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148"/>
              <w:gridCol w:w="2755"/>
              <w:gridCol w:w="2646"/>
            </w:tblGrid>
            <w:tr w14:paraId="49AAD3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840" w:type="pct"/>
                  <w:noWrap w:val="0"/>
                  <w:vAlign w:val="center"/>
                </w:tcPr>
                <w:p w14:paraId="1ABF8910">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类别</w:t>
                  </w:r>
                </w:p>
              </w:tc>
              <w:tc>
                <w:tcPr>
                  <w:tcW w:w="1611" w:type="pct"/>
                  <w:noWrap w:val="0"/>
                  <w:vAlign w:val="center"/>
                </w:tcPr>
                <w:p w14:paraId="604BA477">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昼间</w:t>
                  </w:r>
                </w:p>
              </w:tc>
              <w:tc>
                <w:tcPr>
                  <w:tcW w:w="1547" w:type="pct"/>
                  <w:noWrap w:val="0"/>
                  <w:vAlign w:val="center"/>
                </w:tcPr>
                <w:p w14:paraId="5D58D944">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夜间</w:t>
                  </w:r>
                </w:p>
              </w:tc>
            </w:tr>
            <w:tr w14:paraId="4307E7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840" w:type="pct"/>
                  <w:noWrap w:val="0"/>
                  <w:vAlign w:val="center"/>
                </w:tcPr>
                <w:p w14:paraId="3B82A4F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类</w:t>
                  </w:r>
                </w:p>
              </w:tc>
              <w:tc>
                <w:tcPr>
                  <w:tcW w:w="1611" w:type="pct"/>
                  <w:noWrap w:val="0"/>
                  <w:vAlign w:val="center"/>
                </w:tcPr>
                <w:p w14:paraId="5F6E6B5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r>
                    <w:rPr>
                      <w:rFonts w:hint="default" w:ascii="Times New Roman" w:hAnsi="Times New Roman" w:cs="Times New Roman"/>
                      <w:color w:val="auto"/>
                      <w:szCs w:val="21"/>
                      <w:highlight w:val="none"/>
                      <w:lang w:val="en-US" w:eastAsia="zh-CN"/>
                    </w:rPr>
                    <w:t>0</w:t>
                  </w:r>
                  <w:r>
                    <w:rPr>
                      <w:rFonts w:hint="default" w:ascii="Times New Roman" w:hAnsi="Times New Roman" w:eastAsia="黑体" w:cs="Times New Roman"/>
                      <w:bCs/>
                      <w:color w:val="auto"/>
                      <w:szCs w:val="21"/>
                      <w:highlight w:val="none"/>
                    </w:rPr>
                    <w:t>dB(A)</w:t>
                  </w:r>
                </w:p>
              </w:tc>
              <w:tc>
                <w:tcPr>
                  <w:tcW w:w="1547" w:type="pct"/>
                  <w:noWrap w:val="0"/>
                  <w:vAlign w:val="center"/>
                </w:tcPr>
                <w:p w14:paraId="20FDEEE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r>
                    <w:rPr>
                      <w:rFonts w:hint="default" w:ascii="Times New Roman" w:hAnsi="Times New Roman" w:cs="Times New Roman"/>
                      <w:color w:val="auto"/>
                      <w:szCs w:val="21"/>
                      <w:highlight w:val="none"/>
                      <w:lang w:val="en-US" w:eastAsia="zh-CN"/>
                    </w:rPr>
                    <w:t>0</w:t>
                  </w:r>
                  <w:r>
                    <w:rPr>
                      <w:rFonts w:hint="default" w:ascii="Times New Roman" w:hAnsi="Times New Roman" w:eastAsia="黑体" w:cs="Times New Roman"/>
                      <w:bCs/>
                      <w:color w:val="auto"/>
                      <w:szCs w:val="21"/>
                      <w:highlight w:val="none"/>
                    </w:rPr>
                    <w:t>dB(A)</w:t>
                  </w:r>
                </w:p>
              </w:tc>
            </w:tr>
          </w:tbl>
          <w:p w14:paraId="3F8A5CF5">
            <w:pPr>
              <w:pStyle w:val="13"/>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0" w:firstLineChars="200"/>
              <w:jc w:val="left"/>
              <w:textAlignment w:val="auto"/>
              <w:rPr>
                <w:rFonts w:hint="default" w:ascii="Times New Roman" w:hAnsi="Times New Roman" w:eastAsia="宋体" w:cs="Times New Roman"/>
                <w:color w:val="auto"/>
                <w:sz w:val="10"/>
                <w:szCs w:val="10"/>
                <w:highlight w:val="none"/>
                <w:lang w:eastAsia="zh-CN"/>
              </w:rPr>
            </w:pPr>
            <w:r>
              <w:rPr>
                <w:rFonts w:hint="default" w:ascii="Times New Roman" w:hAnsi="Times New Roman" w:cs="Times New Roman"/>
                <w:color w:val="auto"/>
                <w:sz w:val="24"/>
                <w:szCs w:val="24"/>
                <w:highlight w:val="none"/>
                <w:lang w:eastAsia="zh-CN"/>
              </w:rPr>
              <w:t>⑶</w:t>
            </w:r>
            <w:r>
              <w:rPr>
                <w:rFonts w:hint="default" w:ascii="Times New Roman" w:hAnsi="Times New Roman" w:eastAsia="宋体" w:cs="Times New Roman"/>
                <w:strike w:val="0"/>
                <w:dstrike w:val="0"/>
                <w:color w:val="auto"/>
                <w:sz w:val="24"/>
                <w:szCs w:val="24"/>
                <w:highlight w:val="none"/>
                <w:lang w:val="en-US" w:eastAsia="zh-CN"/>
              </w:rPr>
              <w:t>固体废物处置执行《中华人民共和国固体废物污染环境防治法》（2020年修订，2020年9月1日）中相关规定。</w:t>
            </w:r>
          </w:p>
        </w:tc>
      </w:tr>
      <w:tr w14:paraId="0523F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7" w:type="dxa"/>
            <w:noWrap w:val="0"/>
            <w:vAlign w:val="center"/>
          </w:tcPr>
          <w:p w14:paraId="285B6363">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其他</w:t>
            </w:r>
          </w:p>
        </w:tc>
        <w:tc>
          <w:tcPr>
            <w:tcW w:w="8767" w:type="dxa"/>
            <w:noWrap w:val="0"/>
            <w:vAlign w:val="center"/>
          </w:tcPr>
          <w:p w14:paraId="6DD5B32D">
            <w:pPr>
              <w:keepNext w:val="0"/>
              <w:keepLines w:val="0"/>
              <w:pageBreakBefore w:val="0"/>
              <w:widowControl/>
              <w:kinsoku/>
              <w:wordWrap/>
              <w:overflowPunct/>
              <w:topLinePunct w:val="0"/>
              <w:autoSpaceDE/>
              <w:autoSpaceDN/>
              <w:bidi w:val="0"/>
              <w:adjustRightInd w:val="0"/>
              <w:snapToGrid w:val="0"/>
              <w:spacing w:line="240" w:lineRule="auto"/>
              <w:ind w:firstLine="480" w:firstLineChars="200"/>
              <w:jc w:val="both"/>
              <w:textAlignment w:val="auto"/>
              <w:rPr>
                <w:rFonts w:hint="default" w:ascii="Times New Roman" w:hAnsi="Times New Roman" w:cs="Times New Roman"/>
                <w:color w:val="auto"/>
                <w:kern w:val="0"/>
                <w:sz w:val="24"/>
                <w:highlight w:val="none"/>
              </w:rPr>
            </w:pPr>
          </w:p>
          <w:p w14:paraId="70EC4F5B">
            <w:pPr>
              <w:keepNext w:val="0"/>
              <w:keepLines w:val="0"/>
              <w:pageBreakBefore w:val="0"/>
              <w:widowControl/>
              <w:kinsoku/>
              <w:wordWrap/>
              <w:overflowPunct/>
              <w:topLinePunct w:val="0"/>
              <w:autoSpaceDE/>
              <w:autoSpaceDN/>
              <w:bidi w:val="0"/>
              <w:adjustRightInd w:val="0"/>
              <w:snapToGrid w:val="0"/>
              <w:spacing w:line="240" w:lineRule="auto"/>
              <w:ind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p w14:paraId="3B3D2DAA">
            <w:pPr>
              <w:rPr>
                <w:rFonts w:hint="default" w:ascii="Times New Roman" w:hAnsi="Times New Roman" w:cs="Times New Roman"/>
                <w:color w:val="auto"/>
                <w:highlight w:val="none"/>
              </w:rPr>
            </w:pPr>
          </w:p>
        </w:tc>
      </w:tr>
    </w:tbl>
    <w:p w14:paraId="3C7C6062">
      <w:pPr>
        <w:keepNext w:val="0"/>
        <w:keepLines w:val="0"/>
        <w:widowControl/>
        <w:suppressLineNumbers w:val="0"/>
        <w:jc w:val="left"/>
        <w:rPr>
          <w:rFonts w:hint="default" w:ascii="Times New Roman" w:hAnsi="Times New Roman" w:eastAsia="黑体" w:cs="Times New Roman"/>
          <w:b/>
          <w:bCs/>
          <w:color w:val="auto"/>
          <w:sz w:val="24"/>
          <w:highlight w:val="none"/>
        </w:rPr>
        <w:sectPr>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77425785">
      <w:pPr>
        <w:pStyle w:val="29"/>
        <w:spacing w:before="0" w:beforeAutospacing="0" w:after="0" w:afterAutospacing="0" w:line="240" w:lineRule="auto"/>
        <w:jc w:val="center"/>
        <w:outlineLvl w:val="0"/>
        <w:rPr>
          <w:rFonts w:hint="default" w:ascii="Times New Roman" w:hAnsi="Times New Roman" w:eastAsia="黑体" w:cs="Times New Roman"/>
          <w:snapToGrid w:val="0"/>
          <w:color w:val="auto"/>
          <w:sz w:val="30"/>
          <w:szCs w:val="30"/>
          <w:highlight w:val="none"/>
        </w:rPr>
      </w:pPr>
      <w:bookmarkStart w:id="116" w:name="_Toc152582982"/>
      <w:bookmarkStart w:id="117" w:name="_Toc6085"/>
      <w:bookmarkStart w:id="118" w:name="_Toc31827"/>
      <w:bookmarkStart w:id="119" w:name="_Toc9123"/>
      <w:bookmarkStart w:id="120" w:name="_Toc24289"/>
      <w:bookmarkStart w:id="121" w:name="_Toc27253"/>
      <w:bookmarkStart w:id="122" w:name="_Toc7388"/>
      <w:bookmarkStart w:id="123" w:name="_Toc27077"/>
      <w:bookmarkStart w:id="124" w:name="_Toc25968"/>
      <w:bookmarkStart w:id="125" w:name="_Toc2615"/>
      <w:r>
        <w:rPr>
          <w:rFonts w:hint="default" w:ascii="Times New Roman" w:hAnsi="Times New Roman" w:eastAsia="黑体" w:cs="Times New Roman"/>
          <w:b/>
          <w:bCs/>
          <w:snapToGrid w:val="0"/>
          <w:color w:val="auto"/>
          <w:sz w:val="30"/>
          <w:szCs w:val="30"/>
          <w:highlight w:val="none"/>
        </w:rPr>
        <w:t>四、生态环境影响分析</w:t>
      </w:r>
      <w:bookmarkEnd w:id="87"/>
      <w:bookmarkEnd w:id="88"/>
      <w:bookmarkEnd w:id="116"/>
      <w:bookmarkEnd w:id="117"/>
      <w:bookmarkEnd w:id="118"/>
      <w:bookmarkEnd w:id="119"/>
      <w:bookmarkEnd w:id="120"/>
      <w:bookmarkEnd w:id="121"/>
      <w:bookmarkEnd w:id="122"/>
      <w:bookmarkEnd w:id="123"/>
      <w:bookmarkEnd w:id="124"/>
      <w:bookmarkEnd w:id="125"/>
    </w:p>
    <w:tbl>
      <w:tblPr>
        <w:tblStyle w:val="31"/>
        <w:tblW w:w="935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9"/>
        <w:gridCol w:w="8595"/>
      </w:tblGrid>
      <w:tr w14:paraId="02D9C7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dxa"/>
            <w:tcBorders>
              <w:tl2br w:val="nil"/>
              <w:tr2bl w:val="nil"/>
            </w:tcBorders>
            <w:noWrap w:val="0"/>
            <w:tcMar>
              <w:left w:w="28" w:type="dxa"/>
              <w:right w:w="28" w:type="dxa"/>
            </w:tcMar>
            <w:vAlign w:val="center"/>
          </w:tcPr>
          <w:p w14:paraId="6A9E5B65">
            <w:pPr>
              <w:pStyle w:val="29"/>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none"/>
              </w:rPr>
            </w:pPr>
            <w:bookmarkStart w:id="126" w:name="_Hlk49796138"/>
            <w:r>
              <w:rPr>
                <w:rFonts w:hint="default" w:ascii="Times New Roman" w:hAnsi="Times New Roman" w:cs="Times New Roman"/>
                <w:bCs/>
                <w:color w:val="auto"/>
                <w:spacing w:val="10"/>
                <w:kern w:val="2"/>
                <w:highlight w:val="none"/>
              </w:rPr>
              <w:t>施工期生态环境影响分析</w:t>
            </w:r>
            <w:bookmarkEnd w:id="126"/>
          </w:p>
        </w:tc>
        <w:tc>
          <w:tcPr>
            <w:tcW w:w="8595" w:type="dxa"/>
            <w:tcBorders>
              <w:tl2br w:val="nil"/>
              <w:tr2bl w:val="nil"/>
            </w:tcBorders>
            <w:noWrap w:val="0"/>
            <w:vAlign w:val="center"/>
          </w:tcPr>
          <w:p w14:paraId="1BC7E000">
            <w:pPr>
              <w:pStyle w:val="76"/>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本项目</w:t>
            </w:r>
            <w:r>
              <w:rPr>
                <w:rFonts w:hint="default" w:ascii="Times New Roman" w:hAnsi="Times New Roman" w:eastAsia="宋体" w:cs="Times New Roman"/>
                <w:color w:val="auto"/>
                <w:sz w:val="24"/>
                <w:szCs w:val="24"/>
                <w:highlight w:val="none"/>
                <w:lang w:val="en-US" w:eastAsia="zh-CN"/>
              </w:rPr>
              <w:t>间隔扩建工程无需新增占地，施工活动均在站内进行，施工期主要进行施工准备、基础开挖、设备安装等施工活动；</w:t>
            </w:r>
            <w:r>
              <w:rPr>
                <w:rFonts w:hint="default" w:ascii="Times New Roman" w:hAnsi="Times New Roman" w:cs="Times New Roman"/>
                <w:color w:val="auto"/>
                <w:sz w:val="24"/>
                <w:highlight w:val="none"/>
              </w:rPr>
              <w:t>架空线路</w:t>
            </w:r>
            <w:r>
              <w:rPr>
                <w:rFonts w:hint="default" w:ascii="Times New Roman" w:hAnsi="Times New Roman" w:cs="Times New Roman"/>
                <w:color w:val="auto"/>
                <w:sz w:val="24"/>
                <w:highlight w:val="none"/>
                <w:lang w:val="en-US" w:eastAsia="zh-CN"/>
              </w:rPr>
              <w:t>施工主要进行</w:t>
            </w:r>
            <w:r>
              <w:rPr>
                <w:rFonts w:hint="default" w:ascii="Times New Roman" w:hAnsi="Times New Roman" w:cs="Times New Roman"/>
                <w:color w:val="auto"/>
                <w:sz w:val="24"/>
                <w:highlight w:val="none"/>
              </w:rPr>
              <w:t>基础开挖、材料运输、杆塔组立</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架线</w:t>
            </w:r>
            <w:r>
              <w:rPr>
                <w:rFonts w:hint="default" w:ascii="Times New Roman" w:hAnsi="Times New Roman" w:cs="Times New Roman"/>
                <w:color w:val="auto"/>
                <w:sz w:val="24"/>
                <w:highlight w:val="none"/>
              </w:rPr>
              <w:t>等活动</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上述施工活动产生的环境影响主要为</w:t>
            </w:r>
            <w:r>
              <w:rPr>
                <w:rFonts w:hint="default" w:ascii="Times New Roman" w:hAnsi="Times New Roman" w:cs="Times New Roman"/>
                <w:color w:val="auto"/>
                <w:sz w:val="24"/>
                <w:highlight w:val="none"/>
              </w:rPr>
              <w:t>施工噪声、污水、扬尘、固废以及</w:t>
            </w:r>
            <w:r>
              <w:rPr>
                <w:rFonts w:hint="default" w:ascii="Times New Roman" w:hAnsi="Times New Roman" w:cs="Times New Roman"/>
                <w:color w:val="auto"/>
                <w:sz w:val="24"/>
                <w:highlight w:val="none"/>
                <w:lang w:val="en-US" w:eastAsia="zh-CN"/>
              </w:rPr>
              <w:t>生态环境影响</w:t>
            </w:r>
            <w:r>
              <w:rPr>
                <w:rFonts w:hint="default" w:ascii="Times New Roman" w:hAnsi="Times New Roman" w:cs="Times New Roman"/>
                <w:color w:val="auto"/>
                <w:sz w:val="24"/>
                <w:highlight w:val="none"/>
              </w:rPr>
              <w:t>。</w:t>
            </w:r>
          </w:p>
          <w:p w14:paraId="61BA2D1E">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1.</w:t>
            </w:r>
            <w:r>
              <w:rPr>
                <w:rFonts w:hint="default" w:ascii="Times New Roman" w:hAnsi="Times New Roman" w:cs="Times New Roman"/>
                <w:b/>
                <w:bCs/>
                <w:color w:val="auto"/>
                <w:sz w:val="24"/>
                <w:highlight w:val="none"/>
              </w:rPr>
              <w:t>生态影响分析</w:t>
            </w:r>
          </w:p>
          <w:p w14:paraId="068F1055">
            <w:pPr>
              <w:pStyle w:val="76"/>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本项目对生态的影响主要集中在施工期，运行过程中对生态基本无影响。</w:t>
            </w:r>
          </w:p>
          <w:p w14:paraId="70BBB543">
            <w:pPr>
              <w:pStyle w:val="10"/>
              <w:snapToGrid/>
              <w:spacing w:before="0" w:after="0" w:line="360" w:lineRule="auto"/>
              <w:ind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⑴</w:t>
            </w:r>
            <w:r>
              <w:rPr>
                <w:rFonts w:hint="default" w:ascii="Times New Roman" w:hAnsi="Times New Roman" w:cs="Times New Roman"/>
                <w:b/>
                <w:bCs/>
                <w:color w:val="auto"/>
                <w:sz w:val="24"/>
                <w:highlight w:val="none"/>
              </w:rPr>
              <w:t>对土地利用的影响分析</w:t>
            </w:r>
          </w:p>
          <w:p w14:paraId="05B753AD">
            <w:pPr>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lang w:val="en-US" w:eastAsia="zh-CN" w:bidi="ar"/>
              </w:rPr>
              <w:t>①</w:t>
            </w:r>
            <w:r>
              <w:rPr>
                <w:rFonts w:hint="default" w:ascii="Times New Roman" w:hAnsi="Times New Roman" w:eastAsia="宋体" w:cs="Times New Roman"/>
                <w:color w:val="auto"/>
                <w:sz w:val="24"/>
                <w:szCs w:val="24"/>
                <w:highlight w:val="none"/>
                <w:lang w:val="en-US" w:eastAsia="zh-CN"/>
              </w:rPr>
              <w:t>间隔扩建工程</w:t>
            </w:r>
          </w:p>
          <w:p w14:paraId="18F84F9F">
            <w:pPr>
              <w:pStyle w:val="13"/>
              <w:spacing w:after="0" w:line="360" w:lineRule="auto"/>
              <w:ind w:left="0" w:leftChars="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变电站间隔扩建工程无需新增占地，施工活动均在站内进行。施工期对生态的影响主要来自施工准备、基础开挖、设备安装等施工活动中施工机械、车辆、人员对变电站内基础施工区域土壤造成扰动。变电站外均无临时占地，因此，不会对变电站周围生态环境产生影响。</w:t>
            </w:r>
          </w:p>
          <w:p w14:paraId="439C9A09">
            <w:pPr>
              <w:pStyle w:val="13"/>
              <w:spacing w:after="0" w:line="360" w:lineRule="auto"/>
              <w:ind w:left="0" w:leftChars="0" w:firstLine="480" w:firstLineChars="20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②输电线路工程</w:t>
            </w:r>
          </w:p>
          <w:p w14:paraId="646C208A">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输电线路项目建设会临时和永久地占用一定面积的土地，使评价区范围内的各种土地现状面积发生变化，对区域内土地利用结构产生一定影响。</w:t>
            </w:r>
          </w:p>
          <w:p w14:paraId="2C81C4AA">
            <w:pPr>
              <w:pStyle w:val="13"/>
              <w:spacing w:after="0" w:line="360" w:lineRule="auto"/>
              <w:ind w:left="0" w:leftChars="0"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本项目输电线路</w:t>
            </w:r>
            <w:r>
              <w:rPr>
                <w:rFonts w:hint="default" w:ascii="Times New Roman" w:hAnsi="Times New Roman" w:cs="Times New Roman"/>
                <w:bCs/>
                <w:color w:val="auto"/>
                <w:sz w:val="24"/>
              </w:rPr>
              <w:t>总占地面积</w:t>
            </w:r>
            <w:r>
              <w:rPr>
                <w:rFonts w:hint="default" w:ascii="Times New Roman" w:hAnsi="Times New Roman" w:cs="Times New Roman"/>
                <w:color w:val="auto"/>
                <w:sz w:val="24"/>
                <w:lang w:val="en-US" w:eastAsia="zh-CN"/>
              </w:rPr>
              <w:t>7.5510</w:t>
            </w:r>
            <w:r>
              <w:rPr>
                <w:rFonts w:hint="default" w:ascii="Times New Roman" w:hAnsi="Times New Roman" w:cs="Times New Roman"/>
                <w:bCs/>
                <w:color w:val="auto"/>
                <w:sz w:val="24"/>
              </w:rPr>
              <w:t>hm</w:t>
            </w:r>
            <w:r>
              <w:rPr>
                <w:rFonts w:hint="default" w:ascii="Times New Roman" w:hAnsi="Times New Roman" w:cs="Times New Roman"/>
                <w:bCs/>
                <w:color w:val="auto"/>
                <w:sz w:val="24"/>
                <w:vertAlign w:val="superscript"/>
              </w:rPr>
              <w:t>2</w:t>
            </w:r>
            <w:r>
              <w:rPr>
                <w:rFonts w:hint="default" w:ascii="Times New Roman" w:hAnsi="Times New Roman" w:cs="Times New Roman"/>
                <w:bCs/>
                <w:color w:val="auto"/>
                <w:sz w:val="24"/>
              </w:rPr>
              <w:t>，其中塔基永久占地面积</w:t>
            </w:r>
            <w:r>
              <w:rPr>
                <w:rFonts w:hint="default" w:ascii="Times New Roman" w:hAnsi="Times New Roman" w:cs="Times New Roman"/>
                <w:color w:val="auto"/>
                <w:sz w:val="24"/>
                <w:lang w:val="en-US" w:eastAsia="zh-CN"/>
              </w:rPr>
              <w:t>0.3003</w:t>
            </w:r>
            <w:r>
              <w:rPr>
                <w:rFonts w:hint="default" w:ascii="Times New Roman" w:hAnsi="Times New Roman" w:cs="Times New Roman"/>
                <w:bCs/>
                <w:color w:val="auto"/>
                <w:sz w:val="24"/>
              </w:rPr>
              <w:t>hm</w:t>
            </w:r>
            <w:r>
              <w:rPr>
                <w:rFonts w:hint="default" w:ascii="Times New Roman" w:hAnsi="Times New Roman" w:cs="Times New Roman"/>
                <w:bCs/>
                <w:color w:val="auto"/>
                <w:sz w:val="24"/>
                <w:vertAlign w:val="superscript"/>
              </w:rPr>
              <w:t>2</w:t>
            </w:r>
            <w:r>
              <w:rPr>
                <w:rFonts w:hint="default" w:ascii="Times New Roman" w:hAnsi="Times New Roman" w:cs="Times New Roman"/>
                <w:bCs/>
                <w:color w:val="auto"/>
                <w:sz w:val="24"/>
              </w:rPr>
              <w:t>，占地类型现状为</w:t>
            </w:r>
            <w:r>
              <w:rPr>
                <w:rFonts w:hint="default" w:ascii="Times New Roman" w:hAnsi="Times New Roman" w:eastAsia="宋体" w:cs="Times New Roman"/>
                <w:color w:val="auto"/>
                <w:sz w:val="24"/>
                <w:szCs w:val="24"/>
                <w:lang w:val="en-US" w:eastAsia="zh-CN"/>
              </w:rPr>
              <w:t>耕地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林地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草地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园地和交通运输用地</w:t>
            </w:r>
            <w:r>
              <w:rPr>
                <w:rFonts w:hint="default" w:ascii="Times New Roman" w:hAnsi="Times New Roman" w:cs="Times New Roman"/>
                <w:bCs/>
                <w:color w:val="auto"/>
                <w:sz w:val="24"/>
              </w:rPr>
              <w:t>。</w:t>
            </w:r>
            <w:r>
              <w:rPr>
                <w:rFonts w:hint="default" w:ascii="Times New Roman" w:hAnsi="Times New Roman" w:cs="Times New Roman"/>
                <w:color w:val="auto"/>
                <w:sz w:val="24"/>
              </w:rPr>
              <w:t>建设单位</w:t>
            </w:r>
            <w:r>
              <w:rPr>
                <w:rFonts w:hint="default" w:ascii="Times New Roman" w:hAnsi="Times New Roman" w:cs="Times New Roman"/>
                <w:color w:val="auto"/>
                <w:sz w:val="24"/>
                <w:lang w:val="en-US" w:eastAsia="zh-CN"/>
              </w:rPr>
              <w:t>应</w:t>
            </w:r>
            <w:r>
              <w:rPr>
                <w:rFonts w:hint="default" w:ascii="Times New Roman" w:hAnsi="Times New Roman" w:cs="Times New Roman"/>
                <w:color w:val="auto"/>
                <w:sz w:val="24"/>
              </w:rPr>
              <w:t>按照《自治区人民政府关于公布自治区征收农用地片区综合地价的通知》（宁政规发</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2020</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8号）的规定对</w:t>
            </w:r>
            <w:r>
              <w:rPr>
                <w:rFonts w:hint="default" w:ascii="Times New Roman" w:hAnsi="Times New Roman" w:eastAsia="宋体" w:cs="Times New Roman"/>
                <w:color w:val="auto"/>
                <w:sz w:val="24"/>
                <w:lang w:val="en-US" w:eastAsia="zh-CN"/>
              </w:rPr>
              <w:t>耕地、园地</w:t>
            </w:r>
            <w:r>
              <w:rPr>
                <w:rFonts w:hint="default" w:ascii="Times New Roman" w:hAnsi="Times New Roman" w:cs="Times New Roman"/>
                <w:color w:val="auto"/>
                <w:sz w:val="24"/>
              </w:rPr>
              <w:t>进行经济补偿，对占用的</w:t>
            </w:r>
            <w:r>
              <w:rPr>
                <w:rFonts w:hint="default" w:ascii="Times New Roman" w:hAnsi="Times New Roman" w:cs="Times New Roman"/>
                <w:bCs/>
                <w:color w:val="auto"/>
                <w:sz w:val="24"/>
              </w:rPr>
              <w:t>林地</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草地</w:t>
            </w:r>
            <w:r>
              <w:rPr>
                <w:rFonts w:hint="default" w:ascii="Times New Roman" w:hAnsi="Times New Roman" w:cs="Times New Roman"/>
                <w:color w:val="auto"/>
                <w:sz w:val="24"/>
              </w:rPr>
              <w:t>等办理相应的占地手续</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由于项目塔基占地只赔不征，塔基</w:t>
            </w:r>
            <w:r>
              <w:rPr>
                <w:rFonts w:hint="default" w:ascii="Times New Roman" w:hAnsi="Times New Roman" w:cs="Times New Roman"/>
                <w:color w:val="auto"/>
                <w:sz w:val="24"/>
              </w:rPr>
              <w:t>施工</w:t>
            </w:r>
            <w:r>
              <w:rPr>
                <w:rFonts w:hint="default" w:ascii="Times New Roman" w:hAnsi="Times New Roman" w:cs="Times New Roman"/>
                <w:color w:val="auto"/>
                <w:sz w:val="24"/>
                <w:lang w:val="en-US" w:eastAsia="zh-CN"/>
              </w:rPr>
              <w:t>采用</w:t>
            </w:r>
            <w:r>
              <w:rPr>
                <w:rFonts w:hint="eastAsia" w:cs="Times New Roman"/>
                <w:color w:val="auto"/>
                <w:sz w:val="24"/>
                <w:lang w:val="en-US" w:eastAsia="zh-CN"/>
              </w:rPr>
              <w:t>挖孔桩基础</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具有占地面积小、点分散等特点，</w:t>
            </w:r>
            <w:r>
              <w:rPr>
                <w:rFonts w:hint="default" w:ascii="Times New Roman" w:hAnsi="Times New Roman" w:cs="Times New Roman"/>
                <w:color w:val="auto"/>
                <w:sz w:val="24"/>
                <w:lang w:val="en-US" w:eastAsia="zh-CN"/>
              </w:rPr>
              <w:t>施工结束后，对土地利用的影响不大。</w:t>
            </w:r>
          </w:p>
          <w:p w14:paraId="3048F26D">
            <w:pPr>
              <w:pStyle w:val="13"/>
              <w:spacing w:after="0" w:line="360" w:lineRule="auto"/>
              <w:ind w:left="0" w:leftChars="0" w:firstLine="480" w:firstLineChars="200"/>
              <w:rPr>
                <w:rFonts w:hint="default" w:ascii="Times New Roman" w:hAnsi="Times New Roman" w:cs="Times New Roman"/>
                <w:strike/>
                <w:dstrike w:val="0"/>
                <w:color w:val="auto"/>
                <w:sz w:val="24"/>
              </w:rPr>
            </w:pPr>
            <w:r>
              <w:rPr>
                <w:rFonts w:hint="default" w:ascii="Times New Roman" w:hAnsi="Times New Roman" w:cs="Times New Roman"/>
                <w:color w:val="auto"/>
                <w:sz w:val="24"/>
                <w:lang w:val="en-US" w:eastAsia="zh-CN"/>
              </w:rPr>
              <w:t>项目</w:t>
            </w:r>
            <w:r>
              <w:rPr>
                <w:rFonts w:hint="default" w:ascii="Times New Roman" w:hAnsi="Times New Roman" w:cs="Times New Roman"/>
                <w:bCs/>
                <w:color w:val="auto"/>
                <w:sz w:val="24"/>
              </w:rPr>
              <w:t>临时占地面积</w:t>
            </w:r>
            <w:r>
              <w:rPr>
                <w:rFonts w:hint="default" w:ascii="Times New Roman" w:hAnsi="Times New Roman" w:cs="Times New Roman"/>
                <w:color w:val="auto"/>
                <w:sz w:val="24"/>
                <w:highlight w:val="none"/>
                <w:lang w:val="en-US" w:eastAsia="zh-CN"/>
              </w:rPr>
              <w:t>7.2507</w:t>
            </w:r>
            <w:r>
              <w:rPr>
                <w:rFonts w:hint="default" w:ascii="Times New Roman" w:hAnsi="Times New Roman" w:cs="Times New Roman"/>
                <w:bCs/>
                <w:color w:val="auto"/>
                <w:sz w:val="24"/>
              </w:rPr>
              <w:t>hm</w:t>
            </w:r>
            <w:r>
              <w:rPr>
                <w:rFonts w:hint="default" w:ascii="Times New Roman" w:hAnsi="Times New Roman" w:cs="Times New Roman"/>
                <w:bCs/>
                <w:color w:val="auto"/>
                <w:sz w:val="24"/>
                <w:vertAlign w:val="superscript"/>
              </w:rPr>
              <w:t>2</w:t>
            </w:r>
            <w:r>
              <w:rPr>
                <w:rFonts w:hint="default" w:ascii="Times New Roman" w:hAnsi="Times New Roman" w:cs="Times New Roman"/>
                <w:bCs/>
                <w:color w:val="auto"/>
                <w:sz w:val="24"/>
              </w:rPr>
              <w:t>，</w:t>
            </w:r>
            <w:r>
              <w:rPr>
                <w:rFonts w:hint="default" w:ascii="Times New Roman" w:hAnsi="Times New Roman" w:cs="Times New Roman"/>
                <w:color w:val="auto"/>
                <w:sz w:val="24"/>
              </w:rPr>
              <w:t>临时占地包括</w:t>
            </w:r>
            <w:r>
              <w:rPr>
                <w:rFonts w:hint="default" w:ascii="Times New Roman" w:hAnsi="Times New Roman" w:cs="Times New Roman"/>
                <w:color w:val="auto"/>
                <w:sz w:val="24"/>
                <w:highlight w:val="none"/>
                <w:lang w:val="en-US" w:eastAsia="zh-CN"/>
              </w:rPr>
              <w:t>跨越架</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农用地表土剥离堆放场</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z w:val="24"/>
                <w:highlight w:val="none"/>
                <w:lang w:val="en-US" w:eastAsia="zh-CN"/>
              </w:rPr>
              <w:t>牵张场、</w:t>
            </w:r>
            <w:r>
              <w:rPr>
                <w:rFonts w:hint="default" w:ascii="Times New Roman" w:hAnsi="Times New Roman" w:cs="Times New Roman"/>
                <w:color w:val="auto"/>
                <w:sz w:val="24"/>
                <w:highlight w:val="none"/>
              </w:rPr>
              <w:t>施工便道</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拓宽道路和</w:t>
            </w:r>
            <w:r>
              <w:rPr>
                <w:rFonts w:hint="default" w:ascii="Times New Roman" w:hAnsi="Times New Roman" w:eastAsia="宋体" w:cs="Times New Roman"/>
                <w:color w:val="auto"/>
                <w:sz w:val="24"/>
                <w:highlight w:val="none"/>
                <w:lang w:val="en-US" w:eastAsia="zh-CN"/>
              </w:rPr>
              <w:t>塔基施工作业区（含线路抬高改造工程塔基施工作业区）</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施工时尽量利用现有道路，新建施工便道22.02km，宽度控制在3.5m，尽量减少施工便道等临时占地面积。</w:t>
            </w:r>
            <w:r>
              <w:rPr>
                <w:rFonts w:hint="default" w:ascii="Times New Roman" w:hAnsi="Times New Roman" w:cs="Times New Roman"/>
                <w:snapToGrid w:val="0"/>
                <w:color w:val="auto"/>
                <w:sz w:val="24"/>
              </w:rPr>
              <w:t>项目临时占地较为分散，输电线路不存在集中大量占用土地的情况，对生态环境的影响较小，</w:t>
            </w:r>
            <w:r>
              <w:rPr>
                <w:rFonts w:hint="default" w:ascii="Times New Roman" w:hAnsi="Times New Roman" w:cs="Times New Roman"/>
                <w:color w:val="auto"/>
                <w:sz w:val="24"/>
              </w:rPr>
              <w:t>经过一定恢复期后，土地利用状况不会发生变化，仍可保持原有使用功能</w:t>
            </w:r>
            <w:r>
              <w:rPr>
                <w:rFonts w:hint="default" w:ascii="Times New Roman" w:hAnsi="Times New Roman" w:cs="Times New Roman"/>
                <w:color w:val="auto"/>
                <w:sz w:val="24"/>
                <w:highlight w:val="none"/>
              </w:rPr>
              <w:t>，</w:t>
            </w:r>
            <w:r>
              <w:rPr>
                <w:rFonts w:hint="default" w:ascii="Times New Roman" w:hAnsi="Times New Roman" w:cs="Times New Roman"/>
                <w:snapToGrid w:val="0"/>
                <w:color w:val="auto"/>
                <w:sz w:val="24"/>
                <w:highlight w:val="none"/>
              </w:rPr>
              <w:t>对区域土地利用几乎无影响。</w:t>
            </w:r>
          </w:p>
          <w:p w14:paraId="78DFB39F">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⑵</w:t>
            </w:r>
            <w:r>
              <w:rPr>
                <w:rFonts w:hint="default" w:ascii="Times New Roman" w:hAnsi="Times New Roman" w:cs="Times New Roman"/>
                <w:b/>
                <w:bCs/>
                <w:color w:val="auto"/>
                <w:sz w:val="24"/>
                <w:highlight w:val="none"/>
              </w:rPr>
              <w:t>对植被的影响分析</w:t>
            </w:r>
          </w:p>
          <w:p w14:paraId="589B802F">
            <w:pPr>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lang w:val="en-US" w:eastAsia="zh-CN" w:bidi="ar"/>
              </w:rPr>
              <w:t>①</w:t>
            </w:r>
            <w:r>
              <w:rPr>
                <w:rFonts w:hint="default" w:ascii="Times New Roman" w:hAnsi="Times New Roman" w:eastAsia="宋体" w:cs="Times New Roman"/>
                <w:color w:val="auto"/>
                <w:sz w:val="24"/>
                <w:szCs w:val="24"/>
                <w:highlight w:val="none"/>
                <w:lang w:val="en-US" w:eastAsia="zh-CN"/>
              </w:rPr>
              <w:t>间隔扩建工程</w:t>
            </w:r>
          </w:p>
          <w:p w14:paraId="0753F10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sz w:val="24"/>
                <w:szCs w:val="24"/>
                <w:highlight w:val="none"/>
                <w:lang w:val="en-US" w:eastAsia="zh-CN"/>
              </w:rPr>
              <w:t>变电站间隔扩建工程无需新增占地，施工活动均在站内进行，对变电站周围植被无影响。</w:t>
            </w:r>
          </w:p>
          <w:p w14:paraId="225D605B">
            <w:pPr>
              <w:pStyle w:val="13"/>
              <w:spacing w:after="0" w:line="360" w:lineRule="auto"/>
              <w:ind w:left="0" w:leftChars="0" w:firstLine="480" w:firstLineChars="20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②输电线路工程</w:t>
            </w:r>
          </w:p>
          <w:p w14:paraId="06243D9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rPr>
            </w:pPr>
            <w:r>
              <w:rPr>
                <w:rFonts w:hint="default" w:ascii="Times New Roman" w:hAnsi="Times New Roman" w:cs="Times New Roman"/>
                <w:color w:val="auto"/>
                <w:sz w:val="24"/>
              </w:rPr>
              <w:t>本项目线路经过地区土地类型</w:t>
            </w:r>
            <w:r>
              <w:rPr>
                <w:rFonts w:hint="default" w:ascii="Times New Roman" w:hAnsi="Times New Roman" w:cs="Times New Roman"/>
                <w:bCs/>
                <w:color w:val="auto"/>
                <w:sz w:val="24"/>
              </w:rPr>
              <w:t>现状为</w:t>
            </w:r>
            <w:r>
              <w:rPr>
                <w:rFonts w:hint="default" w:ascii="Times New Roman" w:hAnsi="Times New Roman" w:eastAsia="宋体" w:cs="Times New Roman"/>
                <w:color w:val="auto"/>
                <w:sz w:val="24"/>
                <w:szCs w:val="24"/>
                <w:lang w:val="en-US" w:eastAsia="zh-CN"/>
              </w:rPr>
              <w:t>耕地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林地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草地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园地和交通运输用地</w:t>
            </w:r>
            <w:r>
              <w:rPr>
                <w:rFonts w:hint="default" w:ascii="Times New Roman" w:hAnsi="Times New Roman" w:cs="Times New Roman"/>
                <w:color w:val="auto"/>
                <w:sz w:val="24"/>
              </w:rPr>
              <w:t>。经现场踏勘，</w:t>
            </w:r>
            <w:r>
              <w:rPr>
                <w:rFonts w:hint="eastAsia" w:cs="Times New Roman"/>
                <w:color w:val="auto"/>
                <w:sz w:val="24"/>
                <w:highlight w:val="none"/>
                <w:lang w:val="en-US" w:eastAsia="zh-CN"/>
              </w:rPr>
              <w:t>森林植被主要以柠条锦鸡儿、沙棘、油松为主；</w:t>
            </w:r>
            <w:r>
              <w:rPr>
                <w:rFonts w:hint="default" w:ascii="Times New Roman" w:hAnsi="Times New Roman" w:cs="Times New Roman"/>
                <w:color w:val="auto"/>
                <w:sz w:val="24"/>
                <w:highlight w:val="none"/>
                <w:lang w:val="en-US" w:eastAsia="zh-CN"/>
              </w:rPr>
              <w:t>草地</w:t>
            </w:r>
            <w:r>
              <w:rPr>
                <w:rFonts w:hint="eastAsia" w:cs="Times New Roman"/>
                <w:color w:val="auto"/>
                <w:sz w:val="24"/>
                <w:highlight w:val="none"/>
                <w:lang w:val="en-US" w:eastAsia="zh-CN"/>
              </w:rPr>
              <w:t>植被以骆驼蓬群落、冰草群落为主；</w:t>
            </w:r>
            <w:r>
              <w:rPr>
                <w:rFonts w:hint="default" w:ascii="Times New Roman" w:hAnsi="Times New Roman" w:cs="Times New Roman"/>
                <w:color w:val="auto"/>
                <w:sz w:val="24"/>
                <w:highlight w:val="none"/>
                <w:lang w:val="en-US" w:eastAsia="zh-CN"/>
              </w:rPr>
              <w:t>农田内主要种植玉米等经济作物，果园主要为红梅杏树</w:t>
            </w:r>
            <w:r>
              <w:rPr>
                <w:rFonts w:hint="eastAsia" w:cs="Times New Roman"/>
                <w:color w:val="auto"/>
                <w:sz w:val="24"/>
                <w:highlight w:val="none"/>
                <w:lang w:val="en-US" w:eastAsia="zh-CN"/>
              </w:rPr>
              <w:t>，</w:t>
            </w:r>
            <w:r>
              <w:rPr>
                <w:rFonts w:hint="default" w:ascii="Times New Roman" w:hAnsi="Times New Roman" w:cs="Times New Roman"/>
                <w:color w:val="auto"/>
                <w:sz w:val="24"/>
              </w:rPr>
              <w:t>以上植被在评价区域内均普遍分布。</w:t>
            </w:r>
            <w:r>
              <w:rPr>
                <w:rFonts w:hint="default" w:ascii="Times New Roman" w:hAnsi="Times New Roman" w:eastAsia="宋体" w:cs="Times New Roman"/>
                <w:color w:val="auto"/>
                <w:kern w:val="0"/>
                <w:sz w:val="24"/>
                <w:szCs w:val="24"/>
                <w:highlight w:val="none"/>
                <w:lang w:val="en-US" w:eastAsia="zh-CN" w:bidi="ar"/>
              </w:rPr>
              <w:t>塔基永久占地会使线路沿线的植被受到破坏，造成植物数量减少，</w:t>
            </w:r>
            <w:r>
              <w:rPr>
                <w:rFonts w:hint="default" w:ascii="Times New Roman" w:hAnsi="Times New Roman" w:cs="Times New Roman"/>
                <w:color w:val="auto"/>
                <w:sz w:val="24"/>
                <w:highlight w:val="none"/>
                <w:lang w:eastAsia="zh-CN"/>
              </w:rPr>
              <w:t>但</w:t>
            </w:r>
            <w:r>
              <w:rPr>
                <w:rFonts w:hint="default" w:ascii="Times New Roman" w:hAnsi="Times New Roman" w:cs="Times New Roman"/>
                <w:color w:val="auto"/>
                <w:sz w:val="24"/>
                <w:highlight w:val="none"/>
              </w:rPr>
              <w:t>对线下植被生长无影响</w:t>
            </w:r>
            <w:r>
              <w:rPr>
                <w:rFonts w:hint="default" w:ascii="Times New Roman" w:hAnsi="Times New Roman" w:cs="Times New Roman"/>
                <w:color w:val="auto"/>
                <w:sz w:val="24"/>
                <w:highlight w:val="none"/>
                <w:lang w:eastAsia="zh-CN"/>
              </w:rPr>
              <w:t>，由于</w:t>
            </w:r>
            <w:r>
              <w:rPr>
                <w:rFonts w:hint="default" w:ascii="Times New Roman" w:hAnsi="Times New Roman" w:cs="Times New Roman"/>
                <w:color w:val="auto"/>
                <w:sz w:val="24"/>
                <w:highlight w:val="none"/>
              </w:rPr>
              <w:t>塔基基础占地面积较小，</w:t>
            </w:r>
            <w:r>
              <w:rPr>
                <w:rFonts w:hint="default" w:ascii="Times New Roman" w:hAnsi="Times New Roman" w:eastAsia="宋体" w:cs="Times New Roman"/>
                <w:color w:val="auto"/>
                <w:kern w:val="0"/>
                <w:sz w:val="24"/>
                <w:szCs w:val="24"/>
                <w:highlight w:val="none"/>
                <w:lang w:val="en-US" w:eastAsia="zh-CN" w:bidi="ar"/>
              </w:rPr>
              <w:t>线路占地范围内植被在当地分布相对较多，群落内都为常见的植物物种。</w:t>
            </w:r>
            <w:r>
              <w:rPr>
                <w:rFonts w:hint="default" w:ascii="Times New Roman" w:hAnsi="Times New Roman" w:cs="Times New Roman"/>
                <w:color w:val="auto"/>
                <w:sz w:val="24"/>
                <w:highlight w:val="none"/>
                <w:lang w:val="en-US" w:eastAsia="zh-CN"/>
              </w:rPr>
              <w:t>因此，</w:t>
            </w:r>
            <w:r>
              <w:rPr>
                <w:rFonts w:hint="default" w:ascii="Times New Roman" w:hAnsi="Times New Roman" w:eastAsia="宋体" w:cs="Times New Roman"/>
                <w:color w:val="auto"/>
                <w:kern w:val="0"/>
                <w:sz w:val="24"/>
                <w:szCs w:val="24"/>
                <w:highlight w:val="none"/>
                <w:lang w:val="en-US" w:eastAsia="zh-CN" w:bidi="ar"/>
              </w:rPr>
              <w:t>塔基永久占地</w:t>
            </w:r>
            <w:r>
              <w:rPr>
                <w:rFonts w:hint="default" w:ascii="Times New Roman" w:hAnsi="Times New Roman" w:cs="Times New Roman"/>
                <w:color w:val="auto"/>
                <w:sz w:val="24"/>
                <w:highlight w:val="none"/>
              </w:rPr>
              <w:t>对植被的影响较小</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且</w:t>
            </w:r>
            <w:r>
              <w:rPr>
                <w:rFonts w:hint="default" w:ascii="Times New Roman" w:hAnsi="Times New Roman" w:cs="Times New Roman"/>
                <w:color w:val="auto"/>
                <w:sz w:val="24"/>
                <w:highlight w:val="none"/>
                <w:lang w:eastAsia="zh-CN"/>
              </w:rPr>
              <w:t>对植被的</w:t>
            </w:r>
            <w:r>
              <w:rPr>
                <w:rFonts w:hint="default" w:ascii="Times New Roman" w:hAnsi="Times New Roman" w:cs="Times New Roman"/>
                <w:color w:val="auto"/>
                <w:sz w:val="24"/>
                <w:highlight w:val="none"/>
              </w:rPr>
              <w:t>主要影响来自于临时占地</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4"/>
                <w:szCs w:val="24"/>
                <w:highlight w:val="none"/>
                <w:lang w:val="en-US" w:eastAsia="zh-CN" w:bidi="ar"/>
              </w:rPr>
              <w:t>本次输电线路位于已建线路走廊内，减少新开辟走廊，尽可能的少占用土地；</w:t>
            </w:r>
            <w:r>
              <w:rPr>
                <w:rFonts w:hint="default" w:ascii="Times New Roman" w:hAnsi="Times New Roman" w:cs="Times New Roman"/>
                <w:color w:val="auto"/>
                <w:sz w:val="24"/>
                <w:highlight w:val="none"/>
              </w:rPr>
              <w:t>施工时临时占</w:t>
            </w:r>
            <w:r>
              <w:rPr>
                <w:rFonts w:hint="default" w:ascii="Times New Roman" w:hAnsi="Times New Roman" w:cs="Times New Roman"/>
                <w:color w:val="auto"/>
                <w:sz w:val="24"/>
                <w:highlight w:val="none"/>
                <w:lang w:eastAsia="zh-CN"/>
              </w:rPr>
              <w:t>用</w:t>
            </w:r>
            <w:r>
              <w:rPr>
                <w:rFonts w:hint="default" w:ascii="Times New Roman" w:hAnsi="Times New Roman" w:cs="Times New Roman"/>
                <w:color w:val="auto"/>
                <w:sz w:val="24"/>
                <w:highlight w:val="none"/>
              </w:rPr>
              <w:t>的施工场地设置于植被稀少的地方</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并</w:t>
            </w:r>
            <w:r>
              <w:rPr>
                <w:rFonts w:hint="default" w:ascii="Times New Roman" w:hAnsi="Times New Roman" w:cs="Times New Roman"/>
                <w:color w:val="auto"/>
                <w:sz w:val="24"/>
                <w:highlight w:val="none"/>
              </w:rPr>
              <w:t>充分利用现有道路</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避开植被较好处；牵张场选择在靠近现有道路附近，减少临时占地面积</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4"/>
                <w:szCs w:val="24"/>
                <w:highlight w:val="none"/>
                <w:lang w:val="en-US" w:eastAsia="zh-CN" w:bidi="ar"/>
              </w:rPr>
              <w:t>同时</w:t>
            </w:r>
            <w:r>
              <w:rPr>
                <w:rFonts w:hint="eastAsia" w:cs="Times New Roman"/>
                <w:color w:val="auto"/>
                <w:kern w:val="0"/>
                <w:sz w:val="24"/>
                <w:szCs w:val="24"/>
                <w:highlight w:val="none"/>
                <w:lang w:val="en-US" w:eastAsia="zh-CN" w:bidi="ar"/>
              </w:rPr>
              <w:t>塔基</w:t>
            </w:r>
            <w:r>
              <w:rPr>
                <w:rFonts w:hint="default" w:ascii="Times New Roman" w:hAnsi="Times New Roman" w:eastAsia="宋体" w:cs="Times New Roman"/>
                <w:color w:val="auto"/>
                <w:kern w:val="0"/>
                <w:sz w:val="24"/>
                <w:szCs w:val="24"/>
                <w:highlight w:val="none"/>
                <w:lang w:val="en-US" w:eastAsia="zh-CN" w:bidi="ar"/>
              </w:rPr>
              <w:t>基础开挖前先进行表土剥离，施工结束后及时进行植被恢复；本项目不设施工营地，租用当地民房作为施工营地，内设办公生活区及</w:t>
            </w:r>
            <w:r>
              <w:rPr>
                <w:rFonts w:hint="default" w:ascii="Times New Roman" w:hAnsi="Times New Roman" w:cs="Times New Roman"/>
                <w:color w:val="auto"/>
                <w:sz w:val="24"/>
                <w:highlight w:val="none"/>
                <w:lang w:val="en-US" w:eastAsia="zh-CN"/>
              </w:rPr>
              <w:t>设备材料临时堆放场所</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2"/>
                <w:sz w:val="24"/>
                <w:szCs w:val="24"/>
                <w:highlight w:val="none"/>
                <w:lang w:val="en-US" w:eastAsia="zh-CN"/>
              </w:rPr>
              <w:t>因此，临时占地对植被的影响只是暂时的，</w:t>
            </w:r>
            <w:r>
              <w:rPr>
                <w:rFonts w:hint="default" w:ascii="Times New Roman" w:hAnsi="Times New Roman" w:eastAsia="宋体" w:cs="Times New Roman"/>
                <w:color w:val="auto"/>
                <w:kern w:val="0"/>
                <w:sz w:val="24"/>
                <w:szCs w:val="24"/>
                <w:highlight w:val="none"/>
                <w:lang w:val="en-US" w:eastAsia="zh-CN" w:bidi="ar"/>
              </w:rPr>
              <w:t>可通过生态补偿并在施工结束后恢复</w:t>
            </w:r>
            <w:r>
              <w:rPr>
                <w:rFonts w:hint="default" w:ascii="Times New Roman" w:hAnsi="Times New Roman" w:cs="Times New Roman"/>
                <w:color w:val="auto"/>
                <w:sz w:val="24"/>
                <w:highlight w:val="none"/>
              </w:rPr>
              <w:t>原有土地功能</w:t>
            </w:r>
            <w:r>
              <w:rPr>
                <w:rFonts w:hint="default" w:ascii="Times New Roman" w:hAnsi="Times New Roman" w:eastAsia="宋体" w:cs="Times New Roman"/>
                <w:color w:val="auto"/>
                <w:kern w:val="0"/>
                <w:sz w:val="24"/>
                <w:szCs w:val="24"/>
                <w:highlight w:val="none"/>
                <w:lang w:val="en-US" w:eastAsia="zh-CN" w:bidi="ar"/>
              </w:rPr>
              <w:t>，通过后期的管理与恢复，影响极为轻微。</w:t>
            </w:r>
          </w:p>
          <w:p w14:paraId="37DC90A4">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⑶</w:t>
            </w:r>
            <w:r>
              <w:rPr>
                <w:rFonts w:hint="default" w:ascii="Times New Roman" w:hAnsi="Times New Roman" w:cs="Times New Roman"/>
                <w:b/>
                <w:bCs/>
                <w:color w:val="auto"/>
                <w:sz w:val="24"/>
                <w:highlight w:val="none"/>
              </w:rPr>
              <w:t>对野生动物的影响分析</w:t>
            </w:r>
          </w:p>
          <w:p w14:paraId="1AD4E79D">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施工期对</w:t>
            </w:r>
            <w:r>
              <w:rPr>
                <w:rFonts w:hint="default" w:ascii="Times New Roman" w:hAnsi="Times New Roman" w:eastAsia="宋体" w:cs="Times New Roman"/>
                <w:color w:val="auto"/>
                <w:sz w:val="24"/>
                <w:szCs w:val="24"/>
                <w:highlight w:val="none"/>
                <w:lang w:val="en-US" w:eastAsia="zh-CN"/>
              </w:rPr>
              <w:t>野生动物</w:t>
            </w:r>
            <w:r>
              <w:rPr>
                <w:rFonts w:hint="default" w:ascii="Times New Roman" w:hAnsi="Times New Roman" w:eastAsia="宋体" w:cs="Times New Roman"/>
                <w:color w:val="auto"/>
                <w:sz w:val="24"/>
                <w:szCs w:val="24"/>
                <w:highlight w:val="none"/>
              </w:rPr>
              <w:t>的影响主要有以下几个方面：</w:t>
            </w:r>
          </w:p>
          <w:p w14:paraId="275AFD7A">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①工程占地</w:t>
            </w:r>
            <w:r>
              <w:rPr>
                <w:rFonts w:hint="default" w:ascii="Times New Roman" w:hAnsi="Times New Roman" w:eastAsia="宋体" w:cs="Times New Roman"/>
                <w:color w:val="auto"/>
                <w:sz w:val="24"/>
                <w:szCs w:val="24"/>
                <w:highlight w:val="none"/>
                <w:lang w:eastAsia="zh-CN"/>
              </w:rPr>
              <w:t>破坏</w:t>
            </w:r>
            <w:r>
              <w:rPr>
                <w:rFonts w:hint="default" w:ascii="Times New Roman" w:hAnsi="Times New Roman" w:eastAsia="宋体" w:cs="Times New Roman"/>
                <w:color w:val="auto"/>
                <w:sz w:val="24"/>
                <w:szCs w:val="24"/>
                <w:highlight w:val="none"/>
                <w:lang w:val="en-US" w:eastAsia="zh-CN"/>
              </w:rPr>
              <w:t>野生动物生境：</w:t>
            </w:r>
            <w:r>
              <w:rPr>
                <w:rFonts w:hint="default" w:ascii="Times New Roman" w:hAnsi="Times New Roman" w:eastAsia="宋体" w:cs="Times New Roman"/>
                <w:color w:val="auto"/>
                <w:sz w:val="24"/>
                <w:szCs w:val="24"/>
                <w:highlight w:val="none"/>
              </w:rPr>
              <w:t>塔基土石方工程、</w:t>
            </w:r>
            <w:r>
              <w:rPr>
                <w:rFonts w:hint="default" w:ascii="Times New Roman" w:hAnsi="Times New Roman" w:eastAsia="宋体" w:cs="Times New Roman"/>
                <w:color w:val="auto"/>
                <w:sz w:val="24"/>
                <w:szCs w:val="24"/>
                <w:highlight w:val="none"/>
                <w:lang w:eastAsia="zh-CN"/>
              </w:rPr>
              <w:t>施工便道</w:t>
            </w:r>
            <w:r>
              <w:rPr>
                <w:rFonts w:hint="default" w:ascii="Times New Roman" w:hAnsi="Times New Roman" w:eastAsia="宋体" w:cs="Times New Roman"/>
                <w:color w:val="auto"/>
                <w:sz w:val="24"/>
                <w:szCs w:val="24"/>
                <w:highlight w:val="none"/>
                <w:lang w:val="en-US" w:eastAsia="zh-CN"/>
              </w:rPr>
              <w:t>施工区</w:t>
            </w:r>
            <w:r>
              <w:rPr>
                <w:rFonts w:hint="default" w:ascii="Times New Roman" w:hAnsi="Times New Roman" w:eastAsia="宋体" w:cs="Times New Roman"/>
                <w:color w:val="auto"/>
                <w:sz w:val="24"/>
                <w:szCs w:val="24"/>
                <w:highlight w:val="none"/>
                <w:lang w:eastAsia="zh-CN"/>
              </w:rPr>
              <w:t>等</w:t>
            </w:r>
            <w:r>
              <w:rPr>
                <w:rFonts w:hint="default" w:ascii="Times New Roman" w:hAnsi="Times New Roman" w:eastAsia="宋体" w:cs="Times New Roman"/>
                <w:color w:val="auto"/>
                <w:sz w:val="24"/>
                <w:szCs w:val="24"/>
                <w:highlight w:val="none"/>
              </w:rPr>
              <w:t>施工</w:t>
            </w:r>
            <w:r>
              <w:rPr>
                <w:rFonts w:hint="default" w:ascii="Times New Roman" w:hAnsi="Times New Roman" w:eastAsia="宋体" w:cs="Times New Roman"/>
                <w:color w:val="auto"/>
                <w:sz w:val="24"/>
                <w:szCs w:val="24"/>
                <w:highlight w:val="none"/>
                <w:lang w:eastAsia="zh-CN"/>
              </w:rPr>
              <w:t>永久、临时占地会破坏</w:t>
            </w:r>
            <w:r>
              <w:rPr>
                <w:rFonts w:hint="default" w:ascii="Times New Roman" w:hAnsi="Times New Roman" w:eastAsia="宋体" w:cs="Times New Roman"/>
                <w:color w:val="auto"/>
                <w:sz w:val="24"/>
                <w:szCs w:val="24"/>
                <w:highlight w:val="none"/>
                <w:lang w:val="en-US" w:eastAsia="zh-CN"/>
              </w:rPr>
              <w:t>野生动物生境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导致其</w:t>
            </w:r>
            <w:r>
              <w:rPr>
                <w:rFonts w:hint="default" w:ascii="Times New Roman" w:hAnsi="Times New Roman" w:eastAsia="宋体" w:cs="Times New Roman"/>
                <w:color w:val="auto"/>
                <w:sz w:val="24"/>
                <w:szCs w:val="24"/>
                <w:highlight w:val="none"/>
              </w:rPr>
              <w:t>生境</w:t>
            </w:r>
            <w:r>
              <w:rPr>
                <w:rFonts w:hint="default" w:ascii="Times New Roman" w:hAnsi="Times New Roman" w:eastAsia="宋体" w:cs="Times New Roman"/>
                <w:color w:val="auto"/>
                <w:sz w:val="24"/>
                <w:szCs w:val="24"/>
                <w:highlight w:val="none"/>
                <w:lang w:val="en-US" w:eastAsia="zh-CN"/>
              </w:rPr>
              <w:t>面积</w:t>
            </w:r>
            <w:r>
              <w:rPr>
                <w:rFonts w:hint="default" w:ascii="Times New Roman" w:hAnsi="Times New Roman" w:eastAsia="宋体" w:cs="Times New Roman"/>
                <w:color w:val="auto"/>
                <w:sz w:val="24"/>
                <w:szCs w:val="24"/>
                <w:highlight w:val="none"/>
              </w:rPr>
              <w:t>减少。</w:t>
            </w:r>
          </w:p>
          <w:p w14:paraId="268EFFE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eastAsia="zh-CN"/>
              </w:rPr>
              <w:t>对</w:t>
            </w:r>
            <w:r>
              <w:rPr>
                <w:rFonts w:hint="default" w:ascii="Times New Roman" w:hAnsi="Times New Roman" w:cs="Times New Roman"/>
                <w:color w:val="auto"/>
                <w:sz w:val="24"/>
                <w:highlight w:val="none"/>
              </w:rPr>
              <w:t>野生动物</w:t>
            </w:r>
            <w:r>
              <w:rPr>
                <w:rFonts w:hint="default" w:ascii="Times New Roman" w:hAnsi="Times New Roman" w:cs="Times New Roman"/>
                <w:color w:val="auto"/>
                <w:sz w:val="24"/>
                <w:highlight w:val="none"/>
                <w:lang w:eastAsia="zh-CN"/>
              </w:rPr>
              <w:t>生活习性的</w:t>
            </w:r>
            <w:r>
              <w:rPr>
                <w:rFonts w:hint="default" w:ascii="Times New Roman" w:hAnsi="Times New Roman" w:cs="Times New Roman"/>
                <w:color w:val="auto"/>
                <w:sz w:val="24"/>
                <w:highlight w:val="none"/>
              </w:rPr>
              <w:t>影响</w:t>
            </w:r>
            <w:r>
              <w:rPr>
                <w:rFonts w:hint="default"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间隔扩建和输电线路</w:t>
            </w:r>
            <w:r>
              <w:rPr>
                <w:rFonts w:hint="default" w:ascii="Times New Roman" w:hAnsi="Times New Roman" w:eastAsia="宋体" w:cs="Times New Roman"/>
                <w:color w:val="auto"/>
                <w:sz w:val="24"/>
                <w:szCs w:val="24"/>
                <w:highlight w:val="none"/>
                <w:lang w:val="en-US" w:eastAsia="zh-CN"/>
              </w:rPr>
              <w:t>施工活动中，</w:t>
            </w:r>
            <w:r>
              <w:rPr>
                <w:rFonts w:hint="default" w:ascii="Times New Roman" w:hAnsi="Times New Roman" w:cs="Times New Roman"/>
                <w:color w:val="auto"/>
                <w:sz w:val="24"/>
                <w:highlight w:val="none"/>
              </w:rPr>
              <w:t>施工机械噪声和人员活动噪声</w:t>
            </w:r>
            <w:r>
              <w:rPr>
                <w:rFonts w:hint="default" w:ascii="Times New Roman" w:hAnsi="Times New Roman" w:eastAsia="宋体" w:cs="Times New Roman"/>
                <w:color w:val="auto"/>
                <w:sz w:val="24"/>
                <w:szCs w:val="24"/>
                <w:highlight w:val="none"/>
                <w:lang w:val="en-US" w:eastAsia="zh-CN"/>
              </w:rPr>
              <w:t>若未采取有效环境保护措施，对野生动物饮水、觅食、栖息、繁殖等生活习性产生影响。</w:t>
            </w:r>
            <w:r>
              <w:rPr>
                <w:rFonts w:hint="default" w:ascii="Times New Roman" w:hAnsi="Times New Roman" w:cs="Times New Roman"/>
                <w:color w:val="auto"/>
                <w:sz w:val="24"/>
                <w:highlight w:val="none"/>
              </w:rPr>
              <w:t>本项目输电线路沿线土地</w:t>
            </w:r>
            <w:r>
              <w:rPr>
                <w:rFonts w:hint="default" w:ascii="Times New Roman" w:hAnsi="Times New Roman" w:cs="Times New Roman"/>
                <w:color w:val="auto"/>
                <w:sz w:val="24"/>
                <w:highlight w:val="none"/>
                <w:lang w:eastAsia="zh-CN"/>
              </w:rPr>
              <w:t>利用</w:t>
            </w:r>
            <w:r>
              <w:rPr>
                <w:rFonts w:hint="default" w:ascii="Times New Roman" w:hAnsi="Times New Roman" w:cs="Times New Roman"/>
                <w:color w:val="auto"/>
                <w:sz w:val="24"/>
                <w:highlight w:val="none"/>
              </w:rPr>
              <w:t>类型</w:t>
            </w:r>
            <w:r>
              <w:rPr>
                <w:rFonts w:hint="default" w:ascii="Times New Roman" w:hAnsi="Times New Roman" w:cs="Times New Roman"/>
                <w:color w:val="auto"/>
                <w:sz w:val="24"/>
                <w:highlight w:val="none"/>
                <w:lang w:eastAsia="zh-CN"/>
              </w:rPr>
              <w:t>为</w:t>
            </w:r>
            <w:r>
              <w:rPr>
                <w:rFonts w:hint="default" w:ascii="Times New Roman" w:hAnsi="Times New Roman" w:eastAsia="宋体" w:cs="Times New Roman"/>
                <w:color w:val="auto"/>
                <w:sz w:val="24"/>
                <w:szCs w:val="24"/>
                <w:lang w:val="en-US" w:eastAsia="zh-CN"/>
              </w:rPr>
              <w:t>耕地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林地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草地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园地和交通运输用地</w:t>
            </w:r>
            <w:r>
              <w:rPr>
                <w:rFonts w:hint="default" w:ascii="Times New Roman" w:hAnsi="Times New Roman" w:cs="Times New Roman"/>
                <w:color w:val="auto"/>
                <w:sz w:val="24"/>
                <w:highlight w:val="none"/>
              </w:rPr>
              <w:t>，受人类活动干扰程度</w:t>
            </w:r>
            <w:r>
              <w:rPr>
                <w:rFonts w:hint="default" w:ascii="Times New Roman" w:hAnsi="Times New Roman" w:cs="Times New Roman"/>
                <w:color w:val="auto"/>
                <w:sz w:val="24"/>
                <w:highlight w:val="none"/>
                <w:lang w:val="en-US" w:eastAsia="zh-CN"/>
              </w:rPr>
              <w:t>较</w:t>
            </w:r>
            <w:r>
              <w:rPr>
                <w:rFonts w:hint="default" w:ascii="Times New Roman" w:hAnsi="Times New Roman" w:cs="Times New Roman"/>
                <w:color w:val="auto"/>
                <w:sz w:val="24"/>
                <w:highlight w:val="none"/>
              </w:rPr>
              <w:t>大，不是野生动物活动的主要范围。经调查，本项目所经区域动物物种主要为常见的鸟类如</w:t>
            </w:r>
            <w:r>
              <w:rPr>
                <w:rFonts w:hint="default" w:ascii="Times New Roman" w:hAnsi="Times New Roman" w:cs="Times New Roman"/>
                <w:color w:val="auto"/>
                <w:sz w:val="24"/>
                <w:highlight w:val="none"/>
                <w:lang w:val="en-US" w:eastAsia="zh-CN"/>
              </w:rPr>
              <w:t>乌鸦、喜鹊、燕子</w:t>
            </w:r>
            <w:r>
              <w:rPr>
                <w:rFonts w:hint="default" w:ascii="Times New Roman" w:hAnsi="Times New Roman" w:cs="Times New Roman"/>
                <w:color w:val="auto"/>
                <w:sz w:val="24"/>
                <w:highlight w:val="none"/>
              </w:rPr>
              <w:t>等，</w:t>
            </w:r>
            <w:r>
              <w:rPr>
                <w:rFonts w:hint="default" w:ascii="Times New Roman" w:hAnsi="Times New Roman" w:cs="Times New Roman"/>
                <w:color w:val="auto"/>
                <w:sz w:val="24"/>
                <w:highlight w:val="none"/>
                <w:lang w:val="en-US" w:eastAsia="zh-CN"/>
              </w:rPr>
              <w:t>爬行类动物主要有沙蜥、壁虎和蛇类；哺乳类动物主要有田鼠、黄鼠、沙鼠、野兔等</w:t>
            </w:r>
            <w:r>
              <w:rPr>
                <w:rFonts w:hint="default" w:ascii="Times New Roman" w:hAnsi="Times New Roman" w:cs="Times New Roman"/>
                <w:color w:val="auto"/>
                <w:sz w:val="24"/>
                <w:highlight w:val="none"/>
              </w:rPr>
              <w:t>，环评期间未</w:t>
            </w:r>
            <w:r>
              <w:rPr>
                <w:rFonts w:hint="default" w:ascii="Times New Roman" w:hAnsi="Times New Roman" w:cs="Times New Roman"/>
                <w:color w:val="auto"/>
                <w:sz w:val="24"/>
                <w:highlight w:val="none"/>
                <w:lang w:eastAsia="zh-CN"/>
              </w:rPr>
              <w:t>观测到</w:t>
            </w:r>
            <w:r>
              <w:rPr>
                <w:rFonts w:hint="default" w:ascii="Times New Roman" w:hAnsi="Times New Roman" w:cs="Times New Roman"/>
                <w:color w:val="auto"/>
                <w:sz w:val="24"/>
                <w:highlight w:val="none"/>
              </w:rPr>
              <w:t>国家级、自治区级珍稀、重点保护野生动物。</w:t>
            </w:r>
          </w:p>
          <w:p w14:paraId="4C28F6A9">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本</w:t>
            </w:r>
            <w:r>
              <w:rPr>
                <w:rFonts w:hint="default" w:ascii="Times New Roman" w:hAnsi="Times New Roman" w:cs="Times New Roman"/>
                <w:color w:val="auto"/>
                <w:sz w:val="24"/>
                <w:highlight w:val="none"/>
              </w:rPr>
              <w:t>项目输电线路沿线区域内动物活动较少，且由于施工</w:t>
            </w:r>
            <w:r>
              <w:rPr>
                <w:rFonts w:hint="default" w:ascii="Times New Roman" w:hAnsi="Times New Roman" w:cs="Times New Roman"/>
                <w:color w:val="auto"/>
                <w:sz w:val="24"/>
                <w:highlight w:val="none"/>
                <w:lang w:val="en-US" w:eastAsia="zh-CN"/>
              </w:rPr>
              <w:t>临时占地相对</w:t>
            </w:r>
            <w:r>
              <w:rPr>
                <w:rFonts w:hint="default" w:ascii="Times New Roman" w:hAnsi="Times New Roman" w:cs="Times New Roman"/>
                <w:color w:val="auto"/>
                <w:sz w:val="24"/>
                <w:highlight w:val="none"/>
              </w:rPr>
              <w:t>该区域面积较小，施工周期短，</w:t>
            </w:r>
            <w:r>
              <w:rPr>
                <w:rFonts w:hint="default" w:ascii="Times New Roman" w:hAnsi="Times New Roman" w:cs="Times New Roman"/>
                <w:color w:val="auto"/>
                <w:sz w:val="24"/>
                <w:highlight w:val="none"/>
                <w:lang w:val="en-US" w:eastAsia="zh-CN"/>
              </w:rPr>
              <w:t>呈点状分布</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工程的建设只是在小范围内暂时改变了动物的栖息环境</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施工过程中通过加强对施工人员保护野生动植物的宣传教育，提高施工人员自觉保护野生动植物的环保意识，</w:t>
            </w:r>
            <w:r>
              <w:rPr>
                <w:rFonts w:hint="default" w:ascii="Times New Roman" w:hAnsi="Times New Roman" w:cs="Times New Roman"/>
                <w:color w:val="auto"/>
                <w:sz w:val="24"/>
                <w:highlight w:val="none"/>
                <w:lang w:val="en-US" w:eastAsia="zh-CN"/>
              </w:rPr>
              <w:t>严格控制施工作业带范围</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项目施工不会对沿线野生动物有明显的影响。</w:t>
            </w:r>
          </w:p>
          <w:p w14:paraId="01E9EF52">
            <w:pPr>
              <w:spacing w:line="360" w:lineRule="auto"/>
              <w:ind w:firstLine="482" w:firstLineChars="200"/>
              <w:jc w:val="both"/>
              <w:rPr>
                <w:rFonts w:hint="default" w:ascii="Times New Roman" w:hAnsi="Times New Roman" w:eastAsia="宋体" w:cs="Times New Roman"/>
                <w:b/>
                <w:bCs/>
                <w:color w:val="auto"/>
                <w:kern w:val="2"/>
                <w:sz w:val="24"/>
                <w:szCs w:val="24"/>
                <w:highlight w:val="none"/>
                <w:lang w:val="en-US" w:eastAsia="zh-CN"/>
              </w:rPr>
            </w:pPr>
            <w:r>
              <w:rPr>
                <w:rFonts w:hint="default" w:ascii="Times New Roman" w:hAnsi="Times New Roman" w:cs="Times New Roman"/>
                <w:b/>
                <w:bCs/>
                <w:color w:val="auto"/>
                <w:sz w:val="24"/>
                <w:highlight w:val="none"/>
                <w:lang w:eastAsia="zh-CN"/>
              </w:rPr>
              <w:t>⑷</w:t>
            </w:r>
            <w:r>
              <w:rPr>
                <w:rFonts w:hint="default" w:ascii="Times New Roman" w:hAnsi="Times New Roman" w:eastAsia="宋体" w:cs="Times New Roman"/>
                <w:b/>
                <w:bCs/>
                <w:color w:val="auto"/>
                <w:kern w:val="2"/>
                <w:sz w:val="24"/>
                <w:szCs w:val="24"/>
                <w:highlight w:val="none"/>
                <w:lang w:val="en-US" w:eastAsia="zh-CN"/>
              </w:rPr>
              <w:t>对林地的影响分析</w:t>
            </w:r>
          </w:p>
          <w:p w14:paraId="58B422B2">
            <w:pPr>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本项目占用林地以临时占地和永久占地为主，</w:t>
            </w:r>
            <w:r>
              <w:rPr>
                <w:rFonts w:hint="eastAsia" w:cs="Times New Roman"/>
                <w:color w:val="auto"/>
                <w:kern w:val="2"/>
                <w:sz w:val="24"/>
                <w:szCs w:val="24"/>
                <w:highlight w:val="none"/>
                <w:lang w:val="en-US" w:eastAsia="zh-CN"/>
              </w:rPr>
              <w:t>其中，</w:t>
            </w:r>
            <w:r>
              <w:rPr>
                <w:rFonts w:hint="eastAsia" w:cs="Times New Roman"/>
                <w:color w:val="auto"/>
                <w:sz w:val="24"/>
                <w:highlight w:val="none"/>
                <w:lang w:val="en-US" w:eastAsia="zh-CN"/>
              </w:rPr>
              <w:t>森林植被主要以柠条锦鸡儿、沙棘、油松为主</w:t>
            </w:r>
            <w:r>
              <w:rPr>
                <w:rFonts w:hint="default" w:ascii="Times New Roman" w:hAnsi="Times New Roman" w:eastAsia="宋体" w:cs="Times New Roman"/>
                <w:color w:val="auto"/>
                <w:kern w:val="0"/>
                <w:sz w:val="24"/>
                <w:szCs w:val="24"/>
                <w:highlight w:val="none"/>
                <w:lang w:val="en-US" w:eastAsia="zh-CN" w:bidi="ar"/>
              </w:rPr>
              <w:t>，在当地分布较多</w:t>
            </w:r>
            <w:r>
              <w:rPr>
                <w:rFonts w:hint="default" w:ascii="Times New Roman" w:hAnsi="Times New Roman" w:eastAsia="宋体" w:cs="Times New Roman"/>
                <w:color w:val="auto"/>
                <w:kern w:val="2"/>
                <w:sz w:val="24"/>
                <w:szCs w:val="24"/>
                <w:highlight w:val="none"/>
                <w:lang w:val="en-US" w:eastAsia="zh-CN"/>
              </w:rPr>
              <w:t>。输电线路经过林地区域均采用高跨的方式通过，线路走廊下不涉及林木砍伐，减少对林木的破坏；</w:t>
            </w:r>
            <w:r>
              <w:rPr>
                <w:rFonts w:hint="default" w:ascii="Times New Roman" w:hAnsi="Times New Roman" w:cs="Times New Roman"/>
                <w:color w:val="auto"/>
                <w:sz w:val="24"/>
                <w:highlight w:val="none"/>
              </w:rPr>
              <w:t>对于</w:t>
            </w:r>
            <w:r>
              <w:rPr>
                <w:rFonts w:hint="default" w:ascii="Times New Roman" w:hAnsi="Times New Roman" w:cs="Times New Roman"/>
                <w:color w:val="auto"/>
                <w:sz w:val="24"/>
                <w:highlight w:val="none"/>
                <w:lang w:val="en-US" w:eastAsia="zh-CN"/>
              </w:rPr>
              <w:t>农村</w:t>
            </w:r>
            <w:r>
              <w:rPr>
                <w:rFonts w:hint="default" w:ascii="Times New Roman" w:hAnsi="Times New Roman" w:cs="Times New Roman"/>
                <w:color w:val="auto"/>
                <w:sz w:val="24"/>
                <w:highlight w:val="none"/>
              </w:rPr>
              <w:t>道路和</w:t>
            </w:r>
            <w:r>
              <w:rPr>
                <w:rFonts w:hint="default" w:ascii="Times New Roman" w:hAnsi="Times New Roman" w:cs="Times New Roman"/>
                <w:color w:val="auto"/>
                <w:sz w:val="24"/>
                <w:highlight w:val="none"/>
                <w:lang w:val="en-US" w:eastAsia="zh-CN"/>
              </w:rPr>
              <w:t>田间</w:t>
            </w:r>
            <w:r>
              <w:rPr>
                <w:rFonts w:hint="default" w:ascii="Times New Roman" w:hAnsi="Times New Roman" w:cs="Times New Roman"/>
                <w:color w:val="auto"/>
                <w:sz w:val="24"/>
                <w:highlight w:val="none"/>
              </w:rPr>
              <w:t>两旁绿化带的树木，输电线路采取高跨方式穿越，必要时进行树木的削尖处理</w:t>
            </w:r>
            <w:r>
              <w:rPr>
                <w:rFonts w:hint="default" w:ascii="Times New Roman" w:hAnsi="Times New Roman" w:eastAsia="宋体" w:cs="Times New Roman"/>
                <w:color w:val="auto"/>
                <w:kern w:val="2"/>
                <w:sz w:val="24"/>
                <w:szCs w:val="24"/>
                <w:highlight w:val="none"/>
                <w:lang w:val="en-US" w:eastAsia="zh-CN"/>
              </w:rPr>
              <w:t>。塔位优先选择植被较少的区域，减少占地及土石方的开挖量。施工前采取表土剥离、分类存放，用于临时占地恢复使用。施工结束后，及时清理施工现场，对临时占用的林木进行植苗造林，</w:t>
            </w:r>
            <w:r>
              <w:rPr>
                <w:rFonts w:hint="default" w:ascii="Times New Roman" w:hAnsi="Times New Roman" w:eastAsia="宋体" w:cs="Times New Roman"/>
                <w:color w:val="auto"/>
                <w:sz w:val="24"/>
                <w:highlight w:val="none"/>
              </w:rPr>
              <w:t>及时进行植被恢复</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2"/>
                <w:sz w:val="24"/>
                <w:szCs w:val="24"/>
                <w:highlight w:val="none"/>
                <w:lang w:val="en-US" w:eastAsia="zh-CN"/>
              </w:rPr>
              <w:t>对林地的影响较小。</w:t>
            </w:r>
          </w:p>
          <w:p w14:paraId="69DC4B21">
            <w:pPr>
              <w:numPr>
                <w:ilvl w:val="0"/>
                <w:numId w:val="0"/>
              </w:numPr>
              <w:spacing w:line="360" w:lineRule="auto"/>
              <w:ind w:firstLine="482" w:firstLineChars="200"/>
              <w:jc w:val="both"/>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⑸对</w:t>
            </w:r>
            <w:r>
              <w:rPr>
                <w:rFonts w:hint="default" w:ascii="Times New Roman" w:hAnsi="Times New Roman" w:cs="Times New Roman"/>
                <w:b/>
                <w:bCs/>
                <w:color w:val="auto"/>
                <w:sz w:val="24"/>
                <w:szCs w:val="24"/>
                <w:highlight w:val="none"/>
                <w:lang w:val="en-US" w:eastAsia="zh-CN"/>
              </w:rPr>
              <w:t>耕地</w:t>
            </w:r>
            <w:r>
              <w:rPr>
                <w:rFonts w:hint="default" w:ascii="Times New Roman" w:hAnsi="Times New Roman" w:cs="Times New Roman"/>
                <w:b/>
                <w:bCs/>
                <w:color w:val="auto"/>
                <w:sz w:val="24"/>
                <w:highlight w:val="none"/>
                <w:lang w:val="en-US" w:eastAsia="zh-CN"/>
              </w:rPr>
              <w:t>的影响分析</w:t>
            </w:r>
          </w:p>
          <w:p w14:paraId="0A4A8353">
            <w:pPr>
              <w:pStyle w:val="5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sz w:val="24"/>
                <w:lang w:val="en-US" w:eastAsia="zh-CN"/>
              </w:rPr>
              <w:t>本项目需要占用耕地作为塔基永久和临时用地。农田植被为人工栽植植被类型之一，其群落结构与生物多样性多是</w:t>
            </w:r>
            <w:r>
              <w:rPr>
                <w:rFonts w:hint="eastAsia" w:cs="Times New Roman"/>
                <w:color w:val="auto"/>
                <w:sz w:val="24"/>
                <w:lang w:val="en-US" w:eastAsia="zh-CN"/>
              </w:rPr>
              <w:t>由</w:t>
            </w:r>
            <w:r>
              <w:rPr>
                <w:rFonts w:hint="default" w:ascii="Times New Roman" w:hAnsi="Times New Roman" w:eastAsia="宋体" w:cs="Times New Roman"/>
                <w:color w:val="auto"/>
                <w:sz w:val="24"/>
                <w:lang w:val="en-US" w:eastAsia="zh-CN"/>
              </w:rPr>
              <w:t>人工控制，因而对农田植被的影响，主要体现在对农田植被</w:t>
            </w:r>
            <w:r>
              <w:rPr>
                <w:rFonts w:hint="eastAsia" w:cs="Times New Roman"/>
                <w:color w:val="auto"/>
                <w:sz w:val="24"/>
                <w:lang w:val="en-US" w:eastAsia="zh-CN"/>
              </w:rPr>
              <w:t>光合作用、占用</w:t>
            </w:r>
            <w:r>
              <w:rPr>
                <w:rFonts w:hint="default" w:ascii="Times New Roman" w:hAnsi="Times New Roman" w:eastAsia="宋体" w:cs="Times New Roman"/>
                <w:color w:val="auto"/>
                <w:sz w:val="24"/>
                <w:lang w:val="en-US" w:eastAsia="zh-CN"/>
              </w:rPr>
              <w:t>农田</w:t>
            </w:r>
            <w:r>
              <w:rPr>
                <w:rFonts w:hint="eastAsia" w:ascii="Times New Roman" w:hAnsi="Times New Roman" w:eastAsia="宋体" w:cs="Times New Roman"/>
                <w:color w:val="auto"/>
                <w:sz w:val="24"/>
                <w:lang w:val="en-US" w:eastAsia="zh-CN"/>
              </w:rPr>
              <w:t>面积</w:t>
            </w:r>
            <w:r>
              <w:rPr>
                <w:rFonts w:hint="default" w:ascii="Times New Roman" w:hAnsi="Times New Roman" w:eastAsia="宋体" w:cs="Times New Roman"/>
                <w:color w:val="auto"/>
                <w:sz w:val="24"/>
                <w:lang w:val="en-US" w:eastAsia="zh-CN"/>
              </w:rPr>
              <w:t>的影响，以及由此造成的</w:t>
            </w:r>
            <w:r>
              <w:rPr>
                <w:rFonts w:hint="eastAsia" w:cs="Times New Roman"/>
                <w:color w:val="auto"/>
                <w:sz w:val="24"/>
                <w:lang w:val="en-US" w:eastAsia="zh-CN"/>
              </w:rPr>
              <w:t>农田植被</w:t>
            </w:r>
            <w:r>
              <w:rPr>
                <w:rFonts w:hint="default" w:ascii="Times New Roman" w:hAnsi="Times New Roman" w:eastAsia="宋体" w:cs="Times New Roman"/>
                <w:color w:val="auto"/>
                <w:sz w:val="24"/>
                <w:lang w:val="en-US" w:eastAsia="zh-CN"/>
              </w:rPr>
              <w:t>生物量与生产力损失。塔基占地极为有限，完成建设后还可以耕种</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临时占地可利用当地原有道路等设施，农田植被的占用，不会对地方粮食生产带来较大的影响，更不会对农业生态系统产生大的影响。由于输电线路</w:t>
            </w:r>
            <w:r>
              <w:rPr>
                <w:rFonts w:hint="default" w:ascii="Times New Roman" w:hAnsi="Times New Roman" w:eastAsia="宋体" w:cs="Times New Roman"/>
                <w:color w:val="auto"/>
                <w:kern w:val="2"/>
                <w:sz w:val="24"/>
                <w:szCs w:val="24"/>
                <w:lang w:val="en-US" w:eastAsia="zh-CN" w:bidi="ar-SA"/>
              </w:rPr>
              <w:t>为点状分布，且项目塔基只赔不征，施工采用</w:t>
            </w:r>
            <w:r>
              <w:rPr>
                <w:rFonts w:hint="eastAsia" w:cs="Times New Roman"/>
                <w:color w:val="auto"/>
                <w:kern w:val="0"/>
                <w:sz w:val="24"/>
                <w:lang w:val="en-US" w:eastAsia="zh-CN"/>
              </w:rPr>
              <w:t>挖孔桩基础</w:t>
            </w:r>
            <w:r>
              <w:rPr>
                <w:rFonts w:hint="default" w:ascii="Times New Roman" w:hAnsi="Times New Roman" w:eastAsia="宋体" w:cs="Times New Roman"/>
                <w:color w:val="auto"/>
                <w:kern w:val="2"/>
                <w:sz w:val="24"/>
                <w:szCs w:val="24"/>
                <w:lang w:val="en-US" w:eastAsia="zh-CN" w:bidi="ar-SA"/>
              </w:rPr>
              <w:t>，最大限度地减少占地，施工结束后全部恢复原有土地使用功能。经调查，</w:t>
            </w:r>
            <w:r>
              <w:rPr>
                <w:rFonts w:hint="default" w:ascii="Times New Roman" w:hAnsi="Times New Roman" w:eastAsia="宋体" w:cs="Times New Roman"/>
                <w:color w:val="auto"/>
                <w:sz w:val="24"/>
                <w:lang w:val="en-US" w:eastAsia="zh-CN"/>
              </w:rPr>
              <w:t>输电线路沿线经过耕地区域主要</w:t>
            </w:r>
            <w:r>
              <w:rPr>
                <w:rFonts w:hint="default" w:ascii="Times New Roman" w:hAnsi="Times New Roman" w:cs="Times New Roman"/>
                <w:color w:val="auto"/>
                <w:sz w:val="24"/>
                <w:highlight w:val="none"/>
                <w:lang w:val="en-US" w:eastAsia="zh-CN"/>
              </w:rPr>
              <w:t>种植玉米等经济作物</w:t>
            </w:r>
            <w:r>
              <w:rPr>
                <w:rFonts w:hint="default" w:ascii="Times New Roman" w:hAnsi="Times New Roman" w:eastAsia="宋体" w:cs="Times New Roman"/>
                <w:color w:val="auto"/>
                <w:sz w:val="24"/>
                <w:lang w:val="en-US" w:eastAsia="zh-CN"/>
              </w:rPr>
              <w:t>，施工期临时占地会对农业生态带来一定影响。</w:t>
            </w:r>
            <w:r>
              <w:rPr>
                <w:rFonts w:hint="default" w:ascii="Times New Roman" w:hAnsi="Times New Roman" w:cs="Times New Roman"/>
                <w:color w:val="auto"/>
                <w:sz w:val="24"/>
                <w:lang w:val="en-US" w:eastAsia="zh-CN"/>
              </w:rPr>
              <w:t>因此，</w:t>
            </w: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lang w:val="en-US" w:eastAsia="zh-CN"/>
              </w:rPr>
              <w:t>施工期</w:t>
            </w:r>
            <w:r>
              <w:rPr>
                <w:rFonts w:hint="default" w:ascii="Times New Roman" w:hAnsi="Times New Roman" w:cs="Times New Roman"/>
                <w:color w:val="auto"/>
                <w:sz w:val="24"/>
                <w:highlight w:val="none"/>
                <w:lang w:val="en-US" w:eastAsia="zh-CN"/>
              </w:rPr>
              <w:t>应</w:t>
            </w:r>
            <w:r>
              <w:rPr>
                <w:rFonts w:hint="default" w:ascii="Times New Roman" w:hAnsi="Times New Roman" w:cs="Times New Roman"/>
                <w:color w:val="auto"/>
                <w:sz w:val="24"/>
                <w:lang w:val="en-US" w:eastAsia="zh-CN"/>
              </w:rPr>
              <w:t>尽可能地避开农作物生长期，临时占地严格控制占地面积，塔基施工作业区设置施工围栏，对</w:t>
            </w:r>
            <w:r>
              <w:rPr>
                <w:rFonts w:hint="default" w:ascii="Times New Roman" w:hAnsi="Times New Roman" w:eastAsia="宋体" w:cs="Times New Roman"/>
                <w:color w:val="auto"/>
                <w:sz w:val="24"/>
                <w:lang w:val="en-US" w:eastAsia="zh-CN"/>
              </w:rPr>
              <w:t>水浇地和旱地</w:t>
            </w:r>
            <w:r>
              <w:rPr>
                <w:rFonts w:hint="default" w:ascii="Times New Roman" w:hAnsi="Times New Roman" w:cs="Times New Roman"/>
                <w:color w:val="auto"/>
                <w:sz w:val="24"/>
                <w:lang w:val="en-US" w:eastAsia="zh-CN"/>
              </w:rPr>
              <w:t>做好表土剥离、分类存放和回填利用。施工结束后，及时平整土地，</w:t>
            </w:r>
            <w:r>
              <w:rPr>
                <w:rFonts w:hint="default" w:ascii="Times New Roman" w:hAnsi="Times New Roman" w:cs="Times New Roman"/>
                <w:color w:val="auto"/>
                <w:sz w:val="24"/>
              </w:rPr>
              <w:t>将废混凝土和废包装物及时清除，以免影响后期土地功能的恢复。</w:t>
            </w:r>
            <w:r>
              <w:rPr>
                <w:rFonts w:hint="default" w:ascii="Times New Roman" w:hAnsi="Times New Roman" w:cs="Times New Roman"/>
                <w:color w:val="auto"/>
                <w:sz w:val="24"/>
                <w:lang w:val="en-US" w:eastAsia="zh-CN"/>
              </w:rPr>
              <w:t>由于项目临时施工占地对农业生态的影响是暂时的，随着施工的结束，及时进行土地复垦，不利环境影响可以得到逐步消除。</w:t>
            </w:r>
            <w:r>
              <w:rPr>
                <w:rFonts w:hint="default" w:ascii="Times New Roman" w:hAnsi="Times New Roman" w:eastAsia="宋体" w:cs="Times New Roman"/>
                <w:color w:val="auto"/>
                <w:kern w:val="2"/>
                <w:sz w:val="24"/>
                <w:szCs w:val="24"/>
                <w:lang w:val="en-US" w:eastAsia="zh-CN" w:bidi="ar-SA"/>
              </w:rPr>
              <w:t>故施工期对</w:t>
            </w:r>
            <w:r>
              <w:rPr>
                <w:rFonts w:hint="default" w:ascii="Times New Roman" w:hAnsi="Times New Roman" w:cs="Times New Roman"/>
                <w:bCs/>
                <w:color w:val="auto"/>
                <w:sz w:val="24"/>
                <w:szCs w:val="24"/>
                <w:lang w:val="en-US" w:eastAsia="zh-CN"/>
              </w:rPr>
              <w:t>耕地</w:t>
            </w:r>
            <w:r>
              <w:rPr>
                <w:rFonts w:hint="default" w:ascii="Times New Roman" w:hAnsi="Times New Roman" w:eastAsia="宋体" w:cs="Times New Roman"/>
                <w:color w:val="auto"/>
                <w:kern w:val="2"/>
                <w:sz w:val="24"/>
                <w:szCs w:val="24"/>
                <w:lang w:val="en-US" w:eastAsia="zh-CN" w:bidi="ar-SA"/>
              </w:rPr>
              <w:t>影响较小。</w:t>
            </w:r>
          </w:p>
          <w:p w14:paraId="174F166C">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⑹</w:t>
            </w:r>
            <w:r>
              <w:rPr>
                <w:rFonts w:hint="default" w:ascii="Times New Roman" w:hAnsi="Times New Roman" w:cs="Times New Roman"/>
                <w:b/>
                <w:bCs/>
                <w:color w:val="auto"/>
                <w:sz w:val="24"/>
                <w:highlight w:val="none"/>
              </w:rPr>
              <w:t>对</w:t>
            </w:r>
            <w:r>
              <w:rPr>
                <w:rFonts w:hint="default" w:ascii="Times New Roman" w:hAnsi="Times New Roman" w:cs="Times New Roman"/>
                <w:b/>
                <w:bCs/>
                <w:color w:val="auto"/>
                <w:sz w:val="24"/>
                <w:highlight w:val="none"/>
                <w:lang w:val="en-US" w:eastAsia="zh-CN"/>
              </w:rPr>
              <w:t>生态系统</w:t>
            </w:r>
            <w:r>
              <w:rPr>
                <w:rFonts w:hint="default" w:ascii="Times New Roman" w:hAnsi="Times New Roman" w:cs="Times New Roman"/>
                <w:b/>
                <w:bCs/>
                <w:color w:val="auto"/>
                <w:sz w:val="24"/>
                <w:highlight w:val="none"/>
              </w:rPr>
              <w:t>的影响</w:t>
            </w:r>
          </w:p>
          <w:p w14:paraId="78FD722E">
            <w:pPr>
              <w:spacing w:line="360" w:lineRule="auto"/>
              <w:ind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highlight w:val="none"/>
              </w:rPr>
              <w:t>输电线路</w:t>
            </w:r>
            <w:r>
              <w:rPr>
                <w:rFonts w:hint="default" w:ascii="Times New Roman" w:hAnsi="Times New Roman" w:cs="Times New Roman"/>
                <w:color w:val="auto"/>
                <w:sz w:val="24"/>
                <w:highlight w:val="none"/>
                <w:lang w:val="en-US" w:eastAsia="zh-CN"/>
              </w:rPr>
              <w:t>生态影响</w:t>
            </w:r>
            <w:r>
              <w:rPr>
                <w:rFonts w:hint="default" w:ascii="Times New Roman" w:hAnsi="Times New Roman" w:eastAsia="宋体" w:cs="Times New Roman"/>
                <w:color w:val="auto"/>
                <w:kern w:val="0"/>
                <w:sz w:val="24"/>
                <w:szCs w:val="24"/>
                <w:highlight w:val="none"/>
                <w:lang w:val="en-US" w:eastAsia="zh-CN" w:bidi="ar"/>
              </w:rPr>
              <w:t>评价范围内主要有森林生态系统、农田生态系统、草地生态系统、城镇生态系统和湿地生态系统，它们具有生境支持、生物多样性维持等多种功能。本项目总占地面积</w:t>
            </w:r>
            <w:r>
              <w:rPr>
                <w:rFonts w:hint="default" w:ascii="Times New Roman" w:hAnsi="Times New Roman" w:cs="Times New Roman"/>
                <w:color w:val="auto"/>
                <w:sz w:val="24"/>
                <w:highlight w:val="none"/>
                <w:lang w:val="en-US" w:eastAsia="zh-CN"/>
              </w:rPr>
              <w:t>7.5510</w:t>
            </w:r>
            <w:r>
              <w:rPr>
                <w:rFonts w:hint="default" w:ascii="Times New Roman" w:hAnsi="Times New Roman" w:eastAsia="宋体" w:cs="Times New Roman"/>
                <w:color w:val="auto"/>
                <w:kern w:val="0"/>
                <w:sz w:val="24"/>
                <w:szCs w:val="24"/>
                <w:highlight w:val="none"/>
                <w:lang w:val="en-US" w:eastAsia="zh-CN" w:bidi="ar"/>
              </w:rPr>
              <w:t>hm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，其中永久占地</w:t>
            </w:r>
            <w:r>
              <w:rPr>
                <w:rFonts w:hint="default" w:ascii="Times New Roman" w:hAnsi="Times New Roman" w:cs="Times New Roman"/>
                <w:color w:val="auto"/>
                <w:sz w:val="24"/>
                <w:highlight w:val="none"/>
                <w:lang w:val="en-US" w:eastAsia="zh-CN"/>
              </w:rPr>
              <w:t>0.3003</w:t>
            </w:r>
            <w:r>
              <w:rPr>
                <w:rFonts w:hint="default" w:ascii="Times New Roman" w:hAnsi="Times New Roman" w:eastAsia="宋体" w:cs="Times New Roman"/>
                <w:color w:val="auto"/>
                <w:kern w:val="0"/>
                <w:sz w:val="24"/>
                <w:szCs w:val="24"/>
                <w:highlight w:val="none"/>
                <w:lang w:val="en-US" w:eastAsia="zh-CN" w:bidi="ar"/>
              </w:rPr>
              <w:t>hm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，施工临时占地</w:t>
            </w:r>
            <w:r>
              <w:rPr>
                <w:rFonts w:hint="default" w:ascii="Times New Roman" w:hAnsi="Times New Roman" w:cs="Times New Roman"/>
                <w:color w:val="auto"/>
                <w:sz w:val="24"/>
                <w:highlight w:val="none"/>
                <w:lang w:val="en-US" w:eastAsia="zh-CN"/>
              </w:rPr>
              <w:t>7.2507</w:t>
            </w:r>
            <w:r>
              <w:rPr>
                <w:rFonts w:hint="default" w:ascii="Times New Roman" w:hAnsi="Times New Roman" w:eastAsia="宋体" w:cs="Times New Roman"/>
                <w:color w:val="auto"/>
                <w:kern w:val="0"/>
                <w:sz w:val="24"/>
                <w:szCs w:val="24"/>
                <w:highlight w:val="none"/>
                <w:lang w:val="en-US" w:eastAsia="zh-CN" w:bidi="ar"/>
              </w:rPr>
              <w:t>hm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，项目建设将改变评价范围内原有生态系统格局，将对其面积及组成等产生一定影响，主要影响因素为塔基占地影响，永久占地仅为</w:t>
            </w:r>
            <w:r>
              <w:rPr>
                <w:rFonts w:hint="default" w:ascii="Times New Roman" w:hAnsi="Times New Roman" w:cs="Times New Roman"/>
                <w:color w:val="auto"/>
                <w:sz w:val="24"/>
                <w:highlight w:val="none"/>
                <w:lang w:val="en-US" w:eastAsia="zh-CN"/>
              </w:rPr>
              <w:t>0.3003</w:t>
            </w:r>
            <w:r>
              <w:rPr>
                <w:rFonts w:hint="default" w:ascii="Times New Roman" w:hAnsi="Times New Roman" w:eastAsia="宋体" w:cs="Times New Roman"/>
                <w:color w:val="auto"/>
                <w:kern w:val="0"/>
                <w:sz w:val="24"/>
                <w:szCs w:val="24"/>
                <w:highlight w:val="none"/>
                <w:lang w:val="en-US" w:eastAsia="zh-CN" w:bidi="ar"/>
              </w:rPr>
              <w:t>hm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，占用区域生态系统比例很小。因此，不会</w:t>
            </w:r>
            <w:r>
              <w:rPr>
                <w:rFonts w:hint="default" w:ascii="Times New Roman" w:hAnsi="Times New Roman" w:eastAsia="宋体" w:cs="Times New Roman"/>
                <w:color w:val="auto"/>
                <w:sz w:val="24"/>
                <w:szCs w:val="24"/>
                <w:highlight w:val="none"/>
                <w:lang w:val="en-US" w:eastAsia="zh-CN"/>
              </w:rPr>
              <w:t>造成</w:t>
            </w:r>
            <w:r>
              <w:rPr>
                <w:rFonts w:hint="default" w:ascii="Times New Roman" w:hAnsi="Times New Roman" w:eastAsia="宋体" w:cs="Times New Roman"/>
                <w:color w:val="auto"/>
                <w:sz w:val="24"/>
                <w:szCs w:val="24"/>
                <w:highlight w:val="none"/>
              </w:rPr>
              <w:t>区域</w:t>
            </w:r>
            <w:r>
              <w:rPr>
                <w:rFonts w:hint="default" w:ascii="Times New Roman" w:hAnsi="Times New Roman" w:eastAsia="宋体" w:cs="Times New Roman"/>
                <w:color w:val="auto"/>
                <w:sz w:val="24"/>
                <w:szCs w:val="24"/>
                <w:highlight w:val="none"/>
                <w:lang w:val="en-US" w:eastAsia="zh-CN"/>
              </w:rPr>
              <w:t>生态系统面积的</w:t>
            </w:r>
            <w:r>
              <w:rPr>
                <w:rFonts w:hint="default" w:ascii="Times New Roman" w:hAnsi="Times New Roman" w:eastAsia="宋体" w:cs="Times New Roman"/>
                <w:color w:val="auto"/>
                <w:sz w:val="24"/>
                <w:szCs w:val="24"/>
                <w:highlight w:val="none"/>
              </w:rPr>
              <w:t>明显变化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对生态系统影响较小</w:t>
            </w:r>
            <w:r>
              <w:rPr>
                <w:rFonts w:hint="default" w:ascii="Times New Roman" w:hAnsi="Times New Roman" w:eastAsia="宋体" w:cs="Times New Roman"/>
                <w:color w:val="auto"/>
                <w:sz w:val="24"/>
                <w:szCs w:val="24"/>
                <w:highlight w:val="none"/>
              </w:rPr>
              <w:t>。</w:t>
            </w:r>
          </w:p>
          <w:p w14:paraId="1F5750C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本项目输电线路</w:t>
            </w:r>
            <w:r>
              <w:rPr>
                <w:rFonts w:hint="default" w:ascii="Times New Roman" w:hAnsi="Times New Roman" w:cs="Times New Roman"/>
                <w:color w:val="auto"/>
                <w:sz w:val="24"/>
                <w:highlight w:val="none"/>
                <w:lang w:val="en-US" w:eastAsia="zh-CN"/>
              </w:rPr>
              <w:t>所在区域土地利用现状</w:t>
            </w:r>
            <w:r>
              <w:rPr>
                <w:rFonts w:hint="default" w:ascii="Times New Roman" w:hAnsi="Times New Roman" w:cs="Times New Roman"/>
                <w:color w:val="auto"/>
                <w:sz w:val="24"/>
                <w:highlight w:val="none"/>
              </w:rPr>
              <w:t>为</w:t>
            </w:r>
            <w:r>
              <w:rPr>
                <w:rFonts w:hint="default" w:ascii="Times New Roman" w:hAnsi="Times New Roman" w:eastAsia="宋体" w:cs="Times New Roman"/>
                <w:color w:val="auto"/>
                <w:sz w:val="24"/>
                <w:szCs w:val="24"/>
                <w:lang w:val="en-US" w:eastAsia="zh-CN"/>
              </w:rPr>
              <w:t>耕地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林地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草地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园地和交通运输用地</w:t>
            </w:r>
            <w:r>
              <w:rPr>
                <w:rFonts w:hint="default" w:ascii="Times New Roman" w:hAnsi="Times New Roman" w:cs="Times New Roman"/>
                <w:color w:val="auto"/>
                <w:sz w:val="24"/>
                <w:highlight w:val="none"/>
              </w:rPr>
              <w:t>，会对</w:t>
            </w:r>
            <w:r>
              <w:rPr>
                <w:rFonts w:hint="default" w:ascii="Times New Roman" w:hAnsi="Times New Roman" w:cs="Times New Roman"/>
                <w:color w:val="auto"/>
                <w:sz w:val="24"/>
                <w:highlight w:val="none"/>
                <w:lang w:val="en-US" w:eastAsia="zh-CN"/>
              </w:rPr>
              <w:t>上述</w:t>
            </w:r>
            <w:r>
              <w:rPr>
                <w:rFonts w:hint="default" w:ascii="Times New Roman" w:hAnsi="Times New Roman" w:cs="Times New Roman"/>
                <w:color w:val="auto"/>
                <w:sz w:val="24"/>
                <w:highlight w:val="none"/>
              </w:rPr>
              <w:t>生态环境带来一定影响。输电线路平均</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00m</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00m建一基铁塔，</w:t>
            </w:r>
            <w:r>
              <w:rPr>
                <w:rFonts w:hint="default" w:ascii="Times New Roman" w:hAnsi="Times New Roman" w:cs="Times New Roman"/>
                <w:color w:val="auto"/>
                <w:sz w:val="24"/>
                <w:highlight w:val="none"/>
                <w:lang w:val="en-US" w:eastAsia="zh-CN"/>
              </w:rPr>
              <w:t>本项目</w:t>
            </w:r>
            <w:r>
              <w:rPr>
                <w:rFonts w:hint="default" w:ascii="Times New Roman" w:hAnsi="Times New Roman" w:cs="Times New Roman"/>
                <w:color w:val="auto"/>
                <w:sz w:val="24"/>
                <w:highlight w:val="none"/>
              </w:rPr>
              <w:t>施工临时占地主要为</w:t>
            </w:r>
            <w:r>
              <w:rPr>
                <w:rFonts w:hint="default" w:ascii="Times New Roman" w:hAnsi="Times New Roman" w:cs="Times New Roman"/>
                <w:color w:val="auto"/>
                <w:sz w:val="24"/>
                <w:highlight w:val="none"/>
                <w:lang w:val="en-US" w:eastAsia="zh-CN"/>
              </w:rPr>
              <w:t>跨越架</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农用地表土剥离堆放场</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z w:val="24"/>
                <w:highlight w:val="none"/>
                <w:lang w:val="en-US" w:eastAsia="zh-CN"/>
              </w:rPr>
              <w:t>牵张场、</w:t>
            </w:r>
            <w:r>
              <w:rPr>
                <w:rFonts w:hint="default" w:ascii="Times New Roman" w:hAnsi="Times New Roman" w:cs="Times New Roman"/>
                <w:color w:val="auto"/>
                <w:sz w:val="24"/>
                <w:highlight w:val="none"/>
              </w:rPr>
              <w:t>施工便道</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拓宽道路和</w:t>
            </w:r>
            <w:r>
              <w:rPr>
                <w:rFonts w:hint="default" w:ascii="Times New Roman" w:hAnsi="Times New Roman" w:eastAsia="宋体" w:cs="Times New Roman"/>
                <w:color w:val="auto"/>
                <w:sz w:val="24"/>
                <w:highlight w:val="none"/>
                <w:lang w:val="en-US" w:eastAsia="zh-CN"/>
              </w:rPr>
              <w:t>塔基施工作业区（含线路抬高改造工程塔基施工作业区）</w:t>
            </w:r>
            <w:r>
              <w:rPr>
                <w:rFonts w:hint="default" w:ascii="Times New Roman" w:hAnsi="Times New Roman" w:cs="Times New Roman"/>
                <w:color w:val="auto"/>
                <w:sz w:val="24"/>
                <w:highlight w:val="none"/>
                <w:lang w:eastAsia="zh-CN"/>
              </w:rPr>
              <w:t>等</w:t>
            </w:r>
            <w:r>
              <w:rPr>
                <w:rFonts w:hint="default" w:ascii="Times New Roman" w:hAnsi="Times New Roman" w:cs="Times New Roman"/>
                <w:color w:val="auto"/>
                <w:sz w:val="24"/>
                <w:highlight w:val="none"/>
              </w:rPr>
              <w:t>临时占地</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临时占地对</w:t>
            </w:r>
            <w:r>
              <w:rPr>
                <w:rFonts w:hint="default" w:ascii="Times New Roman" w:hAnsi="Times New Roman" w:cs="Times New Roman"/>
                <w:color w:val="auto"/>
                <w:sz w:val="24"/>
                <w:highlight w:val="none"/>
                <w:lang w:val="en-US" w:eastAsia="zh-CN"/>
              </w:rPr>
              <w:t>耕地植被</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草地植被和</w:t>
            </w:r>
            <w:r>
              <w:rPr>
                <w:rFonts w:hint="default" w:ascii="Times New Roman" w:hAnsi="Times New Roman" w:cs="Times New Roman"/>
                <w:color w:val="auto"/>
                <w:sz w:val="24"/>
                <w:highlight w:val="none"/>
                <w:lang w:eastAsia="zh-CN"/>
              </w:rPr>
              <w:t>林</w:t>
            </w:r>
            <w:r>
              <w:rPr>
                <w:rFonts w:hint="default" w:ascii="Times New Roman" w:hAnsi="Times New Roman" w:cs="Times New Roman"/>
                <w:color w:val="auto"/>
                <w:sz w:val="24"/>
                <w:highlight w:val="none"/>
              </w:rPr>
              <w:t>地</w:t>
            </w:r>
            <w:r>
              <w:rPr>
                <w:rFonts w:hint="default" w:ascii="Times New Roman" w:hAnsi="Times New Roman" w:cs="Times New Roman"/>
                <w:color w:val="auto"/>
                <w:sz w:val="24"/>
                <w:highlight w:val="none"/>
                <w:lang w:val="en-US" w:eastAsia="zh-CN"/>
              </w:rPr>
              <w:t>植被</w:t>
            </w:r>
            <w:r>
              <w:rPr>
                <w:rFonts w:hint="default" w:ascii="Times New Roman" w:hAnsi="Times New Roman" w:cs="Times New Roman"/>
                <w:color w:val="auto"/>
                <w:sz w:val="24"/>
                <w:highlight w:val="none"/>
              </w:rPr>
              <w:t>的影响是暂时的，随着施工</w:t>
            </w:r>
            <w:r>
              <w:rPr>
                <w:rFonts w:hint="default" w:ascii="Times New Roman" w:hAnsi="Times New Roman" w:cs="Times New Roman"/>
                <w:color w:val="auto"/>
                <w:sz w:val="24"/>
                <w:highlight w:val="none"/>
                <w:lang w:val="en-US" w:eastAsia="zh-CN"/>
              </w:rPr>
              <w:t>期</w:t>
            </w:r>
            <w:r>
              <w:rPr>
                <w:rFonts w:hint="default" w:ascii="Times New Roman" w:hAnsi="Times New Roman" w:cs="Times New Roman"/>
                <w:color w:val="auto"/>
                <w:sz w:val="24"/>
                <w:highlight w:val="none"/>
              </w:rPr>
              <w:t>结束并采取相应恢复措施后，不利的环境影响可以得到逐步消除。</w:t>
            </w:r>
          </w:p>
          <w:p w14:paraId="2B5FC8C4">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lang w:val="en-US" w:eastAsia="zh-CN"/>
              </w:rPr>
              <w:t>⑺</w:t>
            </w:r>
            <w:r>
              <w:rPr>
                <w:rFonts w:hint="default" w:ascii="Times New Roman" w:hAnsi="Times New Roman" w:cs="Times New Roman"/>
                <w:b/>
                <w:bCs/>
                <w:color w:val="auto"/>
                <w:sz w:val="24"/>
                <w:highlight w:val="none"/>
              </w:rPr>
              <w:t>生物多样性影响分析</w:t>
            </w:r>
          </w:p>
          <w:p w14:paraId="1156FC95">
            <w:pPr>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lang w:val="en-US" w:eastAsia="zh-CN" w:bidi="ar"/>
              </w:rPr>
              <w:t>①</w:t>
            </w:r>
            <w:r>
              <w:rPr>
                <w:rFonts w:hint="default" w:ascii="Times New Roman" w:hAnsi="Times New Roman" w:eastAsia="宋体" w:cs="Times New Roman"/>
                <w:color w:val="auto"/>
                <w:sz w:val="24"/>
                <w:szCs w:val="24"/>
                <w:highlight w:val="none"/>
                <w:lang w:val="en-US" w:eastAsia="zh-CN"/>
              </w:rPr>
              <w:t>间隔扩建工程</w:t>
            </w:r>
          </w:p>
          <w:p w14:paraId="34BFE563">
            <w:pPr>
              <w:keepNext w:val="0"/>
              <w:keepLines w:val="0"/>
              <w:pageBreakBefore w:val="0"/>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本期变电站</w:t>
            </w:r>
            <w:r>
              <w:rPr>
                <w:rFonts w:hint="default" w:ascii="Times New Roman" w:hAnsi="Times New Roman" w:eastAsia="宋体" w:cs="Times New Roman"/>
                <w:color w:val="auto"/>
                <w:sz w:val="24"/>
                <w:szCs w:val="24"/>
                <w:highlight w:val="none"/>
                <w:lang w:val="en-US" w:eastAsia="zh-CN"/>
              </w:rPr>
              <w:t>间隔扩建工程</w:t>
            </w:r>
            <w:r>
              <w:rPr>
                <w:rFonts w:hint="default" w:ascii="Times New Roman" w:hAnsi="Times New Roman" w:cs="Times New Roman"/>
                <w:color w:val="auto"/>
                <w:sz w:val="24"/>
                <w:highlight w:val="none"/>
                <w:lang w:val="en-US" w:eastAsia="zh-CN"/>
              </w:rPr>
              <w:t>是在站内建设，不新增永久占地。</w:t>
            </w:r>
            <w:r>
              <w:rPr>
                <w:rFonts w:hint="default" w:ascii="Times New Roman" w:hAnsi="Times New Roman" w:cs="Times New Roman"/>
                <w:color w:val="auto"/>
                <w:sz w:val="24"/>
                <w:lang w:val="en-US" w:eastAsia="zh-CN"/>
              </w:rPr>
              <w:t>临时施工场地位于站内，不在站外另设临时施工场地；施工期租用附近民房作为施工营地，不新增临时占地</w:t>
            </w:r>
            <w:r>
              <w:rPr>
                <w:rFonts w:hint="default" w:ascii="Times New Roman" w:hAnsi="Times New Roman" w:cs="Times New Roman"/>
                <w:color w:val="auto"/>
                <w:sz w:val="24"/>
              </w:rPr>
              <w:t>，对</w:t>
            </w:r>
            <w:r>
              <w:rPr>
                <w:rFonts w:hint="default" w:ascii="Times New Roman" w:hAnsi="Times New Roman" w:cs="Times New Roman"/>
                <w:color w:val="auto"/>
                <w:sz w:val="24"/>
                <w:highlight w:val="none"/>
                <w:lang w:val="en-US" w:eastAsia="zh-CN"/>
              </w:rPr>
              <w:t>变电站周围生物多样性影响</w:t>
            </w:r>
            <w:r>
              <w:rPr>
                <w:rFonts w:hint="eastAsia" w:cs="Times New Roman"/>
                <w:color w:val="auto"/>
                <w:sz w:val="24"/>
                <w:highlight w:val="none"/>
                <w:lang w:val="en-US" w:eastAsia="zh-CN"/>
              </w:rPr>
              <w:t>轻微</w:t>
            </w:r>
            <w:r>
              <w:rPr>
                <w:rFonts w:hint="default" w:ascii="Times New Roman" w:hAnsi="Times New Roman" w:cs="Times New Roman"/>
                <w:color w:val="auto"/>
                <w:sz w:val="24"/>
              </w:rPr>
              <w:t>。</w:t>
            </w:r>
          </w:p>
          <w:p w14:paraId="1AF53961">
            <w:pPr>
              <w:pStyle w:val="13"/>
              <w:spacing w:after="0" w:line="360" w:lineRule="auto"/>
              <w:ind w:left="0" w:leftChars="0" w:firstLine="480" w:firstLineChars="20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②输电线路工程</w:t>
            </w:r>
          </w:p>
          <w:p w14:paraId="1325B11E">
            <w:pPr>
              <w:adjustRightInd/>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2"/>
                <w:sz w:val="24"/>
                <w:szCs w:val="24"/>
                <w:highlight w:val="none"/>
                <w:lang w:val="en-US" w:eastAsia="zh-CN"/>
              </w:rPr>
              <w:t>输电线路占地范围内植被在当地分布相对较多，</w:t>
            </w:r>
            <w:r>
              <w:rPr>
                <w:rFonts w:hint="default" w:ascii="Times New Roman" w:hAnsi="Times New Roman" w:eastAsia="宋体" w:cs="Times New Roman"/>
                <w:color w:val="auto"/>
                <w:kern w:val="0"/>
                <w:sz w:val="24"/>
                <w:szCs w:val="24"/>
                <w:highlight w:val="none"/>
                <w:lang w:val="en-US" w:eastAsia="zh-CN" w:bidi="ar"/>
              </w:rPr>
              <w:t>本项目</w:t>
            </w:r>
            <w:r>
              <w:rPr>
                <w:rFonts w:hint="default" w:ascii="Times New Roman" w:hAnsi="Times New Roman" w:eastAsia="宋体" w:cs="Times New Roman"/>
                <w:color w:val="auto"/>
                <w:sz w:val="24"/>
                <w:highlight w:val="none"/>
                <w:lang w:val="en-US" w:eastAsia="zh-CN"/>
              </w:rPr>
              <w:t>所在区域</w:t>
            </w:r>
            <w:r>
              <w:rPr>
                <w:rFonts w:hint="default" w:ascii="Times New Roman" w:hAnsi="Times New Roman" w:cs="Times New Roman"/>
                <w:color w:val="auto"/>
                <w:sz w:val="24"/>
                <w:highlight w:val="none"/>
                <w:lang w:val="en-US" w:eastAsia="zh-CN"/>
              </w:rPr>
              <w:t>现状植物</w:t>
            </w:r>
            <w:r>
              <w:rPr>
                <w:rFonts w:hint="eastAsia" w:cs="Times New Roman"/>
                <w:color w:val="auto"/>
                <w:sz w:val="24"/>
                <w:highlight w:val="none"/>
                <w:lang w:val="en-US" w:eastAsia="zh-CN"/>
              </w:rPr>
              <w:t>森林植被主要以柠条锦鸡儿、沙棘、油松为主；</w:t>
            </w:r>
            <w:r>
              <w:rPr>
                <w:rFonts w:hint="default" w:ascii="Times New Roman" w:hAnsi="Times New Roman" w:cs="Times New Roman"/>
                <w:color w:val="auto"/>
                <w:sz w:val="24"/>
                <w:highlight w:val="none"/>
                <w:lang w:val="en-US" w:eastAsia="zh-CN"/>
              </w:rPr>
              <w:t>草地</w:t>
            </w:r>
            <w:r>
              <w:rPr>
                <w:rFonts w:hint="eastAsia" w:cs="Times New Roman"/>
                <w:color w:val="auto"/>
                <w:sz w:val="24"/>
                <w:highlight w:val="none"/>
                <w:lang w:val="en-US" w:eastAsia="zh-CN"/>
              </w:rPr>
              <w:t>植被以骆驼蓬群落、冰草群落为主；</w:t>
            </w:r>
            <w:r>
              <w:rPr>
                <w:rFonts w:hint="default" w:ascii="Times New Roman" w:hAnsi="Times New Roman" w:cs="Times New Roman"/>
                <w:color w:val="auto"/>
                <w:sz w:val="24"/>
                <w:highlight w:val="none"/>
                <w:lang w:val="en-US" w:eastAsia="zh-CN"/>
              </w:rPr>
              <w:t>农田内主要种植玉米等经济作物，果园主要为红梅杏树。通过对周边村民的询问调查，项目所在区域无大型野生动物分布，主要为小型爬行类动物、小型哺乳类动物及鸟类。其中爬行类动物主要有沙蜥、壁虎和蛇类；哺乳类动物主要有田鼠、黄鼠、沙鼠、野兔等；鸟类主要有乌鸦、喜鹊、燕子等</w:t>
            </w:r>
            <w:r>
              <w:rPr>
                <w:rFonts w:hint="default" w:ascii="Times New Roman" w:hAnsi="Times New Roman" w:eastAsia="宋体" w:cs="Times New Roman"/>
                <w:color w:val="auto"/>
                <w:kern w:val="2"/>
                <w:sz w:val="24"/>
                <w:szCs w:val="24"/>
                <w:highlight w:val="none"/>
                <w:lang w:val="en-US" w:eastAsia="zh-CN"/>
              </w:rPr>
              <w:t>，在当地分布相对较多。项目施工期会造成植物数量减少，野生动物生活会受到干扰，但施工结束后，临时占地可恢复原有土地功能，对野生动物及植物的影响很小。</w:t>
            </w:r>
            <w:r>
              <w:rPr>
                <w:rFonts w:hint="default" w:ascii="Times New Roman" w:hAnsi="Times New Roman" w:cs="Times New Roman"/>
                <w:color w:val="auto"/>
                <w:sz w:val="24"/>
                <w:highlight w:val="none"/>
              </w:rPr>
              <w:t>因此，本项目的建设对评价区域内生物多样性的影响是很轻微的。</w:t>
            </w:r>
          </w:p>
          <w:p w14:paraId="586351D9">
            <w:pPr>
              <w:pStyle w:val="53"/>
              <w:spacing w:line="360" w:lineRule="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eastAsia="zh-CN"/>
              </w:rPr>
              <w:t>⑻</w:t>
            </w:r>
            <w:r>
              <w:rPr>
                <w:rFonts w:hint="default" w:ascii="Times New Roman" w:hAnsi="Times New Roman" w:cs="Times New Roman"/>
                <w:b/>
                <w:bCs/>
                <w:color w:val="auto"/>
                <w:sz w:val="24"/>
                <w:lang w:val="en-US" w:eastAsia="zh-CN"/>
              </w:rPr>
              <w:t>对东南黄土高原丘陵水土保持生态保护红线的影响分析</w:t>
            </w:r>
          </w:p>
          <w:p w14:paraId="5040C93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cs="Times New Roman"/>
                <w:bCs/>
                <w:color w:val="auto"/>
                <w:sz w:val="24"/>
                <w:lang w:val="en-US" w:eastAsia="zh-CN"/>
              </w:rPr>
              <w:t>本</w:t>
            </w:r>
            <w:r>
              <w:rPr>
                <w:rFonts w:hint="default" w:ascii="Times New Roman" w:hAnsi="Times New Roman" w:cs="Times New Roman"/>
                <w:bCs/>
                <w:color w:val="auto"/>
                <w:sz w:val="24"/>
              </w:rPr>
              <w:t>项目</w:t>
            </w:r>
            <w:r>
              <w:rPr>
                <w:rFonts w:hint="default" w:ascii="Times New Roman" w:hAnsi="Times New Roman" w:eastAsia="宋体" w:cs="Times New Roman"/>
                <w:b w:val="0"/>
                <w:bCs w:val="0"/>
                <w:color w:val="auto"/>
                <w:kern w:val="2"/>
                <w:sz w:val="24"/>
                <w:szCs w:val="24"/>
                <w:shd w:val="clear" w:color="auto" w:fill="auto"/>
                <w:lang w:val="en-US" w:eastAsia="zh-CN" w:bidi="ar-SA"/>
              </w:rPr>
              <w:t>110千伏输电线路全长24.2km，其中</w:t>
            </w:r>
            <w:r>
              <w:rPr>
                <w:rFonts w:hint="default" w:ascii="Times New Roman" w:hAnsi="Times New Roman" w:cs="Times New Roman"/>
                <w:bCs/>
                <w:color w:val="auto"/>
                <w:sz w:val="24"/>
                <w:szCs w:val="24"/>
                <w:highlight w:val="none"/>
                <w:lang w:val="en-US" w:eastAsia="zh-CN"/>
              </w:rPr>
              <w:t>穿越东南黄土高原丘陵水土保持生态保护红线</w:t>
            </w:r>
            <w:r>
              <w:rPr>
                <w:rFonts w:hint="eastAsia" w:cs="Times New Roman"/>
                <w:bCs/>
                <w:color w:val="auto"/>
                <w:sz w:val="24"/>
                <w:szCs w:val="24"/>
                <w:highlight w:val="none"/>
                <w:lang w:val="en-US" w:eastAsia="zh-CN"/>
              </w:rPr>
              <w:t>10.514</w:t>
            </w:r>
            <w:r>
              <w:rPr>
                <w:rFonts w:hint="default" w:ascii="Times New Roman" w:hAnsi="Times New Roman" w:cs="Times New Roman"/>
                <w:bCs/>
                <w:color w:val="auto"/>
                <w:sz w:val="24"/>
                <w:szCs w:val="24"/>
                <w:highlight w:val="none"/>
                <w:lang w:val="en-US" w:eastAsia="zh-CN"/>
              </w:rPr>
              <w:t>km，红线内立塔3</w:t>
            </w:r>
            <w:r>
              <w:rPr>
                <w:rFonts w:hint="eastAsia"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lang w:val="en-US" w:eastAsia="zh-CN"/>
              </w:rPr>
              <w:t>基</w:t>
            </w:r>
            <w:r>
              <w:rPr>
                <w:rFonts w:hint="default" w:ascii="Times New Roman" w:hAnsi="Times New Roman" w:eastAsia="宋体" w:cs="Times New Roman"/>
                <w:color w:val="auto"/>
                <w:kern w:val="0"/>
                <w:sz w:val="24"/>
                <w:szCs w:val="24"/>
                <w:lang w:val="en-US" w:eastAsia="zh-CN" w:bidi="ar"/>
              </w:rPr>
              <w:t>，其生态功能为水土保持。</w:t>
            </w:r>
            <w:r>
              <w:rPr>
                <w:rFonts w:hint="default" w:ascii="Times New Roman" w:hAnsi="Times New Roman" w:eastAsia="宋体" w:cs="Times New Roman"/>
                <w:b w:val="0"/>
                <w:bCs w:val="0"/>
                <w:color w:val="auto"/>
                <w:kern w:val="2"/>
                <w:sz w:val="24"/>
                <w:szCs w:val="24"/>
                <w:highlight w:val="none"/>
                <w:lang w:val="en-US" w:eastAsia="zh-CN" w:bidi="ar-SA"/>
              </w:rPr>
              <w:t>施工期对生态保护红线的影响主要来自于塔基基础开挖、回填，牵张场、施工便道等临时占地对红线内地表植被破坏以及施工扬尘、噪声对周围生态环境质量的影响。具体影响分析可见生态影响专题评价。</w:t>
            </w:r>
          </w:p>
          <w:p w14:paraId="130D37C3">
            <w:pPr>
              <w:pStyle w:val="13"/>
              <w:spacing w:after="0" w:line="360" w:lineRule="auto"/>
              <w:ind w:left="0" w:leftChars="0" w:firstLine="482"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lang w:eastAsia="zh-CN"/>
              </w:rPr>
              <w:t>2.</w:t>
            </w:r>
            <w:r>
              <w:rPr>
                <w:rFonts w:hint="default" w:ascii="Times New Roman" w:hAnsi="Times New Roman" w:cs="Times New Roman"/>
                <w:b/>
                <w:bCs/>
                <w:color w:val="auto"/>
                <w:sz w:val="24"/>
                <w:highlight w:val="none"/>
              </w:rPr>
              <w:t>声环境影响分析</w:t>
            </w:r>
          </w:p>
          <w:p w14:paraId="6C6788EF">
            <w:pPr>
              <w:pStyle w:val="1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⑴</w:t>
            </w:r>
            <w:r>
              <w:rPr>
                <w:rFonts w:hint="default" w:ascii="Times New Roman" w:hAnsi="Times New Roman" w:cs="Times New Roman"/>
                <w:color w:val="auto"/>
                <w:sz w:val="24"/>
                <w:highlight w:val="none"/>
                <w:lang w:val="en-US" w:eastAsia="zh-CN"/>
              </w:rPr>
              <w:t>间隔扩建</w:t>
            </w:r>
          </w:p>
          <w:p w14:paraId="4B1935C9">
            <w:pPr>
              <w:pStyle w:val="106"/>
              <w:spacing w:line="360" w:lineRule="auto"/>
              <w:ind w:firstLine="480" w:firstLineChars="200"/>
              <w:jc w:val="left"/>
              <w:rPr>
                <w:rFonts w:hint="default" w:ascii="Times New Roman" w:hAnsi="Times New Roman" w:cs="Times New Roman"/>
                <w:color w:val="auto"/>
                <w:lang w:eastAsia="zh-CN"/>
              </w:rPr>
            </w:pPr>
            <w:r>
              <w:rPr>
                <w:rFonts w:hint="default" w:ascii="Times New Roman" w:hAnsi="Times New Roman" w:eastAsia="宋体" w:cs="Times New Roman"/>
                <w:color w:val="auto"/>
                <w:kern w:val="0"/>
                <w:sz w:val="24"/>
                <w:szCs w:val="24"/>
                <w:lang w:val="en-US" w:eastAsia="zh-CN" w:bidi="ar"/>
              </w:rPr>
              <w:t>①</w:t>
            </w:r>
            <w:r>
              <w:rPr>
                <w:rFonts w:hint="default" w:ascii="Times New Roman" w:hAnsi="Times New Roman" w:cs="Times New Roman"/>
                <w:color w:val="auto"/>
                <w:lang w:eastAsia="zh-CN"/>
              </w:rPr>
              <w:t>预测模式</w:t>
            </w:r>
          </w:p>
          <w:p w14:paraId="5D7B8BA7">
            <w:pPr>
              <w:pStyle w:val="106"/>
              <w:spacing w:line="360" w:lineRule="auto"/>
              <w:ind w:firstLine="480" w:firstLineChars="200"/>
              <w:jc w:val="left"/>
              <w:rPr>
                <w:rFonts w:hint="default" w:ascii="Times New Roman" w:hAnsi="Times New Roman" w:cs="Times New Roman"/>
                <w:color w:val="auto"/>
                <w:lang w:eastAsia="zh-CN"/>
              </w:rPr>
            </w:pPr>
            <w:r>
              <w:rPr>
                <w:rFonts w:hint="default" w:ascii="Times New Roman" w:hAnsi="Times New Roman" w:cs="Times New Roman"/>
                <w:color w:val="auto"/>
                <w:lang w:eastAsia="zh-CN"/>
              </w:rPr>
              <w:t>根据设备声源特征及周围声环境特点，各设备声源可视为连续、稳态、点声源，预测模式选择《环境影响评价技术导则 声环境》（HJ2.4-2021）中推荐的点声源几何发散衰减模式。采用点声源几何发散衰减模式预测，预测公式如下：</w:t>
            </w:r>
          </w:p>
          <w:p w14:paraId="41E1293C">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position w:val="-30"/>
              </w:rPr>
              <w:object>
                <v:shape id="_x0000_i1028" o:spt="75" type="#_x0000_t75" style="height:36pt;width:160pt;" o:ole="t" filled="f" o:preferrelative="t" stroked="f" coordsize="21600,21600">
                  <v:path/>
                  <v:fill on="f" focussize="0,0"/>
                  <v:stroke on="f"/>
                  <v:imagedata r:id="rId54" o:title=""/>
                  <o:lock v:ext="edit" aspectratio="t"/>
                  <w10:wrap type="none"/>
                  <w10:anchorlock/>
                </v:shape>
                <o:OLEObject Type="Embed" ProgID="Equation.KSEE3" ShapeID="_x0000_i1028" DrawAspect="Content" ObjectID="_1468075728" r:id="rId53">
                  <o:LockedField>false</o:LockedField>
                </o:OLEObject>
              </w:object>
            </w:r>
          </w:p>
          <w:p w14:paraId="11DE24AB">
            <w:pPr>
              <w:pStyle w:val="106"/>
              <w:spacing w:line="360" w:lineRule="auto"/>
              <w:ind w:firstLine="476" w:firstLineChars="200"/>
              <w:rPr>
                <w:rFonts w:hint="default" w:ascii="Times New Roman" w:hAnsi="Times New Roman" w:cs="Times New Roman"/>
                <w:color w:val="auto"/>
                <w:lang w:eastAsia="zh-CN"/>
              </w:rPr>
            </w:pPr>
            <w:r>
              <w:rPr>
                <w:rFonts w:hint="default" w:ascii="Times New Roman" w:hAnsi="Times New Roman" w:cs="Times New Roman"/>
                <w:color w:val="auto"/>
                <w:spacing w:val="-1"/>
                <w:lang w:eastAsia="zh-CN"/>
              </w:rPr>
              <w:t>式中：</w:t>
            </w:r>
            <w:r>
              <w:rPr>
                <w:rFonts w:hint="default" w:ascii="Times New Roman" w:hAnsi="Times New Roman" w:cs="Times New Roman"/>
                <w:i/>
                <w:iCs/>
                <w:color w:val="auto"/>
                <w:spacing w:val="-1"/>
                <w:lang w:eastAsia="zh-CN"/>
              </w:rPr>
              <w:t>L</w:t>
            </w:r>
            <w:r>
              <w:rPr>
                <w:rFonts w:hint="default" w:ascii="Times New Roman" w:hAnsi="Times New Roman" w:cs="Times New Roman"/>
                <w:i/>
                <w:iCs/>
                <w:color w:val="auto"/>
                <w:spacing w:val="-1"/>
                <w:vertAlign w:val="subscript"/>
                <w:lang w:eastAsia="zh-CN"/>
              </w:rPr>
              <w:t>p</w:t>
            </w:r>
            <w:r>
              <w:rPr>
                <w:rFonts w:hint="default" w:ascii="Times New Roman" w:hAnsi="Times New Roman" w:cs="Times New Roman"/>
                <w:i/>
                <w:iCs/>
                <w:color w:val="auto"/>
                <w:spacing w:val="-1"/>
                <w:lang w:eastAsia="zh-CN"/>
              </w:rPr>
              <w:t>（r）</w:t>
            </w:r>
            <w:r>
              <w:rPr>
                <w:rFonts w:hint="default" w:ascii="Times New Roman" w:hAnsi="Times New Roman" w:cs="Times New Roman"/>
                <w:i/>
                <w:iCs/>
                <w:color w:val="auto"/>
                <w:spacing w:val="-1"/>
                <w:lang w:val="en-US" w:eastAsia="zh-CN"/>
              </w:rPr>
              <w:t>---</w:t>
            </w:r>
            <w:r>
              <w:rPr>
                <w:rFonts w:hint="default" w:ascii="Times New Roman" w:hAnsi="Times New Roman" w:cs="Times New Roman"/>
                <w:color w:val="auto"/>
                <w:spacing w:val="-1"/>
                <w:lang w:eastAsia="zh-CN"/>
              </w:rPr>
              <w:t>噪声源在预测点的声压级，dB</w:t>
            </w:r>
            <w:r>
              <w:rPr>
                <w:rFonts w:hint="eastAsia" w:ascii="Times New Roman" w:hAnsi="Times New Roman" w:cs="Times New Roman"/>
                <w:color w:val="auto"/>
                <w:spacing w:val="-1"/>
                <w:lang w:eastAsia="zh-CN"/>
              </w:rPr>
              <w:t>(A)</w:t>
            </w:r>
            <w:r>
              <w:rPr>
                <w:rFonts w:hint="default" w:ascii="Times New Roman" w:hAnsi="Times New Roman" w:cs="Times New Roman"/>
                <w:color w:val="auto"/>
                <w:spacing w:val="-1"/>
                <w:lang w:eastAsia="zh-CN"/>
              </w:rPr>
              <w:t>；</w:t>
            </w:r>
          </w:p>
          <w:p w14:paraId="77C0AB3B">
            <w:pPr>
              <w:pStyle w:val="106"/>
              <w:spacing w:line="360" w:lineRule="auto"/>
              <w:ind w:firstLine="1200" w:firstLineChars="500"/>
              <w:rPr>
                <w:rFonts w:hint="default" w:ascii="Times New Roman" w:hAnsi="Times New Roman" w:cs="Times New Roman"/>
                <w:color w:val="auto"/>
                <w:lang w:eastAsia="zh-CN"/>
              </w:rPr>
            </w:pPr>
            <w:r>
              <w:rPr>
                <w:rFonts w:hint="default" w:ascii="Times New Roman" w:hAnsi="Times New Roman" w:cs="Times New Roman"/>
                <w:i/>
                <w:iCs/>
                <w:color w:val="auto"/>
                <w:lang w:eastAsia="zh-CN"/>
              </w:rPr>
              <w:t>L</w:t>
            </w:r>
            <w:r>
              <w:rPr>
                <w:rFonts w:hint="default" w:ascii="Times New Roman" w:hAnsi="Times New Roman" w:cs="Times New Roman"/>
                <w:i/>
                <w:iCs/>
                <w:color w:val="auto"/>
                <w:vertAlign w:val="subscript"/>
                <w:lang w:eastAsia="zh-CN"/>
              </w:rPr>
              <w:t>p</w:t>
            </w:r>
            <w:r>
              <w:rPr>
                <w:rFonts w:hint="default" w:ascii="Times New Roman" w:hAnsi="Times New Roman" w:cs="Times New Roman"/>
                <w:i/>
                <w:iCs/>
                <w:color w:val="auto"/>
                <w:spacing w:val="1"/>
                <w:lang w:eastAsia="zh-CN"/>
              </w:rPr>
              <w:t>（r</w:t>
            </w:r>
            <w:r>
              <w:rPr>
                <w:rFonts w:hint="default" w:ascii="Times New Roman" w:hAnsi="Times New Roman" w:cs="Times New Roman"/>
                <w:i/>
                <w:iCs/>
                <w:color w:val="auto"/>
                <w:spacing w:val="1"/>
                <w:sz w:val="15"/>
                <w:szCs w:val="15"/>
                <w:vertAlign w:val="subscript"/>
                <w:lang w:eastAsia="zh-CN"/>
              </w:rPr>
              <w:t>0</w:t>
            </w:r>
            <w:r>
              <w:rPr>
                <w:rFonts w:hint="default" w:ascii="Times New Roman" w:hAnsi="Times New Roman" w:cs="Times New Roman"/>
                <w:i/>
                <w:iCs/>
                <w:color w:val="auto"/>
                <w:spacing w:val="1"/>
                <w:lang w:eastAsia="zh-CN"/>
              </w:rPr>
              <w:t>）</w:t>
            </w:r>
            <w:r>
              <w:rPr>
                <w:rFonts w:hint="default" w:ascii="Times New Roman" w:hAnsi="Times New Roman" w:cs="Times New Roman"/>
                <w:i/>
                <w:iCs/>
                <w:color w:val="auto"/>
                <w:spacing w:val="-1"/>
                <w:lang w:val="en-US" w:eastAsia="zh-CN"/>
              </w:rPr>
              <w:t>---</w:t>
            </w:r>
            <w:r>
              <w:rPr>
                <w:rFonts w:hint="default" w:ascii="Times New Roman" w:hAnsi="Times New Roman" w:cs="Times New Roman"/>
                <w:color w:val="auto"/>
                <w:spacing w:val="1"/>
                <w:lang w:eastAsia="zh-CN"/>
              </w:rPr>
              <w:t>参考位置</w:t>
            </w:r>
            <w:r>
              <w:rPr>
                <w:rFonts w:hint="default" w:ascii="Times New Roman" w:hAnsi="Times New Roman" w:cs="Times New Roman"/>
                <w:color w:val="auto"/>
                <w:spacing w:val="-48"/>
                <w:lang w:eastAsia="zh-CN"/>
              </w:rPr>
              <w:t xml:space="preserve"> </w:t>
            </w:r>
            <w:r>
              <w:rPr>
                <w:rFonts w:hint="default" w:ascii="Times New Roman" w:hAnsi="Times New Roman" w:cs="Times New Roman"/>
                <w:color w:val="auto"/>
                <w:spacing w:val="1"/>
                <w:lang w:eastAsia="zh-CN"/>
              </w:rPr>
              <w:t>r</w:t>
            </w:r>
            <w:r>
              <w:rPr>
                <w:rFonts w:hint="default" w:ascii="Times New Roman" w:hAnsi="Times New Roman" w:cs="Times New Roman"/>
                <w:color w:val="auto"/>
                <w:spacing w:val="1"/>
                <w:sz w:val="15"/>
                <w:szCs w:val="15"/>
                <w:lang w:eastAsia="zh-CN"/>
              </w:rPr>
              <w:t>0</w:t>
            </w:r>
            <w:r>
              <w:rPr>
                <w:rFonts w:hint="default" w:ascii="Times New Roman" w:hAnsi="Times New Roman" w:cs="Times New Roman"/>
                <w:color w:val="auto"/>
                <w:spacing w:val="1"/>
                <w:lang w:eastAsia="zh-CN"/>
              </w:rPr>
              <w:t>处的声压级，</w:t>
            </w:r>
            <w:r>
              <w:rPr>
                <w:rFonts w:hint="default" w:ascii="Times New Roman" w:hAnsi="Times New Roman" w:cs="Times New Roman"/>
                <w:color w:val="auto"/>
                <w:lang w:eastAsia="zh-CN"/>
              </w:rPr>
              <w:t>dB</w:t>
            </w:r>
            <w:r>
              <w:rPr>
                <w:rFonts w:hint="eastAsia" w:ascii="Times New Roman" w:hAnsi="Times New Roman" w:cs="Times New Roman"/>
                <w:color w:val="auto"/>
                <w:spacing w:val="1"/>
                <w:lang w:eastAsia="zh-CN"/>
              </w:rPr>
              <w:t>(A)</w:t>
            </w:r>
            <w:r>
              <w:rPr>
                <w:rFonts w:hint="default" w:ascii="Times New Roman" w:hAnsi="Times New Roman" w:cs="Times New Roman"/>
                <w:color w:val="auto"/>
                <w:spacing w:val="1"/>
                <w:lang w:eastAsia="zh-CN"/>
              </w:rPr>
              <w:t>；</w:t>
            </w:r>
          </w:p>
          <w:p w14:paraId="1E4C8B80">
            <w:pPr>
              <w:pStyle w:val="106"/>
              <w:spacing w:line="360" w:lineRule="auto"/>
              <w:ind w:firstLine="1190" w:firstLineChars="500"/>
              <w:rPr>
                <w:rFonts w:hint="default" w:ascii="Times New Roman" w:hAnsi="Times New Roman" w:cs="Times New Roman"/>
                <w:color w:val="auto"/>
                <w:lang w:eastAsia="zh-CN"/>
              </w:rPr>
            </w:pPr>
            <w:r>
              <w:rPr>
                <w:rFonts w:hint="default" w:ascii="Times New Roman" w:hAnsi="Times New Roman" w:cs="Times New Roman"/>
                <w:i/>
                <w:iCs/>
                <w:color w:val="auto"/>
                <w:spacing w:val="-1"/>
                <w:lang w:eastAsia="zh-CN"/>
              </w:rPr>
              <w:t>r</w:t>
            </w:r>
            <w:r>
              <w:rPr>
                <w:rFonts w:hint="default" w:ascii="Times New Roman" w:hAnsi="Times New Roman" w:cs="Times New Roman"/>
                <w:i/>
                <w:iCs/>
                <w:color w:val="auto"/>
                <w:spacing w:val="-1"/>
                <w:lang w:val="en-US" w:eastAsia="zh-CN"/>
              </w:rPr>
              <w:t>---</w:t>
            </w:r>
            <w:r>
              <w:rPr>
                <w:rFonts w:hint="default" w:ascii="Times New Roman" w:hAnsi="Times New Roman" w:cs="Times New Roman"/>
                <w:color w:val="auto"/>
                <w:spacing w:val="-1"/>
                <w:lang w:eastAsia="zh-CN"/>
              </w:rPr>
              <w:t>声源中心至预测点的距离，m；</w:t>
            </w:r>
          </w:p>
          <w:p w14:paraId="1821587A">
            <w:pPr>
              <w:pStyle w:val="106"/>
              <w:spacing w:line="360" w:lineRule="auto"/>
              <w:ind w:firstLine="1190" w:firstLineChars="500"/>
              <w:rPr>
                <w:rFonts w:hint="default" w:ascii="Times New Roman" w:hAnsi="Times New Roman" w:cs="Times New Roman"/>
                <w:color w:val="auto"/>
                <w:lang w:eastAsia="zh-CN"/>
              </w:rPr>
            </w:pPr>
            <w:r>
              <w:rPr>
                <w:rFonts w:hint="default" w:ascii="Times New Roman" w:hAnsi="Times New Roman" w:cs="Times New Roman"/>
                <w:i/>
                <w:iCs/>
                <w:color w:val="auto"/>
                <w:spacing w:val="-1"/>
                <w:lang w:eastAsia="zh-CN"/>
              </w:rPr>
              <w:t>r</w:t>
            </w:r>
            <w:r>
              <w:rPr>
                <w:rFonts w:hint="default" w:ascii="Times New Roman" w:hAnsi="Times New Roman" w:cs="Times New Roman"/>
                <w:i/>
                <w:iCs/>
                <w:color w:val="auto"/>
                <w:spacing w:val="-1"/>
                <w:sz w:val="15"/>
                <w:szCs w:val="15"/>
                <w:vertAlign w:val="subscript"/>
                <w:lang w:eastAsia="zh-CN"/>
              </w:rPr>
              <w:t>0</w:t>
            </w:r>
            <w:r>
              <w:rPr>
                <w:rFonts w:hint="default" w:ascii="Times New Roman" w:hAnsi="Times New Roman" w:cs="Times New Roman"/>
                <w:i/>
                <w:iCs/>
                <w:color w:val="auto"/>
                <w:spacing w:val="-1"/>
                <w:lang w:val="en-US" w:eastAsia="zh-CN"/>
              </w:rPr>
              <w:t>---</w:t>
            </w:r>
            <w:r>
              <w:rPr>
                <w:rFonts w:hint="default" w:ascii="Times New Roman" w:hAnsi="Times New Roman" w:cs="Times New Roman"/>
                <w:color w:val="auto"/>
                <w:spacing w:val="-1"/>
                <w:lang w:eastAsia="zh-CN"/>
              </w:rPr>
              <w:t>参考位置距声源中心的距离，m；</w:t>
            </w:r>
          </w:p>
          <w:p w14:paraId="6E19CFCA">
            <w:pPr>
              <w:pStyle w:val="106"/>
              <w:spacing w:line="360" w:lineRule="auto"/>
              <w:ind w:firstLine="1200" w:firstLineChars="500"/>
              <w:rPr>
                <w:rFonts w:hint="default" w:ascii="Times New Roman" w:hAnsi="Times New Roman" w:cs="Times New Roman"/>
                <w:color w:val="auto"/>
                <w:lang w:eastAsia="zh-CN"/>
              </w:rPr>
            </w:pPr>
            <w:r>
              <w:rPr>
                <w:rFonts w:hint="default" w:ascii="Times New Roman" w:hAnsi="Times New Roman" w:cs="Times New Roman"/>
                <w:i/>
                <w:iCs/>
                <w:color w:val="auto"/>
                <w:lang w:eastAsia="zh-CN"/>
              </w:rPr>
              <w:t>△L</w:t>
            </w:r>
            <w:r>
              <w:rPr>
                <w:rFonts w:hint="default" w:ascii="Times New Roman" w:hAnsi="Times New Roman" w:cs="Times New Roman"/>
                <w:i/>
                <w:iCs/>
                <w:color w:val="auto"/>
                <w:spacing w:val="-1"/>
                <w:lang w:val="en-US" w:eastAsia="zh-CN"/>
              </w:rPr>
              <w:t>---</w:t>
            </w:r>
            <w:r>
              <w:rPr>
                <w:rFonts w:hint="default" w:ascii="Times New Roman" w:hAnsi="Times New Roman" w:cs="Times New Roman"/>
                <w:color w:val="auto"/>
                <w:lang w:eastAsia="zh-CN"/>
              </w:rPr>
              <w:t>各种因素引起的声衰减量（如声屏障，遮挡物，空气吸收，地</w:t>
            </w:r>
            <w:r>
              <w:rPr>
                <w:rFonts w:hint="default" w:ascii="Times New Roman" w:hAnsi="Times New Roman" w:cs="Times New Roman"/>
                <w:color w:val="auto"/>
                <w:spacing w:val="-1"/>
                <w:lang w:eastAsia="zh-CN"/>
              </w:rPr>
              <w:t>面吸收等引起的声衰减）</w:t>
            </w:r>
            <w:r>
              <w:rPr>
                <w:rFonts w:hint="default" w:ascii="Times New Roman" w:hAnsi="Times New Roman" w:eastAsia="宋体" w:cs="Times New Roman"/>
                <w:color w:val="auto"/>
                <w:spacing w:val="-1"/>
                <w:lang w:eastAsia="zh-CN"/>
              </w:rPr>
              <w:t>，</w:t>
            </w:r>
            <w:r>
              <w:rPr>
                <w:rFonts w:hint="default" w:ascii="Times New Roman" w:hAnsi="Times New Roman" w:eastAsia="宋体" w:cs="Times New Roman"/>
                <w:color w:val="auto"/>
                <w:sz w:val="24"/>
                <w:highlight w:val="none"/>
                <w:lang w:val="en-US" w:eastAsia="zh-CN"/>
              </w:rPr>
              <w:t>本次评价取20</w:t>
            </w:r>
            <w:r>
              <w:rPr>
                <w:rFonts w:hint="default" w:ascii="Times New Roman" w:hAnsi="Times New Roman" w:eastAsia="宋体" w:cs="Times New Roman"/>
                <w:color w:val="auto"/>
                <w:sz w:val="24"/>
                <w:highlight w:val="none"/>
              </w:rPr>
              <w:t>dB</w:t>
            </w:r>
            <w:r>
              <w:rPr>
                <w:rFonts w:hint="eastAsia" w:ascii="Times New Roman" w:hAnsi="Times New Roman" w:cs="Times New Roman"/>
                <w:color w:val="auto"/>
                <w:sz w:val="24"/>
                <w:highlight w:val="none"/>
                <w:lang w:eastAsia="zh-CN"/>
              </w:rPr>
              <w:t>(A)</w:t>
            </w:r>
            <w:r>
              <w:rPr>
                <w:rFonts w:hint="default" w:ascii="Times New Roman" w:hAnsi="Times New Roman" w:cs="Times New Roman"/>
                <w:color w:val="auto"/>
                <w:spacing w:val="-1"/>
                <w:lang w:eastAsia="zh-CN"/>
              </w:rPr>
              <w:t>。</w:t>
            </w:r>
          </w:p>
          <w:p w14:paraId="2A57E536">
            <w:pPr>
              <w:pStyle w:val="106"/>
              <w:spacing w:line="360" w:lineRule="auto"/>
              <w:ind w:firstLine="480" w:firstLineChars="200"/>
              <w:rPr>
                <w:rFonts w:hint="default" w:ascii="Times New Roman" w:hAnsi="Times New Roman" w:cs="Times New Roman"/>
                <w:color w:val="auto"/>
                <w:spacing w:val="-3"/>
                <w:lang w:eastAsia="zh-CN"/>
              </w:rPr>
            </w:pPr>
            <w:r>
              <w:rPr>
                <w:rFonts w:hint="default" w:ascii="Times New Roman" w:hAnsi="Times New Roman" w:eastAsia="宋体" w:cs="Times New Roman"/>
                <w:color w:val="auto"/>
                <w:kern w:val="0"/>
                <w:sz w:val="24"/>
                <w:szCs w:val="24"/>
                <w:lang w:val="en-US" w:eastAsia="zh-CN" w:bidi="ar"/>
              </w:rPr>
              <w:t>②</w:t>
            </w:r>
            <w:r>
              <w:rPr>
                <w:rFonts w:hint="default" w:ascii="Times New Roman" w:hAnsi="Times New Roman" w:cs="Times New Roman"/>
                <w:color w:val="auto"/>
                <w:spacing w:val="-3"/>
                <w:lang w:eastAsia="zh-CN"/>
              </w:rPr>
              <w:t>预测内容</w:t>
            </w:r>
          </w:p>
          <w:p w14:paraId="3C7BC6CD">
            <w:pPr>
              <w:pStyle w:val="106"/>
              <w:spacing w:line="360" w:lineRule="auto"/>
              <w:ind w:firstLine="480" w:firstLineChars="200"/>
              <w:rPr>
                <w:rFonts w:hint="default" w:ascii="Times New Roman" w:hAnsi="Times New Roman" w:cs="Times New Roman"/>
                <w:color w:val="auto"/>
                <w:lang w:eastAsia="zh-CN"/>
              </w:rPr>
            </w:pPr>
            <w:r>
              <w:rPr>
                <w:rFonts w:hint="default" w:ascii="Times New Roman" w:hAnsi="Times New Roman" w:cs="Times New Roman"/>
                <w:color w:val="auto"/>
                <w:lang w:eastAsia="zh-CN"/>
              </w:rPr>
              <w:t>施工期噪声源主要来自</w:t>
            </w:r>
            <w:r>
              <w:rPr>
                <w:rFonts w:hint="default" w:ascii="Times New Roman" w:hAnsi="Times New Roman" w:eastAsia="宋体" w:cs="Times New Roman"/>
                <w:color w:val="auto"/>
                <w:kern w:val="0"/>
                <w:sz w:val="24"/>
                <w:szCs w:val="24"/>
                <w:highlight w:val="none"/>
                <w:lang w:val="en-US" w:eastAsia="zh-CN" w:bidi="ar"/>
              </w:rPr>
              <w:t>土石方和</w:t>
            </w:r>
            <w:r>
              <w:rPr>
                <w:rFonts w:hint="default" w:ascii="Times New Roman" w:hAnsi="Times New Roman" w:cs="Times New Roman"/>
                <w:color w:val="auto"/>
                <w:lang w:eastAsia="zh-CN"/>
              </w:rPr>
              <w:t>材料运输车辆产生的运输噪声和</w:t>
            </w:r>
            <w:r>
              <w:rPr>
                <w:rFonts w:hint="default" w:ascii="Times New Roman" w:hAnsi="Times New Roman" w:cs="Times New Roman"/>
                <w:color w:val="auto"/>
                <w:sz w:val="24"/>
                <w:highlight w:val="none"/>
                <w:lang w:eastAsia="zh-CN"/>
              </w:rPr>
              <w:t>变电站</w:t>
            </w:r>
            <w:r>
              <w:rPr>
                <w:rFonts w:hint="default" w:ascii="Times New Roman" w:hAnsi="Times New Roman" w:cs="Times New Roman"/>
                <w:color w:val="auto"/>
                <w:sz w:val="24"/>
                <w:highlight w:val="none"/>
                <w:lang w:val="en-US" w:eastAsia="zh-CN"/>
              </w:rPr>
              <w:t>间隔扩建侧</w:t>
            </w:r>
            <w:r>
              <w:rPr>
                <w:rFonts w:hint="default" w:ascii="Times New Roman" w:hAnsi="Times New Roman" w:cs="Times New Roman"/>
                <w:color w:val="auto"/>
                <w:lang w:eastAsia="zh-CN"/>
              </w:rPr>
              <w:t>基础开挖、回填等施工过程中各类机具产生的机械噪声，在一定范围内会对周围声环境产生影响，但这些影响是小范围的、短暂的，随着施工的结束，其对声环境的影响也将随之消失。</w:t>
            </w:r>
          </w:p>
          <w:p w14:paraId="029DC5BA">
            <w:pPr>
              <w:pStyle w:val="106"/>
              <w:spacing w:line="360" w:lineRule="auto"/>
              <w:ind w:firstLine="480" w:firstLineChars="200"/>
              <w:rPr>
                <w:rFonts w:hint="default" w:ascii="Times New Roman" w:hAnsi="Times New Roman" w:cs="Times New Roman"/>
                <w:color w:val="auto"/>
                <w:lang w:eastAsia="zh-CN"/>
              </w:rPr>
            </w:pPr>
            <w:r>
              <w:rPr>
                <w:rFonts w:hint="default" w:ascii="Times New Roman" w:hAnsi="Times New Roman" w:cs="Times New Roman"/>
                <w:color w:val="auto"/>
                <w:sz w:val="24"/>
                <w:highlight w:val="none"/>
              </w:rPr>
              <w:t>施工场地内机械设备大多属于移动声源，</w:t>
            </w:r>
            <w:r>
              <w:rPr>
                <w:rFonts w:hint="default" w:ascii="Times New Roman" w:hAnsi="Times New Roman" w:cs="Times New Roman"/>
                <w:color w:val="auto"/>
                <w:spacing w:val="2"/>
                <w:lang w:eastAsia="zh-CN"/>
              </w:rPr>
              <w:t>本次针对各噪声源强单独作用时噪声贡献值进行预测。</w:t>
            </w:r>
            <w:r>
              <w:rPr>
                <w:rFonts w:hint="default" w:ascii="Times New Roman" w:hAnsi="Times New Roman" w:eastAsia="宋体" w:cs="Times New Roman"/>
                <w:color w:val="auto"/>
                <w:kern w:val="0"/>
                <w:highlight w:val="none"/>
                <w:lang w:val="en-US" w:eastAsia="zh-CN" w:bidi="ar"/>
              </w:rPr>
              <w:t>本项目施工均要求采用低噪声设备，参照《低噪声施工设备指导名录（2024年版）》（工业和信息化部 生态环境部 住房和城乡建设部 市场监管总局 四部门公告2024年40号），</w:t>
            </w:r>
            <w:r>
              <w:rPr>
                <w:rFonts w:hint="default" w:ascii="Times New Roman" w:hAnsi="Times New Roman" w:cs="Times New Roman"/>
                <w:color w:val="auto"/>
                <w:spacing w:val="-3"/>
                <w:lang w:eastAsia="zh-CN"/>
              </w:rPr>
              <w:t>主要施工设备噪声源强见表4-1</w:t>
            </w:r>
            <w:r>
              <w:rPr>
                <w:rFonts w:hint="default" w:ascii="Times New Roman" w:hAnsi="Times New Roman" w:cs="Times New Roman"/>
                <w:color w:val="auto"/>
                <w:spacing w:val="-4"/>
                <w:lang w:eastAsia="zh-CN"/>
              </w:rPr>
              <w:t>所示。</w:t>
            </w:r>
          </w:p>
          <w:p w14:paraId="2B06E42E">
            <w:pPr>
              <w:pStyle w:val="14"/>
              <w:snapToGrid/>
              <w:spacing w:before="0" w:after="0" w:line="240" w:lineRule="auto"/>
              <w:ind w:right="0" w:firstLine="0" w:firstLineChars="0"/>
              <w:rPr>
                <w:rFonts w:hint="default" w:ascii="Times New Roman" w:hAnsi="Times New Roman" w:cs="Times New Roman"/>
                <w:b/>
                <w:bCs/>
                <w:color w:val="auto"/>
                <w:sz w:val="24"/>
              </w:rPr>
            </w:pPr>
            <w:r>
              <w:rPr>
                <w:rFonts w:hint="default" w:ascii="Times New Roman" w:hAnsi="Times New Roman" w:cs="Times New Roman"/>
                <w:b/>
                <w:bCs/>
                <w:color w:val="auto"/>
                <w:sz w:val="24"/>
              </w:rPr>
              <w:t>表4-1  主要施工设备噪声源不同距离声压级</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643"/>
              <w:gridCol w:w="2499"/>
              <w:gridCol w:w="3236"/>
            </w:tblGrid>
            <w:tr w14:paraId="4B8D8D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2592" w:type="dxa"/>
                  <w:tcBorders>
                    <w:tl2br w:val="nil"/>
                    <w:tr2bl w:val="nil"/>
                  </w:tcBorders>
                  <w:noWrap w:val="0"/>
                  <w:vAlign w:val="center"/>
                </w:tcPr>
                <w:p w14:paraId="1C9B88AF">
                  <w:pPr>
                    <w:pStyle w:val="106"/>
                    <w:jc w:val="center"/>
                    <w:rPr>
                      <w:rFonts w:hint="default" w:ascii="Times New Roman" w:hAnsi="Times New Roman" w:cs="Times New Roman"/>
                      <w:color w:val="auto"/>
                      <w:sz w:val="21"/>
                      <w:szCs w:val="21"/>
                      <w:lang w:eastAsia="zh-CN"/>
                    </w:rPr>
                  </w:pPr>
                  <w:r>
                    <w:rPr>
                      <w:rFonts w:hint="default" w:ascii="Times New Roman" w:hAnsi="Times New Roman" w:cs="Times New Roman"/>
                      <w:b/>
                      <w:bCs/>
                      <w:color w:val="auto"/>
                      <w:sz w:val="21"/>
                      <w:szCs w:val="21"/>
                      <w:lang w:eastAsia="zh-CN"/>
                    </w:rPr>
                    <w:t>设备名称</w:t>
                  </w:r>
                </w:p>
              </w:tc>
              <w:tc>
                <w:tcPr>
                  <w:tcW w:w="2451" w:type="dxa"/>
                  <w:tcBorders>
                    <w:tl2br w:val="nil"/>
                    <w:tr2bl w:val="nil"/>
                  </w:tcBorders>
                  <w:noWrap w:val="0"/>
                  <w:vAlign w:val="center"/>
                </w:tcPr>
                <w:p w14:paraId="3A4C1C71">
                  <w:pPr>
                    <w:pStyle w:val="106"/>
                    <w:jc w:val="center"/>
                    <w:rPr>
                      <w:rFonts w:hint="default" w:ascii="Times New Roman" w:hAnsi="Times New Roman" w:cs="Times New Roman"/>
                      <w:color w:val="auto"/>
                      <w:sz w:val="21"/>
                      <w:szCs w:val="21"/>
                      <w:lang w:eastAsia="zh-CN"/>
                    </w:rPr>
                  </w:pPr>
                  <w:r>
                    <w:rPr>
                      <w:rFonts w:hint="default" w:ascii="Times New Roman" w:hAnsi="Times New Roman" w:cs="Times New Roman"/>
                      <w:b/>
                      <w:bCs/>
                      <w:color w:val="auto"/>
                      <w:sz w:val="21"/>
                      <w:szCs w:val="21"/>
                      <w:lang w:eastAsia="zh-CN"/>
                    </w:rPr>
                    <w:t>距设备距离（m）</w:t>
                  </w:r>
                </w:p>
              </w:tc>
              <w:tc>
                <w:tcPr>
                  <w:tcW w:w="3174" w:type="dxa"/>
                  <w:tcBorders>
                    <w:tl2br w:val="nil"/>
                    <w:tr2bl w:val="nil"/>
                  </w:tcBorders>
                  <w:noWrap w:val="0"/>
                  <w:vAlign w:val="center"/>
                </w:tcPr>
                <w:p w14:paraId="7D5F76E1">
                  <w:pPr>
                    <w:pStyle w:val="106"/>
                    <w:jc w:val="center"/>
                    <w:rPr>
                      <w:rFonts w:hint="default" w:ascii="Times New Roman" w:hAnsi="Times New Roman" w:cs="Times New Roman"/>
                      <w:color w:val="auto"/>
                      <w:sz w:val="21"/>
                      <w:szCs w:val="21"/>
                      <w:lang w:eastAsia="zh-CN"/>
                    </w:rPr>
                  </w:pPr>
                  <w:r>
                    <w:rPr>
                      <w:rFonts w:hint="default" w:ascii="Times New Roman" w:hAnsi="Times New Roman" w:cs="Times New Roman"/>
                      <w:b/>
                      <w:bCs/>
                      <w:color w:val="auto"/>
                      <w:sz w:val="21"/>
                      <w:szCs w:val="21"/>
                      <w:lang w:eastAsia="zh-CN"/>
                    </w:rPr>
                    <w:t>声压级（dB</w:t>
                  </w:r>
                  <w:r>
                    <w:rPr>
                      <w:rFonts w:hint="eastAsia" w:ascii="Times New Roman" w:hAnsi="Times New Roman" w:cs="Times New Roman"/>
                      <w:b/>
                      <w:bCs/>
                      <w:color w:val="auto"/>
                      <w:sz w:val="21"/>
                      <w:szCs w:val="21"/>
                      <w:lang w:eastAsia="zh-CN"/>
                    </w:rPr>
                    <w:t>(A)</w:t>
                  </w:r>
                  <w:r>
                    <w:rPr>
                      <w:rFonts w:hint="default" w:ascii="Times New Roman" w:hAnsi="Times New Roman" w:cs="Times New Roman"/>
                      <w:b/>
                      <w:bCs/>
                      <w:color w:val="auto"/>
                      <w:sz w:val="21"/>
                      <w:szCs w:val="21"/>
                      <w:lang w:eastAsia="zh-CN"/>
                    </w:rPr>
                    <w:t>）（取</w:t>
                  </w:r>
                  <w:r>
                    <w:rPr>
                      <w:rFonts w:hint="eastAsia" w:ascii="Times New Roman" w:hAnsi="Times New Roman" w:cs="Times New Roman"/>
                      <w:b/>
                      <w:bCs/>
                      <w:color w:val="auto"/>
                      <w:sz w:val="21"/>
                      <w:szCs w:val="21"/>
                      <w:lang w:val="en-US" w:eastAsia="zh-CN"/>
                    </w:rPr>
                    <w:t>最大</w:t>
                  </w:r>
                  <w:r>
                    <w:rPr>
                      <w:rFonts w:hint="default" w:ascii="Times New Roman" w:hAnsi="Times New Roman" w:cs="Times New Roman"/>
                      <w:b/>
                      <w:bCs/>
                      <w:color w:val="auto"/>
                      <w:sz w:val="21"/>
                      <w:szCs w:val="21"/>
                      <w:lang w:eastAsia="zh-CN"/>
                    </w:rPr>
                    <w:t>值）</w:t>
                  </w:r>
                </w:p>
              </w:tc>
            </w:tr>
            <w:tr w14:paraId="4F15AC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2592" w:type="dxa"/>
                  <w:tcBorders>
                    <w:tl2br w:val="nil"/>
                    <w:tr2bl w:val="nil"/>
                  </w:tcBorders>
                  <w:noWrap w:val="0"/>
                  <w:vAlign w:val="center"/>
                </w:tcPr>
                <w:p w14:paraId="4583A0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eastAsia="zh-CN"/>
                    </w:rPr>
                  </w:pPr>
                  <w:r>
                    <w:rPr>
                      <w:bCs/>
                      <w:color w:val="auto"/>
                      <w:sz w:val="21"/>
                      <w:szCs w:val="21"/>
                      <w:highlight w:val="none"/>
                    </w:rPr>
                    <w:t>挖掘机</w:t>
                  </w:r>
                </w:p>
              </w:tc>
              <w:tc>
                <w:tcPr>
                  <w:tcW w:w="2451" w:type="dxa"/>
                  <w:tcBorders>
                    <w:tl2br w:val="nil"/>
                    <w:tr2bl w:val="nil"/>
                  </w:tcBorders>
                  <w:noWrap w:val="0"/>
                  <w:vAlign w:val="center"/>
                </w:tcPr>
                <w:p w14:paraId="4A4199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eastAsia="zh-CN"/>
                    </w:rPr>
                  </w:pPr>
                  <w:r>
                    <w:rPr>
                      <w:bCs/>
                      <w:color w:val="auto"/>
                      <w:sz w:val="21"/>
                      <w:szCs w:val="21"/>
                      <w:highlight w:val="none"/>
                    </w:rPr>
                    <w:t>5</w:t>
                  </w:r>
                </w:p>
              </w:tc>
              <w:tc>
                <w:tcPr>
                  <w:tcW w:w="3174" w:type="dxa"/>
                  <w:tcBorders>
                    <w:tl2br w:val="nil"/>
                    <w:tr2bl w:val="nil"/>
                  </w:tcBorders>
                  <w:noWrap w:val="0"/>
                  <w:vAlign w:val="center"/>
                </w:tcPr>
                <w:p w14:paraId="69C004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eastAsia="zh-CN"/>
                    </w:rPr>
                  </w:pPr>
                  <w:r>
                    <w:rPr>
                      <w:bCs/>
                      <w:color w:val="auto"/>
                      <w:sz w:val="21"/>
                      <w:szCs w:val="21"/>
                      <w:highlight w:val="none"/>
                    </w:rPr>
                    <w:t>66~73</w:t>
                  </w:r>
                </w:p>
              </w:tc>
            </w:tr>
            <w:tr w14:paraId="2FB31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592" w:type="dxa"/>
                  <w:tcBorders>
                    <w:tl2br w:val="nil"/>
                    <w:tr2bl w:val="nil"/>
                  </w:tcBorders>
                  <w:noWrap w:val="0"/>
                  <w:vAlign w:val="center"/>
                </w:tcPr>
                <w:p w14:paraId="2F0F1C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eastAsia="zh-CN"/>
                    </w:rPr>
                  </w:pPr>
                  <w:r>
                    <w:rPr>
                      <w:rFonts w:hint="eastAsia"/>
                      <w:bCs/>
                      <w:color w:val="auto"/>
                      <w:sz w:val="21"/>
                      <w:szCs w:val="21"/>
                      <w:highlight w:val="none"/>
                    </w:rPr>
                    <w:t>轮胎式装载机</w:t>
                  </w:r>
                </w:p>
              </w:tc>
              <w:tc>
                <w:tcPr>
                  <w:tcW w:w="2451" w:type="dxa"/>
                  <w:tcBorders>
                    <w:tl2br w:val="nil"/>
                    <w:tr2bl w:val="nil"/>
                  </w:tcBorders>
                  <w:noWrap w:val="0"/>
                  <w:vAlign w:val="center"/>
                </w:tcPr>
                <w:p w14:paraId="230A03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eastAsia="zh-CN"/>
                    </w:rPr>
                  </w:pPr>
                  <w:r>
                    <w:rPr>
                      <w:rFonts w:hint="eastAsia"/>
                      <w:bCs/>
                      <w:color w:val="auto"/>
                      <w:sz w:val="21"/>
                      <w:szCs w:val="21"/>
                      <w:highlight w:val="none"/>
                    </w:rPr>
                    <w:t>5</w:t>
                  </w:r>
                </w:p>
              </w:tc>
              <w:tc>
                <w:tcPr>
                  <w:tcW w:w="3174" w:type="dxa"/>
                  <w:tcBorders>
                    <w:tl2br w:val="nil"/>
                    <w:tr2bl w:val="nil"/>
                  </w:tcBorders>
                  <w:noWrap w:val="0"/>
                  <w:vAlign w:val="center"/>
                </w:tcPr>
                <w:p w14:paraId="25BB54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eastAsia="zh-CN"/>
                    </w:rPr>
                  </w:pPr>
                  <w:r>
                    <w:rPr>
                      <w:rFonts w:hint="eastAsia"/>
                      <w:bCs/>
                      <w:color w:val="auto"/>
                      <w:sz w:val="21"/>
                      <w:szCs w:val="21"/>
                      <w:highlight w:val="none"/>
                    </w:rPr>
                    <w:t>70</w:t>
                  </w:r>
                  <w:r>
                    <w:rPr>
                      <w:bCs/>
                      <w:color w:val="auto"/>
                      <w:sz w:val="21"/>
                      <w:szCs w:val="21"/>
                      <w:highlight w:val="none"/>
                    </w:rPr>
                    <w:t>~</w:t>
                  </w:r>
                  <w:r>
                    <w:rPr>
                      <w:rFonts w:hint="eastAsia"/>
                      <w:bCs/>
                      <w:color w:val="auto"/>
                      <w:sz w:val="21"/>
                      <w:szCs w:val="21"/>
                      <w:highlight w:val="none"/>
                    </w:rPr>
                    <w:t>75.2</w:t>
                  </w:r>
                </w:p>
              </w:tc>
            </w:tr>
            <w:tr w14:paraId="1CCFD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2592" w:type="dxa"/>
                  <w:tcBorders>
                    <w:tl2br w:val="nil"/>
                    <w:tr2bl w:val="nil"/>
                  </w:tcBorders>
                  <w:noWrap w:val="0"/>
                  <w:vAlign w:val="center"/>
                </w:tcPr>
                <w:p w14:paraId="19CE18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eastAsia="zh-CN"/>
                    </w:rPr>
                  </w:pPr>
                  <w:r>
                    <w:rPr>
                      <w:rFonts w:hint="eastAsia"/>
                      <w:bCs/>
                      <w:color w:val="auto"/>
                      <w:sz w:val="21"/>
                      <w:szCs w:val="21"/>
                      <w:highlight w:val="none"/>
                    </w:rPr>
                    <w:t>混凝土泵车</w:t>
                  </w:r>
                </w:p>
              </w:tc>
              <w:tc>
                <w:tcPr>
                  <w:tcW w:w="2451" w:type="dxa"/>
                  <w:tcBorders>
                    <w:tl2br w:val="nil"/>
                    <w:tr2bl w:val="nil"/>
                  </w:tcBorders>
                  <w:noWrap w:val="0"/>
                  <w:vAlign w:val="center"/>
                </w:tcPr>
                <w:p w14:paraId="048510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eastAsia="zh-CN"/>
                    </w:rPr>
                  </w:pPr>
                  <w:r>
                    <w:rPr>
                      <w:bCs/>
                      <w:color w:val="auto"/>
                      <w:sz w:val="21"/>
                      <w:szCs w:val="21"/>
                      <w:highlight w:val="none"/>
                    </w:rPr>
                    <w:t>5</w:t>
                  </w:r>
                </w:p>
              </w:tc>
              <w:tc>
                <w:tcPr>
                  <w:tcW w:w="3174" w:type="dxa"/>
                  <w:tcBorders>
                    <w:tl2br w:val="nil"/>
                    <w:tr2bl w:val="nil"/>
                  </w:tcBorders>
                  <w:noWrap w:val="0"/>
                  <w:vAlign w:val="center"/>
                </w:tcPr>
                <w:p w14:paraId="36F4D4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eastAsia="zh-CN"/>
                    </w:rPr>
                  </w:pPr>
                  <w:r>
                    <w:rPr>
                      <w:rFonts w:hint="eastAsia"/>
                      <w:bCs/>
                      <w:color w:val="auto"/>
                      <w:sz w:val="21"/>
                      <w:szCs w:val="21"/>
                      <w:highlight w:val="none"/>
                    </w:rPr>
                    <w:t>68.8</w:t>
                  </w:r>
                  <w:r>
                    <w:rPr>
                      <w:bCs/>
                      <w:color w:val="auto"/>
                      <w:sz w:val="21"/>
                      <w:szCs w:val="21"/>
                      <w:highlight w:val="none"/>
                    </w:rPr>
                    <w:t>~</w:t>
                  </w:r>
                  <w:r>
                    <w:rPr>
                      <w:rFonts w:hint="eastAsia"/>
                      <w:bCs/>
                      <w:color w:val="auto"/>
                      <w:sz w:val="21"/>
                      <w:szCs w:val="21"/>
                      <w:highlight w:val="none"/>
                    </w:rPr>
                    <w:t>71.8</w:t>
                  </w:r>
                </w:p>
              </w:tc>
            </w:tr>
          </w:tbl>
          <w:p w14:paraId="13E2E543">
            <w:pPr>
              <w:pStyle w:val="106"/>
              <w:keepNext w:val="0"/>
              <w:keepLines w:val="0"/>
              <w:pageBreakBefore w:val="0"/>
              <w:widowControl w:val="0"/>
              <w:kinsoku/>
              <w:wordWrap/>
              <w:overflowPunct/>
              <w:topLinePunct w:val="0"/>
              <w:autoSpaceDE/>
              <w:autoSpaceDN/>
              <w:bidi w:val="0"/>
              <w:adjustRightInd w:val="0"/>
              <w:snapToGrid w:val="0"/>
              <w:spacing w:before="0" w:beforeLines="50" w:line="360" w:lineRule="auto"/>
              <w:ind w:firstLine="472" w:firstLineChars="200"/>
              <w:textAlignment w:val="auto"/>
              <w:rPr>
                <w:rFonts w:hint="default" w:ascii="Times New Roman" w:hAnsi="Times New Roman" w:cs="Times New Roman"/>
                <w:color w:val="auto"/>
                <w:spacing w:val="-2"/>
                <w:lang w:eastAsia="zh-CN"/>
              </w:rPr>
            </w:pPr>
            <w:r>
              <w:rPr>
                <w:rFonts w:hint="default" w:ascii="Times New Roman" w:hAnsi="Times New Roman" w:cs="Times New Roman"/>
                <w:color w:val="auto"/>
                <w:spacing w:val="-2"/>
                <w:lang w:eastAsia="zh-CN"/>
              </w:rPr>
              <w:t>由此计算各类施工机械在不同距离处的噪声预测值见表</w:t>
            </w:r>
            <w:r>
              <w:rPr>
                <w:rFonts w:hint="default" w:ascii="Times New Roman" w:hAnsi="Times New Roman" w:cs="Times New Roman"/>
                <w:color w:val="auto"/>
                <w:spacing w:val="-45"/>
                <w:lang w:eastAsia="zh-CN"/>
              </w:rPr>
              <w:t xml:space="preserve"> </w:t>
            </w:r>
            <w:r>
              <w:rPr>
                <w:rFonts w:hint="default" w:ascii="Times New Roman" w:hAnsi="Times New Roman" w:eastAsia="Times New Roman" w:cs="Times New Roman"/>
                <w:color w:val="auto"/>
                <w:spacing w:val="-2"/>
                <w:lang w:eastAsia="zh-CN"/>
              </w:rPr>
              <w:t>4-2</w:t>
            </w:r>
            <w:r>
              <w:rPr>
                <w:rFonts w:hint="default" w:ascii="Times New Roman" w:hAnsi="Times New Roman" w:cs="Times New Roman"/>
                <w:color w:val="auto"/>
                <w:spacing w:val="-2"/>
                <w:lang w:eastAsia="zh-CN"/>
              </w:rPr>
              <w:t>。</w:t>
            </w:r>
          </w:p>
          <w:p w14:paraId="28378C02">
            <w:pPr>
              <w:pStyle w:val="14"/>
              <w:snapToGrid/>
              <w:spacing w:before="0" w:after="0" w:line="240" w:lineRule="auto"/>
              <w:ind w:right="0" w:firstLine="0" w:firstLineChars="0"/>
              <w:rPr>
                <w:rFonts w:hint="default" w:ascii="Times New Roman" w:hAnsi="Times New Roman" w:cs="Times New Roman"/>
                <w:b/>
                <w:bCs/>
                <w:color w:val="auto"/>
                <w:sz w:val="24"/>
              </w:rPr>
            </w:pPr>
            <w:r>
              <w:rPr>
                <w:rFonts w:hint="default" w:ascii="Times New Roman" w:hAnsi="Times New Roman" w:cs="Times New Roman"/>
                <w:b/>
                <w:bCs/>
                <w:color w:val="auto"/>
                <w:sz w:val="24"/>
              </w:rPr>
              <w:t>表4-2  距声源不同距离单台施工机械噪声预测一览表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9"/>
              <w:gridCol w:w="854"/>
              <w:gridCol w:w="855"/>
              <w:gridCol w:w="855"/>
              <w:gridCol w:w="855"/>
              <w:gridCol w:w="855"/>
              <w:gridCol w:w="855"/>
              <w:gridCol w:w="855"/>
              <w:gridCol w:w="865"/>
            </w:tblGrid>
            <w:tr w14:paraId="185CE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2" w:type="pct"/>
                  <w:vMerge w:val="restart"/>
                  <w:noWrap w:val="0"/>
                  <w:vAlign w:val="center"/>
                </w:tcPr>
                <w:p w14:paraId="06A46004">
                  <w:pPr>
                    <w:adjustRightInd w:val="0"/>
                    <w:snapToGrid w:val="0"/>
                    <w:spacing w:line="240" w:lineRule="atLeast"/>
                    <w:jc w:val="center"/>
                    <w:rPr>
                      <w:b/>
                      <w:color w:val="auto"/>
                      <w:sz w:val="21"/>
                      <w:szCs w:val="21"/>
                      <w:highlight w:val="none"/>
                    </w:rPr>
                  </w:pPr>
                  <w:r>
                    <w:rPr>
                      <w:b/>
                      <w:color w:val="auto"/>
                      <w:sz w:val="21"/>
                      <w:szCs w:val="21"/>
                      <w:highlight w:val="none"/>
                    </w:rPr>
                    <w:t>设备名称</w:t>
                  </w:r>
                </w:p>
              </w:tc>
              <w:tc>
                <w:tcPr>
                  <w:tcW w:w="4087" w:type="pct"/>
                  <w:gridSpan w:val="8"/>
                  <w:noWrap w:val="0"/>
                  <w:vAlign w:val="center"/>
                </w:tcPr>
                <w:p w14:paraId="0DC424F1">
                  <w:pPr>
                    <w:adjustRightInd w:val="0"/>
                    <w:snapToGrid w:val="0"/>
                    <w:spacing w:line="240" w:lineRule="atLeast"/>
                    <w:jc w:val="center"/>
                    <w:rPr>
                      <w:b/>
                      <w:color w:val="auto"/>
                      <w:sz w:val="21"/>
                      <w:szCs w:val="21"/>
                      <w:highlight w:val="none"/>
                    </w:rPr>
                  </w:pPr>
                  <w:r>
                    <w:rPr>
                      <w:b/>
                      <w:color w:val="auto"/>
                      <w:sz w:val="21"/>
                      <w:szCs w:val="21"/>
                      <w:highlight w:val="none"/>
                    </w:rPr>
                    <w:t>噪声预测值dB(A)）</w:t>
                  </w:r>
                </w:p>
              </w:tc>
            </w:tr>
            <w:tr w14:paraId="0048B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2" w:type="pct"/>
                  <w:vMerge w:val="continue"/>
                  <w:noWrap w:val="0"/>
                  <w:vAlign w:val="center"/>
                </w:tcPr>
                <w:p w14:paraId="422088D9">
                  <w:pPr>
                    <w:adjustRightInd w:val="0"/>
                    <w:snapToGrid w:val="0"/>
                    <w:spacing w:line="240" w:lineRule="atLeast"/>
                    <w:jc w:val="center"/>
                    <w:rPr>
                      <w:b/>
                      <w:color w:val="auto"/>
                      <w:sz w:val="21"/>
                      <w:szCs w:val="21"/>
                      <w:highlight w:val="none"/>
                    </w:rPr>
                  </w:pPr>
                </w:p>
              </w:tc>
              <w:tc>
                <w:tcPr>
                  <w:tcW w:w="509" w:type="pct"/>
                  <w:noWrap w:val="0"/>
                  <w:vAlign w:val="center"/>
                </w:tcPr>
                <w:p w14:paraId="3879292F">
                  <w:pPr>
                    <w:adjustRightInd w:val="0"/>
                    <w:snapToGrid w:val="0"/>
                    <w:spacing w:line="240" w:lineRule="atLeast"/>
                    <w:jc w:val="center"/>
                    <w:rPr>
                      <w:b/>
                      <w:bCs w:val="0"/>
                      <w:color w:val="auto"/>
                      <w:sz w:val="21"/>
                      <w:szCs w:val="21"/>
                      <w:highlight w:val="none"/>
                    </w:rPr>
                  </w:pPr>
                  <w:r>
                    <w:rPr>
                      <w:b/>
                      <w:bCs w:val="0"/>
                      <w:color w:val="auto"/>
                      <w:sz w:val="21"/>
                      <w:szCs w:val="21"/>
                      <w:highlight w:val="none"/>
                    </w:rPr>
                    <w:t>5m</w:t>
                  </w:r>
                </w:p>
              </w:tc>
              <w:tc>
                <w:tcPr>
                  <w:tcW w:w="510" w:type="pct"/>
                  <w:noWrap w:val="0"/>
                  <w:vAlign w:val="center"/>
                </w:tcPr>
                <w:p w14:paraId="2CAA316C">
                  <w:pPr>
                    <w:adjustRightInd w:val="0"/>
                    <w:snapToGrid w:val="0"/>
                    <w:spacing w:line="240" w:lineRule="atLeast"/>
                    <w:jc w:val="center"/>
                    <w:rPr>
                      <w:b/>
                      <w:bCs w:val="0"/>
                      <w:color w:val="auto"/>
                      <w:sz w:val="21"/>
                      <w:szCs w:val="21"/>
                      <w:highlight w:val="none"/>
                    </w:rPr>
                  </w:pPr>
                  <w:r>
                    <w:rPr>
                      <w:b/>
                      <w:bCs w:val="0"/>
                      <w:color w:val="auto"/>
                      <w:sz w:val="21"/>
                      <w:szCs w:val="21"/>
                      <w:highlight w:val="none"/>
                    </w:rPr>
                    <w:t>10m</w:t>
                  </w:r>
                </w:p>
              </w:tc>
              <w:tc>
                <w:tcPr>
                  <w:tcW w:w="510" w:type="pct"/>
                  <w:noWrap w:val="0"/>
                  <w:vAlign w:val="center"/>
                </w:tcPr>
                <w:p w14:paraId="6FAC5FB1">
                  <w:pPr>
                    <w:adjustRightInd w:val="0"/>
                    <w:snapToGrid w:val="0"/>
                    <w:spacing w:line="240" w:lineRule="atLeast"/>
                    <w:jc w:val="center"/>
                    <w:rPr>
                      <w:b/>
                      <w:bCs w:val="0"/>
                      <w:color w:val="auto"/>
                      <w:sz w:val="21"/>
                      <w:szCs w:val="21"/>
                      <w:highlight w:val="none"/>
                    </w:rPr>
                  </w:pPr>
                  <w:r>
                    <w:rPr>
                      <w:b/>
                      <w:bCs w:val="0"/>
                      <w:color w:val="auto"/>
                      <w:sz w:val="21"/>
                      <w:szCs w:val="21"/>
                      <w:highlight w:val="none"/>
                    </w:rPr>
                    <w:t>20m</w:t>
                  </w:r>
                </w:p>
              </w:tc>
              <w:tc>
                <w:tcPr>
                  <w:tcW w:w="510" w:type="pct"/>
                  <w:noWrap w:val="0"/>
                  <w:vAlign w:val="center"/>
                </w:tcPr>
                <w:p w14:paraId="3073D8B1">
                  <w:pPr>
                    <w:adjustRightInd w:val="0"/>
                    <w:snapToGrid w:val="0"/>
                    <w:spacing w:line="240" w:lineRule="atLeast"/>
                    <w:jc w:val="center"/>
                    <w:rPr>
                      <w:b/>
                      <w:bCs w:val="0"/>
                      <w:color w:val="auto"/>
                      <w:sz w:val="21"/>
                      <w:szCs w:val="21"/>
                      <w:highlight w:val="none"/>
                    </w:rPr>
                  </w:pPr>
                  <w:r>
                    <w:rPr>
                      <w:b/>
                      <w:bCs w:val="0"/>
                      <w:color w:val="auto"/>
                      <w:sz w:val="21"/>
                      <w:szCs w:val="21"/>
                      <w:highlight w:val="none"/>
                    </w:rPr>
                    <w:t>40m</w:t>
                  </w:r>
                </w:p>
              </w:tc>
              <w:tc>
                <w:tcPr>
                  <w:tcW w:w="510" w:type="pct"/>
                  <w:noWrap w:val="0"/>
                  <w:vAlign w:val="center"/>
                </w:tcPr>
                <w:p w14:paraId="720FA0D1">
                  <w:pPr>
                    <w:adjustRightInd w:val="0"/>
                    <w:snapToGrid w:val="0"/>
                    <w:spacing w:line="240" w:lineRule="atLeast"/>
                    <w:jc w:val="center"/>
                    <w:rPr>
                      <w:b/>
                      <w:bCs w:val="0"/>
                      <w:color w:val="auto"/>
                      <w:sz w:val="21"/>
                      <w:szCs w:val="21"/>
                      <w:highlight w:val="none"/>
                    </w:rPr>
                  </w:pPr>
                  <w:r>
                    <w:rPr>
                      <w:b/>
                      <w:bCs w:val="0"/>
                      <w:color w:val="auto"/>
                      <w:sz w:val="21"/>
                      <w:szCs w:val="21"/>
                      <w:highlight w:val="none"/>
                    </w:rPr>
                    <w:t>50m</w:t>
                  </w:r>
                </w:p>
              </w:tc>
              <w:tc>
                <w:tcPr>
                  <w:tcW w:w="510" w:type="pct"/>
                  <w:noWrap w:val="0"/>
                  <w:vAlign w:val="center"/>
                </w:tcPr>
                <w:p w14:paraId="7AEAD29C">
                  <w:pPr>
                    <w:adjustRightInd w:val="0"/>
                    <w:snapToGrid w:val="0"/>
                    <w:spacing w:line="240" w:lineRule="atLeast"/>
                    <w:jc w:val="center"/>
                    <w:rPr>
                      <w:b/>
                      <w:bCs w:val="0"/>
                      <w:color w:val="auto"/>
                      <w:sz w:val="21"/>
                      <w:szCs w:val="21"/>
                      <w:highlight w:val="none"/>
                    </w:rPr>
                  </w:pPr>
                  <w:r>
                    <w:rPr>
                      <w:b/>
                      <w:bCs w:val="0"/>
                      <w:color w:val="auto"/>
                      <w:sz w:val="21"/>
                      <w:szCs w:val="21"/>
                      <w:highlight w:val="none"/>
                    </w:rPr>
                    <w:t>100m</w:t>
                  </w:r>
                </w:p>
              </w:tc>
              <w:tc>
                <w:tcPr>
                  <w:tcW w:w="510" w:type="pct"/>
                  <w:noWrap w:val="0"/>
                  <w:vAlign w:val="center"/>
                </w:tcPr>
                <w:p w14:paraId="7C1E5905">
                  <w:pPr>
                    <w:adjustRightInd w:val="0"/>
                    <w:snapToGrid w:val="0"/>
                    <w:spacing w:line="240" w:lineRule="atLeast"/>
                    <w:jc w:val="center"/>
                    <w:rPr>
                      <w:b/>
                      <w:bCs w:val="0"/>
                      <w:color w:val="auto"/>
                      <w:sz w:val="21"/>
                      <w:szCs w:val="21"/>
                      <w:highlight w:val="none"/>
                    </w:rPr>
                  </w:pPr>
                  <w:r>
                    <w:rPr>
                      <w:b/>
                      <w:bCs w:val="0"/>
                      <w:color w:val="auto"/>
                      <w:sz w:val="21"/>
                      <w:szCs w:val="21"/>
                      <w:highlight w:val="none"/>
                    </w:rPr>
                    <w:t>150m</w:t>
                  </w:r>
                </w:p>
              </w:tc>
              <w:tc>
                <w:tcPr>
                  <w:tcW w:w="516" w:type="pct"/>
                  <w:noWrap w:val="0"/>
                  <w:vAlign w:val="center"/>
                </w:tcPr>
                <w:p w14:paraId="74C593C9">
                  <w:pPr>
                    <w:adjustRightInd w:val="0"/>
                    <w:snapToGrid w:val="0"/>
                    <w:spacing w:line="240" w:lineRule="atLeast"/>
                    <w:jc w:val="center"/>
                    <w:rPr>
                      <w:b/>
                      <w:bCs w:val="0"/>
                      <w:color w:val="auto"/>
                      <w:sz w:val="21"/>
                      <w:szCs w:val="21"/>
                      <w:highlight w:val="none"/>
                    </w:rPr>
                  </w:pPr>
                  <w:r>
                    <w:rPr>
                      <w:b/>
                      <w:bCs w:val="0"/>
                      <w:color w:val="auto"/>
                      <w:sz w:val="21"/>
                      <w:szCs w:val="21"/>
                      <w:highlight w:val="none"/>
                    </w:rPr>
                    <w:t>200m</w:t>
                  </w:r>
                </w:p>
              </w:tc>
            </w:tr>
            <w:tr w14:paraId="5405EF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2" w:type="pct"/>
                  <w:noWrap w:val="0"/>
                  <w:vAlign w:val="center"/>
                </w:tcPr>
                <w:p w14:paraId="67A3919C">
                  <w:pPr>
                    <w:adjustRightInd w:val="0"/>
                    <w:snapToGrid w:val="0"/>
                    <w:spacing w:line="240" w:lineRule="atLeast"/>
                    <w:jc w:val="center"/>
                    <w:rPr>
                      <w:bCs/>
                      <w:color w:val="auto"/>
                      <w:sz w:val="21"/>
                      <w:szCs w:val="21"/>
                      <w:highlight w:val="none"/>
                    </w:rPr>
                  </w:pPr>
                  <w:r>
                    <w:rPr>
                      <w:bCs/>
                      <w:color w:val="auto"/>
                      <w:sz w:val="21"/>
                      <w:szCs w:val="21"/>
                      <w:highlight w:val="none"/>
                    </w:rPr>
                    <w:t>挖掘机</w:t>
                  </w:r>
                </w:p>
              </w:tc>
              <w:tc>
                <w:tcPr>
                  <w:tcW w:w="509" w:type="pct"/>
                  <w:noWrap w:val="0"/>
                  <w:vAlign w:val="center"/>
                </w:tcPr>
                <w:p w14:paraId="6B8E2B06">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73</w:t>
                  </w:r>
                </w:p>
              </w:tc>
              <w:tc>
                <w:tcPr>
                  <w:tcW w:w="510" w:type="pct"/>
                  <w:noWrap w:val="0"/>
                  <w:vAlign w:val="center"/>
                </w:tcPr>
                <w:p w14:paraId="6ABE715B">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67</w:t>
                  </w:r>
                </w:p>
              </w:tc>
              <w:tc>
                <w:tcPr>
                  <w:tcW w:w="510" w:type="pct"/>
                  <w:noWrap w:val="0"/>
                  <w:vAlign w:val="center"/>
                </w:tcPr>
                <w:p w14:paraId="07F9B27F">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61</w:t>
                  </w:r>
                </w:p>
              </w:tc>
              <w:tc>
                <w:tcPr>
                  <w:tcW w:w="510" w:type="pct"/>
                  <w:noWrap w:val="0"/>
                  <w:vAlign w:val="center"/>
                </w:tcPr>
                <w:p w14:paraId="1243684B">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55</w:t>
                  </w:r>
                </w:p>
              </w:tc>
              <w:tc>
                <w:tcPr>
                  <w:tcW w:w="510" w:type="pct"/>
                  <w:noWrap w:val="0"/>
                  <w:vAlign w:val="center"/>
                </w:tcPr>
                <w:p w14:paraId="6A103682">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53</w:t>
                  </w:r>
                </w:p>
              </w:tc>
              <w:tc>
                <w:tcPr>
                  <w:tcW w:w="510" w:type="pct"/>
                  <w:noWrap w:val="0"/>
                  <w:vAlign w:val="center"/>
                </w:tcPr>
                <w:p w14:paraId="3F4E575C">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47</w:t>
                  </w:r>
                </w:p>
              </w:tc>
              <w:tc>
                <w:tcPr>
                  <w:tcW w:w="510" w:type="pct"/>
                  <w:noWrap w:val="0"/>
                  <w:vAlign w:val="center"/>
                </w:tcPr>
                <w:p w14:paraId="5E187AEF">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43</w:t>
                  </w:r>
                </w:p>
              </w:tc>
              <w:tc>
                <w:tcPr>
                  <w:tcW w:w="516" w:type="pct"/>
                  <w:noWrap w:val="0"/>
                  <w:vAlign w:val="center"/>
                </w:tcPr>
                <w:p w14:paraId="6D375332">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41</w:t>
                  </w:r>
                </w:p>
              </w:tc>
            </w:tr>
            <w:tr w14:paraId="4E982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2" w:type="pct"/>
                  <w:noWrap w:val="0"/>
                  <w:vAlign w:val="center"/>
                </w:tcPr>
                <w:p w14:paraId="2D869132">
                  <w:pPr>
                    <w:adjustRightInd w:val="0"/>
                    <w:snapToGrid w:val="0"/>
                    <w:spacing w:line="240" w:lineRule="atLeast"/>
                    <w:jc w:val="center"/>
                    <w:rPr>
                      <w:bCs/>
                      <w:color w:val="auto"/>
                      <w:sz w:val="21"/>
                      <w:szCs w:val="21"/>
                      <w:highlight w:val="none"/>
                    </w:rPr>
                  </w:pPr>
                  <w:r>
                    <w:rPr>
                      <w:rFonts w:hint="eastAsia"/>
                      <w:bCs/>
                      <w:color w:val="auto"/>
                      <w:sz w:val="21"/>
                      <w:szCs w:val="21"/>
                      <w:highlight w:val="none"/>
                    </w:rPr>
                    <w:t>轮胎式装载机</w:t>
                  </w:r>
                </w:p>
              </w:tc>
              <w:tc>
                <w:tcPr>
                  <w:tcW w:w="509" w:type="pct"/>
                  <w:noWrap w:val="0"/>
                  <w:vAlign w:val="center"/>
                </w:tcPr>
                <w:p w14:paraId="0217F7F4">
                  <w:pPr>
                    <w:adjustRightInd w:val="0"/>
                    <w:snapToGrid w:val="0"/>
                    <w:spacing w:line="240" w:lineRule="atLeast"/>
                    <w:jc w:val="center"/>
                    <w:rPr>
                      <w:bCs/>
                      <w:color w:val="auto"/>
                      <w:sz w:val="21"/>
                      <w:szCs w:val="21"/>
                      <w:highlight w:val="none"/>
                    </w:rPr>
                  </w:pPr>
                  <w:r>
                    <w:rPr>
                      <w:rFonts w:hint="eastAsia"/>
                      <w:bCs/>
                      <w:color w:val="auto"/>
                      <w:sz w:val="21"/>
                      <w:szCs w:val="21"/>
                      <w:highlight w:val="none"/>
                    </w:rPr>
                    <w:t>75.2</w:t>
                  </w:r>
                </w:p>
              </w:tc>
              <w:tc>
                <w:tcPr>
                  <w:tcW w:w="510" w:type="pct"/>
                  <w:noWrap w:val="0"/>
                  <w:vAlign w:val="center"/>
                </w:tcPr>
                <w:p w14:paraId="239EA140">
                  <w:pPr>
                    <w:adjustRightInd w:val="0"/>
                    <w:snapToGrid w:val="0"/>
                    <w:spacing w:line="240" w:lineRule="atLeast"/>
                    <w:jc w:val="center"/>
                    <w:rPr>
                      <w:bCs/>
                      <w:color w:val="auto"/>
                      <w:sz w:val="21"/>
                      <w:szCs w:val="21"/>
                      <w:highlight w:val="none"/>
                    </w:rPr>
                  </w:pPr>
                  <w:r>
                    <w:rPr>
                      <w:rFonts w:hint="eastAsia"/>
                      <w:bCs/>
                      <w:color w:val="auto"/>
                      <w:sz w:val="21"/>
                      <w:szCs w:val="21"/>
                      <w:highlight w:val="none"/>
                    </w:rPr>
                    <w:t>69</w:t>
                  </w:r>
                </w:p>
              </w:tc>
              <w:tc>
                <w:tcPr>
                  <w:tcW w:w="510" w:type="pct"/>
                  <w:noWrap w:val="0"/>
                  <w:vAlign w:val="center"/>
                </w:tcPr>
                <w:p w14:paraId="7CD42BD1">
                  <w:pPr>
                    <w:adjustRightInd w:val="0"/>
                    <w:snapToGrid w:val="0"/>
                    <w:spacing w:line="240" w:lineRule="atLeast"/>
                    <w:jc w:val="center"/>
                    <w:rPr>
                      <w:bCs/>
                      <w:color w:val="auto"/>
                      <w:sz w:val="21"/>
                      <w:szCs w:val="21"/>
                      <w:highlight w:val="none"/>
                    </w:rPr>
                  </w:pPr>
                  <w:r>
                    <w:rPr>
                      <w:rFonts w:hint="eastAsia"/>
                      <w:bCs/>
                      <w:color w:val="auto"/>
                      <w:sz w:val="21"/>
                      <w:szCs w:val="21"/>
                      <w:highlight w:val="none"/>
                    </w:rPr>
                    <w:t>63</w:t>
                  </w:r>
                </w:p>
              </w:tc>
              <w:tc>
                <w:tcPr>
                  <w:tcW w:w="510" w:type="pct"/>
                  <w:noWrap w:val="0"/>
                  <w:vAlign w:val="center"/>
                </w:tcPr>
                <w:p w14:paraId="6605E3C1">
                  <w:pPr>
                    <w:adjustRightInd w:val="0"/>
                    <w:snapToGrid w:val="0"/>
                    <w:spacing w:line="240" w:lineRule="atLeast"/>
                    <w:jc w:val="center"/>
                    <w:rPr>
                      <w:bCs/>
                      <w:color w:val="auto"/>
                      <w:sz w:val="21"/>
                      <w:szCs w:val="21"/>
                      <w:highlight w:val="none"/>
                    </w:rPr>
                  </w:pPr>
                  <w:r>
                    <w:rPr>
                      <w:rFonts w:hint="eastAsia"/>
                      <w:bCs/>
                      <w:color w:val="auto"/>
                      <w:sz w:val="21"/>
                      <w:szCs w:val="21"/>
                      <w:highlight w:val="none"/>
                    </w:rPr>
                    <w:t>57</w:t>
                  </w:r>
                </w:p>
              </w:tc>
              <w:tc>
                <w:tcPr>
                  <w:tcW w:w="510" w:type="pct"/>
                  <w:noWrap w:val="0"/>
                  <w:vAlign w:val="center"/>
                </w:tcPr>
                <w:p w14:paraId="07D6CD45">
                  <w:pPr>
                    <w:adjustRightInd w:val="0"/>
                    <w:snapToGrid w:val="0"/>
                    <w:spacing w:line="240" w:lineRule="atLeast"/>
                    <w:jc w:val="center"/>
                    <w:rPr>
                      <w:bCs/>
                      <w:color w:val="auto"/>
                      <w:sz w:val="21"/>
                      <w:szCs w:val="21"/>
                      <w:highlight w:val="none"/>
                    </w:rPr>
                  </w:pPr>
                  <w:r>
                    <w:rPr>
                      <w:rFonts w:hint="eastAsia"/>
                      <w:bCs/>
                      <w:color w:val="auto"/>
                      <w:sz w:val="21"/>
                      <w:szCs w:val="21"/>
                      <w:highlight w:val="none"/>
                    </w:rPr>
                    <w:t>55</w:t>
                  </w:r>
                </w:p>
              </w:tc>
              <w:tc>
                <w:tcPr>
                  <w:tcW w:w="510" w:type="pct"/>
                  <w:noWrap w:val="0"/>
                  <w:vAlign w:val="center"/>
                </w:tcPr>
                <w:p w14:paraId="64727D4E">
                  <w:pPr>
                    <w:adjustRightInd w:val="0"/>
                    <w:snapToGrid w:val="0"/>
                    <w:spacing w:line="240" w:lineRule="atLeast"/>
                    <w:jc w:val="center"/>
                    <w:rPr>
                      <w:bCs/>
                      <w:color w:val="auto"/>
                      <w:sz w:val="21"/>
                      <w:szCs w:val="21"/>
                      <w:highlight w:val="none"/>
                    </w:rPr>
                  </w:pPr>
                  <w:r>
                    <w:rPr>
                      <w:rFonts w:hint="eastAsia"/>
                      <w:bCs/>
                      <w:color w:val="auto"/>
                      <w:sz w:val="21"/>
                      <w:szCs w:val="21"/>
                      <w:highlight w:val="none"/>
                    </w:rPr>
                    <w:t>49</w:t>
                  </w:r>
                </w:p>
              </w:tc>
              <w:tc>
                <w:tcPr>
                  <w:tcW w:w="510" w:type="pct"/>
                  <w:noWrap w:val="0"/>
                  <w:vAlign w:val="center"/>
                </w:tcPr>
                <w:p w14:paraId="0A8F1DF2">
                  <w:pPr>
                    <w:adjustRightInd w:val="0"/>
                    <w:snapToGrid w:val="0"/>
                    <w:spacing w:line="240" w:lineRule="atLeast"/>
                    <w:jc w:val="center"/>
                    <w:rPr>
                      <w:bCs/>
                      <w:color w:val="auto"/>
                      <w:sz w:val="21"/>
                      <w:szCs w:val="21"/>
                      <w:highlight w:val="none"/>
                    </w:rPr>
                  </w:pPr>
                  <w:r>
                    <w:rPr>
                      <w:rFonts w:hint="eastAsia"/>
                      <w:bCs/>
                      <w:color w:val="auto"/>
                      <w:sz w:val="21"/>
                      <w:szCs w:val="21"/>
                      <w:highlight w:val="none"/>
                    </w:rPr>
                    <w:t>45</w:t>
                  </w:r>
                </w:p>
              </w:tc>
              <w:tc>
                <w:tcPr>
                  <w:tcW w:w="516" w:type="pct"/>
                  <w:noWrap w:val="0"/>
                  <w:vAlign w:val="center"/>
                </w:tcPr>
                <w:p w14:paraId="1DE835C5">
                  <w:pPr>
                    <w:adjustRightInd w:val="0"/>
                    <w:snapToGrid w:val="0"/>
                    <w:spacing w:line="240" w:lineRule="atLeast"/>
                    <w:jc w:val="center"/>
                    <w:rPr>
                      <w:bCs/>
                      <w:color w:val="auto"/>
                      <w:sz w:val="21"/>
                      <w:szCs w:val="21"/>
                      <w:highlight w:val="none"/>
                    </w:rPr>
                  </w:pPr>
                  <w:r>
                    <w:rPr>
                      <w:rFonts w:hint="eastAsia"/>
                      <w:bCs/>
                      <w:color w:val="auto"/>
                      <w:sz w:val="21"/>
                      <w:szCs w:val="21"/>
                      <w:highlight w:val="none"/>
                    </w:rPr>
                    <w:t>43</w:t>
                  </w:r>
                </w:p>
              </w:tc>
            </w:tr>
            <w:tr w14:paraId="137F2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2" w:type="pct"/>
                  <w:noWrap w:val="0"/>
                  <w:vAlign w:val="center"/>
                </w:tcPr>
                <w:p w14:paraId="316733A6">
                  <w:pPr>
                    <w:adjustRightInd w:val="0"/>
                    <w:snapToGrid w:val="0"/>
                    <w:spacing w:line="240" w:lineRule="atLeast"/>
                    <w:jc w:val="center"/>
                    <w:rPr>
                      <w:bCs/>
                      <w:color w:val="auto"/>
                      <w:sz w:val="21"/>
                      <w:szCs w:val="21"/>
                      <w:highlight w:val="none"/>
                    </w:rPr>
                  </w:pPr>
                  <w:r>
                    <w:rPr>
                      <w:rFonts w:hint="eastAsia"/>
                      <w:bCs/>
                      <w:color w:val="auto"/>
                      <w:sz w:val="21"/>
                      <w:szCs w:val="21"/>
                      <w:highlight w:val="none"/>
                    </w:rPr>
                    <w:t>混凝土泵车</w:t>
                  </w:r>
                </w:p>
              </w:tc>
              <w:tc>
                <w:tcPr>
                  <w:tcW w:w="509" w:type="pct"/>
                  <w:noWrap w:val="0"/>
                  <w:vAlign w:val="center"/>
                </w:tcPr>
                <w:p w14:paraId="597EE8DA">
                  <w:pPr>
                    <w:adjustRightInd w:val="0"/>
                    <w:snapToGrid w:val="0"/>
                    <w:spacing w:line="240" w:lineRule="atLeast"/>
                    <w:jc w:val="center"/>
                    <w:rPr>
                      <w:bCs/>
                      <w:color w:val="auto"/>
                      <w:sz w:val="21"/>
                      <w:szCs w:val="21"/>
                      <w:highlight w:val="none"/>
                    </w:rPr>
                  </w:pPr>
                  <w:r>
                    <w:rPr>
                      <w:rFonts w:hint="eastAsia"/>
                      <w:bCs/>
                      <w:color w:val="auto"/>
                      <w:sz w:val="21"/>
                      <w:szCs w:val="21"/>
                      <w:highlight w:val="none"/>
                    </w:rPr>
                    <w:t>71.8</w:t>
                  </w:r>
                </w:p>
              </w:tc>
              <w:tc>
                <w:tcPr>
                  <w:tcW w:w="510" w:type="pct"/>
                  <w:noWrap w:val="0"/>
                  <w:vAlign w:val="center"/>
                </w:tcPr>
                <w:p w14:paraId="0A2C365F">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66</w:t>
                  </w:r>
                </w:p>
              </w:tc>
              <w:tc>
                <w:tcPr>
                  <w:tcW w:w="510" w:type="pct"/>
                  <w:noWrap w:val="0"/>
                  <w:vAlign w:val="center"/>
                </w:tcPr>
                <w:p w14:paraId="57BC8D58">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60</w:t>
                  </w:r>
                </w:p>
              </w:tc>
              <w:tc>
                <w:tcPr>
                  <w:tcW w:w="510" w:type="pct"/>
                  <w:noWrap w:val="0"/>
                  <w:vAlign w:val="center"/>
                </w:tcPr>
                <w:p w14:paraId="3DD3769C">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54</w:t>
                  </w:r>
                </w:p>
              </w:tc>
              <w:tc>
                <w:tcPr>
                  <w:tcW w:w="510" w:type="pct"/>
                  <w:noWrap w:val="0"/>
                  <w:vAlign w:val="center"/>
                </w:tcPr>
                <w:p w14:paraId="425D1DA6">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52</w:t>
                  </w:r>
                </w:p>
              </w:tc>
              <w:tc>
                <w:tcPr>
                  <w:tcW w:w="510" w:type="pct"/>
                  <w:noWrap w:val="0"/>
                  <w:vAlign w:val="center"/>
                </w:tcPr>
                <w:p w14:paraId="27F49C40">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46</w:t>
                  </w:r>
                </w:p>
              </w:tc>
              <w:tc>
                <w:tcPr>
                  <w:tcW w:w="510" w:type="pct"/>
                  <w:noWrap w:val="0"/>
                  <w:vAlign w:val="center"/>
                </w:tcPr>
                <w:p w14:paraId="57474629">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42</w:t>
                  </w:r>
                </w:p>
              </w:tc>
              <w:tc>
                <w:tcPr>
                  <w:tcW w:w="516" w:type="pct"/>
                  <w:noWrap w:val="0"/>
                  <w:vAlign w:val="center"/>
                </w:tcPr>
                <w:p w14:paraId="64252949">
                  <w:pPr>
                    <w:adjustRightInd w:val="0"/>
                    <w:snapToGrid w:val="0"/>
                    <w:spacing w:line="240" w:lineRule="atLeast"/>
                    <w:jc w:val="center"/>
                    <w:rPr>
                      <w:rFonts w:hint="eastAsia"/>
                      <w:bCs/>
                      <w:color w:val="auto"/>
                      <w:sz w:val="21"/>
                      <w:szCs w:val="21"/>
                      <w:highlight w:val="none"/>
                    </w:rPr>
                  </w:pPr>
                  <w:r>
                    <w:rPr>
                      <w:rFonts w:hint="eastAsia"/>
                      <w:bCs/>
                      <w:color w:val="auto"/>
                      <w:sz w:val="21"/>
                      <w:szCs w:val="21"/>
                      <w:highlight w:val="none"/>
                    </w:rPr>
                    <w:t>40</w:t>
                  </w:r>
                </w:p>
              </w:tc>
            </w:tr>
          </w:tbl>
          <w:p w14:paraId="0558E394">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根据</w:t>
            </w:r>
            <w:r>
              <w:rPr>
                <w:rFonts w:hint="default" w:ascii="Times New Roman" w:hAnsi="Times New Roman" w:eastAsia="宋体" w:cs="Times New Roman"/>
                <w:color w:val="auto"/>
                <w:sz w:val="24"/>
                <w:highlight w:val="none"/>
                <w:lang w:val="en-US" w:eastAsia="zh-CN"/>
              </w:rPr>
              <w:t>表4-2</w:t>
            </w:r>
            <w:r>
              <w:rPr>
                <w:rFonts w:hint="default" w:ascii="Times New Roman" w:hAnsi="Times New Roman" w:eastAsia="宋体" w:cs="Times New Roman"/>
                <w:color w:val="auto"/>
                <w:sz w:val="24"/>
                <w:highlight w:val="none"/>
                <w:lang w:eastAsia="zh-CN"/>
              </w:rPr>
              <w:t>计算</w:t>
            </w:r>
            <w:r>
              <w:rPr>
                <w:rFonts w:hint="default" w:ascii="Times New Roman" w:hAnsi="Times New Roman" w:eastAsia="宋体" w:cs="Times New Roman"/>
                <w:color w:val="auto"/>
                <w:sz w:val="24"/>
                <w:highlight w:val="none"/>
                <w:lang w:val="en-US" w:eastAsia="zh-CN"/>
              </w:rPr>
              <w:t>结果可知</w:t>
            </w:r>
            <w:r>
              <w:rPr>
                <w:rFonts w:hint="default" w:ascii="Times New Roman" w:hAnsi="Times New Roman" w:eastAsia="宋体" w:cs="Times New Roman"/>
                <w:color w:val="auto"/>
                <w:sz w:val="24"/>
                <w:highlight w:val="none"/>
                <w:lang w:eastAsia="zh-CN"/>
              </w:rPr>
              <w:t>，距离声源</w:t>
            </w:r>
            <w:r>
              <w:rPr>
                <w:rFonts w:hint="default"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lang w:eastAsia="zh-CN"/>
              </w:rPr>
              <w:t>m之外均可衰减至70dB(A)以下，</w:t>
            </w:r>
            <w:r>
              <w:rPr>
                <w:rFonts w:hint="default" w:ascii="Times New Roman" w:hAnsi="Times New Roman" w:eastAsia="宋体" w:cs="Times New Roman"/>
                <w:color w:val="auto"/>
                <w:sz w:val="24"/>
                <w:highlight w:val="none"/>
                <w:lang w:val="en-US" w:eastAsia="zh-CN"/>
              </w:rPr>
              <w:t>本项目施工区域距离施工场界距离为1</w:t>
            </w:r>
            <w:r>
              <w:rPr>
                <w:rFonts w:hint="eastAsia"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m，因此，</w:t>
            </w:r>
            <w:r>
              <w:rPr>
                <w:rFonts w:hint="default" w:ascii="Times New Roman" w:hAnsi="Times New Roman" w:eastAsia="宋体" w:cs="Times New Roman"/>
                <w:color w:val="auto"/>
                <w:sz w:val="24"/>
                <w:highlight w:val="none"/>
                <w:lang w:eastAsia="zh-CN"/>
              </w:rPr>
              <w:t>施工</w:t>
            </w:r>
            <w:r>
              <w:rPr>
                <w:rFonts w:hint="default" w:ascii="Times New Roman" w:hAnsi="Times New Roman" w:eastAsia="宋体" w:cs="Times New Roman"/>
                <w:color w:val="auto"/>
                <w:sz w:val="24"/>
                <w:highlight w:val="none"/>
                <w:lang w:val="en-US" w:eastAsia="zh-CN"/>
              </w:rPr>
              <w:t>噪声昼间贡献值可</w:t>
            </w:r>
            <w:r>
              <w:rPr>
                <w:rFonts w:hint="default" w:ascii="Times New Roman" w:hAnsi="Times New Roman" w:eastAsia="宋体" w:cs="Times New Roman"/>
                <w:color w:val="auto"/>
                <w:sz w:val="24"/>
                <w:highlight w:val="none"/>
                <w:lang w:eastAsia="zh-CN"/>
              </w:rPr>
              <w:t>满足《建筑施工噪声排放标准》（GB12523-20</w:t>
            </w:r>
            <w:r>
              <w:rPr>
                <w:rFonts w:hint="default" w:ascii="Times New Roman" w:hAnsi="Times New Roman" w:eastAsia="宋体" w:cs="Times New Roman"/>
                <w:color w:val="auto"/>
                <w:sz w:val="24"/>
                <w:highlight w:val="none"/>
                <w:lang w:val="en-US" w:eastAsia="zh-CN"/>
              </w:rPr>
              <w:t>25</w:t>
            </w:r>
            <w:r>
              <w:rPr>
                <w:rFonts w:hint="default" w:ascii="Times New Roman" w:hAnsi="Times New Roman" w:eastAsia="宋体" w:cs="Times New Roman"/>
                <w:color w:val="auto"/>
                <w:sz w:val="24"/>
                <w:highlight w:val="none"/>
                <w:lang w:eastAsia="zh-CN"/>
              </w:rPr>
              <w:t>）规定的标准限值要求</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昼间</w:t>
            </w:r>
            <w:r>
              <w:rPr>
                <w:rFonts w:hint="default" w:ascii="Times New Roman" w:hAnsi="Times New Roman" w:eastAsia="宋体" w:cs="Times New Roman"/>
                <w:color w:val="auto"/>
                <w:sz w:val="24"/>
                <w:highlight w:val="none"/>
                <w:lang w:val="en-US" w:eastAsia="zh-CN"/>
              </w:rPr>
              <w:t>70</w:t>
            </w:r>
            <w:r>
              <w:rPr>
                <w:rFonts w:hint="default" w:ascii="Times New Roman" w:hAnsi="Times New Roman" w:eastAsia="宋体" w:cs="Times New Roman"/>
                <w:color w:val="auto"/>
                <w:sz w:val="24"/>
                <w:highlight w:val="none"/>
                <w:lang w:eastAsia="zh-CN"/>
              </w:rPr>
              <w:t>dB(A)</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w:t>
            </w:r>
          </w:p>
          <w:p w14:paraId="0AD957E6">
            <w:pPr>
              <w:pStyle w:val="106"/>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highlight w:val="none"/>
                <w:lang w:eastAsia="zh-CN"/>
              </w:rPr>
              <w:t>③</w:t>
            </w:r>
            <w:r>
              <w:rPr>
                <w:rFonts w:hint="default" w:ascii="Times New Roman" w:hAnsi="Times New Roman" w:cs="Times New Roman"/>
                <w:color w:val="auto"/>
                <w:kern w:val="0"/>
                <w:sz w:val="24"/>
                <w:lang w:val="en-US" w:eastAsia="zh-CN"/>
              </w:rPr>
              <w:t>施工噪声对敏感目标的影响分析</w:t>
            </w:r>
          </w:p>
          <w:p w14:paraId="435C00D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color w:val="auto"/>
                <w:sz w:val="24"/>
                <w:highlight w:val="none"/>
                <w:lang w:val="en-US" w:eastAsia="zh-CN"/>
              </w:rPr>
              <w:t>本次评价对云雾山330千伏变电站声环境影响评价范围内的噪声敏感点进行噪声预测，预测结果见下表。</w:t>
            </w:r>
          </w:p>
          <w:p w14:paraId="2B4F3108">
            <w:pPr>
              <w:pStyle w:val="14"/>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w:t>
            </w:r>
            <w:r>
              <w:rPr>
                <w:rFonts w:hint="eastAsia" w:ascii="Times New Roman" w:hAnsi="Times New Roman"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 xml:space="preserve">  敏感点噪声预测结果  单位：dB(A)</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3253"/>
              <w:gridCol w:w="945"/>
              <w:gridCol w:w="1394"/>
              <w:gridCol w:w="1552"/>
            </w:tblGrid>
            <w:tr w14:paraId="310A1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76" w:type="dxa"/>
                  <w:vMerge w:val="restart"/>
                  <w:tcBorders>
                    <w:tl2br w:val="nil"/>
                    <w:tr2bl w:val="nil"/>
                  </w:tcBorders>
                  <w:noWrap w:val="0"/>
                  <w:vAlign w:val="center"/>
                </w:tcPr>
                <w:p w14:paraId="6D4BF63F">
                  <w:pPr>
                    <w:spacing w:line="240" w:lineRule="atLeast"/>
                    <w:jc w:val="center"/>
                    <w:rPr>
                      <w:rFonts w:hint="default" w:ascii="Times New Roman" w:hAnsi="Times New Roman" w:eastAsia="宋体" w:cs="Times New Roman"/>
                      <w:b/>
                      <w:bCs w:val="0"/>
                      <w:color w:val="auto"/>
                      <w:spacing w:val="0"/>
                      <w:sz w:val="21"/>
                      <w:szCs w:val="21"/>
                      <w:highlight w:val="none"/>
                      <w:lang w:eastAsia="zh-CN"/>
                    </w:rPr>
                  </w:pPr>
                  <w:r>
                    <w:rPr>
                      <w:rFonts w:hint="default" w:ascii="Times New Roman" w:hAnsi="Times New Roman" w:eastAsia="宋体" w:cs="Times New Roman"/>
                      <w:b/>
                      <w:bCs w:val="0"/>
                      <w:color w:val="auto"/>
                      <w:spacing w:val="0"/>
                      <w:sz w:val="21"/>
                      <w:szCs w:val="21"/>
                      <w:highlight w:val="none"/>
                      <w:lang w:val="en-US" w:eastAsia="zh-CN"/>
                    </w:rPr>
                    <w:t>序号</w:t>
                  </w:r>
                </w:p>
              </w:tc>
              <w:tc>
                <w:tcPr>
                  <w:tcW w:w="3253" w:type="dxa"/>
                  <w:vMerge w:val="restart"/>
                  <w:tcBorders>
                    <w:tl2br w:val="nil"/>
                    <w:tr2bl w:val="nil"/>
                  </w:tcBorders>
                  <w:noWrap w:val="0"/>
                  <w:vAlign w:val="center"/>
                </w:tcPr>
                <w:p w14:paraId="3323F16A">
                  <w:pPr>
                    <w:spacing w:line="240" w:lineRule="atLeast"/>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预测位置</w:t>
                  </w:r>
                </w:p>
              </w:tc>
              <w:tc>
                <w:tcPr>
                  <w:tcW w:w="945" w:type="dxa"/>
                  <w:vMerge w:val="restart"/>
                  <w:tcBorders>
                    <w:tl2br w:val="nil"/>
                    <w:tr2bl w:val="nil"/>
                  </w:tcBorders>
                  <w:noWrap w:val="0"/>
                  <w:vAlign w:val="center"/>
                </w:tcPr>
                <w:p w14:paraId="67AFFED4">
                  <w:pPr>
                    <w:spacing w:line="240" w:lineRule="atLeast"/>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贡献值</w:t>
                  </w:r>
                </w:p>
              </w:tc>
              <w:tc>
                <w:tcPr>
                  <w:tcW w:w="1394" w:type="dxa"/>
                  <w:tcBorders>
                    <w:tl2br w:val="nil"/>
                    <w:tr2bl w:val="nil"/>
                  </w:tcBorders>
                  <w:noWrap w:val="0"/>
                  <w:vAlign w:val="center"/>
                </w:tcPr>
                <w:p w14:paraId="28761B22">
                  <w:pPr>
                    <w:spacing w:line="240" w:lineRule="atLeast"/>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现状值</w:t>
                  </w:r>
                </w:p>
              </w:tc>
              <w:tc>
                <w:tcPr>
                  <w:tcW w:w="1552" w:type="dxa"/>
                  <w:tcBorders>
                    <w:tl2br w:val="nil"/>
                    <w:tr2bl w:val="nil"/>
                  </w:tcBorders>
                  <w:noWrap w:val="0"/>
                  <w:vAlign w:val="center"/>
                </w:tcPr>
                <w:p w14:paraId="499A7B3F">
                  <w:pPr>
                    <w:spacing w:line="240" w:lineRule="atLeast"/>
                    <w:jc w:val="center"/>
                    <w:rPr>
                      <w:rFonts w:hint="default" w:ascii="Times New Roman" w:hAnsi="Times New Roman" w:eastAsia="宋体" w:cs="Times New Roman"/>
                      <w:b/>
                      <w:bCs w:val="0"/>
                      <w:color w:val="auto"/>
                      <w:spacing w:val="0"/>
                      <w:sz w:val="21"/>
                      <w:szCs w:val="21"/>
                      <w:highlight w:val="none"/>
                      <w:lang w:eastAsia="zh-CN"/>
                    </w:rPr>
                  </w:pPr>
                  <w:r>
                    <w:rPr>
                      <w:rFonts w:hint="default" w:ascii="Times New Roman" w:hAnsi="Times New Roman" w:eastAsia="宋体" w:cs="Times New Roman"/>
                      <w:b/>
                      <w:bCs w:val="0"/>
                      <w:color w:val="auto"/>
                      <w:spacing w:val="0"/>
                      <w:sz w:val="21"/>
                      <w:szCs w:val="21"/>
                      <w:highlight w:val="none"/>
                      <w:lang w:val="en-US" w:eastAsia="zh-CN"/>
                    </w:rPr>
                    <w:t>预测值</w:t>
                  </w:r>
                </w:p>
              </w:tc>
            </w:tr>
            <w:tr w14:paraId="3FE17F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076" w:type="dxa"/>
                  <w:vMerge w:val="continue"/>
                  <w:tcBorders>
                    <w:tl2br w:val="nil"/>
                    <w:tr2bl w:val="nil"/>
                  </w:tcBorders>
                  <w:noWrap w:val="0"/>
                  <w:vAlign w:val="center"/>
                </w:tcPr>
                <w:p w14:paraId="6F10DD9E">
                  <w:pPr>
                    <w:spacing w:line="240" w:lineRule="atLeast"/>
                    <w:jc w:val="center"/>
                    <w:rPr>
                      <w:rFonts w:hint="default" w:ascii="Times New Roman" w:hAnsi="Times New Roman" w:eastAsia="宋体" w:cs="Times New Roman"/>
                      <w:b/>
                      <w:bCs w:val="0"/>
                      <w:color w:val="auto"/>
                      <w:spacing w:val="0"/>
                      <w:sz w:val="21"/>
                      <w:szCs w:val="21"/>
                      <w:highlight w:val="none"/>
                    </w:rPr>
                  </w:pPr>
                </w:p>
              </w:tc>
              <w:tc>
                <w:tcPr>
                  <w:tcW w:w="3253" w:type="dxa"/>
                  <w:vMerge w:val="continue"/>
                  <w:tcBorders>
                    <w:tl2br w:val="nil"/>
                    <w:tr2bl w:val="nil"/>
                  </w:tcBorders>
                  <w:noWrap w:val="0"/>
                  <w:vAlign w:val="center"/>
                </w:tcPr>
                <w:p w14:paraId="3D1AB8A1">
                  <w:pPr>
                    <w:spacing w:line="240" w:lineRule="atLeast"/>
                    <w:jc w:val="center"/>
                    <w:rPr>
                      <w:rFonts w:hint="default" w:ascii="Times New Roman" w:hAnsi="Times New Roman" w:eastAsia="宋体" w:cs="Times New Roman"/>
                      <w:b/>
                      <w:bCs w:val="0"/>
                      <w:color w:val="auto"/>
                      <w:spacing w:val="0"/>
                      <w:sz w:val="21"/>
                      <w:szCs w:val="21"/>
                      <w:highlight w:val="none"/>
                    </w:rPr>
                  </w:pPr>
                </w:p>
              </w:tc>
              <w:tc>
                <w:tcPr>
                  <w:tcW w:w="945" w:type="dxa"/>
                  <w:vMerge w:val="continue"/>
                  <w:tcBorders>
                    <w:tl2br w:val="nil"/>
                    <w:tr2bl w:val="nil"/>
                  </w:tcBorders>
                  <w:noWrap w:val="0"/>
                  <w:vAlign w:val="center"/>
                </w:tcPr>
                <w:p w14:paraId="41C5DCBF">
                  <w:pPr>
                    <w:spacing w:line="240" w:lineRule="atLeast"/>
                    <w:jc w:val="center"/>
                    <w:rPr>
                      <w:rFonts w:hint="default" w:ascii="Times New Roman" w:hAnsi="Times New Roman" w:eastAsia="宋体" w:cs="Times New Roman"/>
                      <w:b/>
                      <w:bCs w:val="0"/>
                      <w:color w:val="auto"/>
                      <w:spacing w:val="0"/>
                      <w:sz w:val="21"/>
                      <w:szCs w:val="21"/>
                      <w:highlight w:val="none"/>
                    </w:rPr>
                  </w:pPr>
                </w:p>
              </w:tc>
              <w:tc>
                <w:tcPr>
                  <w:tcW w:w="1394" w:type="dxa"/>
                  <w:tcBorders>
                    <w:tl2br w:val="nil"/>
                    <w:tr2bl w:val="nil"/>
                  </w:tcBorders>
                  <w:noWrap w:val="0"/>
                  <w:vAlign w:val="center"/>
                </w:tcPr>
                <w:p w14:paraId="1ACA306D">
                  <w:pPr>
                    <w:spacing w:line="240" w:lineRule="atLeast"/>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昼间</w:t>
                  </w:r>
                </w:p>
              </w:tc>
              <w:tc>
                <w:tcPr>
                  <w:tcW w:w="1552" w:type="dxa"/>
                  <w:tcBorders>
                    <w:tl2br w:val="nil"/>
                    <w:tr2bl w:val="nil"/>
                  </w:tcBorders>
                  <w:noWrap w:val="0"/>
                  <w:vAlign w:val="center"/>
                </w:tcPr>
                <w:p w14:paraId="5605B373">
                  <w:pPr>
                    <w:spacing w:line="240" w:lineRule="atLeast"/>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昼间</w:t>
                  </w:r>
                </w:p>
              </w:tc>
            </w:tr>
            <w:tr w14:paraId="358AF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9" w:hRule="atLeast"/>
                <w:jc w:val="center"/>
              </w:trPr>
              <w:tc>
                <w:tcPr>
                  <w:tcW w:w="1076" w:type="dxa"/>
                  <w:tcBorders>
                    <w:tl2br w:val="nil"/>
                    <w:tr2bl w:val="nil"/>
                  </w:tcBorders>
                  <w:noWrap w:val="0"/>
                  <w:vAlign w:val="center"/>
                </w:tcPr>
                <w:p w14:paraId="2115F3AD">
                  <w:pPr>
                    <w:pStyle w:val="77"/>
                    <w:spacing w:line="240" w:lineRule="atLeast"/>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1</w:t>
                  </w:r>
                </w:p>
              </w:tc>
              <w:tc>
                <w:tcPr>
                  <w:tcW w:w="3253" w:type="dxa"/>
                  <w:tcBorders>
                    <w:tl2br w:val="nil"/>
                    <w:tr2bl w:val="nil"/>
                  </w:tcBorders>
                  <w:noWrap w:val="0"/>
                  <w:vAlign w:val="center"/>
                </w:tcPr>
                <w:p w14:paraId="76F1A00C">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变电站</w:t>
                  </w:r>
                  <w:r>
                    <w:rPr>
                      <w:rFonts w:hint="eastAsia" w:cs="Times New Roman"/>
                      <w:color w:val="auto"/>
                      <w:sz w:val="21"/>
                      <w:szCs w:val="21"/>
                      <w:highlight w:val="none"/>
                      <w:lang w:val="en-US" w:eastAsia="zh-CN"/>
                    </w:rPr>
                    <w:t>西</w:t>
                  </w:r>
                  <w:r>
                    <w:rPr>
                      <w:rFonts w:hint="default" w:ascii="Times New Roman" w:hAnsi="Times New Roman" w:eastAsia="宋体" w:cs="Times New Roman"/>
                      <w:color w:val="auto"/>
                      <w:sz w:val="21"/>
                      <w:szCs w:val="21"/>
                      <w:highlight w:val="none"/>
                      <w:lang w:val="en-US" w:eastAsia="zh-CN"/>
                    </w:rPr>
                    <w:t>北侧</w:t>
                  </w:r>
                  <w:r>
                    <w:rPr>
                      <w:rFonts w:hint="eastAsia" w:cs="Times New Roman"/>
                      <w:color w:val="auto"/>
                      <w:sz w:val="21"/>
                      <w:szCs w:val="21"/>
                      <w:highlight w:val="none"/>
                      <w:lang w:val="en-US" w:eastAsia="zh-CN"/>
                    </w:rPr>
                    <w:t>163m处</w:t>
                  </w:r>
                  <w:r>
                    <w:rPr>
                      <w:rFonts w:hint="default" w:ascii="Times New Roman" w:hAnsi="Times New Roman" w:eastAsia="宋体" w:cs="Times New Roman"/>
                      <w:color w:val="auto"/>
                      <w:sz w:val="21"/>
                      <w:szCs w:val="21"/>
                      <w:highlight w:val="none"/>
                      <w:lang w:val="en-US" w:eastAsia="zh-CN"/>
                    </w:rPr>
                    <w:t>黄明子家</w:t>
                  </w:r>
                </w:p>
              </w:tc>
              <w:tc>
                <w:tcPr>
                  <w:tcW w:w="945" w:type="dxa"/>
                  <w:tcBorders>
                    <w:tl2br w:val="nil"/>
                    <w:tr2bl w:val="nil"/>
                  </w:tcBorders>
                  <w:noWrap w:val="0"/>
                  <w:vAlign w:val="center"/>
                </w:tcPr>
                <w:p w14:paraId="793620CC">
                  <w:pPr>
                    <w:keepNext w:val="0"/>
                    <w:keepLines w:val="0"/>
                    <w:widowControl/>
                    <w:suppressLineNumbers w:val="0"/>
                    <w:jc w:val="center"/>
                    <w:textAlignment w:val="center"/>
                    <w:rPr>
                      <w:rFonts w:hint="default" w:ascii="Times New Roman" w:hAnsi="Times New Roman" w:eastAsia="宋体" w:cs="Times New Roman"/>
                      <w:b w:val="0"/>
                      <w:bCs w:val="0"/>
                      <w:color w:val="auto"/>
                      <w:spacing w:val="0"/>
                      <w:sz w:val="21"/>
                      <w:szCs w:val="21"/>
                      <w:highlight w:val="yellow"/>
                      <w:lang w:val="en-US" w:eastAsia="zh-CN"/>
                    </w:rPr>
                  </w:pPr>
                  <w:r>
                    <w:rPr>
                      <w:rFonts w:hint="eastAsia" w:cs="Times New Roman"/>
                      <w:b w:val="0"/>
                      <w:bCs w:val="0"/>
                      <w:color w:val="auto"/>
                      <w:spacing w:val="0"/>
                      <w:sz w:val="21"/>
                      <w:szCs w:val="21"/>
                      <w:highlight w:val="none"/>
                      <w:lang w:val="en-US" w:eastAsia="zh-CN"/>
                    </w:rPr>
                    <w:t>34</w:t>
                  </w:r>
                </w:p>
              </w:tc>
              <w:tc>
                <w:tcPr>
                  <w:tcW w:w="1394" w:type="dxa"/>
                  <w:tcBorders>
                    <w:tl2br w:val="nil"/>
                    <w:tr2bl w:val="nil"/>
                  </w:tcBorders>
                  <w:noWrap w:val="0"/>
                  <w:vAlign w:val="center"/>
                </w:tcPr>
                <w:p w14:paraId="1F9F8151">
                  <w:pPr>
                    <w:keepNext w:val="0"/>
                    <w:keepLines w:val="0"/>
                    <w:pageBreakBefore w:val="0"/>
                    <w:kinsoku/>
                    <w:wordWrap/>
                    <w:overflowPunct/>
                    <w:topLinePunct w:val="0"/>
                    <w:autoSpaceDE/>
                    <w:autoSpaceDN/>
                    <w:bidi w:val="0"/>
                    <w:adjustRightInd/>
                    <w:snapToGrid/>
                    <w:spacing w:line="240" w:lineRule="auto"/>
                    <w:jc w:val="center"/>
                    <w:textAlignment w:val="auto"/>
                    <w:rPr>
                      <w:rStyle w:val="62"/>
                      <w:rFonts w:hint="default" w:ascii="Times New Roman" w:hAnsi="Times New Roman" w:eastAsia="宋体" w:cs="Times New Roman"/>
                      <w:b w:val="0"/>
                      <w:bCs w:val="0"/>
                      <w:color w:val="auto"/>
                      <w:spacing w:val="0"/>
                      <w:sz w:val="21"/>
                      <w:szCs w:val="21"/>
                      <w:highlight w:val="none"/>
                      <w:lang w:val="en-US" w:eastAsia="zh-CN"/>
                    </w:rPr>
                  </w:pPr>
                  <w:r>
                    <w:rPr>
                      <w:rStyle w:val="62"/>
                      <w:rFonts w:hint="eastAsia" w:ascii="Times New Roman" w:hAnsi="Times New Roman" w:eastAsia="宋体" w:cs="Times New Roman"/>
                      <w:b w:val="0"/>
                      <w:bCs w:val="0"/>
                      <w:color w:val="auto"/>
                      <w:spacing w:val="0"/>
                      <w:sz w:val="21"/>
                      <w:szCs w:val="21"/>
                      <w:highlight w:val="none"/>
                      <w:lang w:val="en-US" w:eastAsia="zh-CN"/>
                    </w:rPr>
                    <w:t>43</w:t>
                  </w:r>
                </w:p>
              </w:tc>
              <w:tc>
                <w:tcPr>
                  <w:tcW w:w="1552" w:type="dxa"/>
                  <w:tcBorders>
                    <w:tl2br w:val="nil"/>
                    <w:tr2bl w:val="nil"/>
                  </w:tcBorders>
                  <w:noWrap w:val="0"/>
                  <w:vAlign w:val="center"/>
                </w:tcPr>
                <w:p w14:paraId="6386F960">
                  <w:pPr>
                    <w:keepNext w:val="0"/>
                    <w:keepLines w:val="0"/>
                    <w:widowControl/>
                    <w:suppressLineNumbers w:val="0"/>
                    <w:jc w:val="center"/>
                    <w:textAlignment w:val="center"/>
                    <w:rPr>
                      <w:rFonts w:hint="default" w:ascii="Times New Roman" w:hAnsi="Times New Roman" w:eastAsia="宋体" w:cs="Times New Roman"/>
                      <w:b w:val="0"/>
                      <w:bCs w:val="0"/>
                      <w:color w:val="auto"/>
                      <w:spacing w:val="0"/>
                      <w:kern w:val="0"/>
                      <w:sz w:val="21"/>
                      <w:szCs w:val="21"/>
                      <w:highlight w:val="none"/>
                      <w:lang w:val="en-US" w:eastAsia="zh-CN"/>
                    </w:rPr>
                  </w:pPr>
                  <w:r>
                    <w:rPr>
                      <w:rFonts w:hint="eastAsia" w:ascii="Times New Roman" w:hAnsi="Times New Roman" w:eastAsia="宋体" w:cs="Times New Roman"/>
                      <w:b w:val="0"/>
                      <w:bCs w:val="0"/>
                      <w:color w:val="auto"/>
                      <w:spacing w:val="0"/>
                      <w:kern w:val="0"/>
                      <w:sz w:val="21"/>
                      <w:szCs w:val="21"/>
                      <w:highlight w:val="none"/>
                      <w:lang w:val="en-US" w:eastAsia="zh-CN"/>
                    </w:rPr>
                    <w:t>4</w:t>
                  </w:r>
                  <w:r>
                    <w:rPr>
                      <w:rFonts w:hint="eastAsia" w:cs="Times New Roman"/>
                      <w:b w:val="0"/>
                      <w:bCs w:val="0"/>
                      <w:color w:val="auto"/>
                      <w:spacing w:val="0"/>
                      <w:kern w:val="0"/>
                      <w:sz w:val="21"/>
                      <w:szCs w:val="21"/>
                      <w:highlight w:val="none"/>
                      <w:lang w:val="en-US" w:eastAsia="zh-CN"/>
                    </w:rPr>
                    <w:t>4</w:t>
                  </w:r>
                </w:p>
              </w:tc>
            </w:tr>
            <w:tr w14:paraId="7C99D4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9" w:hRule="atLeast"/>
                <w:jc w:val="center"/>
              </w:trPr>
              <w:tc>
                <w:tcPr>
                  <w:tcW w:w="1076" w:type="dxa"/>
                  <w:tcBorders>
                    <w:tl2br w:val="nil"/>
                    <w:tr2bl w:val="nil"/>
                  </w:tcBorders>
                  <w:noWrap w:val="0"/>
                  <w:vAlign w:val="center"/>
                </w:tcPr>
                <w:p w14:paraId="756989E9">
                  <w:pPr>
                    <w:pStyle w:val="77"/>
                    <w:spacing w:line="240" w:lineRule="atLeast"/>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2</w:t>
                  </w:r>
                </w:p>
              </w:tc>
              <w:tc>
                <w:tcPr>
                  <w:tcW w:w="3253" w:type="dxa"/>
                  <w:tcBorders>
                    <w:tl2br w:val="nil"/>
                    <w:tr2bl w:val="nil"/>
                  </w:tcBorders>
                  <w:noWrap w:val="0"/>
                  <w:vAlign w:val="center"/>
                </w:tcPr>
                <w:p w14:paraId="25175F30">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变电站西北侧</w:t>
                  </w:r>
                  <w:r>
                    <w:rPr>
                      <w:rFonts w:hint="eastAsia" w:cs="Times New Roman"/>
                      <w:color w:val="auto"/>
                      <w:sz w:val="21"/>
                      <w:szCs w:val="21"/>
                      <w:highlight w:val="none"/>
                      <w:lang w:val="en-US" w:eastAsia="zh-CN"/>
                    </w:rPr>
                    <w:t>180m处</w:t>
                  </w:r>
                  <w:r>
                    <w:rPr>
                      <w:rFonts w:hint="default" w:ascii="Times New Roman" w:hAnsi="Times New Roman" w:eastAsia="宋体" w:cs="Times New Roman"/>
                      <w:color w:val="auto"/>
                      <w:sz w:val="21"/>
                      <w:szCs w:val="21"/>
                      <w:highlight w:val="none"/>
                      <w:lang w:val="en-US" w:eastAsia="zh-CN"/>
                    </w:rPr>
                    <w:t>黄正吉家</w:t>
                  </w:r>
                </w:p>
              </w:tc>
              <w:tc>
                <w:tcPr>
                  <w:tcW w:w="945" w:type="dxa"/>
                  <w:tcBorders>
                    <w:tl2br w:val="nil"/>
                    <w:tr2bl w:val="nil"/>
                  </w:tcBorders>
                  <w:noWrap w:val="0"/>
                  <w:vAlign w:val="center"/>
                </w:tcPr>
                <w:p w14:paraId="6139722A">
                  <w:pPr>
                    <w:keepNext w:val="0"/>
                    <w:keepLines w:val="0"/>
                    <w:widowControl/>
                    <w:suppressLineNumbers w:val="0"/>
                    <w:jc w:val="center"/>
                    <w:textAlignment w:val="center"/>
                    <w:rPr>
                      <w:rFonts w:hint="default" w:ascii="Times New Roman" w:hAnsi="Times New Roman" w:eastAsia="宋体" w:cs="Times New Roman"/>
                      <w:b w:val="0"/>
                      <w:bCs w:val="0"/>
                      <w:color w:val="auto"/>
                      <w:spacing w:val="0"/>
                      <w:sz w:val="21"/>
                      <w:szCs w:val="21"/>
                      <w:highlight w:val="none"/>
                      <w:lang w:val="en-US" w:eastAsia="zh-CN"/>
                    </w:rPr>
                  </w:pPr>
                  <w:r>
                    <w:rPr>
                      <w:rFonts w:hint="eastAsia" w:cs="Times New Roman"/>
                      <w:b w:val="0"/>
                      <w:bCs w:val="0"/>
                      <w:color w:val="auto"/>
                      <w:spacing w:val="0"/>
                      <w:sz w:val="21"/>
                      <w:szCs w:val="21"/>
                      <w:highlight w:val="none"/>
                      <w:lang w:val="en-US" w:eastAsia="zh-CN"/>
                    </w:rPr>
                    <w:t>33</w:t>
                  </w:r>
                </w:p>
              </w:tc>
              <w:tc>
                <w:tcPr>
                  <w:tcW w:w="1394" w:type="dxa"/>
                  <w:tcBorders>
                    <w:tl2br w:val="nil"/>
                    <w:tr2bl w:val="nil"/>
                  </w:tcBorders>
                  <w:noWrap w:val="0"/>
                  <w:vAlign w:val="center"/>
                </w:tcPr>
                <w:p w14:paraId="13B5025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42</w:t>
                  </w:r>
                </w:p>
              </w:tc>
              <w:tc>
                <w:tcPr>
                  <w:tcW w:w="1552" w:type="dxa"/>
                  <w:tcBorders>
                    <w:tl2br w:val="nil"/>
                    <w:tr2bl w:val="nil"/>
                  </w:tcBorders>
                  <w:noWrap w:val="0"/>
                  <w:vAlign w:val="center"/>
                </w:tcPr>
                <w:p w14:paraId="64D22F18">
                  <w:pPr>
                    <w:keepNext w:val="0"/>
                    <w:keepLines w:val="0"/>
                    <w:widowControl/>
                    <w:suppressLineNumbers w:val="0"/>
                    <w:jc w:val="center"/>
                    <w:textAlignment w:val="center"/>
                    <w:rPr>
                      <w:rFonts w:hint="default" w:ascii="Times New Roman" w:hAnsi="Times New Roman" w:eastAsia="宋体" w:cs="Times New Roman"/>
                      <w:b w:val="0"/>
                      <w:bCs w:val="0"/>
                      <w:color w:val="auto"/>
                      <w:spacing w:val="0"/>
                      <w:kern w:val="0"/>
                      <w:sz w:val="21"/>
                      <w:szCs w:val="21"/>
                      <w:highlight w:val="none"/>
                      <w:lang w:val="en-US" w:eastAsia="zh-CN"/>
                    </w:rPr>
                  </w:pPr>
                  <w:r>
                    <w:rPr>
                      <w:rFonts w:hint="eastAsia" w:ascii="Times New Roman" w:hAnsi="Times New Roman" w:eastAsia="宋体" w:cs="Times New Roman"/>
                      <w:b w:val="0"/>
                      <w:bCs w:val="0"/>
                      <w:color w:val="auto"/>
                      <w:spacing w:val="0"/>
                      <w:kern w:val="0"/>
                      <w:sz w:val="21"/>
                      <w:szCs w:val="21"/>
                      <w:highlight w:val="none"/>
                      <w:lang w:val="en-US" w:eastAsia="zh-CN"/>
                    </w:rPr>
                    <w:t>4</w:t>
                  </w:r>
                  <w:r>
                    <w:rPr>
                      <w:rFonts w:hint="eastAsia" w:cs="Times New Roman"/>
                      <w:b w:val="0"/>
                      <w:bCs w:val="0"/>
                      <w:color w:val="auto"/>
                      <w:spacing w:val="0"/>
                      <w:kern w:val="0"/>
                      <w:sz w:val="21"/>
                      <w:szCs w:val="21"/>
                      <w:highlight w:val="none"/>
                      <w:lang w:val="en-US" w:eastAsia="zh-CN"/>
                    </w:rPr>
                    <w:t>3</w:t>
                  </w:r>
                </w:p>
              </w:tc>
            </w:tr>
            <w:tr w14:paraId="5848BE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9" w:hRule="atLeast"/>
                <w:jc w:val="center"/>
              </w:trPr>
              <w:tc>
                <w:tcPr>
                  <w:tcW w:w="1076" w:type="dxa"/>
                  <w:tcBorders>
                    <w:tl2br w:val="nil"/>
                    <w:tr2bl w:val="nil"/>
                  </w:tcBorders>
                  <w:noWrap w:val="0"/>
                  <w:vAlign w:val="center"/>
                </w:tcPr>
                <w:p w14:paraId="0ACA713D">
                  <w:pPr>
                    <w:pStyle w:val="77"/>
                    <w:spacing w:line="240" w:lineRule="atLeast"/>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3</w:t>
                  </w:r>
                </w:p>
              </w:tc>
              <w:tc>
                <w:tcPr>
                  <w:tcW w:w="3253" w:type="dxa"/>
                  <w:tcBorders>
                    <w:tl2br w:val="nil"/>
                    <w:tr2bl w:val="nil"/>
                  </w:tcBorders>
                  <w:noWrap w:val="0"/>
                  <w:vAlign w:val="center"/>
                </w:tcPr>
                <w:p w14:paraId="62BBB903">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变电站西北侧</w:t>
                  </w:r>
                  <w:r>
                    <w:rPr>
                      <w:rFonts w:hint="eastAsia" w:cs="Times New Roman"/>
                      <w:color w:val="auto"/>
                      <w:sz w:val="21"/>
                      <w:szCs w:val="21"/>
                      <w:highlight w:val="none"/>
                      <w:lang w:val="en-US" w:eastAsia="zh-CN"/>
                    </w:rPr>
                    <w:t>172m处</w:t>
                  </w:r>
                  <w:r>
                    <w:rPr>
                      <w:rFonts w:hint="default" w:ascii="Times New Roman" w:hAnsi="Times New Roman" w:eastAsia="宋体" w:cs="Times New Roman"/>
                      <w:color w:val="auto"/>
                      <w:sz w:val="21"/>
                      <w:szCs w:val="21"/>
                      <w:highlight w:val="none"/>
                      <w:lang w:val="en-US" w:eastAsia="zh-CN"/>
                    </w:rPr>
                    <w:t>黄玉小家</w:t>
                  </w:r>
                </w:p>
              </w:tc>
              <w:tc>
                <w:tcPr>
                  <w:tcW w:w="945" w:type="dxa"/>
                  <w:tcBorders>
                    <w:tl2br w:val="nil"/>
                    <w:tr2bl w:val="nil"/>
                  </w:tcBorders>
                  <w:noWrap w:val="0"/>
                  <w:vAlign w:val="center"/>
                </w:tcPr>
                <w:p w14:paraId="16582129">
                  <w:pPr>
                    <w:keepNext w:val="0"/>
                    <w:keepLines w:val="0"/>
                    <w:widowControl/>
                    <w:suppressLineNumbers w:val="0"/>
                    <w:jc w:val="center"/>
                    <w:textAlignment w:val="center"/>
                    <w:rPr>
                      <w:rFonts w:hint="default" w:ascii="Times New Roman" w:hAnsi="Times New Roman" w:eastAsia="宋体" w:cs="Times New Roman"/>
                      <w:b w:val="0"/>
                      <w:bCs w:val="0"/>
                      <w:color w:val="auto"/>
                      <w:spacing w:val="0"/>
                      <w:sz w:val="21"/>
                      <w:szCs w:val="21"/>
                      <w:highlight w:val="none"/>
                      <w:lang w:val="en-US" w:eastAsia="zh-CN"/>
                    </w:rPr>
                  </w:pPr>
                  <w:r>
                    <w:rPr>
                      <w:rFonts w:hint="eastAsia" w:cs="Times New Roman"/>
                      <w:b w:val="0"/>
                      <w:bCs w:val="0"/>
                      <w:color w:val="auto"/>
                      <w:spacing w:val="0"/>
                      <w:sz w:val="21"/>
                      <w:szCs w:val="21"/>
                      <w:highlight w:val="none"/>
                      <w:lang w:val="en-US" w:eastAsia="zh-CN"/>
                    </w:rPr>
                    <w:t>34</w:t>
                  </w:r>
                </w:p>
              </w:tc>
              <w:tc>
                <w:tcPr>
                  <w:tcW w:w="1394" w:type="dxa"/>
                  <w:tcBorders>
                    <w:tl2br w:val="nil"/>
                    <w:tr2bl w:val="nil"/>
                  </w:tcBorders>
                  <w:noWrap w:val="0"/>
                  <w:vAlign w:val="center"/>
                </w:tcPr>
                <w:p w14:paraId="6637A01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42</w:t>
                  </w:r>
                </w:p>
              </w:tc>
              <w:tc>
                <w:tcPr>
                  <w:tcW w:w="1552" w:type="dxa"/>
                  <w:tcBorders>
                    <w:tl2br w:val="nil"/>
                    <w:tr2bl w:val="nil"/>
                  </w:tcBorders>
                  <w:noWrap w:val="0"/>
                  <w:vAlign w:val="center"/>
                </w:tcPr>
                <w:p w14:paraId="7FEB1447">
                  <w:pPr>
                    <w:keepNext w:val="0"/>
                    <w:keepLines w:val="0"/>
                    <w:widowControl/>
                    <w:suppressLineNumbers w:val="0"/>
                    <w:jc w:val="center"/>
                    <w:textAlignment w:val="center"/>
                    <w:rPr>
                      <w:rFonts w:hint="default" w:ascii="Times New Roman" w:hAnsi="Times New Roman" w:eastAsia="宋体" w:cs="Times New Roman"/>
                      <w:b w:val="0"/>
                      <w:bCs w:val="0"/>
                      <w:color w:val="auto"/>
                      <w:spacing w:val="0"/>
                      <w:kern w:val="0"/>
                      <w:sz w:val="21"/>
                      <w:szCs w:val="21"/>
                      <w:highlight w:val="none"/>
                      <w:lang w:val="en-US" w:eastAsia="zh-CN"/>
                    </w:rPr>
                  </w:pPr>
                  <w:r>
                    <w:rPr>
                      <w:rFonts w:hint="eastAsia" w:ascii="Times New Roman" w:hAnsi="Times New Roman" w:eastAsia="宋体" w:cs="Times New Roman"/>
                      <w:b w:val="0"/>
                      <w:bCs w:val="0"/>
                      <w:color w:val="auto"/>
                      <w:spacing w:val="0"/>
                      <w:kern w:val="0"/>
                      <w:sz w:val="21"/>
                      <w:szCs w:val="21"/>
                      <w:highlight w:val="none"/>
                      <w:lang w:val="en-US" w:eastAsia="zh-CN"/>
                    </w:rPr>
                    <w:t>4</w:t>
                  </w:r>
                  <w:r>
                    <w:rPr>
                      <w:rFonts w:hint="eastAsia" w:cs="Times New Roman"/>
                      <w:b w:val="0"/>
                      <w:bCs w:val="0"/>
                      <w:color w:val="auto"/>
                      <w:spacing w:val="0"/>
                      <w:kern w:val="0"/>
                      <w:sz w:val="21"/>
                      <w:szCs w:val="21"/>
                      <w:highlight w:val="none"/>
                      <w:lang w:val="en-US" w:eastAsia="zh-CN"/>
                    </w:rPr>
                    <w:t>3</w:t>
                  </w:r>
                </w:p>
              </w:tc>
            </w:tr>
            <w:tr w14:paraId="6A3F34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9" w:hRule="atLeast"/>
                <w:jc w:val="center"/>
              </w:trPr>
              <w:tc>
                <w:tcPr>
                  <w:tcW w:w="1076" w:type="dxa"/>
                  <w:tcBorders>
                    <w:tl2br w:val="nil"/>
                    <w:tr2bl w:val="nil"/>
                  </w:tcBorders>
                  <w:noWrap w:val="0"/>
                  <w:vAlign w:val="center"/>
                </w:tcPr>
                <w:p w14:paraId="2AE542C8">
                  <w:pPr>
                    <w:pStyle w:val="77"/>
                    <w:spacing w:line="240" w:lineRule="atLeast"/>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4</w:t>
                  </w:r>
                </w:p>
              </w:tc>
              <w:tc>
                <w:tcPr>
                  <w:tcW w:w="3253" w:type="dxa"/>
                  <w:tcBorders>
                    <w:tl2br w:val="nil"/>
                    <w:tr2bl w:val="nil"/>
                  </w:tcBorders>
                  <w:noWrap w:val="0"/>
                  <w:vAlign w:val="center"/>
                </w:tcPr>
                <w:p w14:paraId="4DF686C0">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变电站西北侧</w:t>
                  </w:r>
                  <w:r>
                    <w:rPr>
                      <w:rFonts w:hint="eastAsia" w:cs="Times New Roman"/>
                      <w:color w:val="auto"/>
                      <w:sz w:val="21"/>
                      <w:szCs w:val="21"/>
                      <w:highlight w:val="none"/>
                      <w:lang w:val="en-US" w:eastAsia="zh-CN"/>
                    </w:rPr>
                    <w:t>185m处</w:t>
                  </w:r>
                  <w:r>
                    <w:rPr>
                      <w:rFonts w:hint="default" w:ascii="Times New Roman" w:hAnsi="Times New Roman" w:eastAsia="宋体" w:cs="Times New Roman"/>
                      <w:color w:val="auto"/>
                      <w:sz w:val="21"/>
                      <w:szCs w:val="21"/>
                      <w:highlight w:val="none"/>
                      <w:lang w:val="en-US" w:eastAsia="zh-CN"/>
                    </w:rPr>
                    <w:t>黄玉正家</w:t>
                  </w:r>
                </w:p>
              </w:tc>
              <w:tc>
                <w:tcPr>
                  <w:tcW w:w="945" w:type="dxa"/>
                  <w:tcBorders>
                    <w:tl2br w:val="nil"/>
                    <w:tr2bl w:val="nil"/>
                  </w:tcBorders>
                  <w:noWrap w:val="0"/>
                  <w:vAlign w:val="center"/>
                </w:tcPr>
                <w:p w14:paraId="71126819">
                  <w:pPr>
                    <w:keepNext w:val="0"/>
                    <w:keepLines w:val="0"/>
                    <w:widowControl/>
                    <w:suppressLineNumbers w:val="0"/>
                    <w:jc w:val="center"/>
                    <w:textAlignment w:val="center"/>
                    <w:rPr>
                      <w:rFonts w:hint="default" w:ascii="Times New Roman" w:hAnsi="Times New Roman" w:eastAsia="宋体" w:cs="Times New Roman"/>
                      <w:b w:val="0"/>
                      <w:bCs w:val="0"/>
                      <w:color w:val="auto"/>
                      <w:spacing w:val="0"/>
                      <w:sz w:val="21"/>
                      <w:szCs w:val="21"/>
                      <w:highlight w:val="none"/>
                      <w:lang w:val="en-US" w:eastAsia="zh-CN"/>
                    </w:rPr>
                  </w:pPr>
                  <w:r>
                    <w:rPr>
                      <w:rFonts w:hint="eastAsia" w:cs="Times New Roman"/>
                      <w:b w:val="0"/>
                      <w:bCs w:val="0"/>
                      <w:color w:val="auto"/>
                      <w:spacing w:val="0"/>
                      <w:sz w:val="21"/>
                      <w:szCs w:val="21"/>
                      <w:highlight w:val="none"/>
                      <w:lang w:val="en-US" w:eastAsia="zh-CN"/>
                    </w:rPr>
                    <w:t>33</w:t>
                  </w:r>
                </w:p>
              </w:tc>
              <w:tc>
                <w:tcPr>
                  <w:tcW w:w="1394" w:type="dxa"/>
                  <w:tcBorders>
                    <w:tl2br w:val="nil"/>
                    <w:tr2bl w:val="nil"/>
                  </w:tcBorders>
                  <w:noWrap w:val="0"/>
                  <w:vAlign w:val="center"/>
                </w:tcPr>
                <w:p w14:paraId="3DA9B58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42</w:t>
                  </w:r>
                </w:p>
              </w:tc>
              <w:tc>
                <w:tcPr>
                  <w:tcW w:w="1552" w:type="dxa"/>
                  <w:tcBorders>
                    <w:tl2br w:val="nil"/>
                    <w:tr2bl w:val="nil"/>
                  </w:tcBorders>
                  <w:noWrap w:val="0"/>
                  <w:vAlign w:val="center"/>
                </w:tcPr>
                <w:p w14:paraId="17C27483">
                  <w:pPr>
                    <w:keepNext w:val="0"/>
                    <w:keepLines w:val="0"/>
                    <w:widowControl/>
                    <w:suppressLineNumbers w:val="0"/>
                    <w:jc w:val="center"/>
                    <w:textAlignment w:val="center"/>
                    <w:rPr>
                      <w:rFonts w:hint="default" w:ascii="Times New Roman" w:hAnsi="Times New Roman" w:eastAsia="宋体" w:cs="Times New Roman"/>
                      <w:b w:val="0"/>
                      <w:bCs w:val="0"/>
                      <w:color w:val="auto"/>
                      <w:spacing w:val="0"/>
                      <w:kern w:val="0"/>
                      <w:sz w:val="21"/>
                      <w:szCs w:val="21"/>
                      <w:highlight w:val="none"/>
                      <w:lang w:val="en-US" w:eastAsia="zh-CN"/>
                    </w:rPr>
                  </w:pPr>
                  <w:r>
                    <w:rPr>
                      <w:rFonts w:hint="eastAsia" w:ascii="Times New Roman" w:hAnsi="Times New Roman" w:eastAsia="宋体" w:cs="Times New Roman"/>
                      <w:b w:val="0"/>
                      <w:bCs w:val="0"/>
                      <w:color w:val="auto"/>
                      <w:spacing w:val="0"/>
                      <w:kern w:val="0"/>
                      <w:sz w:val="21"/>
                      <w:szCs w:val="21"/>
                      <w:highlight w:val="none"/>
                      <w:lang w:val="en-US" w:eastAsia="zh-CN"/>
                    </w:rPr>
                    <w:t>4</w:t>
                  </w:r>
                  <w:r>
                    <w:rPr>
                      <w:rFonts w:hint="eastAsia" w:cs="Times New Roman"/>
                      <w:b w:val="0"/>
                      <w:bCs w:val="0"/>
                      <w:color w:val="auto"/>
                      <w:spacing w:val="0"/>
                      <w:kern w:val="0"/>
                      <w:sz w:val="21"/>
                      <w:szCs w:val="21"/>
                      <w:highlight w:val="none"/>
                      <w:lang w:val="en-US" w:eastAsia="zh-CN"/>
                    </w:rPr>
                    <w:t>3</w:t>
                  </w:r>
                </w:p>
              </w:tc>
            </w:tr>
            <w:tr w14:paraId="3E7ADD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9" w:hRule="atLeast"/>
                <w:jc w:val="center"/>
              </w:trPr>
              <w:tc>
                <w:tcPr>
                  <w:tcW w:w="1076" w:type="dxa"/>
                  <w:tcBorders>
                    <w:tl2br w:val="nil"/>
                    <w:tr2bl w:val="nil"/>
                  </w:tcBorders>
                  <w:noWrap w:val="0"/>
                  <w:vAlign w:val="center"/>
                </w:tcPr>
                <w:p w14:paraId="6AD7B5C8">
                  <w:pPr>
                    <w:pStyle w:val="77"/>
                    <w:spacing w:line="240" w:lineRule="atLeast"/>
                    <w:jc w:val="center"/>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5</w:t>
                  </w:r>
                </w:p>
              </w:tc>
              <w:tc>
                <w:tcPr>
                  <w:tcW w:w="3253" w:type="dxa"/>
                  <w:tcBorders>
                    <w:tl2br w:val="nil"/>
                    <w:tr2bl w:val="nil"/>
                  </w:tcBorders>
                  <w:noWrap w:val="0"/>
                  <w:vAlign w:val="center"/>
                </w:tcPr>
                <w:p w14:paraId="5B0AF9C2">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变电站西北侧</w:t>
                  </w:r>
                  <w:r>
                    <w:rPr>
                      <w:rFonts w:hint="eastAsia" w:cs="Times New Roman"/>
                      <w:color w:val="auto"/>
                      <w:sz w:val="21"/>
                      <w:szCs w:val="21"/>
                      <w:highlight w:val="none"/>
                      <w:lang w:val="en-US" w:eastAsia="zh-CN"/>
                    </w:rPr>
                    <w:t>198m处</w:t>
                  </w:r>
                  <w:r>
                    <w:rPr>
                      <w:rFonts w:hint="default" w:ascii="Times New Roman" w:hAnsi="Times New Roman" w:eastAsia="宋体" w:cs="Times New Roman"/>
                      <w:color w:val="auto"/>
                      <w:sz w:val="21"/>
                      <w:szCs w:val="21"/>
                      <w:highlight w:val="none"/>
                      <w:lang w:val="en-US" w:eastAsia="zh-CN"/>
                    </w:rPr>
                    <w:t>黄玉正家</w:t>
                  </w:r>
                </w:p>
              </w:tc>
              <w:tc>
                <w:tcPr>
                  <w:tcW w:w="945" w:type="dxa"/>
                  <w:tcBorders>
                    <w:tl2br w:val="nil"/>
                    <w:tr2bl w:val="nil"/>
                  </w:tcBorders>
                  <w:noWrap w:val="0"/>
                  <w:vAlign w:val="center"/>
                </w:tcPr>
                <w:p w14:paraId="6E2218BA">
                  <w:pPr>
                    <w:keepNext w:val="0"/>
                    <w:keepLines w:val="0"/>
                    <w:widowControl/>
                    <w:suppressLineNumbers w:val="0"/>
                    <w:jc w:val="center"/>
                    <w:textAlignment w:val="center"/>
                    <w:rPr>
                      <w:rFonts w:hint="default" w:ascii="Times New Roman" w:hAnsi="Times New Roman" w:eastAsia="宋体" w:cs="Times New Roman"/>
                      <w:b w:val="0"/>
                      <w:bCs w:val="0"/>
                      <w:color w:val="auto"/>
                      <w:spacing w:val="0"/>
                      <w:sz w:val="21"/>
                      <w:szCs w:val="21"/>
                      <w:highlight w:val="none"/>
                      <w:lang w:val="en-US" w:eastAsia="zh-CN"/>
                    </w:rPr>
                  </w:pPr>
                  <w:r>
                    <w:rPr>
                      <w:rFonts w:hint="eastAsia" w:cs="Times New Roman"/>
                      <w:b w:val="0"/>
                      <w:bCs w:val="0"/>
                      <w:color w:val="auto"/>
                      <w:spacing w:val="0"/>
                      <w:sz w:val="21"/>
                      <w:szCs w:val="21"/>
                      <w:highlight w:val="none"/>
                      <w:lang w:val="en-US" w:eastAsia="zh-CN"/>
                    </w:rPr>
                    <w:t>32</w:t>
                  </w:r>
                </w:p>
              </w:tc>
              <w:tc>
                <w:tcPr>
                  <w:tcW w:w="1394" w:type="dxa"/>
                  <w:tcBorders>
                    <w:tl2br w:val="nil"/>
                    <w:tr2bl w:val="nil"/>
                  </w:tcBorders>
                  <w:noWrap w:val="0"/>
                  <w:vAlign w:val="center"/>
                </w:tcPr>
                <w:p w14:paraId="7F5C1B74">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42</w:t>
                  </w:r>
                </w:p>
              </w:tc>
              <w:tc>
                <w:tcPr>
                  <w:tcW w:w="1552" w:type="dxa"/>
                  <w:tcBorders>
                    <w:tl2br w:val="nil"/>
                    <w:tr2bl w:val="nil"/>
                  </w:tcBorders>
                  <w:noWrap w:val="0"/>
                  <w:vAlign w:val="center"/>
                </w:tcPr>
                <w:p w14:paraId="0B333D91">
                  <w:pPr>
                    <w:keepNext w:val="0"/>
                    <w:keepLines w:val="0"/>
                    <w:widowControl/>
                    <w:suppressLineNumbers w:val="0"/>
                    <w:jc w:val="center"/>
                    <w:textAlignment w:val="center"/>
                    <w:rPr>
                      <w:rFonts w:hint="default" w:ascii="Times New Roman" w:hAnsi="Times New Roman" w:eastAsia="宋体" w:cs="Times New Roman"/>
                      <w:b w:val="0"/>
                      <w:bCs w:val="0"/>
                      <w:color w:val="auto"/>
                      <w:spacing w:val="0"/>
                      <w:kern w:val="0"/>
                      <w:sz w:val="21"/>
                      <w:szCs w:val="21"/>
                      <w:highlight w:val="none"/>
                      <w:lang w:val="en-US" w:eastAsia="zh-CN"/>
                    </w:rPr>
                  </w:pPr>
                  <w:r>
                    <w:rPr>
                      <w:rFonts w:hint="eastAsia" w:cs="Times New Roman"/>
                      <w:b w:val="0"/>
                      <w:bCs w:val="0"/>
                      <w:color w:val="auto"/>
                      <w:spacing w:val="0"/>
                      <w:kern w:val="0"/>
                      <w:sz w:val="21"/>
                      <w:szCs w:val="21"/>
                      <w:highlight w:val="none"/>
                      <w:lang w:val="en-US" w:eastAsia="zh-CN"/>
                    </w:rPr>
                    <w:t>42</w:t>
                  </w:r>
                </w:p>
              </w:tc>
            </w:tr>
            <w:tr w14:paraId="16C72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9" w:hRule="atLeast"/>
                <w:jc w:val="center"/>
              </w:trPr>
              <w:tc>
                <w:tcPr>
                  <w:tcW w:w="1076" w:type="dxa"/>
                  <w:tcBorders>
                    <w:tl2br w:val="nil"/>
                    <w:tr2bl w:val="nil"/>
                  </w:tcBorders>
                  <w:noWrap w:val="0"/>
                  <w:vAlign w:val="center"/>
                </w:tcPr>
                <w:p w14:paraId="078C969E">
                  <w:pPr>
                    <w:pStyle w:val="77"/>
                    <w:spacing w:line="240" w:lineRule="atLeast"/>
                    <w:jc w:val="center"/>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6</w:t>
                  </w:r>
                </w:p>
              </w:tc>
              <w:tc>
                <w:tcPr>
                  <w:tcW w:w="3253" w:type="dxa"/>
                  <w:tcBorders>
                    <w:tl2br w:val="nil"/>
                    <w:tr2bl w:val="nil"/>
                  </w:tcBorders>
                  <w:noWrap w:val="0"/>
                  <w:vAlign w:val="center"/>
                </w:tcPr>
                <w:p w14:paraId="02E67BF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变电站西北侧</w:t>
                  </w:r>
                  <w:r>
                    <w:rPr>
                      <w:rFonts w:hint="eastAsia" w:cs="Times New Roman"/>
                      <w:color w:val="auto"/>
                      <w:sz w:val="21"/>
                      <w:szCs w:val="21"/>
                      <w:highlight w:val="none"/>
                      <w:lang w:val="en-US" w:eastAsia="zh-CN"/>
                    </w:rPr>
                    <w:t>160m处</w:t>
                  </w:r>
                  <w:r>
                    <w:rPr>
                      <w:rFonts w:hint="default" w:ascii="Times New Roman" w:hAnsi="Times New Roman" w:eastAsia="宋体" w:cs="Times New Roman"/>
                      <w:color w:val="auto"/>
                      <w:sz w:val="21"/>
                      <w:szCs w:val="21"/>
                      <w:highlight w:val="none"/>
                      <w:lang w:val="en-US" w:eastAsia="zh-CN"/>
                    </w:rPr>
                    <w:t>黄玉正家</w:t>
                  </w:r>
                </w:p>
              </w:tc>
              <w:tc>
                <w:tcPr>
                  <w:tcW w:w="945" w:type="dxa"/>
                  <w:tcBorders>
                    <w:tl2br w:val="nil"/>
                    <w:tr2bl w:val="nil"/>
                  </w:tcBorders>
                  <w:noWrap w:val="0"/>
                  <w:vAlign w:val="center"/>
                </w:tcPr>
                <w:p w14:paraId="16D3ACA5">
                  <w:pPr>
                    <w:keepNext w:val="0"/>
                    <w:keepLines w:val="0"/>
                    <w:widowControl/>
                    <w:suppressLineNumbers w:val="0"/>
                    <w:jc w:val="center"/>
                    <w:textAlignment w:val="center"/>
                    <w:rPr>
                      <w:rFonts w:hint="default" w:ascii="Times New Roman" w:hAnsi="Times New Roman" w:eastAsia="宋体" w:cs="Times New Roman"/>
                      <w:b w:val="0"/>
                      <w:bCs w:val="0"/>
                      <w:color w:val="auto"/>
                      <w:spacing w:val="0"/>
                      <w:sz w:val="21"/>
                      <w:szCs w:val="21"/>
                      <w:highlight w:val="none"/>
                      <w:lang w:val="en-US" w:eastAsia="zh-CN"/>
                    </w:rPr>
                  </w:pPr>
                  <w:r>
                    <w:rPr>
                      <w:rFonts w:hint="eastAsia" w:cs="Times New Roman"/>
                      <w:b w:val="0"/>
                      <w:bCs w:val="0"/>
                      <w:color w:val="auto"/>
                      <w:spacing w:val="0"/>
                      <w:sz w:val="21"/>
                      <w:szCs w:val="21"/>
                      <w:highlight w:val="none"/>
                      <w:lang w:val="en-US" w:eastAsia="zh-CN"/>
                    </w:rPr>
                    <w:t>34</w:t>
                  </w:r>
                </w:p>
              </w:tc>
              <w:tc>
                <w:tcPr>
                  <w:tcW w:w="1394" w:type="dxa"/>
                  <w:tcBorders>
                    <w:tl2br w:val="nil"/>
                    <w:tr2bl w:val="nil"/>
                  </w:tcBorders>
                  <w:noWrap w:val="0"/>
                  <w:vAlign w:val="center"/>
                </w:tcPr>
                <w:p w14:paraId="49072CB4">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42</w:t>
                  </w:r>
                </w:p>
              </w:tc>
              <w:tc>
                <w:tcPr>
                  <w:tcW w:w="1552" w:type="dxa"/>
                  <w:tcBorders>
                    <w:tl2br w:val="nil"/>
                    <w:tr2bl w:val="nil"/>
                  </w:tcBorders>
                  <w:noWrap w:val="0"/>
                  <w:vAlign w:val="center"/>
                </w:tcPr>
                <w:p w14:paraId="30BDE95E">
                  <w:pPr>
                    <w:keepNext w:val="0"/>
                    <w:keepLines w:val="0"/>
                    <w:widowControl/>
                    <w:suppressLineNumbers w:val="0"/>
                    <w:jc w:val="center"/>
                    <w:textAlignment w:val="center"/>
                    <w:rPr>
                      <w:rFonts w:hint="default" w:ascii="Times New Roman" w:hAnsi="Times New Roman" w:eastAsia="宋体" w:cs="Times New Roman"/>
                      <w:b w:val="0"/>
                      <w:bCs w:val="0"/>
                      <w:color w:val="auto"/>
                      <w:spacing w:val="0"/>
                      <w:kern w:val="0"/>
                      <w:sz w:val="21"/>
                      <w:szCs w:val="21"/>
                      <w:highlight w:val="none"/>
                      <w:lang w:val="en-US" w:eastAsia="zh-CN"/>
                    </w:rPr>
                  </w:pPr>
                  <w:r>
                    <w:rPr>
                      <w:rFonts w:hint="eastAsia" w:cs="Times New Roman"/>
                      <w:b w:val="0"/>
                      <w:bCs w:val="0"/>
                      <w:color w:val="auto"/>
                      <w:spacing w:val="0"/>
                      <w:kern w:val="0"/>
                      <w:sz w:val="21"/>
                      <w:szCs w:val="21"/>
                      <w:highlight w:val="none"/>
                      <w:lang w:val="en-US" w:eastAsia="zh-CN"/>
                    </w:rPr>
                    <w:t>43</w:t>
                  </w:r>
                </w:p>
              </w:tc>
            </w:tr>
            <w:tr w14:paraId="1B2B6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9" w:hRule="atLeast"/>
                <w:jc w:val="center"/>
              </w:trPr>
              <w:tc>
                <w:tcPr>
                  <w:tcW w:w="1076" w:type="dxa"/>
                  <w:tcBorders>
                    <w:tl2br w:val="nil"/>
                    <w:tr2bl w:val="nil"/>
                  </w:tcBorders>
                  <w:noWrap w:val="0"/>
                  <w:vAlign w:val="center"/>
                </w:tcPr>
                <w:p w14:paraId="1DB291EE">
                  <w:pPr>
                    <w:pStyle w:val="77"/>
                    <w:spacing w:line="240" w:lineRule="atLeast"/>
                    <w:jc w:val="center"/>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7</w:t>
                  </w:r>
                </w:p>
              </w:tc>
              <w:tc>
                <w:tcPr>
                  <w:tcW w:w="3253" w:type="dxa"/>
                  <w:tcBorders>
                    <w:tl2br w:val="nil"/>
                    <w:tr2bl w:val="nil"/>
                  </w:tcBorders>
                  <w:noWrap w:val="0"/>
                  <w:vAlign w:val="center"/>
                </w:tcPr>
                <w:p w14:paraId="09DF2D30">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变电站西北侧</w:t>
                  </w:r>
                  <w:r>
                    <w:rPr>
                      <w:rFonts w:hint="eastAsia" w:cs="Times New Roman"/>
                      <w:color w:val="auto"/>
                      <w:sz w:val="21"/>
                      <w:szCs w:val="21"/>
                      <w:highlight w:val="none"/>
                      <w:lang w:val="en-US" w:eastAsia="zh-CN"/>
                    </w:rPr>
                    <w:t>197m处</w:t>
                  </w:r>
                  <w:r>
                    <w:rPr>
                      <w:rFonts w:hint="default" w:ascii="Times New Roman" w:hAnsi="Times New Roman" w:eastAsia="宋体" w:cs="Times New Roman"/>
                      <w:color w:val="auto"/>
                      <w:sz w:val="21"/>
                      <w:szCs w:val="21"/>
                      <w:highlight w:val="none"/>
                      <w:lang w:val="en-US" w:eastAsia="zh-CN"/>
                    </w:rPr>
                    <w:t>黄玉正家</w:t>
                  </w:r>
                </w:p>
              </w:tc>
              <w:tc>
                <w:tcPr>
                  <w:tcW w:w="945" w:type="dxa"/>
                  <w:tcBorders>
                    <w:tl2br w:val="nil"/>
                    <w:tr2bl w:val="nil"/>
                  </w:tcBorders>
                  <w:noWrap w:val="0"/>
                  <w:vAlign w:val="center"/>
                </w:tcPr>
                <w:p w14:paraId="64C3BEB9">
                  <w:pPr>
                    <w:keepNext w:val="0"/>
                    <w:keepLines w:val="0"/>
                    <w:widowControl/>
                    <w:suppressLineNumbers w:val="0"/>
                    <w:jc w:val="center"/>
                    <w:textAlignment w:val="center"/>
                    <w:rPr>
                      <w:rFonts w:hint="default" w:ascii="Times New Roman" w:hAnsi="Times New Roman" w:eastAsia="宋体" w:cs="Times New Roman"/>
                      <w:b w:val="0"/>
                      <w:bCs w:val="0"/>
                      <w:color w:val="auto"/>
                      <w:spacing w:val="0"/>
                      <w:sz w:val="21"/>
                      <w:szCs w:val="21"/>
                      <w:highlight w:val="none"/>
                      <w:lang w:val="en-US" w:eastAsia="zh-CN"/>
                    </w:rPr>
                  </w:pPr>
                  <w:r>
                    <w:rPr>
                      <w:rFonts w:hint="eastAsia" w:cs="Times New Roman"/>
                      <w:b w:val="0"/>
                      <w:bCs w:val="0"/>
                      <w:color w:val="auto"/>
                      <w:spacing w:val="0"/>
                      <w:sz w:val="21"/>
                      <w:szCs w:val="21"/>
                      <w:highlight w:val="none"/>
                      <w:lang w:val="en-US" w:eastAsia="zh-CN"/>
                    </w:rPr>
                    <w:t>32</w:t>
                  </w:r>
                </w:p>
              </w:tc>
              <w:tc>
                <w:tcPr>
                  <w:tcW w:w="1394" w:type="dxa"/>
                  <w:tcBorders>
                    <w:tl2br w:val="nil"/>
                    <w:tr2bl w:val="nil"/>
                  </w:tcBorders>
                  <w:noWrap w:val="0"/>
                  <w:vAlign w:val="center"/>
                </w:tcPr>
                <w:p w14:paraId="3CD4478A">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42</w:t>
                  </w:r>
                </w:p>
              </w:tc>
              <w:tc>
                <w:tcPr>
                  <w:tcW w:w="1552" w:type="dxa"/>
                  <w:tcBorders>
                    <w:tl2br w:val="nil"/>
                    <w:tr2bl w:val="nil"/>
                  </w:tcBorders>
                  <w:noWrap w:val="0"/>
                  <w:vAlign w:val="center"/>
                </w:tcPr>
                <w:p w14:paraId="07A5B268">
                  <w:pPr>
                    <w:keepNext w:val="0"/>
                    <w:keepLines w:val="0"/>
                    <w:widowControl/>
                    <w:suppressLineNumbers w:val="0"/>
                    <w:jc w:val="center"/>
                    <w:textAlignment w:val="center"/>
                    <w:rPr>
                      <w:rFonts w:hint="eastAsia" w:ascii="Times New Roman" w:hAnsi="Times New Roman" w:eastAsia="宋体" w:cs="Times New Roman"/>
                      <w:b w:val="0"/>
                      <w:bCs w:val="0"/>
                      <w:color w:val="auto"/>
                      <w:spacing w:val="0"/>
                      <w:kern w:val="0"/>
                      <w:sz w:val="21"/>
                      <w:szCs w:val="21"/>
                      <w:highlight w:val="none"/>
                      <w:lang w:val="en-US" w:eastAsia="zh-CN"/>
                    </w:rPr>
                  </w:pPr>
                  <w:r>
                    <w:rPr>
                      <w:rFonts w:hint="eastAsia" w:cs="Times New Roman"/>
                      <w:b w:val="0"/>
                      <w:bCs w:val="0"/>
                      <w:color w:val="auto"/>
                      <w:spacing w:val="0"/>
                      <w:kern w:val="0"/>
                      <w:sz w:val="21"/>
                      <w:szCs w:val="21"/>
                      <w:highlight w:val="none"/>
                      <w:lang w:val="en-US" w:eastAsia="zh-CN"/>
                    </w:rPr>
                    <w:t>42</w:t>
                  </w:r>
                </w:p>
              </w:tc>
            </w:tr>
          </w:tbl>
          <w:p w14:paraId="2F36020F">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b w:val="0"/>
                <w:bCs w:val="0"/>
                <w:color w:val="auto"/>
                <w:spacing w:val="0"/>
                <w:sz w:val="24"/>
                <w:highlight w:val="none"/>
                <w:lang w:val="en-US" w:eastAsia="zh-CN"/>
              </w:rPr>
            </w:pPr>
            <w:r>
              <w:rPr>
                <w:rFonts w:hint="default" w:ascii="Times New Roman" w:hAnsi="Times New Roman" w:eastAsia="宋体" w:cs="Times New Roman"/>
                <w:color w:val="auto"/>
                <w:sz w:val="24"/>
                <w:highlight w:val="none"/>
                <w:lang w:eastAsia="zh-CN"/>
              </w:rPr>
              <w:t>根据</w:t>
            </w:r>
            <w:r>
              <w:rPr>
                <w:rFonts w:hint="default" w:ascii="Times New Roman" w:hAnsi="Times New Roman" w:eastAsia="宋体" w:cs="Times New Roman"/>
                <w:color w:val="auto"/>
                <w:sz w:val="24"/>
                <w:highlight w:val="none"/>
                <w:lang w:val="en-US" w:eastAsia="zh-CN"/>
              </w:rPr>
              <w:t>预测</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val="en-US" w:eastAsia="zh-CN"/>
              </w:rPr>
              <w:t>本项目施工期</w:t>
            </w:r>
            <w:r>
              <w:rPr>
                <w:rFonts w:hint="default" w:ascii="Times New Roman" w:hAnsi="Times New Roman" w:eastAsia="宋体" w:cs="Times New Roman"/>
                <w:color w:val="auto"/>
                <w:sz w:val="24"/>
                <w:highlight w:val="none"/>
                <w:lang w:val="en-US" w:eastAsia="zh-CN"/>
              </w:rPr>
              <w:t>云雾山330千伏变电站</w:t>
            </w:r>
            <w:r>
              <w:rPr>
                <w:rFonts w:hint="default" w:ascii="Times New Roman" w:hAnsi="Times New Roman" w:cs="Times New Roman"/>
                <w:color w:val="auto"/>
                <w:sz w:val="24"/>
                <w:highlight w:val="none"/>
                <w:lang w:val="en-US" w:eastAsia="zh-CN"/>
              </w:rPr>
              <w:t>声环境敏感</w:t>
            </w:r>
            <w:r>
              <w:rPr>
                <w:rFonts w:hint="eastAsia" w:cs="Times New Roman"/>
                <w:color w:val="auto"/>
                <w:sz w:val="24"/>
                <w:highlight w:val="none"/>
                <w:lang w:val="en-US" w:eastAsia="zh-CN"/>
              </w:rPr>
              <w:t>目标处</w:t>
            </w:r>
            <w:r>
              <w:rPr>
                <w:rFonts w:hint="default" w:ascii="Times New Roman" w:hAnsi="Times New Roman" w:cs="Times New Roman"/>
                <w:color w:val="auto"/>
                <w:sz w:val="24"/>
                <w:highlight w:val="none"/>
                <w:lang w:val="en-US" w:eastAsia="zh-CN"/>
              </w:rPr>
              <w:t>昼间噪声预测值</w:t>
            </w:r>
            <w:r>
              <w:rPr>
                <w:rFonts w:hint="eastAsia" w:cs="Times New Roman"/>
                <w:color w:val="auto"/>
                <w:sz w:val="24"/>
                <w:highlight w:val="none"/>
                <w:lang w:val="en-US" w:eastAsia="zh-CN"/>
              </w:rPr>
              <w:t>在42</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eastAsia" w:cs="Times New Roman"/>
                <w:color w:val="auto"/>
                <w:sz w:val="24"/>
                <w:highlight w:val="none"/>
                <w:lang w:val="en-US" w:eastAsia="zh-CN"/>
              </w:rPr>
              <w:t>~44</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eastAsia" w:cs="Times New Roman"/>
                <w:color w:val="auto"/>
                <w:sz w:val="24"/>
                <w:highlight w:val="none"/>
                <w:lang w:val="en-US" w:eastAsia="zh-CN"/>
              </w:rPr>
              <w:t>之间，</w:t>
            </w:r>
            <w:r>
              <w:rPr>
                <w:rFonts w:hint="default" w:ascii="Times New Roman" w:hAnsi="Times New Roman" w:eastAsia="宋体" w:cs="Times New Roman"/>
                <w:color w:val="auto"/>
                <w:kern w:val="0"/>
                <w:sz w:val="24"/>
                <w:szCs w:val="24"/>
                <w:highlight w:val="none"/>
                <w:lang w:val="en-US" w:eastAsia="zh-CN" w:bidi="ar-SA"/>
              </w:rPr>
              <w:t>声环境敏感目标处</w:t>
            </w:r>
            <w:r>
              <w:rPr>
                <w:rFonts w:hint="default" w:ascii="Times New Roman" w:hAnsi="Times New Roman" w:eastAsia="宋体" w:cs="Times New Roman"/>
                <w:color w:val="auto"/>
                <w:kern w:val="0"/>
                <w:sz w:val="24"/>
                <w:szCs w:val="24"/>
                <w:lang w:val="en-US" w:eastAsia="zh-CN" w:bidi="ar-SA"/>
              </w:rPr>
              <w:t>的</w:t>
            </w:r>
            <w:r>
              <w:rPr>
                <w:rFonts w:hint="default" w:ascii="Times New Roman" w:hAnsi="Times New Roman" w:cs="Times New Roman"/>
                <w:color w:val="auto"/>
                <w:sz w:val="24"/>
                <w:highlight w:val="none"/>
                <w:lang w:val="en-US" w:eastAsia="zh-CN"/>
              </w:rPr>
              <w:t>昼间噪声预测值满足</w:t>
            </w:r>
            <w:r>
              <w:rPr>
                <w:rFonts w:hint="default" w:ascii="Times New Roman" w:hAnsi="Times New Roman" w:eastAsia="宋体" w:cs="Times New Roman"/>
                <w:b w:val="0"/>
                <w:bCs w:val="0"/>
                <w:color w:val="auto"/>
                <w:spacing w:val="0"/>
                <w:sz w:val="24"/>
                <w:highlight w:val="none"/>
              </w:rPr>
              <w:t>《声环境质量标准》（GB3096-2008）</w:t>
            </w:r>
            <w:r>
              <w:rPr>
                <w:rFonts w:hint="default" w:ascii="Times New Roman" w:hAnsi="Times New Roman" w:eastAsia="宋体" w:cs="Times New Roman"/>
                <w:b w:val="0"/>
                <w:bCs w:val="0"/>
                <w:color w:val="auto"/>
                <w:spacing w:val="0"/>
                <w:sz w:val="24"/>
                <w:highlight w:val="none"/>
                <w:lang w:val="en-US" w:eastAsia="zh-CN"/>
              </w:rPr>
              <w:t>1类标准要求（</w:t>
            </w:r>
            <w:r>
              <w:rPr>
                <w:rFonts w:hint="default" w:ascii="Times New Roman" w:hAnsi="Times New Roman" w:cs="Times New Roman"/>
                <w:color w:val="auto"/>
                <w:sz w:val="24"/>
              </w:rPr>
              <w:t>昼间</w:t>
            </w:r>
            <w:r>
              <w:rPr>
                <w:rFonts w:hint="default" w:ascii="Times New Roman" w:hAnsi="Times New Roman" w:cs="Times New Roman"/>
                <w:color w:val="auto"/>
                <w:sz w:val="24"/>
                <w:lang w:val="en-US" w:eastAsia="zh-CN"/>
              </w:rPr>
              <w:t>55</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default" w:ascii="Times New Roman" w:hAnsi="Times New Roman" w:eastAsia="宋体" w:cs="Times New Roman"/>
                <w:b w:val="0"/>
                <w:bCs w:val="0"/>
                <w:color w:val="auto"/>
                <w:spacing w:val="0"/>
                <w:sz w:val="24"/>
                <w:highlight w:val="none"/>
                <w:lang w:val="en-US" w:eastAsia="zh-CN"/>
              </w:rPr>
              <w:t>）。</w:t>
            </w:r>
          </w:p>
          <w:p w14:paraId="16C56D7E">
            <w:pPr>
              <w:pStyle w:val="106"/>
              <w:spacing w:line="360" w:lineRule="auto"/>
              <w:ind w:firstLine="480" w:firstLineChars="200"/>
              <w:rPr>
                <w:rFonts w:hint="default" w:ascii="Times New Roman" w:hAnsi="Times New Roman" w:cs="Times New Roman"/>
                <w:color w:val="auto"/>
                <w:lang w:eastAsia="zh-CN"/>
              </w:rPr>
            </w:pPr>
            <w:r>
              <w:rPr>
                <w:rFonts w:hint="default" w:ascii="Times New Roman" w:hAnsi="Times New Roman" w:cs="Times New Roman"/>
                <w:color w:val="auto"/>
                <w:kern w:val="0"/>
                <w:sz w:val="24"/>
                <w:highlight w:val="none"/>
                <w:lang w:val="en-US" w:eastAsia="zh-CN"/>
              </w:rPr>
              <w:t>④</w:t>
            </w:r>
            <w:r>
              <w:rPr>
                <w:rFonts w:hint="eastAsia" w:ascii="Times New Roman" w:hAnsi="Times New Roman" w:cs="Times New Roman"/>
                <w:color w:val="auto"/>
                <w:kern w:val="0"/>
                <w:sz w:val="24"/>
                <w:highlight w:val="none"/>
                <w:lang w:val="en-US" w:eastAsia="zh-CN"/>
              </w:rPr>
              <w:t>变电站</w:t>
            </w:r>
            <w:r>
              <w:rPr>
                <w:rFonts w:hint="default" w:ascii="Times New Roman" w:hAnsi="Times New Roman" w:cs="Times New Roman"/>
                <w:color w:val="auto"/>
                <w:lang w:val="en-US" w:eastAsia="zh-CN"/>
              </w:rPr>
              <w:t>厂界</w:t>
            </w:r>
            <w:r>
              <w:rPr>
                <w:rFonts w:hint="eastAsia" w:ascii="Times New Roman" w:hAnsi="Times New Roman" w:cs="Times New Roman"/>
                <w:color w:val="auto"/>
                <w:lang w:val="en-US" w:eastAsia="zh-CN"/>
              </w:rPr>
              <w:t>噪声</w:t>
            </w:r>
            <w:r>
              <w:rPr>
                <w:rFonts w:hint="default" w:ascii="Times New Roman" w:hAnsi="Times New Roman" w:cs="Times New Roman"/>
                <w:color w:val="auto"/>
                <w:lang w:eastAsia="zh-CN"/>
              </w:rPr>
              <w:t>预测结果分析</w:t>
            </w:r>
          </w:p>
          <w:p w14:paraId="79F75A0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本项目施工在昼间（6:00-22:00）进行，夜间（22:00-6:00）不进行施工，因施工工艺和其他因素等要求必须进行夜间（22:00-6:00）施工时，应当取得地方人民政府住房和城乡建设、生态环境主管部门或者地方人民政府指定的部门的证明，并在施工现场显著位置公示或者以其他方式公告附近人群，最大限度地争取受影响人群支持和谅解。项目土石方开挖时段较集中，土石方和材料等运输量有限，因而施工期间运输车辆产生的交通噪声污染是短暂的。</w:t>
            </w:r>
            <w:r>
              <w:rPr>
                <w:rFonts w:hint="default" w:ascii="Times New Roman" w:hAnsi="Times New Roman" w:cs="Times New Roman"/>
                <w:color w:val="auto"/>
                <w:sz w:val="24"/>
                <w:szCs w:val="24"/>
                <w:highlight w:val="none"/>
                <w:lang w:val="en-US" w:eastAsia="zh-CN"/>
              </w:rPr>
              <w:t>加之</w:t>
            </w:r>
            <w:r>
              <w:rPr>
                <w:rFonts w:hint="default" w:ascii="Times New Roman" w:hAnsi="Times New Roman" w:cs="Times New Roman"/>
                <w:color w:val="auto"/>
                <w:sz w:val="24"/>
                <w:szCs w:val="24"/>
                <w:highlight w:val="none"/>
                <w:lang w:eastAsia="zh-CN"/>
              </w:rPr>
              <w:t>变电站</w:t>
            </w:r>
            <w:r>
              <w:rPr>
                <w:rFonts w:hint="default" w:ascii="Times New Roman" w:hAnsi="Times New Roman" w:cs="Times New Roman"/>
                <w:color w:val="auto"/>
                <w:sz w:val="24"/>
                <w:szCs w:val="24"/>
                <w:highlight w:val="none"/>
                <w:lang w:val="en-US" w:eastAsia="zh-CN"/>
              </w:rPr>
              <w:t>有</w:t>
            </w:r>
            <w:r>
              <w:rPr>
                <w:rFonts w:hint="default" w:ascii="Times New Roman" w:hAnsi="Times New Roman" w:cs="Times New Roman"/>
                <w:color w:val="auto"/>
                <w:sz w:val="24"/>
                <w:szCs w:val="24"/>
                <w:highlight w:val="none"/>
                <w:lang w:eastAsia="zh-CN"/>
              </w:rPr>
              <w:t>围墙隔声，</w:t>
            </w:r>
            <w:r>
              <w:rPr>
                <w:rFonts w:hint="default" w:ascii="Times New Roman" w:hAnsi="Times New Roman" w:cs="Times New Roman"/>
                <w:color w:val="auto"/>
                <w:sz w:val="24"/>
                <w:szCs w:val="24"/>
                <w:highlight w:val="none"/>
                <w:lang w:val="en-US" w:eastAsia="zh-CN"/>
              </w:rPr>
              <w:t>施工期</w:t>
            </w:r>
            <w:r>
              <w:rPr>
                <w:rFonts w:hint="default" w:ascii="Times New Roman" w:hAnsi="Times New Roman" w:cs="Times New Roman"/>
                <w:color w:val="auto"/>
                <w:sz w:val="24"/>
                <w:szCs w:val="24"/>
                <w:lang w:eastAsia="zh-CN"/>
              </w:rPr>
              <w:t>加强施工机械维护和保养，避免噪声源强较大的机械同时进行施工作业等措施，确保</w:t>
            </w:r>
            <w:r>
              <w:rPr>
                <w:rFonts w:hint="eastAsia" w:cs="Times New Roman"/>
                <w:color w:val="auto"/>
                <w:sz w:val="24"/>
                <w:szCs w:val="24"/>
                <w:lang w:val="en-US" w:eastAsia="zh-CN"/>
              </w:rPr>
              <w:t>变电站</w:t>
            </w:r>
            <w:r>
              <w:rPr>
                <w:rFonts w:hint="default" w:ascii="Times New Roman" w:hAnsi="Times New Roman" w:cs="Times New Roman"/>
                <w:color w:val="auto"/>
                <w:sz w:val="24"/>
                <w:szCs w:val="24"/>
                <w:lang w:eastAsia="zh-CN"/>
              </w:rPr>
              <w:t>施工场界</w:t>
            </w:r>
            <w:r>
              <w:rPr>
                <w:rFonts w:hint="default" w:ascii="Times New Roman" w:hAnsi="Times New Roman" w:cs="Times New Roman"/>
                <w:color w:val="auto"/>
                <w:sz w:val="24"/>
                <w:highlight w:val="none"/>
                <w:lang w:val="en-US" w:eastAsia="zh-CN"/>
              </w:rPr>
              <w:t>昼间噪声贡献值</w:t>
            </w:r>
            <w:r>
              <w:rPr>
                <w:rFonts w:hint="default" w:ascii="Times New Roman" w:hAnsi="Times New Roman" w:cs="Times New Roman"/>
                <w:color w:val="auto"/>
                <w:sz w:val="24"/>
                <w:szCs w:val="24"/>
                <w:lang w:eastAsia="zh-CN"/>
              </w:rPr>
              <w:t>满足《建筑施工噪声排放标准》（GB12523-20</w:t>
            </w:r>
            <w:r>
              <w:rPr>
                <w:rFonts w:hint="default" w:ascii="Times New Roman" w:hAnsi="Times New Roman" w:cs="Times New Roman"/>
                <w:color w:val="auto"/>
                <w:sz w:val="24"/>
                <w:szCs w:val="24"/>
                <w:lang w:val="en-US" w:eastAsia="zh-CN"/>
              </w:rPr>
              <w:t>25</w:t>
            </w:r>
            <w:r>
              <w:rPr>
                <w:rFonts w:hint="default" w:ascii="Times New Roman" w:hAnsi="Times New Roman" w:cs="Times New Roman"/>
                <w:color w:val="auto"/>
                <w:sz w:val="24"/>
                <w:szCs w:val="24"/>
                <w:lang w:eastAsia="zh-CN"/>
              </w:rPr>
              <w:t>）规定的标准限值要求</w:t>
            </w:r>
            <w:r>
              <w:rPr>
                <w:rFonts w:hint="default" w:ascii="Times New Roman" w:hAnsi="Times New Roman" w:eastAsia="宋体" w:cs="Times New Roman"/>
                <w:b w:val="0"/>
                <w:bCs w:val="0"/>
                <w:color w:val="auto"/>
                <w:spacing w:val="0"/>
                <w:sz w:val="24"/>
                <w:highlight w:val="none"/>
                <w:lang w:val="en-US" w:eastAsia="zh-CN"/>
              </w:rPr>
              <w:t>（</w:t>
            </w:r>
            <w:r>
              <w:rPr>
                <w:rFonts w:hint="default" w:ascii="Times New Roman" w:hAnsi="Times New Roman" w:cs="Times New Roman"/>
                <w:color w:val="auto"/>
                <w:sz w:val="24"/>
              </w:rPr>
              <w:t>昼间</w:t>
            </w:r>
            <w:r>
              <w:rPr>
                <w:rFonts w:hint="default" w:ascii="Times New Roman" w:hAnsi="Times New Roman" w:cs="Times New Roman"/>
                <w:color w:val="auto"/>
                <w:sz w:val="24"/>
                <w:lang w:val="en-US" w:eastAsia="zh-CN"/>
              </w:rPr>
              <w:t>70</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default" w:ascii="Times New Roman" w:hAnsi="Times New Roman" w:eastAsia="宋体" w:cs="Times New Roman"/>
                <w:b w:val="0"/>
                <w:bCs w:val="0"/>
                <w:color w:val="auto"/>
                <w:spacing w:val="0"/>
                <w:sz w:val="24"/>
                <w:highlight w:val="none"/>
                <w:lang w:val="en-US" w:eastAsia="zh-CN"/>
              </w:rPr>
              <w:t>）</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highlight w:val="none"/>
                <w:lang w:eastAsia="zh-CN"/>
              </w:rPr>
              <w:t>根据</w:t>
            </w:r>
            <w:r>
              <w:rPr>
                <w:rFonts w:hint="default" w:ascii="Times New Roman" w:hAnsi="Times New Roman" w:eastAsia="宋体" w:cs="Times New Roman"/>
                <w:color w:val="auto"/>
                <w:sz w:val="24"/>
                <w:highlight w:val="none"/>
                <w:lang w:val="en-US" w:eastAsia="zh-CN"/>
              </w:rPr>
              <w:t>预测</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val="en-US" w:eastAsia="zh-CN"/>
              </w:rPr>
              <w:t>本项目施工期</w:t>
            </w:r>
            <w:r>
              <w:rPr>
                <w:rFonts w:hint="default" w:ascii="Times New Roman" w:hAnsi="Times New Roman" w:eastAsia="宋体" w:cs="Times New Roman"/>
                <w:color w:val="auto"/>
                <w:sz w:val="24"/>
                <w:highlight w:val="none"/>
                <w:lang w:val="en-US" w:eastAsia="zh-CN"/>
              </w:rPr>
              <w:t>云雾山330千伏变电站</w:t>
            </w:r>
            <w:r>
              <w:rPr>
                <w:rFonts w:hint="default" w:ascii="Times New Roman" w:hAnsi="Times New Roman" w:cs="Times New Roman"/>
                <w:color w:val="auto"/>
                <w:sz w:val="24"/>
                <w:highlight w:val="none"/>
                <w:lang w:val="en-US" w:eastAsia="zh-CN"/>
              </w:rPr>
              <w:t>声环境敏感</w:t>
            </w:r>
            <w:r>
              <w:rPr>
                <w:rFonts w:hint="eastAsia" w:cs="Times New Roman"/>
                <w:color w:val="auto"/>
                <w:sz w:val="24"/>
                <w:highlight w:val="none"/>
                <w:lang w:val="en-US" w:eastAsia="zh-CN"/>
              </w:rPr>
              <w:t>目标处</w:t>
            </w:r>
            <w:r>
              <w:rPr>
                <w:rFonts w:hint="default" w:ascii="Times New Roman" w:hAnsi="Times New Roman" w:cs="Times New Roman"/>
                <w:color w:val="auto"/>
                <w:sz w:val="24"/>
                <w:highlight w:val="none"/>
                <w:lang w:val="en-US" w:eastAsia="zh-CN"/>
              </w:rPr>
              <w:t>昼间噪声预测值</w:t>
            </w:r>
            <w:r>
              <w:rPr>
                <w:rFonts w:hint="eastAsia" w:cs="Times New Roman"/>
                <w:color w:val="auto"/>
                <w:sz w:val="24"/>
                <w:highlight w:val="none"/>
                <w:lang w:val="en-US" w:eastAsia="zh-CN"/>
              </w:rPr>
              <w:t>在42</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eastAsia" w:cs="Times New Roman"/>
                <w:color w:val="auto"/>
                <w:sz w:val="24"/>
                <w:highlight w:val="none"/>
                <w:lang w:val="en-US" w:eastAsia="zh-CN"/>
              </w:rPr>
              <w:t>~44</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eastAsia" w:cs="Times New Roman"/>
                <w:color w:val="auto"/>
                <w:sz w:val="24"/>
                <w:highlight w:val="none"/>
                <w:lang w:val="en-US" w:eastAsia="zh-CN"/>
              </w:rPr>
              <w:t>之间，</w:t>
            </w:r>
            <w:r>
              <w:rPr>
                <w:rFonts w:hint="default" w:ascii="Times New Roman" w:hAnsi="Times New Roman" w:eastAsia="宋体" w:cs="Times New Roman"/>
                <w:color w:val="auto"/>
                <w:kern w:val="0"/>
                <w:sz w:val="24"/>
                <w:szCs w:val="24"/>
                <w:highlight w:val="none"/>
                <w:lang w:val="en-US" w:eastAsia="zh-CN" w:bidi="ar-SA"/>
              </w:rPr>
              <w:t>声环境敏感目标处</w:t>
            </w:r>
            <w:r>
              <w:rPr>
                <w:rFonts w:hint="default" w:ascii="Times New Roman" w:hAnsi="Times New Roman" w:eastAsia="宋体" w:cs="Times New Roman"/>
                <w:color w:val="auto"/>
                <w:kern w:val="0"/>
                <w:sz w:val="24"/>
                <w:szCs w:val="24"/>
                <w:lang w:val="en-US" w:eastAsia="zh-CN" w:bidi="ar-SA"/>
              </w:rPr>
              <w:t>的</w:t>
            </w:r>
            <w:r>
              <w:rPr>
                <w:rFonts w:hint="default" w:ascii="Times New Roman" w:hAnsi="Times New Roman" w:cs="Times New Roman"/>
                <w:color w:val="auto"/>
                <w:sz w:val="24"/>
                <w:highlight w:val="none"/>
                <w:lang w:val="en-US" w:eastAsia="zh-CN"/>
              </w:rPr>
              <w:t>昼间噪声预测值满足</w:t>
            </w:r>
            <w:r>
              <w:rPr>
                <w:rFonts w:hint="default" w:ascii="Times New Roman" w:hAnsi="Times New Roman" w:eastAsia="宋体" w:cs="Times New Roman"/>
                <w:b w:val="0"/>
                <w:bCs w:val="0"/>
                <w:color w:val="auto"/>
                <w:spacing w:val="0"/>
                <w:sz w:val="24"/>
                <w:highlight w:val="none"/>
              </w:rPr>
              <w:t>《声环境质量标准》（GB3096-2008）</w:t>
            </w:r>
            <w:r>
              <w:rPr>
                <w:rFonts w:hint="default" w:ascii="Times New Roman" w:hAnsi="Times New Roman" w:eastAsia="宋体" w:cs="Times New Roman"/>
                <w:b w:val="0"/>
                <w:bCs w:val="0"/>
                <w:color w:val="auto"/>
                <w:spacing w:val="0"/>
                <w:sz w:val="24"/>
                <w:highlight w:val="none"/>
                <w:lang w:val="en-US" w:eastAsia="zh-CN"/>
              </w:rPr>
              <w:t>1类标准要求（</w:t>
            </w:r>
            <w:r>
              <w:rPr>
                <w:rFonts w:hint="default" w:ascii="Times New Roman" w:hAnsi="Times New Roman" w:cs="Times New Roman"/>
                <w:color w:val="auto"/>
                <w:sz w:val="24"/>
              </w:rPr>
              <w:t>昼间</w:t>
            </w:r>
            <w:r>
              <w:rPr>
                <w:rFonts w:hint="default" w:ascii="Times New Roman" w:hAnsi="Times New Roman" w:cs="Times New Roman"/>
                <w:color w:val="auto"/>
                <w:sz w:val="24"/>
                <w:lang w:val="en-US" w:eastAsia="zh-CN"/>
              </w:rPr>
              <w:t>55</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default" w:ascii="Times New Roman" w:hAnsi="Times New Roman" w:eastAsia="宋体" w:cs="Times New Roman"/>
                <w:b w:val="0"/>
                <w:bCs w:val="0"/>
                <w:color w:val="auto"/>
                <w:spacing w:val="0"/>
                <w:sz w:val="24"/>
                <w:highlight w:val="none"/>
                <w:lang w:val="en-US" w:eastAsia="zh-CN"/>
              </w:rPr>
              <w:t>）。</w:t>
            </w:r>
          </w:p>
          <w:p w14:paraId="6D8BF4AA">
            <w:pPr>
              <w:pStyle w:val="1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eastAsia="zh-CN"/>
              </w:rPr>
              <w:t>⑵</w:t>
            </w:r>
            <w:r>
              <w:rPr>
                <w:rFonts w:hint="default" w:ascii="Times New Roman" w:hAnsi="Times New Roman" w:cs="Times New Roman"/>
                <w:color w:val="auto"/>
                <w:sz w:val="24"/>
                <w:highlight w:val="none"/>
                <w:lang w:val="en-US" w:eastAsia="zh-CN"/>
              </w:rPr>
              <w:t>输电线路</w:t>
            </w:r>
          </w:p>
          <w:p w14:paraId="63E2DABC">
            <w:pPr>
              <w:pStyle w:val="106"/>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val="en-US" w:eastAsia="zh-CN"/>
              </w:rPr>
              <w:t>本项目施工期噪声主要是各种机械设备所产生的噪声，</w:t>
            </w:r>
            <w:r>
              <w:rPr>
                <w:rFonts w:hint="default" w:ascii="Times New Roman" w:hAnsi="Times New Roman" w:eastAsia="宋体" w:cs="Times New Roman"/>
                <w:color w:val="auto"/>
                <w:sz w:val="24"/>
                <w:highlight w:val="none"/>
                <w:lang w:eastAsia="zh-CN"/>
              </w:rPr>
              <w:t>根据</w:t>
            </w:r>
            <w:r>
              <w:rPr>
                <w:rFonts w:hint="default" w:ascii="Times New Roman" w:hAnsi="Times New Roman" w:eastAsia="宋体" w:cs="Times New Roman"/>
                <w:color w:val="auto"/>
                <w:sz w:val="24"/>
                <w:highlight w:val="none"/>
                <w:lang w:val="en-US" w:eastAsia="zh-CN"/>
              </w:rPr>
              <w:t>表4-2</w:t>
            </w:r>
            <w:r>
              <w:rPr>
                <w:rFonts w:hint="default" w:ascii="Times New Roman" w:hAnsi="Times New Roman" w:eastAsia="宋体" w:cs="Times New Roman"/>
                <w:color w:val="auto"/>
                <w:sz w:val="24"/>
                <w:highlight w:val="none"/>
                <w:lang w:eastAsia="zh-CN"/>
              </w:rPr>
              <w:t>计算</w:t>
            </w:r>
            <w:r>
              <w:rPr>
                <w:rFonts w:hint="default" w:ascii="Times New Roman" w:hAnsi="Times New Roman" w:eastAsia="宋体" w:cs="Times New Roman"/>
                <w:color w:val="auto"/>
                <w:sz w:val="24"/>
                <w:highlight w:val="none"/>
                <w:lang w:val="en-US" w:eastAsia="zh-CN"/>
              </w:rPr>
              <w:t>结果可知</w:t>
            </w:r>
            <w:r>
              <w:rPr>
                <w:rFonts w:hint="default" w:ascii="Times New Roman" w:hAnsi="Times New Roman" w:eastAsia="宋体" w:cs="Times New Roman"/>
                <w:color w:val="auto"/>
                <w:sz w:val="24"/>
                <w:highlight w:val="none"/>
                <w:lang w:eastAsia="zh-CN"/>
              </w:rPr>
              <w:t>，距离声源</w:t>
            </w:r>
            <w:r>
              <w:rPr>
                <w:rFonts w:hint="default"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lang w:eastAsia="zh-CN"/>
              </w:rPr>
              <w:t>m之外均可衰减至70dB(A)以下，</w:t>
            </w:r>
            <w:r>
              <w:rPr>
                <w:rFonts w:hint="default" w:ascii="Times New Roman" w:hAnsi="Times New Roman" w:eastAsia="宋体" w:cs="Times New Roman"/>
                <w:color w:val="auto"/>
                <w:sz w:val="24"/>
                <w:highlight w:val="none"/>
                <w:lang w:val="en-US" w:eastAsia="zh-CN"/>
              </w:rPr>
              <w:t>由于本项目输电线路工程为点状施工，各施工点施工量小，施工时间短，单塔施工准备到基础浇筑完成时间一般较短，施工高峰期每天运行时间约6h。且输电线路施工在昼间（6:00-22:00）进行，夜间不进行施工，施工期间通过加强施工机械维护和保养，避免噪声源强较大的机械同时进行施工作业，采用限制鸣喇叭，限速等措施</w:t>
            </w:r>
            <w:r>
              <w:rPr>
                <w:rFonts w:hint="default" w:ascii="Times New Roman" w:hAnsi="Times New Roman" w:cs="Times New Roman"/>
                <w:color w:val="auto"/>
                <w:sz w:val="24"/>
                <w:highlight w:val="none"/>
              </w:rPr>
              <w:t>可有效减缓施工</w:t>
            </w:r>
            <w:r>
              <w:rPr>
                <w:rFonts w:hint="default" w:ascii="Times New Roman" w:hAnsi="Times New Roman" w:cs="Times New Roman"/>
                <w:color w:val="auto"/>
                <w:sz w:val="24"/>
                <w:highlight w:val="none"/>
                <w:lang w:val="en-US" w:eastAsia="zh-CN"/>
              </w:rPr>
              <w:t>噪声</w:t>
            </w:r>
            <w:r>
              <w:rPr>
                <w:rFonts w:hint="default" w:ascii="Times New Roman" w:hAnsi="Times New Roman" w:cs="Times New Roman"/>
                <w:color w:val="auto"/>
                <w:sz w:val="24"/>
                <w:highlight w:val="none"/>
              </w:rPr>
              <w:t>的影响。</w:t>
            </w:r>
          </w:p>
          <w:p w14:paraId="0A5912AE">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lang w:val="en-US" w:eastAsia="zh-CN" w:bidi="ar"/>
              </w:rPr>
              <w:t>本项目输电线路边导线</w:t>
            </w:r>
            <w:r>
              <w:rPr>
                <w:rFonts w:hint="eastAsia" w:cs="Times New Roman"/>
                <w:color w:val="auto"/>
                <w:kern w:val="0"/>
                <w:sz w:val="24"/>
                <w:lang w:val="en-US" w:eastAsia="zh-CN" w:bidi="ar"/>
              </w:rPr>
              <w:t>3</w:t>
            </w:r>
            <w:r>
              <w:rPr>
                <w:rFonts w:hint="default" w:ascii="Times New Roman" w:hAnsi="Times New Roman" w:eastAsia="宋体" w:cs="Times New Roman"/>
                <w:color w:val="auto"/>
                <w:kern w:val="0"/>
                <w:sz w:val="24"/>
                <w:lang w:val="en-US" w:eastAsia="zh-CN" w:bidi="ar"/>
              </w:rPr>
              <w:t>0m范围内涉及4处声环境敏感目标，</w:t>
            </w:r>
            <w:r>
              <w:rPr>
                <w:rFonts w:hint="default" w:ascii="Times New Roman" w:hAnsi="Times New Roman" w:eastAsia="宋体" w:cs="Times New Roman"/>
                <w:color w:val="auto"/>
                <w:sz w:val="24"/>
              </w:rPr>
              <w:t>本次评价针对声环境保护目标进行施工期昼间噪声预测，噪声源强选用单台施工机械作业，距声源</w:t>
            </w:r>
            <w:r>
              <w:rPr>
                <w:rFonts w:hint="eastAsia" w:cs="Times New Roman"/>
                <w:color w:val="auto"/>
                <w:sz w:val="24"/>
                <w:lang w:val="en-US" w:eastAsia="zh-CN"/>
              </w:rPr>
              <w:t>挖掘机</w:t>
            </w:r>
            <w:r>
              <w:rPr>
                <w:rFonts w:hint="default" w:ascii="Times New Roman" w:hAnsi="Times New Roman" w:eastAsia="宋体" w:cs="Times New Roman"/>
                <w:color w:val="auto"/>
                <w:sz w:val="24"/>
              </w:rPr>
              <w:t>5m处的声压级为</w:t>
            </w:r>
            <w:r>
              <w:rPr>
                <w:rFonts w:hint="eastAsia" w:cs="Times New Roman"/>
                <w:color w:val="auto"/>
                <w:sz w:val="24"/>
                <w:highlight w:val="none"/>
                <w:lang w:val="en-US" w:eastAsia="zh-CN"/>
              </w:rPr>
              <w:t>73</w:t>
            </w:r>
            <w:r>
              <w:rPr>
                <w:rFonts w:hint="default" w:ascii="Times New Roman" w:hAnsi="Times New Roman" w:eastAsia="宋体" w:cs="Times New Roman"/>
                <w:color w:val="auto"/>
                <w:sz w:val="24"/>
              </w:rPr>
              <w:t>dB</w:t>
            </w:r>
            <w:r>
              <w:rPr>
                <w:rFonts w:hint="eastAsia" w:cs="Times New Roman"/>
                <w:color w:val="auto"/>
                <w:sz w:val="24"/>
                <w:lang w:eastAsia="zh-CN"/>
              </w:rPr>
              <w:t>(A)</w:t>
            </w:r>
            <w:r>
              <w:rPr>
                <w:rFonts w:hint="default" w:ascii="Times New Roman" w:hAnsi="Times New Roman" w:eastAsia="宋体" w:cs="Times New Roman"/>
                <w:color w:val="auto"/>
                <w:sz w:val="24"/>
              </w:rPr>
              <w:t>。</w:t>
            </w:r>
            <w:r>
              <w:rPr>
                <w:rFonts w:hint="default" w:ascii="Times New Roman" w:hAnsi="Times New Roman" w:eastAsia="宋体" w:cs="Times New Roman"/>
                <w:color w:val="auto"/>
                <w:kern w:val="0"/>
                <w:sz w:val="24"/>
                <w:lang w:bidi="ar"/>
              </w:rPr>
              <w:t>预测结果见</w:t>
            </w:r>
            <w:r>
              <w:rPr>
                <w:rFonts w:hint="default" w:ascii="Times New Roman" w:hAnsi="Times New Roman" w:eastAsia="宋体" w:cs="Times New Roman"/>
                <w:color w:val="auto"/>
                <w:kern w:val="0"/>
                <w:sz w:val="24"/>
              </w:rPr>
              <w:t>表</w:t>
            </w:r>
            <w:r>
              <w:rPr>
                <w:rFonts w:hint="default" w:ascii="Times New Roman" w:hAnsi="Times New Roman" w:eastAsia="宋体" w:cs="Times New Roman"/>
                <w:color w:val="auto"/>
                <w:kern w:val="0"/>
                <w:sz w:val="24"/>
                <w:lang w:val="en-US" w:eastAsia="zh-CN"/>
              </w:rPr>
              <w:t>4-</w:t>
            </w:r>
            <w:r>
              <w:rPr>
                <w:rFonts w:hint="eastAsia" w:cs="Times New Roman"/>
                <w:color w:val="auto"/>
                <w:kern w:val="0"/>
                <w:sz w:val="24"/>
                <w:lang w:val="en-US" w:eastAsia="zh-CN"/>
              </w:rPr>
              <w:t>4</w:t>
            </w:r>
            <w:r>
              <w:rPr>
                <w:rFonts w:hint="default" w:ascii="Times New Roman" w:hAnsi="Times New Roman" w:eastAsia="宋体" w:cs="Times New Roman"/>
                <w:color w:val="auto"/>
                <w:sz w:val="24"/>
              </w:rPr>
              <w:t>。</w:t>
            </w:r>
          </w:p>
          <w:p w14:paraId="6540CCF6">
            <w:pPr>
              <w:widowControl/>
              <w:spacing w:line="240" w:lineRule="auto"/>
              <w:ind w:firstLine="482" w:firstLineChars="200"/>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w:t>
            </w:r>
            <w:r>
              <w:rPr>
                <w:rFonts w:hint="default" w:ascii="Times New Roman" w:hAnsi="Times New Roman" w:eastAsia="宋体" w:cs="Times New Roman"/>
                <w:b/>
                <w:color w:val="auto"/>
                <w:sz w:val="24"/>
                <w:szCs w:val="24"/>
                <w:lang w:val="en-US" w:eastAsia="zh-CN"/>
              </w:rPr>
              <w:t>4</w:t>
            </w:r>
            <w:r>
              <w:rPr>
                <w:rFonts w:hint="default" w:ascii="Times New Roman" w:hAnsi="Times New Roman" w:eastAsia="宋体" w:cs="Times New Roman"/>
                <w:b/>
                <w:color w:val="auto"/>
                <w:sz w:val="24"/>
                <w:szCs w:val="24"/>
              </w:rPr>
              <w:t>-</w:t>
            </w:r>
            <w:r>
              <w:rPr>
                <w:rFonts w:hint="eastAsia" w:cs="Times New Roman"/>
                <w:b/>
                <w:color w:val="auto"/>
                <w:sz w:val="24"/>
                <w:szCs w:val="24"/>
                <w:lang w:val="en-US" w:eastAsia="zh-CN"/>
              </w:rPr>
              <w:t>4</w:t>
            </w:r>
            <w:r>
              <w:rPr>
                <w:rFonts w:hint="default" w:ascii="Times New Roman" w:hAnsi="Times New Roman" w:eastAsia="宋体" w:cs="Times New Roman"/>
                <w:b/>
                <w:color w:val="auto"/>
                <w:sz w:val="24"/>
                <w:szCs w:val="24"/>
                <w:lang w:val="en-US" w:eastAsia="zh-CN"/>
              </w:rPr>
              <w:t xml:space="preserve">   </w:t>
            </w:r>
            <w:r>
              <w:rPr>
                <w:rFonts w:hint="default" w:ascii="Times New Roman" w:hAnsi="Times New Roman" w:eastAsia="宋体" w:cs="Times New Roman"/>
                <w:b/>
                <w:color w:val="auto"/>
                <w:sz w:val="24"/>
                <w:szCs w:val="24"/>
              </w:rPr>
              <w:t>施工期声环境保护目标处噪声预测结果</w:t>
            </w:r>
          </w:p>
          <w:tbl>
            <w:tblPr>
              <w:tblStyle w:val="31"/>
              <w:tblW w:w="83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4"/>
              <w:gridCol w:w="1800"/>
              <w:gridCol w:w="859"/>
              <w:gridCol w:w="504"/>
              <w:gridCol w:w="1146"/>
              <w:gridCol w:w="859"/>
              <w:gridCol w:w="763"/>
              <w:gridCol w:w="752"/>
              <w:gridCol w:w="715"/>
              <w:gridCol w:w="647"/>
            </w:tblGrid>
            <w:tr w14:paraId="019553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2" w:hRule="atLeast"/>
                <w:jc w:val="center"/>
              </w:trPr>
              <w:tc>
                <w:tcPr>
                  <w:tcW w:w="334" w:type="dxa"/>
                  <w:noWrap w:val="0"/>
                  <w:vAlign w:val="center"/>
                </w:tcPr>
                <w:p w14:paraId="643C037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b/>
                      <w:bCs/>
                      <w:color w:val="auto"/>
                      <w:kern w:val="0"/>
                      <w:sz w:val="20"/>
                      <w:szCs w:val="20"/>
                    </w:rPr>
                    <w:t>序号</w:t>
                  </w:r>
                </w:p>
              </w:tc>
              <w:tc>
                <w:tcPr>
                  <w:tcW w:w="1800" w:type="dxa"/>
                  <w:noWrap w:val="0"/>
                  <w:vAlign w:val="center"/>
                </w:tcPr>
                <w:p w14:paraId="4F53EE2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rPr>
                  </w:pPr>
                  <w:r>
                    <w:rPr>
                      <w:rFonts w:hint="default" w:ascii="Times New Roman" w:hAnsi="Times New Roman" w:eastAsia="宋体" w:cs="Times New Roman"/>
                      <w:b/>
                      <w:bCs/>
                      <w:color w:val="auto"/>
                      <w:kern w:val="0"/>
                      <w:sz w:val="20"/>
                      <w:szCs w:val="20"/>
                    </w:rPr>
                    <w:t>声环境</w:t>
                  </w:r>
                </w:p>
                <w:p w14:paraId="6F060BC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rPr>
                  </w:pPr>
                  <w:r>
                    <w:rPr>
                      <w:rFonts w:hint="default" w:ascii="Times New Roman" w:hAnsi="Times New Roman" w:eastAsia="宋体" w:cs="Times New Roman"/>
                      <w:b/>
                      <w:bCs/>
                      <w:color w:val="auto"/>
                      <w:kern w:val="0"/>
                      <w:sz w:val="20"/>
                      <w:szCs w:val="20"/>
                    </w:rPr>
                    <w:t>保护目标</w:t>
                  </w:r>
                </w:p>
              </w:tc>
              <w:tc>
                <w:tcPr>
                  <w:tcW w:w="859" w:type="dxa"/>
                  <w:noWrap w:val="0"/>
                  <w:vAlign w:val="center"/>
                </w:tcPr>
                <w:p w14:paraId="5BC769B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rPr>
                  </w:pPr>
                  <w:r>
                    <w:rPr>
                      <w:rFonts w:hint="default" w:ascii="Times New Roman" w:hAnsi="Times New Roman" w:eastAsia="宋体" w:cs="Times New Roman"/>
                      <w:b/>
                      <w:bCs/>
                      <w:color w:val="auto"/>
                      <w:kern w:val="0"/>
                      <w:sz w:val="20"/>
                      <w:szCs w:val="20"/>
                    </w:rPr>
                    <w:t>与最近塔基</w:t>
                  </w:r>
                  <w:r>
                    <w:rPr>
                      <w:rFonts w:hint="default" w:ascii="Times New Roman" w:hAnsi="Times New Roman" w:eastAsia="宋体" w:cs="Times New Roman"/>
                      <w:b/>
                      <w:bCs/>
                      <w:color w:val="auto"/>
                      <w:kern w:val="0"/>
                      <w:sz w:val="20"/>
                      <w:szCs w:val="20"/>
                      <w:lang w:val="en-US" w:eastAsia="zh-CN"/>
                    </w:rPr>
                    <w:t>的</w:t>
                  </w:r>
                  <w:r>
                    <w:rPr>
                      <w:rFonts w:hint="default" w:ascii="Times New Roman" w:hAnsi="Times New Roman" w:eastAsia="宋体" w:cs="Times New Roman"/>
                      <w:b/>
                      <w:bCs/>
                      <w:color w:val="auto"/>
                      <w:kern w:val="0"/>
                      <w:sz w:val="20"/>
                      <w:szCs w:val="20"/>
                    </w:rPr>
                    <w:t>距离（m）</w:t>
                  </w:r>
                </w:p>
              </w:tc>
              <w:tc>
                <w:tcPr>
                  <w:tcW w:w="504" w:type="dxa"/>
                  <w:noWrap w:val="0"/>
                  <w:vAlign w:val="center"/>
                </w:tcPr>
                <w:p w14:paraId="0533E59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rPr>
                  </w:pPr>
                  <w:r>
                    <w:rPr>
                      <w:rFonts w:hint="default" w:ascii="Times New Roman" w:hAnsi="Times New Roman" w:eastAsia="宋体" w:cs="Times New Roman"/>
                      <w:b/>
                      <w:bCs/>
                      <w:color w:val="auto"/>
                      <w:kern w:val="0"/>
                      <w:sz w:val="20"/>
                      <w:szCs w:val="20"/>
                    </w:rPr>
                    <w:t>时段</w:t>
                  </w:r>
                </w:p>
              </w:tc>
              <w:tc>
                <w:tcPr>
                  <w:tcW w:w="1146" w:type="dxa"/>
                  <w:noWrap w:val="0"/>
                  <w:vAlign w:val="center"/>
                </w:tcPr>
                <w:p w14:paraId="0526DFA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lang w:val="en-US"/>
                    </w:rPr>
                  </w:pPr>
                  <w:r>
                    <w:rPr>
                      <w:rFonts w:hint="default" w:ascii="Times New Roman" w:hAnsi="Times New Roman" w:eastAsia="宋体" w:cs="Times New Roman"/>
                      <w:b/>
                      <w:bCs/>
                      <w:color w:val="auto"/>
                      <w:kern w:val="0"/>
                      <w:sz w:val="20"/>
                      <w:szCs w:val="20"/>
                      <w:lang w:val="en-US" w:eastAsia="zh-CN"/>
                    </w:rPr>
                    <w:t>2.5m高的隔声围挡</w:t>
                  </w:r>
                  <w:r>
                    <w:rPr>
                      <w:rFonts w:hint="eastAsia" w:cs="Times New Roman"/>
                      <w:b/>
                      <w:bCs/>
                      <w:color w:val="auto"/>
                      <w:kern w:val="0"/>
                      <w:sz w:val="20"/>
                      <w:szCs w:val="20"/>
                      <w:lang w:val="en-US" w:eastAsia="zh-CN"/>
                    </w:rPr>
                    <w:t>隔声量（</w:t>
                  </w:r>
                  <w:r>
                    <w:rPr>
                      <w:rFonts w:hint="default" w:ascii="Times New Roman" w:hAnsi="Times New Roman" w:eastAsia="宋体" w:cs="Times New Roman"/>
                      <w:b/>
                      <w:bCs/>
                      <w:color w:val="auto"/>
                      <w:kern w:val="0"/>
                      <w:sz w:val="20"/>
                      <w:szCs w:val="20"/>
                    </w:rPr>
                    <w:t>dB</w:t>
                  </w:r>
                  <w:r>
                    <w:rPr>
                      <w:rFonts w:hint="default" w:ascii="Times New Roman" w:hAnsi="Times New Roman" w:eastAsia="宋体" w:cs="Times New Roman"/>
                      <w:b/>
                      <w:bCs/>
                      <w:color w:val="auto"/>
                      <w:kern w:val="0"/>
                      <w:sz w:val="20"/>
                      <w:szCs w:val="20"/>
                      <w:lang w:eastAsia="zh-CN"/>
                    </w:rPr>
                    <w:t>(A)</w:t>
                  </w:r>
                  <w:r>
                    <w:rPr>
                      <w:rFonts w:hint="eastAsia" w:cs="Times New Roman"/>
                      <w:b/>
                      <w:bCs/>
                      <w:color w:val="auto"/>
                      <w:kern w:val="0"/>
                      <w:sz w:val="20"/>
                      <w:szCs w:val="20"/>
                      <w:lang w:val="en-US" w:eastAsia="zh-CN"/>
                    </w:rPr>
                    <w:t>）</w:t>
                  </w:r>
                </w:p>
              </w:tc>
              <w:tc>
                <w:tcPr>
                  <w:tcW w:w="859" w:type="dxa"/>
                  <w:shd w:val="clear" w:color="auto" w:fill="auto"/>
                  <w:noWrap w:val="0"/>
                  <w:vAlign w:val="center"/>
                </w:tcPr>
                <w:p w14:paraId="2695B0D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lang w:val="en-US" w:eastAsia="zh-CN" w:bidi="ar-SA"/>
                    </w:rPr>
                  </w:pPr>
                  <w:r>
                    <w:rPr>
                      <w:rFonts w:hint="default" w:ascii="Times New Roman" w:hAnsi="Times New Roman" w:eastAsia="宋体" w:cs="Times New Roman"/>
                      <w:b/>
                      <w:bCs/>
                      <w:color w:val="auto"/>
                      <w:kern w:val="0"/>
                      <w:sz w:val="20"/>
                      <w:szCs w:val="20"/>
                    </w:rPr>
                    <w:t>噪声贡献值dB</w:t>
                  </w:r>
                  <w:r>
                    <w:rPr>
                      <w:rFonts w:hint="default" w:ascii="Times New Roman" w:hAnsi="Times New Roman" w:eastAsia="宋体" w:cs="Times New Roman"/>
                      <w:b/>
                      <w:bCs/>
                      <w:color w:val="auto"/>
                      <w:kern w:val="0"/>
                      <w:sz w:val="20"/>
                      <w:szCs w:val="20"/>
                      <w:lang w:eastAsia="zh-CN"/>
                    </w:rPr>
                    <w:t>(A)</w:t>
                  </w:r>
                </w:p>
              </w:tc>
              <w:tc>
                <w:tcPr>
                  <w:tcW w:w="763" w:type="dxa"/>
                  <w:shd w:val="clear" w:color="auto" w:fill="auto"/>
                  <w:noWrap w:val="0"/>
                  <w:vAlign w:val="center"/>
                </w:tcPr>
                <w:p w14:paraId="71875B6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lang w:val="en-US" w:eastAsia="zh-CN" w:bidi="ar-SA"/>
                    </w:rPr>
                  </w:pPr>
                  <w:r>
                    <w:rPr>
                      <w:rFonts w:hint="default" w:ascii="Times New Roman" w:hAnsi="Times New Roman" w:eastAsia="宋体" w:cs="Times New Roman"/>
                      <w:b/>
                      <w:bCs/>
                      <w:color w:val="auto"/>
                      <w:kern w:val="0"/>
                      <w:sz w:val="20"/>
                      <w:szCs w:val="20"/>
                    </w:rPr>
                    <w:t>背景噪声值dB</w:t>
                  </w:r>
                  <w:r>
                    <w:rPr>
                      <w:rFonts w:hint="default" w:ascii="Times New Roman" w:hAnsi="Times New Roman" w:eastAsia="宋体" w:cs="Times New Roman"/>
                      <w:b/>
                      <w:bCs/>
                      <w:color w:val="auto"/>
                      <w:kern w:val="0"/>
                      <w:sz w:val="20"/>
                      <w:szCs w:val="20"/>
                      <w:lang w:eastAsia="zh-CN"/>
                    </w:rPr>
                    <w:t>(A)</w:t>
                  </w:r>
                </w:p>
              </w:tc>
              <w:tc>
                <w:tcPr>
                  <w:tcW w:w="752" w:type="dxa"/>
                  <w:noWrap w:val="0"/>
                  <w:vAlign w:val="center"/>
                </w:tcPr>
                <w:p w14:paraId="0B7AACD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lang w:eastAsia="zh-CN"/>
                    </w:rPr>
                  </w:pPr>
                  <w:r>
                    <w:rPr>
                      <w:rFonts w:hint="default" w:ascii="Times New Roman" w:hAnsi="Times New Roman" w:eastAsia="宋体" w:cs="Times New Roman"/>
                      <w:b/>
                      <w:bCs/>
                      <w:color w:val="auto"/>
                      <w:kern w:val="0"/>
                      <w:sz w:val="20"/>
                      <w:szCs w:val="20"/>
                    </w:rPr>
                    <w:t>噪声预测值dB</w:t>
                  </w:r>
                  <w:r>
                    <w:rPr>
                      <w:rFonts w:hint="default" w:ascii="Times New Roman" w:hAnsi="Times New Roman" w:eastAsia="宋体" w:cs="Times New Roman"/>
                      <w:b/>
                      <w:bCs/>
                      <w:color w:val="auto"/>
                      <w:kern w:val="0"/>
                      <w:sz w:val="20"/>
                      <w:szCs w:val="20"/>
                      <w:lang w:eastAsia="zh-CN"/>
                    </w:rPr>
                    <w:t>(A)</w:t>
                  </w:r>
                </w:p>
              </w:tc>
              <w:tc>
                <w:tcPr>
                  <w:tcW w:w="715" w:type="dxa"/>
                  <w:noWrap w:val="0"/>
                  <w:vAlign w:val="center"/>
                </w:tcPr>
                <w:p w14:paraId="62946DB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lang w:eastAsia="zh-CN"/>
                    </w:rPr>
                  </w:pPr>
                  <w:r>
                    <w:rPr>
                      <w:rFonts w:hint="default" w:ascii="Times New Roman" w:hAnsi="Times New Roman" w:eastAsia="宋体" w:cs="Times New Roman"/>
                      <w:b/>
                      <w:bCs/>
                      <w:color w:val="auto"/>
                      <w:kern w:val="0"/>
                      <w:sz w:val="20"/>
                      <w:szCs w:val="20"/>
                    </w:rPr>
                    <w:t>标准dB</w:t>
                  </w:r>
                  <w:r>
                    <w:rPr>
                      <w:rFonts w:hint="default" w:ascii="Times New Roman" w:hAnsi="Times New Roman" w:eastAsia="宋体" w:cs="Times New Roman"/>
                      <w:b/>
                      <w:bCs/>
                      <w:color w:val="auto"/>
                      <w:kern w:val="0"/>
                      <w:sz w:val="20"/>
                      <w:szCs w:val="20"/>
                      <w:lang w:eastAsia="zh-CN"/>
                    </w:rPr>
                    <w:t>(A)</w:t>
                  </w:r>
                </w:p>
              </w:tc>
              <w:tc>
                <w:tcPr>
                  <w:tcW w:w="647" w:type="dxa"/>
                  <w:noWrap w:val="0"/>
                  <w:vAlign w:val="center"/>
                </w:tcPr>
                <w:p w14:paraId="0433805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0"/>
                      <w:szCs w:val="20"/>
                    </w:rPr>
                  </w:pPr>
                  <w:r>
                    <w:rPr>
                      <w:rFonts w:hint="default" w:ascii="Times New Roman" w:hAnsi="Times New Roman" w:eastAsia="宋体" w:cs="Times New Roman"/>
                      <w:b/>
                      <w:bCs/>
                      <w:color w:val="auto"/>
                      <w:kern w:val="0"/>
                      <w:sz w:val="20"/>
                      <w:szCs w:val="20"/>
                    </w:rPr>
                    <w:t>达标情况</w:t>
                  </w:r>
                </w:p>
              </w:tc>
            </w:tr>
            <w:tr w14:paraId="38EB7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4" w:type="dxa"/>
                  <w:noWrap w:val="0"/>
                  <w:vAlign w:val="center"/>
                </w:tcPr>
                <w:p w14:paraId="3BB64D0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1</w:t>
                  </w:r>
                </w:p>
              </w:tc>
              <w:tc>
                <w:tcPr>
                  <w:tcW w:w="1800" w:type="dxa"/>
                  <w:noWrap w:val="0"/>
                  <w:vAlign w:val="center"/>
                </w:tcPr>
                <w:p w14:paraId="6EC0E6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b w:val="0"/>
                      <w:bCs w:val="0"/>
                      <w:color w:val="auto"/>
                      <w:sz w:val="20"/>
                      <w:szCs w:val="20"/>
                      <w:highlight w:val="none"/>
                      <w:lang w:val="en-US" w:eastAsia="zh-CN"/>
                    </w:rPr>
                    <w:t>单回架空输电线路G5#~6#杆塔间线路边导线东南侧</w:t>
                  </w:r>
                  <w:r>
                    <w:rPr>
                      <w:rFonts w:hint="default" w:ascii="Times New Roman" w:hAnsi="Times New Roman" w:eastAsia="宋体" w:cs="Times New Roman"/>
                      <w:snapToGrid w:val="0"/>
                      <w:color w:val="auto"/>
                      <w:kern w:val="0"/>
                      <w:sz w:val="20"/>
                      <w:szCs w:val="20"/>
                      <w:lang w:val="en-US" w:eastAsia="zh-CN" w:bidi="ar-SA"/>
                    </w:rPr>
                    <w:t>马占材宅</w:t>
                  </w:r>
                </w:p>
              </w:tc>
              <w:tc>
                <w:tcPr>
                  <w:tcW w:w="859" w:type="dxa"/>
                  <w:noWrap w:val="0"/>
                  <w:vAlign w:val="center"/>
                </w:tcPr>
                <w:p w14:paraId="58C4186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color w:val="auto"/>
                      <w:kern w:val="0"/>
                      <w:sz w:val="20"/>
                      <w:szCs w:val="20"/>
                      <w:lang w:val="en-US" w:eastAsia="zh-CN"/>
                    </w:rPr>
                    <w:t>30</w:t>
                  </w:r>
                </w:p>
              </w:tc>
              <w:tc>
                <w:tcPr>
                  <w:tcW w:w="504" w:type="dxa"/>
                  <w:noWrap w:val="0"/>
                  <w:vAlign w:val="center"/>
                </w:tcPr>
                <w:p w14:paraId="4B97A85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昼间</w:t>
                  </w:r>
                </w:p>
              </w:tc>
              <w:tc>
                <w:tcPr>
                  <w:tcW w:w="1146" w:type="dxa"/>
                  <w:noWrap w:val="0"/>
                  <w:vAlign w:val="center"/>
                </w:tcPr>
                <w:p w14:paraId="3818093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0"/>
                      <w:szCs w:val="20"/>
                      <w:lang w:val="en-US" w:eastAsia="zh-CN"/>
                    </w:rPr>
                  </w:pPr>
                  <w:r>
                    <w:rPr>
                      <w:rFonts w:hint="eastAsia" w:cs="Times New Roman"/>
                      <w:color w:val="auto"/>
                      <w:kern w:val="0"/>
                      <w:sz w:val="20"/>
                      <w:szCs w:val="20"/>
                      <w:lang w:val="en-US" w:eastAsia="zh-CN"/>
                    </w:rPr>
                    <w:t>5</w:t>
                  </w:r>
                </w:p>
              </w:tc>
              <w:tc>
                <w:tcPr>
                  <w:tcW w:w="859" w:type="dxa"/>
                  <w:shd w:val="clear" w:color="auto" w:fill="auto"/>
                  <w:noWrap w:val="0"/>
                  <w:vAlign w:val="center"/>
                </w:tcPr>
                <w:p w14:paraId="206E886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bidi="ar-SA"/>
                    </w:rPr>
                  </w:pPr>
                  <w:r>
                    <w:rPr>
                      <w:rFonts w:hint="eastAsia" w:cs="Times New Roman"/>
                      <w:color w:val="auto"/>
                      <w:kern w:val="0"/>
                      <w:sz w:val="20"/>
                      <w:szCs w:val="20"/>
                      <w:lang w:val="en-US" w:eastAsia="zh-CN"/>
                    </w:rPr>
                    <w:t>5</w:t>
                  </w:r>
                  <w:r>
                    <w:rPr>
                      <w:rFonts w:hint="default" w:ascii="Times New Roman" w:hAnsi="Times New Roman" w:eastAsia="宋体" w:cs="Times New Roman"/>
                      <w:color w:val="auto"/>
                      <w:kern w:val="0"/>
                      <w:sz w:val="20"/>
                      <w:szCs w:val="20"/>
                      <w:lang w:val="en-US" w:eastAsia="zh-CN"/>
                    </w:rPr>
                    <w:t>2</w:t>
                  </w:r>
                </w:p>
              </w:tc>
              <w:tc>
                <w:tcPr>
                  <w:tcW w:w="763" w:type="dxa"/>
                  <w:shd w:val="clear" w:color="auto" w:fill="auto"/>
                  <w:noWrap w:val="0"/>
                  <w:vAlign w:val="center"/>
                </w:tcPr>
                <w:p w14:paraId="6B1E917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bidi="ar-SA"/>
                    </w:rPr>
                  </w:pPr>
                  <w:r>
                    <w:rPr>
                      <w:rFonts w:hint="default" w:ascii="Times New Roman" w:hAnsi="Times New Roman" w:eastAsia="宋体" w:cs="Times New Roman"/>
                      <w:color w:val="auto"/>
                      <w:kern w:val="0"/>
                      <w:sz w:val="20"/>
                      <w:szCs w:val="20"/>
                      <w:lang w:val="en-US" w:eastAsia="zh-CN"/>
                    </w:rPr>
                    <w:t>42</w:t>
                  </w:r>
                </w:p>
              </w:tc>
              <w:tc>
                <w:tcPr>
                  <w:tcW w:w="752" w:type="dxa"/>
                  <w:noWrap w:val="0"/>
                  <w:vAlign w:val="center"/>
                </w:tcPr>
                <w:p w14:paraId="5FA69C8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eastAsia" w:cs="Times New Roman"/>
                      <w:color w:val="auto"/>
                      <w:kern w:val="0"/>
                      <w:sz w:val="20"/>
                      <w:szCs w:val="20"/>
                      <w:lang w:val="en-US" w:eastAsia="zh-CN"/>
                    </w:rPr>
                    <w:t>52</w:t>
                  </w:r>
                </w:p>
              </w:tc>
              <w:tc>
                <w:tcPr>
                  <w:tcW w:w="715" w:type="dxa"/>
                  <w:noWrap w:val="0"/>
                  <w:vAlign w:val="center"/>
                </w:tcPr>
                <w:p w14:paraId="6EB92AA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55</w:t>
                  </w:r>
                </w:p>
              </w:tc>
              <w:tc>
                <w:tcPr>
                  <w:tcW w:w="647" w:type="dxa"/>
                  <w:noWrap w:val="0"/>
                  <w:vAlign w:val="center"/>
                </w:tcPr>
                <w:p w14:paraId="16AF779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达标</w:t>
                  </w:r>
                </w:p>
              </w:tc>
            </w:tr>
            <w:tr w14:paraId="7062E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4" w:type="dxa"/>
                  <w:noWrap w:val="0"/>
                  <w:vAlign w:val="center"/>
                </w:tcPr>
                <w:p w14:paraId="302E5A1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color w:val="auto"/>
                      <w:kern w:val="0"/>
                      <w:sz w:val="20"/>
                      <w:szCs w:val="20"/>
                      <w:lang w:val="en-US" w:eastAsia="zh-CN"/>
                    </w:rPr>
                    <w:t>2</w:t>
                  </w:r>
                </w:p>
              </w:tc>
              <w:tc>
                <w:tcPr>
                  <w:tcW w:w="1800" w:type="dxa"/>
                  <w:noWrap w:val="0"/>
                  <w:vAlign w:val="center"/>
                </w:tcPr>
                <w:p w14:paraId="5420C0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b w:val="0"/>
                      <w:bCs w:val="0"/>
                      <w:color w:val="auto"/>
                      <w:sz w:val="20"/>
                      <w:szCs w:val="20"/>
                      <w:highlight w:val="none"/>
                      <w:lang w:val="en-US" w:eastAsia="zh-CN"/>
                    </w:rPr>
                    <w:t>单回架空输电线路G8#~9#杆塔间线路边导线西北侧</w:t>
                  </w:r>
                  <w:r>
                    <w:rPr>
                      <w:rFonts w:hint="default" w:ascii="Times New Roman" w:hAnsi="Times New Roman" w:eastAsia="宋体" w:cs="Times New Roman"/>
                      <w:snapToGrid w:val="0"/>
                      <w:color w:val="auto"/>
                      <w:kern w:val="0"/>
                      <w:sz w:val="20"/>
                      <w:szCs w:val="20"/>
                      <w:lang w:val="en-US" w:eastAsia="zh-CN" w:bidi="ar-SA"/>
                    </w:rPr>
                    <w:t>张建礼宅</w:t>
                  </w:r>
                </w:p>
              </w:tc>
              <w:tc>
                <w:tcPr>
                  <w:tcW w:w="859" w:type="dxa"/>
                  <w:noWrap w:val="0"/>
                  <w:vAlign w:val="center"/>
                </w:tcPr>
                <w:p w14:paraId="2B0D5A9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color w:val="auto"/>
                      <w:kern w:val="0"/>
                      <w:sz w:val="20"/>
                      <w:szCs w:val="20"/>
                      <w:lang w:val="en-US" w:eastAsia="zh-CN"/>
                    </w:rPr>
                    <w:t>2</w:t>
                  </w:r>
                  <w:r>
                    <w:rPr>
                      <w:rFonts w:hint="eastAsia" w:cs="Times New Roman"/>
                      <w:color w:val="auto"/>
                      <w:kern w:val="0"/>
                      <w:sz w:val="20"/>
                      <w:szCs w:val="20"/>
                      <w:lang w:val="en-US" w:eastAsia="zh-CN"/>
                    </w:rPr>
                    <w:t>8</w:t>
                  </w:r>
                </w:p>
              </w:tc>
              <w:tc>
                <w:tcPr>
                  <w:tcW w:w="504" w:type="dxa"/>
                  <w:noWrap w:val="0"/>
                  <w:vAlign w:val="center"/>
                </w:tcPr>
                <w:p w14:paraId="4813E47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昼间</w:t>
                  </w:r>
                </w:p>
              </w:tc>
              <w:tc>
                <w:tcPr>
                  <w:tcW w:w="1146" w:type="dxa"/>
                  <w:noWrap w:val="0"/>
                  <w:vAlign w:val="center"/>
                </w:tcPr>
                <w:p w14:paraId="111AC50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0"/>
                      <w:szCs w:val="20"/>
                      <w:lang w:val="en-US" w:eastAsia="zh-CN"/>
                    </w:rPr>
                  </w:pPr>
                  <w:r>
                    <w:rPr>
                      <w:rFonts w:hint="eastAsia" w:cs="Times New Roman"/>
                      <w:color w:val="auto"/>
                      <w:kern w:val="0"/>
                      <w:sz w:val="20"/>
                      <w:szCs w:val="20"/>
                      <w:lang w:val="en-US" w:eastAsia="zh-CN"/>
                    </w:rPr>
                    <w:t>5</w:t>
                  </w:r>
                </w:p>
              </w:tc>
              <w:tc>
                <w:tcPr>
                  <w:tcW w:w="859" w:type="dxa"/>
                  <w:shd w:val="clear" w:color="auto" w:fill="auto"/>
                  <w:noWrap w:val="0"/>
                  <w:vAlign w:val="center"/>
                </w:tcPr>
                <w:p w14:paraId="4E79814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bidi="ar-SA"/>
                    </w:rPr>
                  </w:pPr>
                  <w:r>
                    <w:rPr>
                      <w:rFonts w:hint="eastAsia" w:cs="Times New Roman"/>
                      <w:color w:val="auto"/>
                      <w:kern w:val="0"/>
                      <w:sz w:val="20"/>
                      <w:szCs w:val="20"/>
                      <w:lang w:val="en-US" w:eastAsia="zh-CN"/>
                    </w:rPr>
                    <w:t>53</w:t>
                  </w:r>
                </w:p>
              </w:tc>
              <w:tc>
                <w:tcPr>
                  <w:tcW w:w="763" w:type="dxa"/>
                  <w:shd w:val="clear" w:color="auto" w:fill="auto"/>
                  <w:noWrap w:val="0"/>
                  <w:vAlign w:val="center"/>
                </w:tcPr>
                <w:p w14:paraId="74ADDE8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bidi="ar-SA"/>
                    </w:rPr>
                  </w:pPr>
                  <w:r>
                    <w:rPr>
                      <w:rFonts w:hint="eastAsia" w:ascii="Times New Roman" w:hAnsi="Times New Roman" w:cs="Times New Roman"/>
                      <w:color w:val="auto"/>
                      <w:kern w:val="0"/>
                      <w:sz w:val="20"/>
                      <w:szCs w:val="20"/>
                      <w:lang w:val="en-US" w:eastAsia="zh-CN"/>
                    </w:rPr>
                    <w:t>4</w:t>
                  </w:r>
                  <w:r>
                    <w:rPr>
                      <w:rFonts w:hint="default" w:ascii="Times New Roman" w:hAnsi="Times New Roman" w:eastAsia="宋体" w:cs="Times New Roman"/>
                      <w:color w:val="auto"/>
                      <w:kern w:val="0"/>
                      <w:sz w:val="20"/>
                      <w:szCs w:val="20"/>
                      <w:lang w:val="en-US" w:eastAsia="zh-CN"/>
                    </w:rPr>
                    <w:t>3</w:t>
                  </w:r>
                </w:p>
              </w:tc>
              <w:tc>
                <w:tcPr>
                  <w:tcW w:w="752" w:type="dxa"/>
                  <w:noWrap w:val="0"/>
                  <w:vAlign w:val="center"/>
                </w:tcPr>
                <w:p w14:paraId="2313DEF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eastAsia" w:cs="Times New Roman"/>
                      <w:color w:val="auto"/>
                      <w:kern w:val="0"/>
                      <w:sz w:val="20"/>
                      <w:szCs w:val="20"/>
                      <w:lang w:val="en-US" w:eastAsia="zh-CN"/>
                    </w:rPr>
                    <w:t>53</w:t>
                  </w:r>
                </w:p>
              </w:tc>
              <w:tc>
                <w:tcPr>
                  <w:tcW w:w="715" w:type="dxa"/>
                  <w:noWrap w:val="0"/>
                  <w:vAlign w:val="center"/>
                </w:tcPr>
                <w:p w14:paraId="0E361FA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55</w:t>
                  </w:r>
                </w:p>
              </w:tc>
              <w:tc>
                <w:tcPr>
                  <w:tcW w:w="647" w:type="dxa"/>
                  <w:noWrap w:val="0"/>
                  <w:vAlign w:val="center"/>
                </w:tcPr>
                <w:p w14:paraId="0778507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达标</w:t>
                  </w:r>
                </w:p>
              </w:tc>
            </w:tr>
            <w:tr w14:paraId="20771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4" w:type="dxa"/>
                  <w:noWrap w:val="0"/>
                  <w:vAlign w:val="center"/>
                </w:tcPr>
                <w:p w14:paraId="0C4C9E0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color w:val="auto"/>
                      <w:kern w:val="0"/>
                      <w:sz w:val="20"/>
                      <w:szCs w:val="20"/>
                      <w:lang w:val="en-US" w:eastAsia="zh-CN"/>
                    </w:rPr>
                    <w:t>3</w:t>
                  </w:r>
                </w:p>
              </w:tc>
              <w:tc>
                <w:tcPr>
                  <w:tcW w:w="1800" w:type="dxa"/>
                  <w:noWrap w:val="0"/>
                  <w:vAlign w:val="center"/>
                </w:tcPr>
                <w:p w14:paraId="50093F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b w:val="0"/>
                      <w:bCs w:val="0"/>
                      <w:color w:val="auto"/>
                      <w:sz w:val="20"/>
                      <w:szCs w:val="20"/>
                      <w:highlight w:val="none"/>
                      <w:lang w:val="en-US" w:eastAsia="zh-CN"/>
                    </w:rPr>
                    <w:t>单回架空输电线路G19#~20#杆塔间线路边导线东南侧</w:t>
                  </w:r>
                  <w:r>
                    <w:rPr>
                      <w:rFonts w:hint="default" w:ascii="Times New Roman" w:hAnsi="Times New Roman" w:eastAsia="宋体" w:cs="Times New Roman"/>
                      <w:snapToGrid w:val="0"/>
                      <w:color w:val="auto"/>
                      <w:kern w:val="0"/>
                      <w:sz w:val="20"/>
                      <w:szCs w:val="20"/>
                      <w:lang w:val="en-US" w:eastAsia="zh-CN" w:bidi="ar-SA"/>
                    </w:rPr>
                    <w:t>王新贵宅</w:t>
                  </w:r>
                </w:p>
              </w:tc>
              <w:tc>
                <w:tcPr>
                  <w:tcW w:w="859" w:type="dxa"/>
                  <w:noWrap w:val="0"/>
                  <w:vAlign w:val="center"/>
                </w:tcPr>
                <w:p w14:paraId="6D169A0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color w:val="auto"/>
                      <w:kern w:val="0"/>
                      <w:sz w:val="20"/>
                      <w:szCs w:val="20"/>
                      <w:lang w:val="en-US" w:eastAsia="zh-CN"/>
                    </w:rPr>
                    <w:t>93</w:t>
                  </w:r>
                </w:p>
              </w:tc>
              <w:tc>
                <w:tcPr>
                  <w:tcW w:w="504" w:type="dxa"/>
                  <w:noWrap w:val="0"/>
                  <w:vAlign w:val="center"/>
                </w:tcPr>
                <w:p w14:paraId="6FC22CE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昼间</w:t>
                  </w:r>
                </w:p>
              </w:tc>
              <w:tc>
                <w:tcPr>
                  <w:tcW w:w="1146" w:type="dxa"/>
                  <w:noWrap w:val="0"/>
                  <w:vAlign w:val="center"/>
                </w:tcPr>
                <w:p w14:paraId="15C3071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0"/>
                      <w:szCs w:val="20"/>
                      <w:lang w:val="en-US" w:eastAsia="zh-CN"/>
                    </w:rPr>
                  </w:pPr>
                  <w:r>
                    <w:rPr>
                      <w:rFonts w:hint="eastAsia" w:cs="Times New Roman"/>
                      <w:color w:val="auto"/>
                      <w:kern w:val="0"/>
                      <w:sz w:val="20"/>
                      <w:szCs w:val="20"/>
                      <w:lang w:val="en-US" w:eastAsia="zh-CN"/>
                    </w:rPr>
                    <w:t>5</w:t>
                  </w:r>
                </w:p>
              </w:tc>
              <w:tc>
                <w:tcPr>
                  <w:tcW w:w="859" w:type="dxa"/>
                  <w:shd w:val="clear" w:color="auto" w:fill="auto"/>
                  <w:noWrap w:val="0"/>
                  <w:vAlign w:val="center"/>
                </w:tcPr>
                <w:p w14:paraId="2234FF9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bidi="ar-SA"/>
                    </w:rPr>
                  </w:pPr>
                  <w:r>
                    <w:rPr>
                      <w:rFonts w:hint="eastAsia" w:cs="Times New Roman"/>
                      <w:color w:val="auto"/>
                      <w:kern w:val="0"/>
                      <w:sz w:val="20"/>
                      <w:szCs w:val="20"/>
                      <w:lang w:val="en-US" w:eastAsia="zh-CN"/>
                    </w:rPr>
                    <w:t>43</w:t>
                  </w:r>
                </w:p>
              </w:tc>
              <w:tc>
                <w:tcPr>
                  <w:tcW w:w="763" w:type="dxa"/>
                  <w:shd w:val="clear" w:color="auto" w:fill="auto"/>
                  <w:noWrap w:val="0"/>
                  <w:vAlign w:val="center"/>
                </w:tcPr>
                <w:p w14:paraId="1A79F52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bidi="ar-SA"/>
                    </w:rPr>
                  </w:pPr>
                  <w:r>
                    <w:rPr>
                      <w:rFonts w:hint="default" w:ascii="Times New Roman" w:hAnsi="Times New Roman" w:eastAsia="宋体" w:cs="Times New Roman"/>
                      <w:color w:val="auto"/>
                      <w:kern w:val="0"/>
                      <w:sz w:val="20"/>
                      <w:szCs w:val="20"/>
                      <w:lang w:val="en-US" w:eastAsia="zh-CN"/>
                    </w:rPr>
                    <w:t>42</w:t>
                  </w:r>
                </w:p>
              </w:tc>
              <w:tc>
                <w:tcPr>
                  <w:tcW w:w="752" w:type="dxa"/>
                  <w:noWrap w:val="0"/>
                  <w:vAlign w:val="center"/>
                </w:tcPr>
                <w:p w14:paraId="54B98DD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eastAsia" w:cs="Times New Roman"/>
                      <w:color w:val="auto"/>
                      <w:kern w:val="0"/>
                      <w:sz w:val="20"/>
                      <w:szCs w:val="20"/>
                      <w:lang w:val="en-US" w:eastAsia="zh-CN"/>
                    </w:rPr>
                    <w:t>46</w:t>
                  </w:r>
                </w:p>
              </w:tc>
              <w:tc>
                <w:tcPr>
                  <w:tcW w:w="715" w:type="dxa"/>
                  <w:noWrap w:val="0"/>
                  <w:vAlign w:val="center"/>
                </w:tcPr>
                <w:p w14:paraId="1CFBE8B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55</w:t>
                  </w:r>
                </w:p>
              </w:tc>
              <w:tc>
                <w:tcPr>
                  <w:tcW w:w="647" w:type="dxa"/>
                  <w:noWrap w:val="0"/>
                  <w:vAlign w:val="center"/>
                </w:tcPr>
                <w:p w14:paraId="128A08C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达标</w:t>
                  </w:r>
                </w:p>
              </w:tc>
            </w:tr>
            <w:tr w14:paraId="0E4CC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4" w:type="dxa"/>
                  <w:noWrap w:val="0"/>
                  <w:vAlign w:val="center"/>
                </w:tcPr>
                <w:p w14:paraId="193A29D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color w:val="auto"/>
                      <w:kern w:val="0"/>
                      <w:sz w:val="20"/>
                      <w:szCs w:val="20"/>
                      <w:lang w:val="en-US" w:eastAsia="zh-CN"/>
                    </w:rPr>
                    <w:t>4</w:t>
                  </w:r>
                </w:p>
              </w:tc>
              <w:tc>
                <w:tcPr>
                  <w:tcW w:w="1800" w:type="dxa"/>
                  <w:noWrap w:val="0"/>
                  <w:vAlign w:val="center"/>
                </w:tcPr>
                <w:p w14:paraId="77E671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b w:val="0"/>
                      <w:bCs w:val="0"/>
                      <w:color w:val="auto"/>
                      <w:sz w:val="20"/>
                      <w:szCs w:val="20"/>
                      <w:highlight w:val="none"/>
                      <w:lang w:val="en-US" w:eastAsia="zh-CN"/>
                    </w:rPr>
                    <w:t>单回架空输电线路46#~G47#杆塔间线路边导线西北侧</w:t>
                  </w:r>
                  <w:r>
                    <w:rPr>
                      <w:rFonts w:hint="default" w:ascii="Times New Roman" w:hAnsi="Times New Roman" w:eastAsia="宋体" w:cs="Times New Roman"/>
                      <w:snapToGrid w:val="0"/>
                      <w:color w:val="auto"/>
                      <w:kern w:val="0"/>
                      <w:sz w:val="20"/>
                      <w:szCs w:val="20"/>
                      <w:lang w:val="en-US" w:eastAsia="zh-CN" w:bidi="ar-SA"/>
                    </w:rPr>
                    <w:t>孙强宅</w:t>
                  </w:r>
                </w:p>
              </w:tc>
              <w:tc>
                <w:tcPr>
                  <w:tcW w:w="859" w:type="dxa"/>
                  <w:noWrap w:val="0"/>
                  <w:vAlign w:val="center"/>
                </w:tcPr>
                <w:p w14:paraId="68BFD7F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default" w:ascii="Times New Roman" w:hAnsi="Times New Roman" w:eastAsia="宋体" w:cs="Times New Roman"/>
                      <w:color w:val="auto"/>
                      <w:kern w:val="0"/>
                      <w:sz w:val="20"/>
                      <w:szCs w:val="20"/>
                      <w:lang w:val="en-US" w:eastAsia="zh-CN"/>
                    </w:rPr>
                    <w:t>94</w:t>
                  </w:r>
                </w:p>
              </w:tc>
              <w:tc>
                <w:tcPr>
                  <w:tcW w:w="504" w:type="dxa"/>
                  <w:noWrap w:val="0"/>
                  <w:vAlign w:val="center"/>
                </w:tcPr>
                <w:p w14:paraId="297765E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昼间</w:t>
                  </w:r>
                </w:p>
              </w:tc>
              <w:tc>
                <w:tcPr>
                  <w:tcW w:w="1146" w:type="dxa"/>
                  <w:noWrap w:val="0"/>
                  <w:vAlign w:val="center"/>
                </w:tcPr>
                <w:p w14:paraId="7681D71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0"/>
                      <w:szCs w:val="20"/>
                      <w:lang w:val="en-US" w:eastAsia="zh-CN"/>
                    </w:rPr>
                  </w:pPr>
                  <w:r>
                    <w:rPr>
                      <w:rFonts w:hint="eastAsia" w:cs="Times New Roman"/>
                      <w:color w:val="auto"/>
                      <w:kern w:val="0"/>
                      <w:sz w:val="20"/>
                      <w:szCs w:val="20"/>
                      <w:lang w:val="en-US" w:eastAsia="zh-CN"/>
                    </w:rPr>
                    <w:t>5</w:t>
                  </w:r>
                </w:p>
              </w:tc>
              <w:tc>
                <w:tcPr>
                  <w:tcW w:w="859" w:type="dxa"/>
                  <w:shd w:val="clear" w:color="auto" w:fill="auto"/>
                  <w:noWrap w:val="0"/>
                  <w:vAlign w:val="center"/>
                </w:tcPr>
                <w:p w14:paraId="023C7AC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bidi="ar-SA"/>
                    </w:rPr>
                  </w:pPr>
                  <w:r>
                    <w:rPr>
                      <w:rFonts w:hint="eastAsia" w:cs="Times New Roman"/>
                      <w:color w:val="auto"/>
                      <w:kern w:val="0"/>
                      <w:sz w:val="20"/>
                      <w:szCs w:val="20"/>
                      <w:lang w:val="en-US" w:eastAsia="zh-CN"/>
                    </w:rPr>
                    <w:t>43</w:t>
                  </w:r>
                </w:p>
              </w:tc>
              <w:tc>
                <w:tcPr>
                  <w:tcW w:w="763" w:type="dxa"/>
                  <w:shd w:val="clear" w:color="auto" w:fill="auto"/>
                  <w:noWrap w:val="0"/>
                  <w:vAlign w:val="center"/>
                </w:tcPr>
                <w:p w14:paraId="31F8551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bidi="ar-SA"/>
                    </w:rPr>
                  </w:pPr>
                  <w:r>
                    <w:rPr>
                      <w:rFonts w:hint="default" w:ascii="Times New Roman" w:hAnsi="Times New Roman" w:eastAsia="宋体" w:cs="Times New Roman"/>
                      <w:color w:val="auto"/>
                      <w:kern w:val="0"/>
                      <w:sz w:val="20"/>
                      <w:szCs w:val="20"/>
                      <w:lang w:val="en-US" w:eastAsia="zh-CN"/>
                    </w:rPr>
                    <w:t>44</w:t>
                  </w:r>
                </w:p>
              </w:tc>
              <w:tc>
                <w:tcPr>
                  <w:tcW w:w="752" w:type="dxa"/>
                  <w:noWrap w:val="0"/>
                  <w:vAlign w:val="center"/>
                </w:tcPr>
                <w:p w14:paraId="32F257E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lang w:val="en-US" w:eastAsia="zh-CN"/>
                    </w:rPr>
                  </w:pPr>
                  <w:r>
                    <w:rPr>
                      <w:rFonts w:hint="eastAsia" w:cs="Times New Roman"/>
                      <w:color w:val="auto"/>
                      <w:kern w:val="0"/>
                      <w:sz w:val="20"/>
                      <w:szCs w:val="20"/>
                      <w:lang w:val="en-US" w:eastAsia="zh-CN"/>
                    </w:rPr>
                    <w:t>47</w:t>
                  </w:r>
                </w:p>
              </w:tc>
              <w:tc>
                <w:tcPr>
                  <w:tcW w:w="715" w:type="dxa"/>
                  <w:noWrap w:val="0"/>
                  <w:vAlign w:val="center"/>
                </w:tcPr>
                <w:p w14:paraId="184CE79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55</w:t>
                  </w:r>
                </w:p>
              </w:tc>
              <w:tc>
                <w:tcPr>
                  <w:tcW w:w="647" w:type="dxa"/>
                  <w:noWrap w:val="0"/>
                  <w:vAlign w:val="center"/>
                </w:tcPr>
                <w:p w14:paraId="740F79F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0"/>
                      <w:szCs w:val="20"/>
                    </w:rPr>
                  </w:pPr>
                  <w:r>
                    <w:rPr>
                      <w:rFonts w:hint="default" w:ascii="Times New Roman" w:hAnsi="Times New Roman" w:eastAsia="宋体" w:cs="Times New Roman"/>
                      <w:color w:val="auto"/>
                      <w:kern w:val="0"/>
                      <w:sz w:val="20"/>
                      <w:szCs w:val="20"/>
                    </w:rPr>
                    <w:t>达标</w:t>
                  </w:r>
                </w:p>
              </w:tc>
            </w:tr>
          </w:tbl>
          <w:p w14:paraId="4ABEC2E7">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根据预测结果可知，声环境保护目标处的噪声昼间预测值</w:t>
            </w:r>
            <w:r>
              <w:rPr>
                <w:rFonts w:hint="default" w:ascii="Times New Roman" w:hAnsi="Times New Roman" w:eastAsia="宋体" w:cs="Times New Roman"/>
                <w:color w:val="auto"/>
                <w:sz w:val="24"/>
                <w:lang w:val="en-US" w:eastAsia="zh-CN"/>
              </w:rPr>
              <w:t>在4</w:t>
            </w:r>
            <w:r>
              <w:rPr>
                <w:rFonts w:hint="eastAsia" w:cs="Times New Roman"/>
                <w:color w:val="auto"/>
                <w:sz w:val="24"/>
                <w:lang w:val="en-US" w:eastAsia="zh-CN"/>
              </w:rPr>
              <w:t>6</w:t>
            </w:r>
            <w:r>
              <w:rPr>
                <w:rFonts w:hint="default" w:ascii="Times New Roman" w:hAnsi="Times New Roman" w:eastAsia="宋体" w:cs="Times New Roman"/>
                <w:color w:val="auto"/>
                <w:sz w:val="24"/>
              </w:rPr>
              <w:t>dB</w:t>
            </w:r>
            <w:r>
              <w:rPr>
                <w:rFonts w:hint="default" w:ascii="Times New Roman" w:hAnsi="Times New Roman" w:eastAsia="宋体" w:cs="Times New Roman"/>
                <w:color w:val="auto"/>
                <w:sz w:val="24"/>
                <w:lang w:eastAsia="zh-CN"/>
              </w:rPr>
              <w:t>(A)</w:t>
            </w:r>
            <w:r>
              <w:rPr>
                <w:rFonts w:hint="default" w:ascii="Times New Roman" w:hAnsi="Times New Roman" w:eastAsia="宋体" w:cs="Times New Roman"/>
                <w:color w:val="auto"/>
                <w:sz w:val="24"/>
                <w:lang w:val="en-US" w:eastAsia="zh-CN"/>
              </w:rPr>
              <w:t>~</w:t>
            </w:r>
            <w:r>
              <w:rPr>
                <w:rFonts w:hint="eastAsia" w:cs="Times New Roman"/>
                <w:color w:val="auto"/>
                <w:sz w:val="24"/>
                <w:lang w:val="en-US" w:eastAsia="zh-CN"/>
              </w:rPr>
              <w:t>53</w:t>
            </w:r>
            <w:r>
              <w:rPr>
                <w:rFonts w:hint="default" w:ascii="Times New Roman" w:hAnsi="Times New Roman" w:eastAsia="宋体" w:cs="Times New Roman"/>
                <w:color w:val="auto"/>
                <w:sz w:val="24"/>
              </w:rPr>
              <w:t>dB</w:t>
            </w:r>
            <w:r>
              <w:rPr>
                <w:rFonts w:hint="eastAsia" w:cs="Times New Roman"/>
                <w:color w:val="auto"/>
                <w:sz w:val="24"/>
                <w:lang w:eastAsia="zh-CN"/>
              </w:rPr>
              <w:t>(A)</w:t>
            </w:r>
            <w:r>
              <w:rPr>
                <w:rFonts w:hint="default" w:ascii="Times New Roman" w:hAnsi="Times New Roman" w:eastAsia="宋体" w:cs="Times New Roman"/>
                <w:color w:val="auto"/>
                <w:sz w:val="24"/>
                <w:lang w:val="en-US" w:eastAsia="zh-CN"/>
              </w:rPr>
              <w:t>之间</w:t>
            </w:r>
            <w:r>
              <w:rPr>
                <w:rFonts w:hint="default" w:ascii="Times New Roman" w:hAnsi="Times New Roman" w:eastAsia="宋体" w:cs="Times New Roman"/>
                <w:color w:val="auto"/>
                <w:sz w:val="24"/>
              </w:rPr>
              <w:t>，满足《声环境质量标准》（GB3096-2008）中1类标准</w:t>
            </w:r>
            <w:r>
              <w:rPr>
                <w:rFonts w:hint="eastAsia" w:cs="Times New Roman"/>
                <w:color w:val="auto"/>
                <w:sz w:val="24"/>
                <w:lang w:val="en-US" w:eastAsia="zh-CN"/>
              </w:rPr>
              <w:t>昼间</w:t>
            </w:r>
            <w:r>
              <w:rPr>
                <w:rFonts w:hint="default" w:ascii="Times New Roman" w:hAnsi="Times New Roman" w:cs="Times New Roman"/>
                <w:color w:val="auto"/>
                <w:sz w:val="24"/>
                <w:lang w:val="en-US" w:eastAsia="zh-CN"/>
              </w:rPr>
              <w:t>55</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eastAsia" w:ascii="Times New Roman" w:hAnsi="Times New Roman" w:cs="Times New Roman"/>
                <w:color w:val="auto"/>
                <w:sz w:val="24"/>
                <w:lang w:val="en-US" w:eastAsia="zh-CN"/>
              </w:rPr>
              <w:t>的限值</w:t>
            </w:r>
            <w:r>
              <w:rPr>
                <w:rFonts w:hint="default" w:ascii="Times New Roman" w:hAnsi="Times New Roman" w:eastAsia="宋体" w:cs="Times New Roman"/>
                <w:color w:val="auto"/>
                <w:sz w:val="24"/>
              </w:rPr>
              <w:t>要求。</w:t>
            </w:r>
            <w:r>
              <w:rPr>
                <w:rFonts w:hint="default" w:ascii="Times New Roman" w:hAnsi="Times New Roman" w:eastAsia="宋体" w:cs="Times New Roman"/>
                <w:color w:val="auto"/>
                <w:kern w:val="0"/>
                <w:sz w:val="24"/>
                <w:lang w:val="en-US" w:eastAsia="zh-CN" w:bidi="ar"/>
              </w:rPr>
              <w:t>输电线路工程</w:t>
            </w:r>
            <w:r>
              <w:rPr>
                <w:rFonts w:hint="default" w:ascii="Times New Roman" w:hAnsi="Times New Roman" w:eastAsia="宋体" w:cs="Times New Roman"/>
                <w:color w:val="auto"/>
                <w:kern w:val="0"/>
                <w:sz w:val="24"/>
                <w:lang w:bidi="ar"/>
              </w:rPr>
              <w:t>施工</w:t>
            </w:r>
            <w:r>
              <w:rPr>
                <w:rFonts w:hint="default" w:ascii="Times New Roman" w:hAnsi="Times New Roman" w:eastAsia="宋体" w:cs="Times New Roman"/>
                <w:color w:val="auto"/>
                <w:kern w:val="0"/>
                <w:sz w:val="24"/>
                <w:lang w:val="en-US" w:eastAsia="zh-CN" w:bidi="ar"/>
              </w:rPr>
              <w:t>集中</w:t>
            </w:r>
            <w:r>
              <w:rPr>
                <w:rFonts w:hint="default" w:ascii="Times New Roman" w:hAnsi="Times New Roman" w:eastAsia="宋体" w:cs="Times New Roman"/>
                <w:color w:val="auto"/>
                <w:kern w:val="0"/>
                <w:sz w:val="24"/>
                <w:lang w:bidi="ar"/>
              </w:rPr>
              <w:t>在昼间（6</w:t>
            </w:r>
            <w:r>
              <w:rPr>
                <w:rFonts w:hint="default" w:ascii="Times New Roman" w:hAnsi="Times New Roman" w:eastAsia="宋体" w:cs="Times New Roman"/>
                <w:color w:val="auto"/>
                <w:kern w:val="0"/>
                <w:sz w:val="24"/>
                <w:lang w:eastAsia="zh-CN" w:bidi="ar"/>
              </w:rPr>
              <w:t>:</w:t>
            </w:r>
            <w:r>
              <w:rPr>
                <w:rFonts w:hint="default" w:ascii="Times New Roman" w:hAnsi="Times New Roman" w:eastAsia="宋体" w:cs="Times New Roman"/>
                <w:color w:val="auto"/>
                <w:kern w:val="0"/>
                <w:sz w:val="24"/>
                <w:lang w:bidi="ar"/>
              </w:rPr>
              <w:t>00-22</w:t>
            </w:r>
            <w:r>
              <w:rPr>
                <w:rFonts w:hint="default" w:ascii="Times New Roman" w:hAnsi="Times New Roman" w:eastAsia="宋体" w:cs="Times New Roman"/>
                <w:color w:val="auto"/>
                <w:kern w:val="0"/>
                <w:sz w:val="24"/>
                <w:lang w:eastAsia="zh-CN" w:bidi="ar"/>
              </w:rPr>
              <w:t>:</w:t>
            </w:r>
            <w:r>
              <w:rPr>
                <w:rFonts w:hint="default" w:ascii="Times New Roman" w:hAnsi="Times New Roman" w:eastAsia="宋体" w:cs="Times New Roman"/>
                <w:color w:val="auto"/>
                <w:kern w:val="0"/>
                <w:sz w:val="24"/>
                <w:lang w:bidi="ar"/>
              </w:rPr>
              <w:t>00）进行，夜间不进行施工，</w:t>
            </w:r>
            <w:r>
              <w:rPr>
                <w:rFonts w:hint="default" w:ascii="Times New Roman" w:hAnsi="Times New Roman" w:cs="Times New Roman"/>
                <w:color w:val="auto"/>
                <w:sz w:val="24"/>
                <w:szCs w:val="24"/>
                <w:lang w:eastAsia="zh-CN"/>
              </w:rPr>
              <w:t>因施工工艺和其他因素等要求必须进行夜间（22:00-6:00）施工时，应当取得地方人民政府住房和城乡建设、生态环境主管部门或者地方人民政府指定的部门的证明，并在施工现场显著位置公示或者以其他方式公告附近人群，最大限度地争取受影响人群支持和谅解。</w:t>
            </w:r>
            <w:r>
              <w:rPr>
                <w:rFonts w:hint="eastAsia" w:ascii="Times New Roman" w:hAnsi="Times New Roman" w:cs="Times New Roman"/>
                <w:color w:val="auto"/>
                <w:sz w:val="24"/>
                <w:szCs w:val="24"/>
                <w:lang w:val="en-US" w:eastAsia="zh-CN"/>
              </w:rPr>
              <w:t>架空输电线路施工</w:t>
            </w:r>
            <w:r>
              <w:rPr>
                <w:rFonts w:hint="default" w:ascii="Times New Roman" w:hAnsi="Times New Roman" w:eastAsia="宋体" w:cs="Times New Roman"/>
                <w:color w:val="auto"/>
                <w:kern w:val="0"/>
                <w:sz w:val="24"/>
                <w:lang w:bidi="ar"/>
              </w:rPr>
              <w:t>主要为点状施工，开挖土方时段较集中，后续杆塔架设时运输量有限，</w:t>
            </w:r>
            <w:r>
              <w:rPr>
                <w:rFonts w:hint="default" w:ascii="Times New Roman" w:hAnsi="Times New Roman" w:eastAsia="宋体" w:cs="Times New Roman"/>
                <w:color w:val="auto"/>
                <w:kern w:val="0"/>
                <w:sz w:val="24"/>
                <w:lang w:val="en-US" w:eastAsia="zh-CN" w:bidi="ar"/>
              </w:rPr>
              <w:t>且运输路线经过敏感点时限制车速、禁止鸣笛</w:t>
            </w:r>
            <w:r>
              <w:rPr>
                <w:rFonts w:hint="default" w:ascii="Times New Roman" w:hAnsi="Times New Roman" w:eastAsia="宋体" w:cs="Times New Roman"/>
                <w:color w:val="auto"/>
                <w:kern w:val="0"/>
                <w:sz w:val="24"/>
                <w:lang w:eastAsia="zh-CN" w:bidi="ar"/>
              </w:rPr>
              <w:t>，</w:t>
            </w:r>
            <w:r>
              <w:rPr>
                <w:rFonts w:hint="default" w:ascii="Times New Roman" w:hAnsi="Times New Roman" w:eastAsia="宋体" w:cs="Times New Roman"/>
                <w:color w:val="auto"/>
                <w:kern w:val="0"/>
                <w:sz w:val="24"/>
                <w:lang w:val="en-US" w:eastAsia="zh-CN" w:bidi="ar"/>
              </w:rPr>
              <w:t>因此</w:t>
            </w:r>
            <w:r>
              <w:rPr>
                <w:rFonts w:hint="default" w:ascii="Times New Roman" w:hAnsi="Times New Roman" w:eastAsia="宋体" w:cs="Times New Roman"/>
                <w:color w:val="auto"/>
                <w:kern w:val="0"/>
                <w:sz w:val="24"/>
                <w:lang w:bidi="ar"/>
              </w:rPr>
              <w:t>施工期间运输车辆产生的交通噪声污染是短暂的。</w:t>
            </w:r>
            <w:r>
              <w:rPr>
                <w:rFonts w:hint="default" w:ascii="Times New Roman" w:hAnsi="Times New Roman" w:cs="Times New Roman"/>
                <w:color w:val="auto"/>
                <w:kern w:val="0"/>
                <w:sz w:val="24"/>
                <w:szCs w:val="24"/>
                <w:highlight w:val="none"/>
                <w:lang w:val="en-US" w:eastAsia="zh-CN" w:bidi="ar"/>
              </w:rPr>
              <w:t>输电线路塔基施工区域临近声敏感目标时，施工区域应设置不低于2.5m高的隔声围挡。</w:t>
            </w:r>
            <w:r>
              <w:rPr>
                <w:rFonts w:hint="default" w:ascii="Times New Roman" w:hAnsi="Times New Roman" w:eastAsia="宋体" w:cs="Times New Roman"/>
                <w:color w:val="auto"/>
                <w:sz w:val="24"/>
              </w:rPr>
              <w:t>施工期通过加强施工机械维护和保养，避免噪声源强较大的机械同时进行施工作业，采用限制鸣喇叭，减速慢行等噪声减缓措施后，施工期噪声</w:t>
            </w:r>
            <w:r>
              <w:rPr>
                <w:rFonts w:hint="default" w:ascii="Times New Roman" w:hAnsi="Times New Roman" w:eastAsia="宋体" w:cs="Times New Roman"/>
                <w:color w:val="auto"/>
                <w:sz w:val="24"/>
                <w:lang w:val="en-US" w:eastAsia="zh-CN"/>
              </w:rPr>
              <w:t>对声环境敏感目标影响较小</w:t>
            </w:r>
            <w:r>
              <w:rPr>
                <w:rFonts w:hint="default" w:ascii="Times New Roman" w:hAnsi="Times New Roman" w:eastAsia="宋体" w:cs="Times New Roman"/>
                <w:color w:val="auto"/>
                <w:sz w:val="24"/>
              </w:rPr>
              <w:t>。</w:t>
            </w:r>
            <w:r>
              <w:rPr>
                <w:rFonts w:hint="default" w:ascii="Times New Roman" w:hAnsi="Times New Roman" w:eastAsia="宋体" w:cs="Times New Roman"/>
                <w:color w:val="auto"/>
                <w:kern w:val="0"/>
                <w:sz w:val="24"/>
              </w:rPr>
              <w:t>同时，施工期对周围环境的噪声影响是短暂的，在施工结束后施工噪声影响也将随之消失。</w:t>
            </w:r>
          </w:p>
          <w:p w14:paraId="51AE2688">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3.</w:t>
            </w:r>
            <w:r>
              <w:rPr>
                <w:rFonts w:hint="default" w:ascii="Times New Roman" w:hAnsi="Times New Roman" w:cs="Times New Roman"/>
                <w:b/>
                <w:bCs/>
                <w:color w:val="auto"/>
                <w:sz w:val="24"/>
                <w:highlight w:val="none"/>
              </w:rPr>
              <w:t>施工扬尘分析</w:t>
            </w:r>
          </w:p>
          <w:p w14:paraId="7F252A10">
            <w:pPr>
              <w:pStyle w:val="13"/>
              <w:spacing w:after="0" w:line="360" w:lineRule="auto"/>
              <w:ind w:left="0" w:leftChars="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⑴</w:t>
            </w:r>
            <w:r>
              <w:rPr>
                <w:rFonts w:hint="default" w:ascii="Times New Roman" w:hAnsi="Times New Roman" w:cs="Times New Roman"/>
                <w:color w:val="auto"/>
                <w:sz w:val="24"/>
                <w:highlight w:val="none"/>
                <w:lang w:val="en-US" w:eastAsia="zh-CN"/>
              </w:rPr>
              <w:t>间隔扩建</w:t>
            </w:r>
          </w:p>
          <w:p w14:paraId="31C1A4C5">
            <w:pPr>
              <w:pStyle w:val="13"/>
              <w:spacing w:after="0" w:line="360" w:lineRule="auto"/>
              <w:ind w:left="0" w:lef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val="en-US" w:eastAsia="zh-CN"/>
              </w:rPr>
              <w:t>间隔扩建工程</w:t>
            </w:r>
            <w:r>
              <w:rPr>
                <w:rFonts w:hint="default" w:ascii="Times New Roman" w:hAnsi="Times New Roman" w:cs="Times New Roman"/>
                <w:color w:val="auto"/>
                <w:sz w:val="24"/>
                <w:highlight w:val="none"/>
                <w:lang w:eastAsia="zh-CN"/>
              </w:rPr>
              <w:t>施工扬尘主要为站内间隔基础开挖、场地平整等产生的扬尘，在短期内将使局部区域空气中TSP增加。</w:t>
            </w:r>
            <w:r>
              <w:rPr>
                <w:rFonts w:hint="default" w:ascii="Times New Roman" w:hAnsi="Times New Roman" w:cs="Times New Roman"/>
                <w:color w:val="auto"/>
                <w:sz w:val="24"/>
                <w:highlight w:val="none"/>
                <w:lang w:val="en-US" w:eastAsia="zh-CN"/>
              </w:rPr>
              <w:t>由于间隔扩建</w:t>
            </w:r>
            <w:r>
              <w:rPr>
                <w:rFonts w:hint="default" w:ascii="Times New Roman" w:hAnsi="Times New Roman" w:cs="Times New Roman"/>
                <w:color w:val="auto"/>
                <w:sz w:val="24"/>
                <w:highlight w:val="none"/>
                <w:lang w:eastAsia="zh-CN"/>
              </w:rPr>
              <w:t>施工区域位于已建变电站围墙内，围墙</w:t>
            </w:r>
            <w:r>
              <w:rPr>
                <w:rFonts w:hint="default" w:ascii="Times New Roman" w:hAnsi="Times New Roman" w:eastAsia="宋体" w:cs="Times New Roman"/>
                <w:color w:val="auto"/>
                <w:sz w:val="24"/>
                <w:highlight w:val="none"/>
                <w:lang w:eastAsia="zh-CN"/>
              </w:rPr>
              <w:t>阻隔可以减少扬尘影响；施工期间应严格遵守“六个100%”要求，临时土方采取苫盖措施；施工场地及进站道路定期洒水降尘；在大风天气停止土石方作业等。由于施工时间较短，本项目施工期扬尘影响范围基本上仅局限于变电站内，因此对周围大气环境影响很小。</w:t>
            </w:r>
          </w:p>
          <w:p w14:paraId="2E67760E">
            <w:pPr>
              <w:pStyle w:val="1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eastAsia="zh-CN"/>
              </w:rPr>
              <w:t>⑵</w:t>
            </w:r>
            <w:r>
              <w:rPr>
                <w:rFonts w:hint="default" w:ascii="Times New Roman" w:hAnsi="Times New Roman" w:cs="Times New Roman"/>
                <w:color w:val="auto"/>
                <w:sz w:val="24"/>
                <w:highlight w:val="none"/>
                <w:lang w:val="en-US" w:eastAsia="zh-CN"/>
              </w:rPr>
              <w:t>输电线路</w:t>
            </w:r>
          </w:p>
          <w:p w14:paraId="050FE3EE">
            <w:pPr>
              <w:pStyle w:val="13"/>
              <w:spacing w:after="0" w:line="360" w:lineRule="auto"/>
              <w:ind w:left="0" w:leftChars="0"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rPr>
              <w:t>施工扬尘主要来自</w:t>
            </w:r>
            <w:r>
              <w:rPr>
                <w:rFonts w:hint="default" w:ascii="Times New Roman" w:hAnsi="Times New Roman" w:cs="Times New Roman"/>
                <w:color w:val="auto"/>
                <w:sz w:val="24"/>
                <w:highlight w:val="none"/>
                <w:lang w:val="en-US" w:eastAsia="zh-CN"/>
              </w:rPr>
              <w:t>塔基</w:t>
            </w:r>
            <w:r>
              <w:rPr>
                <w:rFonts w:hint="default" w:ascii="Times New Roman" w:hAnsi="Times New Roman" w:cs="Times New Roman"/>
                <w:color w:val="auto"/>
                <w:sz w:val="24"/>
                <w:highlight w:val="none"/>
              </w:rPr>
              <w:t>基础</w:t>
            </w:r>
            <w:r>
              <w:rPr>
                <w:rFonts w:hint="default" w:ascii="Times New Roman" w:hAnsi="Times New Roman" w:cs="Times New Roman"/>
                <w:color w:val="auto"/>
                <w:sz w:val="24"/>
                <w:highlight w:val="none"/>
                <w:lang w:val="en-US" w:eastAsia="zh-CN"/>
              </w:rPr>
              <w:t>开挖</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土方</w:t>
            </w:r>
            <w:r>
              <w:rPr>
                <w:rFonts w:hint="default" w:ascii="Times New Roman" w:hAnsi="Times New Roman" w:cs="Times New Roman"/>
                <w:color w:val="auto"/>
                <w:sz w:val="24"/>
                <w:highlight w:val="none"/>
              </w:rPr>
              <w:t>回填</w:t>
            </w:r>
            <w:r>
              <w:rPr>
                <w:rFonts w:hint="default" w:ascii="Times New Roman" w:hAnsi="Times New Roman" w:cs="Times New Roman"/>
                <w:color w:val="auto"/>
                <w:sz w:val="24"/>
                <w:highlight w:val="none"/>
                <w:lang w:eastAsia="zh-CN"/>
              </w:rPr>
              <w:t>、材料运输，</w:t>
            </w:r>
            <w:r>
              <w:rPr>
                <w:rFonts w:hint="default" w:ascii="Times New Roman" w:hAnsi="Times New Roman" w:cs="Times New Roman"/>
                <w:color w:val="auto"/>
                <w:sz w:val="24"/>
                <w:highlight w:val="none"/>
              </w:rPr>
              <w:t>临时堆土等施工活动产生的扬尘，这些粉尘随风扩散和飘动造成施工扬尘。</w:t>
            </w:r>
            <w:r>
              <w:rPr>
                <w:rFonts w:hint="default" w:ascii="Times New Roman" w:hAnsi="Times New Roman" w:cs="Times New Roman"/>
                <w:color w:val="auto"/>
                <w:sz w:val="24"/>
                <w:highlight w:val="none"/>
                <w:lang w:val="en-US" w:eastAsia="zh-CN"/>
              </w:rPr>
              <w:t>本项目</w:t>
            </w:r>
            <w:r>
              <w:rPr>
                <w:rFonts w:hint="default" w:ascii="Times New Roman" w:hAnsi="Times New Roman" w:eastAsia="宋体" w:cs="Times New Roman"/>
                <w:color w:val="auto"/>
                <w:sz w:val="24"/>
                <w:highlight w:val="none"/>
                <w:lang w:val="en-US" w:eastAsia="zh-CN"/>
              </w:rPr>
              <w:t>输电</w:t>
            </w:r>
            <w:r>
              <w:rPr>
                <w:rFonts w:hint="default" w:ascii="Times New Roman" w:hAnsi="Times New Roman" w:eastAsia="宋体" w:cs="Times New Roman"/>
                <w:color w:val="auto"/>
                <w:sz w:val="24"/>
                <w:highlight w:val="none"/>
                <w:lang w:eastAsia="zh-CN"/>
              </w:rPr>
              <w:t>线路长度较短，</w:t>
            </w:r>
            <w:r>
              <w:rPr>
                <w:rFonts w:hint="default" w:ascii="Times New Roman" w:hAnsi="Times New Roman" w:eastAsia="宋体" w:cs="Times New Roman"/>
                <w:color w:val="auto"/>
                <w:sz w:val="24"/>
                <w:highlight w:val="none"/>
              </w:rPr>
              <w:t>由于开挖工程量小，作业点分散，单塔</w:t>
            </w:r>
            <w:r>
              <w:rPr>
                <w:rFonts w:hint="default" w:ascii="Times New Roman" w:hAnsi="Times New Roman" w:eastAsia="宋体" w:cs="Times New Roman"/>
                <w:color w:val="auto"/>
                <w:sz w:val="24"/>
                <w:highlight w:val="none"/>
                <w:lang w:val="en-US" w:eastAsia="zh-CN"/>
              </w:rPr>
              <w:t>基础</w:t>
            </w:r>
            <w:r>
              <w:rPr>
                <w:rFonts w:hint="default" w:ascii="Times New Roman" w:hAnsi="Times New Roman" w:eastAsia="宋体" w:cs="Times New Roman"/>
                <w:color w:val="auto"/>
                <w:sz w:val="24"/>
                <w:highlight w:val="none"/>
              </w:rPr>
              <w:t>施工时间较短</w:t>
            </w:r>
            <w:r>
              <w:rPr>
                <w:rFonts w:hint="default" w:ascii="Times New Roman" w:hAnsi="Times New Roman" w:eastAsia="宋体" w:cs="Times New Roman"/>
                <w:color w:val="auto"/>
                <w:sz w:val="24"/>
                <w:highlight w:val="none"/>
                <w:lang w:eastAsia="zh-CN"/>
              </w:rPr>
              <w:t>。在</w:t>
            </w:r>
            <w:r>
              <w:rPr>
                <w:rFonts w:hint="default" w:ascii="Times New Roman" w:hAnsi="Times New Roman" w:eastAsia="宋体" w:cs="Times New Roman"/>
                <w:color w:val="auto"/>
                <w:sz w:val="24"/>
                <w:highlight w:val="none"/>
                <w:lang w:val="en-US" w:eastAsia="zh-CN"/>
              </w:rPr>
              <w:t>土方</w:t>
            </w:r>
            <w:r>
              <w:rPr>
                <w:rFonts w:hint="default" w:ascii="Times New Roman" w:hAnsi="Times New Roman" w:eastAsia="宋体" w:cs="Times New Roman"/>
                <w:color w:val="auto"/>
                <w:sz w:val="24"/>
                <w:highlight w:val="none"/>
                <w:lang w:eastAsia="zh-CN"/>
              </w:rPr>
              <w:t>开挖过程中</w:t>
            </w:r>
            <w:r>
              <w:rPr>
                <w:rFonts w:hint="default" w:ascii="Times New Roman" w:hAnsi="Times New Roman" w:eastAsia="宋体" w:cs="Times New Roman"/>
                <w:color w:val="auto"/>
                <w:sz w:val="24"/>
                <w:highlight w:val="none"/>
              </w:rPr>
              <w:t>，严格按设计施工，减少</w:t>
            </w:r>
            <w:r>
              <w:rPr>
                <w:rFonts w:hint="default" w:ascii="Times New Roman" w:hAnsi="Times New Roman" w:eastAsia="宋体" w:cs="Times New Roman"/>
                <w:color w:val="auto"/>
                <w:sz w:val="24"/>
                <w:highlight w:val="none"/>
                <w:lang w:eastAsia="zh-CN"/>
              </w:rPr>
              <w:t>土方</w:t>
            </w:r>
            <w:r>
              <w:rPr>
                <w:rFonts w:hint="default" w:ascii="Times New Roman" w:hAnsi="Times New Roman" w:eastAsia="宋体" w:cs="Times New Roman"/>
                <w:color w:val="auto"/>
                <w:sz w:val="24"/>
                <w:highlight w:val="none"/>
              </w:rPr>
              <w:t>开挖量，并将挖出的土方集中堆放</w:t>
            </w:r>
            <w:r>
              <w:rPr>
                <w:rFonts w:hint="default" w:ascii="Times New Roman" w:hAnsi="Times New Roman" w:eastAsia="宋体" w:cs="Times New Roman"/>
                <w:color w:val="auto"/>
                <w:sz w:val="24"/>
                <w:highlight w:val="none"/>
                <w:lang w:val="en-US" w:eastAsia="zh-CN"/>
              </w:rPr>
              <w:t>采取苫盖措施</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基础</w:t>
            </w:r>
            <w:r>
              <w:rPr>
                <w:rFonts w:hint="default" w:ascii="Times New Roman" w:hAnsi="Times New Roman" w:eastAsia="宋体" w:cs="Times New Roman"/>
                <w:color w:val="auto"/>
                <w:sz w:val="24"/>
                <w:highlight w:val="none"/>
              </w:rPr>
              <w:t>开挖完工后，尽快浇</w:t>
            </w:r>
            <w:r>
              <w:rPr>
                <w:rFonts w:hint="default" w:ascii="Times New Roman" w:hAnsi="Times New Roman" w:eastAsia="宋体" w:cs="Times New Roman"/>
                <w:color w:val="auto"/>
                <w:sz w:val="24"/>
                <w:highlight w:val="none"/>
                <w:lang w:val="en-US" w:eastAsia="zh-CN"/>
              </w:rPr>
              <w:t>筑</w:t>
            </w:r>
            <w:r>
              <w:rPr>
                <w:rFonts w:hint="default" w:ascii="Times New Roman" w:hAnsi="Times New Roman" w:eastAsia="宋体" w:cs="Times New Roman"/>
                <w:color w:val="auto"/>
                <w:sz w:val="24"/>
                <w:highlight w:val="none"/>
              </w:rPr>
              <w:t>混凝土，缩短裸露时间</w:t>
            </w:r>
            <w:r>
              <w:rPr>
                <w:rFonts w:hint="default" w:ascii="Times New Roman" w:hAnsi="Times New Roman" w:eastAsia="宋体" w:cs="Times New Roman"/>
                <w:color w:val="auto"/>
                <w:sz w:val="24"/>
                <w:highlight w:val="none"/>
                <w:lang w:eastAsia="zh-CN"/>
              </w:rPr>
              <w:t>，以减少扬尘的产生</w:t>
            </w:r>
            <w:r>
              <w:rPr>
                <w:rFonts w:hint="default" w:ascii="Times New Roman" w:hAnsi="Times New Roman" w:eastAsia="宋体" w:cs="Times New Roman"/>
                <w:color w:val="auto"/>
                <w:sz w:val="24"/>
                <w:highlight w:val="none"/>
              </w:rPr>
              <w:t>。施工场地内临时堆土采取遮盖等措施，并及时回填土方。</w:t>
            </w:r>
            <w:r>
              <w:rPr>
                <w:rFonts w:hint="default" w:ascii="Times New Roman" w:hAnsi="Times New Roman" w:eastAsia="宋体" w:cs="Times New Roman"/>
                <w:color w:val="auto"/>
                <w:sz w:val="24"/>
                <w:highlight w:val="none"/>
                <w:lang w:val="en-US" w:eastAsia="zh-CN"/>
              </w:rPr>
              <w:t>根据实际情况，对施工现场及临时施工道路及时洒水抑尘，开挖土方分层堆放，采用密目网苫盖，施工结束后分层回填。</w:t>
            </w:r>
            <w:r>
              <w:rPr>
                <w:rFonts w:hint="default" w:ascii="Times New Roman" w:hAnsi="Times New Roman" w:eastAsia="宋体" w:cs="Times New Roman"/>
                <w:color w:val="auto"/>
                <w:sz w:val="24"/>
                <w:highlight w:val="none"/>
              </w:rPr>
              <w:t>当出现风速过大或不利天气状况时应停止施工作业。</w:t>
            </w:r>
            <w:r>
              <w:rPr>
                <w:rFonts w:hint="default" w:ascii="Times New Roman" w:hAnsi="Times New Roman" w:eastAsia="宋体" w:cs="Times New Roman"/>
                <w:color w:val="auto"/>
                <w:sz w:val="24"/>
                <w:highlight w:val="none"/>
                <w:lang w:eastAsia="zh-CN"/>
              </w:rPr>
              <w:t>如</w:t>
            </w:r>
            <w:r>
              <w:rPr>
                <w:rFonts w:hint="default" w:ascii="Times New Roman" w:hAnsi="Times New Roman" w:eastAsia="宋体" w:cs="Times New Roman"/>
                <w:color w:val="auto"/>
                <w:sz w:val="24"/>
                <w:highlight w:val="none"/>
              </w:rPr>
              <w:t>用汽车运</w:t>
            </w:r>
            <w:r>
              <w:rPr>
                <w:rFonts w:hint="default" w:ascii="Times New Roman" w:hAnsi="Times New Roman" w:eastAsia="宋体" w:cs="Times New Roman"/>
                <w:color w:val="auto"/>
                <w:sz w:val="24"/>
                <w:highlight w:val="none"/>
                <w:lang w:eastAsia="zh-CN"/>
              </w:rPr>
              <w:t>送</w:t>
            </w:r>
            <w:r>
              <w:rPr>
                <w:rFonts w:hint="default" w:ascii="Times New Roman" w:hAnsi="Times New Roman" w:eastAsia="宋体" w:cs="Times New Roman"/>
                <w:color w:val="auto"/>
                <w:sz w:val="24"/>
                <w:highlight w:val="none"/>
              </w:rPr>
              <w:t>易起尘的</w:t>
            </w:r>
            <w:r>
              <w:rPr>
                <w:rFonts w:hint="default" w:ascii="Times New Roman" w:hAnsi="Times New Roman" w:eastAsia="宋体" w:cs="Times New Roman"/>
                <w:color w:val="auto"/>
                <w:sz w:val="24"/>
                <w:highlight w:val="none"/>
                <w:lang w:eastAsia="zh-CN"/>
              </w:rPr>
              <w:t>土方</w:t>
            </w:r>
            <w:r>
              <w:rPr>
                <w:rFonts w:hint="default" w:ascii="Times New Roman" w:hAnsi="Times New Roman" w:eastAsia="宋体" w:cs="Times New Roman"/>
                <w:color w:val="auto"/>
                <w:sz w:val="24"/>
                <w:highlight w:val="none"/>
              </w:rPr>
              <w:t>时，要加盖</w:t>
            </w:r>
            <w:r>
              <w:rPr>
                <w:rFonts w:hint="default" w:ascii="Times New Roman" w:hAnsi="Times New Roman" w:eastAsia="宋体" w:cs="Times New Roman"/>
                <w:color w:val="auto"/>
                <w:sz w:val="24"/>
                <w:highlight w:val="none"/>
                <w:lang w:eastAsia="zh-CN"/>
              </w:rPr>
              <w:t>篷</w:t>
            </w:r>
            <w:r>
              <w:rPr>
                <w:rFonts w:hint="default" w:ascii="Times New Roman" w:hAnsi="Times New Roman" w:eastAsia="宋体" w:cs="Times New Roman"/>
                <w:color w:val="auto"/>
                <w:sz w:val="24"/>
                <w:highlight w:val="none"/>
              </w:rPr>
              <w:t>布、控制车速，防止物料洒落和产生扬尘</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rPr>
              <w:t>施工期间扬尘污染防治严格执行《宁夏回族自治区大气污染防治条例》中关于扬尘污染的相关规定，做好防尘工作</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确保施工期间</w:t>
            </w:r>
            <w:r>
              <w:rPr>
                <w:rFonts w:hint="default" w:ascii="Times New Roman" w:hAnsi="Times New Roman" w:cs="Times New Roman"/>
                <w:color w:val="auto"/>
                <w:sz w:val="24"/>
                <w:highlight w:val="none"/>
              </w:rPr>
              <w:t>对周边环境空气影响较小。</w:t>
            </w:r>
          </w:p>
          <w:p w14:paraId="3D5300DE">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4.</w:t>
            </w:r>
            <w:r>
              <w:rPr>
                <w:rFonts w:hint="default" w:ascii="Times New Roman" w:hAnsi="Times New Roman" w:cs="Times New Roman"/>
                <w:b/>
                <w:bCs/>
                <w:color w:val="auto"/>
                <w:sz w:val="24"/>
                <w:highlight w:val="none"/>
              </w:rPr>
              <w:t>固体废物环境影响分析</w:t>
            </w:r>
          </w:p>
          <w:p w14:paraId="0B6F4DB9">
            <w:pPr>
              <w:pStyle w:val="13"/>
              <w:spacing w:after="0" w:line="360" w:lineRule="auto"/>
              <w:ind w:left="0" w:leftChars="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⑴间隔扩建工程施工过程开挖产生的</w:t>
            </w:r>
            <w:r>
              <w:rPr>
                <w:rFonts w:hint="eastAsia" w:cs="Times New Roman"/>
                <w:color w:val="auto"/>
                <w:sz w:val="24"/>
                <w:highlight w:val="none"/>
                <w:vertAlign w:val="baseline"/>
                <w:lang w:val="en-US" w:eastAsia="zh-CN"/>
              </w:rPr>
              <w:t>余</w:t>
            </w:r>
            <w:r>
              <w:rPr>
                <w:rFonts w:hint="default" w:ascii="Times New Roman" w:hAnsi="Times New Roman" w:cs="Times New Roman"/>
                <w:color w:val="auto"/>
                <w:sz w:val="24"/>
                <w:highlight w:val="none"/>
                <w:vertAlign w:val="baseline"/>
                <w:lang w:val="en-US" w:eastAsia="zh-CN"/>
              </w:rPr>
              <w:t>方由施工单位运至</w:t>
            </w:r>
            <w:r>
              <w:rPr>
                <w:rFonts w:hint="default" w:ascii="Times New Roman" w:hAnsi="Times New Roman" w:cs="Times New Roman"/>
                <w:color w:val="auto"/>
                <w:sz w:val="24"/>
                <w:highlight w:val="none"/>
                <w:lang w:val="en-US" w:eastAsia="zh-CN"/>
              </w:rPr>
              <w:t>输电线路塔基及施工作业区</w:t>
            </w:r>
            <w:r>
              <w:rPr>
                <w:rFonts w:hint="eastAsia" w:cs="Times New Roman"/>
                <w:color w:val="auto"/>
                <w:sz w:val="24"/>
                <w:highlight w:val="none"/>
                <w:lang w:val="en-US" w:eastAsia="zh-CN"/>
              </w:rPr>
              <w:t>场地平整使用</w:t>
            </w:r>
            <w:r>
              <w:rPr>
                <w:rFonts w:hint="default" w:ascii="Times New Roman" w:hAnsi="Times New Roman" w:cs="Times New Roman"/>
                <w:color w:val="auto"/>
                <w:sz w:val="24"/>
                <w:highlight w:val="none"/>
                <w:lang w:val="en-US" w:eastAsia="zh-CN"/>
              </w:rPr>
              <w:t>。施工期塔基基础开挖出的土石方全部用于回填及塔基周围培土，无弃土产生。</w:t>
            </w:r>
          </w:p>
          <w:p w14:paraId="06AD7F21">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⑵</w:t>
            </w:r>
            <w:r>
              <w:rPr>
                <w:rFonts w:hint="default" w:ascii="Times New Roman" w:hAnsi="Times New Roman" w:cs="Times New Roman"/>
                <w:color w:val="auto"/>
                <w:sz w:val="24"/>
                <w:highlight w:val="none"/>
                <w:lang w:val="en-US" w:eastAsia="zh-CN"/>
              </w:rPr>
              <w:t>变电站内施工人员产生的生活垃圾依托站内生活垃圾桶分类收集</w:t>
            </w:r>
            <w:r>
              <w:rPr>
                <w:rFonts w:hint="eastAsia" w:cs="Times New Roman"/>
                <w:color w:val="auto"/>
                <w:sz w:val="24"/>
                <w:szCs w:val="24"/>
                <w:highlight w:val="none"/>
                <w:lang w:val="en-US" w:eastAsia="zh-CN"/>
              </w:rPr>
              <w:t>后送附近垃圾收集点收集处置</w:t>
            </w:r>
            <w:r>
              <w:rPr>
                <w:rFonts w:hint="default" w:ascii="Times New Roman" w:hAnsi="Times New Roman" w:cs="Times New Roman"/>
                <w:color w:val="auto"/>
                <w:sz w:val="24"/>
                <w:highlight w:val="none"/>
                <w:lang w:val="en-US" w:eastAsia="zh-CN"/>
              </w:rPr>
              <w:t>。输电线路施工人员产生的生活垃圾依托居住地现有的垃圾桶</w:t>
            </w:r>
            <w:r>
              <w:rPr>
                <w:rFonts w:hint="default" w:ascii="Times New Roman" w:hAnsi="Times New Roman" w:cs="Times New Roman"/>
                <w:color w:val="auto"/>
                <w:sz w:val="24"/>
                <w:highlight w:val="none"/>
                <w:lang w:eastAsia="zh-CN"/>
              </w:rPr>
              <w:t>集中收集</w:t>
            </w:r>
            <w:r>
              <w:rPr>
                <w:rFonts w:hint="eastAsia" w:cs="Times New Roman"/>
                <w:color w:val="auto"/>
                <w:sz w:val="24"/>
                <w:szCs w:val="24"/>
                <w:highlight w:val="none"/>
                <w:lang w:val="en-US" w:eastAsia="zh-CN"/>
              </w:rPr>
              <w:t>后送附近垃圾收集点收集处置</w:t>
            </w:r>
            <w:r>
              <w:rPr>
                <w:rFonts w:hint="default" w:ascii="Times New Roman" w:hAnsi="Times New Roman" w:cs="Times New Roman"/>
                <w:color w:val="auto"/>
                <w:sz w:val="24"/>
                <w:highlight w:val="none"/>
                <w:lang w:eastAsia="zh-CN"/>
              </w:rPr>
              <w:t>。</w:t>
            </w:r>
          </w:p>
          <w:p w14:paraId="51F87AF4">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⑶施工单位</w:t>
            </w:r>
            <w:r>
              <w:rPr>
                <w:rFonts w:hint="default" w:ascii="Times New Roman" w:hAnsi="Times New Roman" w:cs="Times New Roman"/>
                <w:color w:val="auto"/>
                <w:sz w:val="24"/>
                <w:highlight w:val="none"/>
                <w:lang w:val="en-US" w:eastAsia="zh-CN"/>
              </w:rPr>
              <w:t>按要求</w:t>
            </w:r>
            <w:r>
              <w:rPr>
                <w:rFonts w:hint="default" w:ascii="Times New Roman" w:hAnsi="Times New Roman" w:cs="Times New Roman"/>
                <w:color w:val="auto"/>
                <w:sz w:val="24"/>
                <w:highlight w:val="none"/>
                <w:lang w:eastAsia="zh-CN"/>
              </w:rPr>
              <w:t>编制建筑垃圾处理方案，</w:t>
            </w:r>
            <w:r>
              <w:rPr>
                <w:rFonts w:hint="default" w:ascii="Times New Roman" w:hAnsi="Times New Roman" w:cs="Times New Roman"/>
                <w:color w:val="auto"/>
                <w:sz w:val="24"/>
                <w:highlight w:val="none"/>
                <w:lang w:val="en-US" w:eastAsia="zh-CN"/>
              </w:rPr>
              <w:t>建筑垃圾</w:t>
            </w:r>
            <w:r>
              <w:rPr>
                <w:rFonts w:hint="default" w:ascii="Times New Roman" w:hAnsi="Times New Roman" w:cs="Times New Roman"/>
                <w:color w:val="auto"/>
                <w:sz w:val="24"/>
                <w:highlight w:val="none"/>
              </w:rPr>
              <w:t>应严格按照《中华人民共和国固体废物污染环境防治法》第六十三条的要求，编制建筑垃圾处理方案，采取污染防治措施，并报</w:t>
            </w:r>
            <w:r>
              <w:rPr>
                <w:rFonts w:hint="default" w:ascii="Times New Roman" w:hAnsi="Times New Roman" w:cs="Times New Roman"/>
                <w:color w:val="auto"/>
                <w:sz w:val="24"/>
                <w:highlight w:val="none"/>
                <w:lang w:eastAsia="zh-CN"/>
              </w:rPr>
              <w:t>县级以上</w:t>
            </w:r>
            <w:r>
              <w:rPr>
                <w:rFonts w:hint="default" w:ascii="Times New Roman" w:hAnsi="Times New Roman" w:cs="Times New Roman"/>
                <w:color w:val="auto"/>
                <w:sz w:val="24"/>
                <w:highlight w:val="none"/>
                <w:lang w:val="en-US" w:eastAsia="zh-CN"/>
              </w:rPr>
              <w:t>地方</w:t>
            </w:r>
            <w:r>
              <w:rPr>
                <w:rFonts w:hint="default" w:ascii="Times New Roman" w:hAnsi="Times New Roman" w:cs="Times New Roman"/>
                <w:color w:val="auto"/>
                <w:sz w:val="24"/>
                <w:highlight w:val="none"/>
              </w:rPr>
              <w:t>人民政府环境卫生主管部门备案</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统一清运至管理部门指定的地点处置。</w:t>
            </w:r>
          </w:p>
          <w:p w14:paraId="6E5B203B">
            <w:pPr>
              <w:pStyle w:val="13"/>
              <w:spacing w:after="0" w:line="360" w:lineRule="auto"/>
              <w:ind w:left="0" w:leftChars="0"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highlight w:val="none"/>
                <w:lang w:val="en-US" w:eastAsia="zh-CN"/>
              </w:rPr>
              <w:t>⑷</w:t>
            </w:r>
            <w:r>
              <w:rPr>
                <w:rFonts w:hint="default" w:ascii="Times New Roman" w:hAnsi="Times New Roman" w:eastAsia="宋体" w:cs="Times New Roman"/>
                <w:color w:val="auto"/>
                <w:sz w:val="24"/>
                <w:szCs w:val="24"/>
                <w:highlight w:val="none"/>
                <w:lang w:val="en-US" w:eastAsia="zh-CN"/>
              </w:rPr>
              <w:t>拆除下来的导线、地线、附件及其他可回收的铁塔部件临时堆放在拆除区域临时占地，及时运出并由施工单位统一收集后交由建管单位回收利用；基础破除产生的混凝土块，集中收集后由施工单位及时运至当地环境卫生主管部门指定的地点处置。</w:t>
            </w:r>
          </w:p>
          <w:p w14:paraId="6832CEEA">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综上所述，本项目施工期产生的固体废物均得到了妥善</w:t>
            </w:r>
            <w:r>
              <w:rPr>
                <w:rFonts w:hint="default" w:ascii="Times New Roman" w:hAnsi="Times New Roman" w:cs="Times New Roman"/>
                <w:color w:val="auto"/>
                <w:sz w:val="24"/>
                <w:highlight w:val="none"/>
                <w:lang w:eastAsia="zh-CN"/>
              </w:rPr>
              <w:t>地</w:t>
            </w:r>
            <w:r>
              <w:rPr>
                <w:rFonts w:hint="default" w:ascii="Times New Roman" w:hAnsi="Times New Roman" w:cs="Times New Roman"/>
                <w:color w:val="auto"/>
                <w:sz w:val="24"/>
                <w:highlight w:val="none"/>
              </w:rPr>
              <w:t>处理处置，对周围环境产生的影响较小。</w:t>
            </w:r>
          </w:p>
          <w:p w14:paraId="01164631">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5.</w:t>
            </w:r>
            <w:r>
              <w:rPr>
                <w:rFonts w:hint="default" w:ascii="Times New Roman" w:hAnsi="Times New Roman" w:cs="Times New Roman"/>
                <w:b/>
                <w:bCs/>
                <w:color w:val="auto"/>
                <w:sz w:val="24"/>
                <w:highlight w:val="none"/>
              </w:rPr>
              <w:t>地表水环境影响分析</w:t>
            </w:r>
          </w:p>
          <w:p w14:paraId="3D2702C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val="en-US" w:eastAsia="zh-CN"/>
              </w:rPr>
              <w:t>施工期采用商品混凝土，无施工废水产生</w:t>
            </w:r>
            <w:r>
              <w:rPr>
                <w:rFonts w:hint="default" w:ascii="Times New Roman" w:hAnsi="Times New Roman" w:cs="Times New Roman"/>
                <w:color w:val="auto"/>
                <w:sz w:val="24"/>
                <w:highlight w:val="none"/>
                <w:lang w:eastAsia="zh-CN"/>
              </w:rPr>
              <w:t>。</w:t>
            </w:r>
          </w:p>
          <w:p w14:paraId="470F440D">
            <w:pPr>
              <w:pStyle w:val="13"/>
              <w:spacing w:after="0"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施工期不设施工营地，租用当地民房作为施工营地，变电站内施工人员产生的少量生活污水依托站内已建的化粪池进行处理；输电线路施工人员产生的生活污水依托居住地污水处理措施处理。</w:t>
            </w:r>
          </w:p>
          <w:p w14:paraId="54C202AD">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综上所述，本项目施工期产生的废（污）水均得到了妥善</w:t>
            </w:r>
            <w:r>
              <w:rPr>
                <w:rFonts w:hint="default" w:ascii="Times New Roman" w:hAnsi="Times New Roman" w:cs="Times New Roman"/>
                <w:color w:val="auto"/>
                <w:sz w:val="24"/>
                <w:highlight w:val="none"/>
                <w:lang w:eastAsia="zh-CN"/>
              </w:rPr>
              <w:t>地</w:t>
            </w:r>
            <w:r>
              <w:rPr>
                <w:rFonts w:hint="default" w:ascii="Times New Roman" w:hAnsi="Times New Roman" w:cs="Times New Roman"/>
                <w:color w:val="auto"/>
                <w:sz w:val="24"/>
                <w:highlight w:val="none"/>
              </w:rPr>
              <w:t>处理处置，不外排，对地表水环境产生的影响较小。</w:t>
            </w:r>
          </w:p>
          <w:p w14:paraId="2F3C66AB">
            <w:pPr>
              <w:pStyle w:val="13"/>
              <w:spacing w:after="0" w:line="360" w:lineRule="auto"/>
              <w:ind w:left="0" w:leftChars="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6.</w:t>
            </w:r>
            <w:r>
              <w:rPr>
                <w:rFonts w:hint="default" w:ascii="Times New Roman" w:hAnsi="Times New Roman" w:cs="Times New Roman"/>
                <w:b/>
                <w:bCs/>
                <w:color w:val="auto"/>
                <w:sz w:val="24"/>
                <w:highlight w:val="none"/>
              </w:rPr>
              <w:t>小结</w:t>
            </w:r>
          </w:p>
          <w:p w14:paraId="090BC268">
            <w:pPr>
              <w:pStyle w:val="13"/>
              <w:spacing w:after="0" w:line="360" w:lineRule="auto"/>
              <w:ind w:left="0" w:leftChars="0"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本项目施工期对该区域的生态环境、大气环境、声环境</w:t>
            </w:r>
            <w:r>
              <w:rPr>
                <w:rFonts w:hint="eastAsia" w:cs="Times New Roman"/>
                <w:color w:val="auto"/>
                <w:sz w:val="24"/>
                <w:highlight w:val="none"/>
                <w:lang w:eastAsia="zh-CN"/>
              </w:rPr>
              <w:t>、</w:t>
            </w:r>
            <w:r>
              <w:rPr>
                <w:rFonts w:hint="eastAsia" w:cs="Times New Roman"/>
                <w:color w:val="auto"/>
                <w:sz w:val="24"/>
                <w:highlight w:val="none"/>
                <w:lang w:val="en-US" w:eastAsia="zh-CN"/>
              </w:rPr>
              <w:t>水环境</w:t>
            </w:r>
            <w:r>
              <w:rPr>
                <w:rFonts w:hint="default" w:ascii="Times New Roman" w:hAnsi="Times New Roman" w:cs="Times New Roman"/>
                <w:color w:val="auto"/>
                <w:sz w:val="24"/>
                <w:highlight w:val="none"/>
              </w:rPr>
              <w:t>都将产生一定的影响，但这些影响是临时性的，随着施工期的结束将逐渐消失。</w:t>
            </w:r>
          </w:p>
        </w:tc>
      </w:tr>
      <w:tr w14:paraId="768D9D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 w:type="dxa"/>
            <w:tcBorders>
              <w:tl2br w:val="nil"/>
              <w:tr2bl w:val="nil"/>
            </w:tcBorders>
            <w:noWrap w:val="0"/>
            <w:tcMar>
              <w:left w:w="28" w:type="dxa"/>
              <w:right w:w="28" w:type="dxa"/>
            </w:tcMar>
            <w:vAlign w:val="center"/>
          </w:tcPr>
          <w:p w14:paraId="6C51A43F">
            <w:pPr>
              <w:pStyle w:val="29"/>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bCs/>
                <w:color w:val="auto"/>
                <w:spacing w:val="10"/>
                <w:kern w:val="2"/>
                <w:highlight w:val="none"/>
              </w:rPr>
              <w:t>运营期生态环境影响分析</w:t>
            </w:r>
          </w:p>
        </w:tc>
        <w:tc>
          <w:tcPr>
            <w:tcW w:w="8595" w:type="dxa"/>
            <w:tcBorders>
              <w:tl2br w:val="nil"/>
              <w:tr2bl w:val="nil"/>
            </w:tcBorders>
            <w:noWrap w:val="0"/>
            <w:vAlign w:val="center"/>
          </w:tcPr>
          <w:p w14:paraId="2C39BB66">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ascii="Times New Roman" w:hAnsi="Times New Roman" w:cs="Times New Roman"/>
                <w:b/>
                <w:bCs/>
                <w:color w:val="auto"/>
                <w:sz w:val="24"/>
                <w:highlight w:val="none"/>
              </w:rPr>
            </w:pPr>
            <w:r>
              <w:rPr>
                <w:rFonts w:hint="default" w:ascii="Times New Roman" w:hAnsi="Times New Roman" w:cs="Times New Roman"/>
                <w:color w:val="auto"/>
                <w:sz w:val="24"/>
                <w:highlight w:val="none"/>
              </w:rPr>
              <w:t>本项目输电线路运行过程中主要为电磁环境影响及噪声。</w:t>
            </w:r>
          </w:p>
          <w:p w14:paraId="356FFB0F">
            <w:pPr>
              <w:snapToGrid w:val="0"/>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1.</w:t>
            </w:r>
            <w:r>
              <w:rPr>
                <w:rFonts w:hint="default" w:ascii="Times New Roman" w:hAnsi="Times New Roman" w:cs="Times New Roman"/>
                <w:b/>
                <w:bCs/>
                <w:color w:val="auto"/>
                <w:sz w:val="24"/>
                <w:highlight w:val="none"/>
              </w:rPr>
              <w:t>电磁环境影响分析</w:t>
            </w:r>
          </w:p>
          <w:p w14:paraId="38BE271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本项目电磁环境影响评价工作等级为</w:t>
            </w:r>
            <w:r>
              <w:rPr>
                <w:rFonts w:hint="default" w:ascii="Times New Roman" w:hAnsi="Times New Roman" w:cs="Times New Roman"/>
                <w:color w:val="auto"/>
                <w:sz w:val="24"/>
                <w:highlight w:val="none"/>
                <w:lang w:val="en-US" w:eastAsia="zh-CN"/>
              </w:rPr>
              <w:t>二</w:t>
            </w:r>
            <w:r>
              <w:rPr>
                <w:rFonts w:hint="default" w:ascii="Times New Roman" w:hAnsi="Times New Roman" w:cs="Times New Roman"/>
                <w:color w:val="auto"/>
                <w:sz w:val="24"/>
                <w:highlight w:val="none"/>
              </w:rPr>
              <w:t>级，根据《环境影响评价技术导则 输变电》（HJ24-2020）中“4.10.</w:t>
            </w:r>
            <w:r>
              <w:rPr>
                <w:rFonts w:hint="default" w:ascii="Times New Roman" w:hAnsi="Times New Roman" w:cs="Times New Roman"/>
                <w:color w:val="auto"/>
                <w:sz w:val="24"/>
                <w:highlight w:val="none"/>
                <w:lang w:val="en-US" w:eastAsia="zh-CN"/>
              </w:rPr>
              <w:t>2二</w:t>
            </w:r>
            <w:r>
              <w:rPr>
                <w:rFonts w:hint="default" w:ascii="Times New Roman" w:hAnsi="Times New Roman" w:cs="Times New Roman"/>
                <w:color w:val="auto"/>
                <w:sz w:val="24"/>
                <w:highlight w:val="none"/>
              </w:rPr>
              <w:t>级评价的基本要求”，</w:t>
            </w:r>
            <w:r>
              <w:rPr>
                <w:rFonts w:hint="default" w:ascii="Times New Roman" w:hAnsi="Times New Roman" w:cs="Times New Roman"/>
                <w:color w:val="auto"/>
                <w:sz w:val="24"/>
                <w:highlight w:val="none"/>
                <w:lang w:val="en-US" w:eastAsia="zh-CN"/>
              </w:rPr>
              <w:t>输电线路</w:t>
            </w:r>
            <w:r>
              <w:rPr>
                <w:rFonts w:hint="default" w:ascii="Times New Roman" w:hAnsi="Times New Roman" w:cs="Times New Roman"/>
                <w:color w:val="auto"/>
                <w:sz w:val="24"/>
                <w:highlight w:val="none"/>
              </w:rPr>
              <w:t>电磁环境影响预测一般采用模式预测的方式。</w:t>
            </w:r>
            <w:r>
              <w:rPr>
                <w:rFonts w:hint="default" w:ascii="Times New Roman" w:hAnsi="Times New Roman" w:cs="Times New Roman"/>
                <w:color w:val="auto"/>
                <w:sz w:val="24"/>
                <w:highlight w:val="none"/>
                <w:lang w:val="en-US" w:eastAsia="zh-CN"/>
              </w:rPr>
              <w:t>变电站</w:t>
            </w:r>
            <w:r>
              <w:rPr>
                <w:rFonts w:hint="default" w:ascii="Times New Roman" w:hAnsi="Times New Roman" w:cs="Times New Roman"/>
                <w:color w:val="auto"/>
                <w:sz w:val="24"/>
                <w:highlight w:val="none"/>
              </w:rPr>
              <w:t>电磁环境影响预测</w:t>
            </w:r>
            <w:r>
              <w:rPr>
                <w:rFonts w:hint="default" w:ascii="Times New Roman" w:hAnsi="Times New Roman" w:cs="Times New Roman"/>
                <w:color w:val="auto"/>
                <w:sz w:val="24"/>
                <w:highlight w:val="none"/>
                <w:lang w:val="en-US" w:eastAsia="zh-CN"/>
              </w:rPr>
              <w:t>应</w:t>
            </w:r>
            <w:r>
              <w:rPr>
                <w:rFonts w:hint="default" w:ascii="Times New Roman" w:hAnsi="Times New Roman" w:cs="Times New Roman"/>
                <w:color w:val="auto"/>
                <w:sz w:val="24"/>
                <w:highlight w:val="none"/>
              </w:rPr>
              <w:t>采用</w:t>
            </w:r>
            <w:r>
              <w:rPr>
                <w:rFonts w:hint="default" w:ascii="Times New Roman" w:hAnsi="Times New Roman" w:cs="Times New Roman"/>
                <w:color w:val="auto"/>
                <w:sz w:val="24"/>
                <w:highlight w:val="none"/>
                <w:lang w:val="en-US" w:eastAsia="zh-CN"/>
              </w:rPr>
              <w:t>类比监测</w:t>
            </w:r>
            <w:r>
              <w:rPr>
                <w:rFonts w:hint="default" w:ascii="Times New Roman" w:hAnsi="Times New Roman" w:cs="Times New Roman"/>
                <w:color w:val="auto"/>
                <w:sz w:val="24"/>
                <w:highlight w:val="none"/>
              </w:rPr>
              <w:t>的方式。因此，本项目架空</w:t>
            </w:r>
            <w:r>
              <w:rPr>
                <w:rFonts w:hint="default" w:ascii="Times New Roman" w:hAnsi="Times New Roman" w:cs="Times New Roman"/>
                <w:color w:val="auto"/>
                <w:sz w:val="24"/>
                <w:highlight w:val="none"/>
                <w:lang w:val="en-US" w:eastAsia="zh-CN"/>
              </w:rPr>
              <w:t>输电</w:t>
            </w:r>
            <w:r>
              <w:rPr>
                <w:rFonts w:hint="default" w:ascii="Times New Roman" w:hAnsi="Times New Roman" w:cs="Times New Roman"/>
                <w:color w:val="auto"/>
                <w:sz w:val="24"/>
                <w:highlight w:val="none"/>
              </w:rPr>
              <w:t>线路的电磁环境影响预测采用模式预测的方式</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变电站间隔扩建工程</w:t>
            </w:r>
            <w:r>
              <w:rPr>
                <w:rFonts w:hint="default" w:ascii="Times New Roman" w:hAnsi="Times New Roman" w:cs="Times New Roman"/>
                <w:color w:val="auto"/>
                <w:sz w:val="24"/>
                <w:highlight w:val="none"/>
              </w:rPr>
              <w:t>电磁环境影响预测</w:t>
            </w:r>
            <w:r>
              <w:rPr>
                <w:rFonts w:hint="default" w:ascii="Times New Roman" w:hAnsi="Times New Roman" w:cs="Times New Roman"/>
                <w:color w:val="auto"/>
                <w:sz w:val="24"/>
                <w:highlight w:val="none"/>
                <w:lang w:val="en-US" w:eastAsia="zh-CN"/>
              </w:rPr>
              <w:t>应</w:t>
            </w:r>
            <w:r>
              <w:rPr>
                <w:rFonts w:hint="default" w:ascii="Times New Roman" w:hAnsi="Times New Roman" w:cs="Times New Roman"/>
                <w:color w:val="auto"/>
                <w:sz w:val="24"/>
                <w:highlight w:val="none"/>
              </w:rPr>
              <w:t>采用</w:t>
            </w:r>
            <w:r>
              <w:rPr>
                <w:rFonts w:hint="default" w:ascii="Times New Roman" w:hAnsi="Times New Roman" w:cs="Times New Roman"/>
                <w:color w:val="auto"/>
                <w:sz w:val="24"/>
                <w:highlight w:val="none"/>
                <w:lang w:val="en-US" w:eastAsia="zh-CN"/>
              </w:rPr>
              <w:t>类比监测</w:t>
            </w:r>
            <w:r>
              <w:rPr>
                <w:rFonts w:hint="default" w:ascii="Times New Roman" w:hAnsi="Times New Roman" w:cs="Times New Roman"/>
                <w:color w:val="auto"/>
                <w:sz w:val="24"/>
                <w:highlight w:val="none"/>
              </w:rPr>
              <w:t>的方式进行分析。</w:t>
            </w:r>
          </w:p>
          <w:p w14:paraId="7F35DAD1">
            <w:pPr>
              <w:snapToGrid w:val="0"/>
              <w:spacing w:line="360" w:lineRule="auto"/>
              <w:ind w:firstLine="482" w:firstLineChars="200"/>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eastAsia="zh-CN"/>
              </w:rPr>
              <w:t>⑴</w:t>
            </w:r>
            <w:r>
              <w:rPr>
                <w:rFonts w:hint="default" w:ascii="Times New Roman" w:hAnsi="Times New Roman" w:cs="Times New Roman"/>
                <w:b/>
                <w:bCs/>
                <w:color w:val="auto"/>
                <w:sz w:val="24"/>
                <w:highlight w:val="none"/>
                <w:lang w:val="en-US" w:eastAsia="zh-CN"/>
              </w:rPr>
              <w:t>云雾山间隔扩建</w:t>
            </w:r>
            <w:r>
              <w:rPr>
                <w:rFonts w:hint="default" w:ascii="Times New Roman" w:hAnsi="Times New Roman" w:cs="Times New Roman"/>
                <w:b/>
                <w:bCs/>
                <w:color w:val="auto"/>
                <w:sz w:val="24"/>
                <w:highlight w:val="none"/>
              </w:rPr>
              <w:t>电磁环境影响预测结果</w:t>
            </w:r>
          </w:p>
          <w:p w14:paraId="676C80C5">
            <w:pPr>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变电站四周围墙外5m处工频电场强度测量值为</w:t>
            </w:r>
            <w:r>
              <w:rPr>
                <w:rFonts w:hint="default" w:ascii="Times New Roman" w:hAnsi="Times New Roman" w:eastAsia="宋体" w:cs="Times New Roman"/>
                <w:color w:val="auto"/>
                <w:sz w:val="24"/>
                <w:highlight w:val="none"/>
                <w:lang w:val="en-US" w:eastAsia="zh-CN"/>
              </w:rPr>
              <w:t>26.734</w:t>
            </w:r>
            <w:r>
              <w:rPr>
                <w:rFonts w:hint="default" w:ascii="Times New Roman" w:hAnsi="Times New Roman" w:eastAsia="宋体" w:cs="Times New Roman"/>
                <w:color w:val="auto"/>
                <w:sz w:val="24"/>
                <w:highlight w:val="none"/>
              </w:rPr>
              <w:t>V/m~</w:t>
            </w:r>
            <w:r>
              <w:rPr>
                <w:rFonts w:hint="default" w:ascii="Times New Roman" w:hAnsi="Times New Roman" w:eastAsia="宋体" w:cs="Times New Roman"/>
                <w:color w:val="auto"/>
                <w:sz w:val="24"/>
                <w:highlight w:val="none"/>
                <w:lang w:val="en-US" w:eastAsia="zh-CN"/>
              </w:rPr>
              <w:t>681.12</w:t>
            </w:r>
            <w:r>
              <w:rPr>
                <w:rFonts w:hint="default" w:ascii="Times New Roman" w:hAnsi="Times New Roman" w:eastAsia="宋体" w:cs="Times New Roman"/>
                <w:color w:val="auto"/>
                <w:sz w:val="24"/>
                <w:highlight w:val="none"/>
              </w:rPr>
              <w:t>V/m，工频磁感应强度测量值为</w:t>
            </w:r>
            <w:r>
              <w:rPr>
                <w:rFonts w:hint="default" w:ascii="Times New Roman" w:hAnsi="Times New Roman" w:eastAsia="宋体" w:cs="Times New Roman"/>
                <w:color w:val="auto"/>
                <w:sz w:val="24"/>
                <w:highlight w:val="none"/>
                <w:lang w:val="en-US" w:eastAsia="zh-CN"/>
              </w:rPr>
              <w:t>0.2672</w:t>
            </w:r>
            <w:r>
              <w:rPr>
                <w:rFonts w:hint="default" w:ascii="Times New Roman" w:hAnsi="Times New Roman" w:eastAsia="宋体" w:cs="Times New Roman"/>
                <w:color w:val="auto"/>
                <w:sz w:val="24"/>
                <w:highlight w:val="none"/>
              </w:rPr>
              <w:t>μT~</w:t>
            </w:r>
            <w:r>
              <w:rPr>
                <w:rFonts w:hint="default" w:ascii="Times New Roman" w:hAnsi="Times New Roman" w:eastAsia="宋体" w:cs="Times New Roman"/>
                <w:color w:val="auto"/>
                <w:sz w:val="24"/>
                <w:highlight w:val="none"/>
                <w:lang w:val="en-US" w:eastAsia="zh-CN"/>
              </w:rPr>
              <w:t>2.1500</w:t>
            </w:r>
            <w:r>
              <w:rPr>
                <w:rFonts w:hint="default" w:ascii="Times New Roman" w:hAnsi="Times New Roman" w:eastAsia="宋体" w:cs="Times New Roman"/>
                <w:color w:val="auto"/>
                <w:sz w:val="24"/>
                <w:highlight w:val="none"/>
              </w:rPr>
              <w:t>μT；变电站</w:t>
            </w:r>
            <w:r>
              <w:rPr>
                <w:rFonts w:hint="default" w:ascii="Times New Roman" w:hAnsi="Times New Roman" w:eastAsia="宋体" w:cs="Times New Roman"/>
                <w:color w:val="auto"/>
                <w:sz w:val="24"/>
                <w:highlight w:val="none"/>
                <w:lang w:val="en-US" w:eastAsia="zh-CN"/>
              </w:rPr>
              <w:t>东偏</w:t>
            </w:r>
            <w:r>
              <w:rPr>
                <w:rFonts w:hint="default" w:ascii="Times New Roman" w:hAnsi="Times New Roman" w:eastAsia="宋体" w:cs="Times New Roman"/>
                <w:color w:val="auto"/>
                <w:sz w:val="24"/>
                <w:highlight w:val="none"/>
              </w:rPr>
              <w:t>北侧监测断面5～50m的工频电场强度测量值为</w:t>
            </w:r>
            <w:r>
              <w:rPr>
                <w:rFonts w:hint="default" w:ascii="Times New Roman" w:hAnsi="Times New Roman" w:eastAsia="宋体" w:cs="Times New Roman"/>
                <w:color w:val="auto"/>
                <w:sz w:val="24"/>
                <w:highlight w:val="none"/>
                <w:lang w:val="en-US" w:eastAsia="zh-CN"/>
              </w:rPr>
              <w:t>65.304</w:t>
            </w:r>
            <w:r>
              <w:rPr>
                <w:rFonts w:hint="default" w:ascii="Times New Roman" w:hAnsi="Times New Roman" w:eastAsia="宋体" w:cs="Times New Roman"/>
                <w:color w:val="auto"/>
                <w:sz w:val="24"/>
                <w:highlight w:val="none"/>
              </w:rPr>
              <w:t>V/m~</w:t>
            </w:r>
            <w:r>
              <w:rPr>
                <w:rFonts w:hint="default" w:ascii="Times New Roman" w:hAnsi="Times New Roman" w:eastAsia="宋体" w:cs="Times New Roman"/>
                <w:color w:val="auto"/>
                <w:sz w:val="24"/>
                <w:highlight w:val="none"/>
                <w:lang w:val="en-US" w:eastAsia="zh-CN"/>
              </w:rPr>
              <w:t>681.12</w:t>
            </w:r>
            <w:r>
              <w:rPr>
                <w:rFonts w:hint="default" w:ascii="Times New Roman" w:hAnsi="Times New Roman" w:eastAsia="宋体" w:cs="Times New Roman"/>
                <w:color w:val="auto"/>
                <w:sz w:val="24"/>
                <w:highlight w:val="none"/>
              </w:rPr>
              <w:t>V/m，工频磁感应强度测量值为</w:t>
            </w:r>
            <w:r>
              <w:rPr>
                <w:rFonts w:hint="default" w:ascii="Times New Roman" w:hAnsi="Times New Roman" w:eastAsia="宋体" w:cs="Times New Roman"/>
                <w:color w:val="auto"/>
                <w:sz w:val="24"/>
                <w:highlight w:val="none"/>
                <w:lang w:val="en-US" w:eastAsia="zh-CN"/>
              </w:rPr>
              <w:t>0.0852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2.1500</w:t>
            </w:r>
            <w:r>
              <w:rPr>
                <w:rFonts w:hint="default" w:ascii="Times New Roman" w:hAnsi="Times New Roman" w:eastAsia="宋体" w:cs="Times New Roman"/>
                <w:color w:val="auto"/>
                <w:sz w:val="24"/>
                <w:highlight w:val="none"/>
              </w:rPr>
              <w:t>μT，工频电场强度测量结果呈现距变电站厂界距离增加而衰减趋势。监测结果均低于《电磁环境控制限值》（GB8702-2014）中工频电场强度4000V/m和工频磁感应强度100µT的控制限值要求。</w:t>
            </w:r>
            <w:r>
              <w:rPr>
                <w:rFonts w:hint="default" w:ascii="Times New Roman" w:hAnsi="Times New Roman" w:eastAsia="宋体" w:cs="Times New Roman"/>
                <w:color w:val="auto"/>
                <w:sz w:val="24"/>
                <w:highlight w:val="none"/>
                <w:lang w:val="en-US" w:eastAsia="zh-CN"/>
              </w:rPr>
              <w:t>根据类比监测结果可以预测，</w:t>
            </w:r>
            <w:r>
              <w:rPr>
                <w:rFonts w:hint="default" w:ascii="Times New Roman" w:hAnsi="Times New Roman" w:eastAsia="宋体" w:cs="Times New Roman"/>
                <w:color w:val="auto"/>
                <w:sz w:val="24"/>
                <w:highlight w:val="none"/>
              </w:rPr>
              <w:t>本次</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110千伏间隔扩建工程</w:t>
            </w:r>
            <w:r>
              <w:rPr>
                <w:rFonts w:hint="default" w:ascii="Times New Roman" w:hAnsi="Times New Roman" w:eastAsia="宋体" w:cs="Times New Roman"/>
                <w:color w:val="auto"/>
                <w:sz w:val="24"/>
                <w:highlight w:val="none"/>
              </w:rPr>
              <w:t>运行产生的工频电场、工频磁场小于《电磁环境控制限值》（GB8702-2014）规定的工频电场强度控制限值4000V/m、工频磁感应强度控制限100μT。</w:t>
            </w:r>
          </w:p>
          <w:p w14:paraId="0A7FCC1B">
            <w:pPr>
              <w:adjustRightInd w:val="0"/>
              <w:snapToGrid w:val="0"/>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⑵</w:t>
            </w:r>
            <w:r>
              <w:rPr>
                <w:rFonts w:hint="default" w:ascii="Times New Roman" w:hAnsi="Times New Roman" w:cs="Times New Roman"/>
                <w:b/>
                <w:bCs/>
                <w:color w:val="auto"/>
                <w:sz w:val="24"/>
                <w:highlight w:val="none"/>
              </w:rPr>
              <w:t>输电线路单回路架空</w:t>
            </w:r>
            <w:r>
              <w:rPr>
                <w:rFonts w:hint="default" w:ascii="Times New Roman" w:hAnsi="Times New Roman" w:cs="Times New Roman"/>
                <w:b/>
                <w:bCs/>
                <w:color w:val="auto"/>
                <w:sz w:val="24"/>
                <w:highlight w:val="none"/>
                <w:lang w:val="en-US" w:eastAsia="zh-CN"/>
              </w:rPr>
              <w:t>线路</w:t>
            </w:r>
            <w:r>
              <w:rPr>
                <w:rFonts w:hint="default" w:ascii="Times New Roman" w:hAnsi="Times New Roman" w:cs="Times New Roman"/>
                <w:b/>
                <w:bCs/>
                <w:color w:val="auto"/>
                <w:sz w:val="24"/>
                <w:highlight w:val="none"/>
              </w:rPr>
              <w:t>电磁环境影响预测结果</w:t>
            </w:r>
          </w:p>
          <w:p w14:paraId="6AA4CD1E">
            <w:pPr>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lang w:val="en-US" w:eastAsia="zh-CN"/>
              </w:rPr>
              <w:t>由预测专题评价结果显示：本项目新建110千伏</w:t>
            </w:r>
            <w:r>
              <w:rPr>
                <w:rFonts w:hint="default" w:ascii="Times New Roman" w:hAnsi="Times New Roman" w:cs="Times New Roman"/>
                <w:bCs/>
                <w:color w:val="auto"/>
                <w:sz w:val="24"/>
                <w:highlight w:val="none"/>
              </w:rPr>
              <w:t>单回架空线路段</w:t>
            </w:r>
            <w:r>
              <w:rPr>
                <w:rFonts w:hint="default" w:ascii="Times New Roman" w:hAnsi="Times New Roman" w:cs="Times New Roman"/>
                <w:color w:val="auto"/>
                <w:sz w:val="24"/>
                <w:highlight w:val="none"/>
              </w:rPr>
              <w:t>随着与线路中心线的距离增加，线路运行产生的工频电场强度先增大后减小，工频磁感应强度逐渐减小。导线对地高度为</w:t>
            </w:r>
            <w:r>
              <w:rPr>
                <w:rFonts w:hint="eastAsia" w:cs="Times New Roman"/>
                <w:color w:val="auto"/>
                <w:sz w:val="24"/>
                <w:highlight w:val="none"/>
                <w:lang w:val="en-US" w:eastAsia="zh-CN"/>
              </w:rPr>
              <w:t>12.3</w:t>
            </w:r>
            <w:r>
              <w:rPr>
                <w:rFonts w:hint="default" w:ascii="Times New Roman" w:hAnsi="Times New Roman" w:cs="Times New Roman"/>
                <w:color w:val="auto"/>
                <w:sz w:val="24"/>
                <w:highlight w:val="none"/>
              </w:rPr>
              <w:t>m时，地面1.5m高度处的工频电场强度最大值为</w:t>
            </w:r>
            <w:r>
              <w:rPr>
                <w:rFonts w:hint="eastAsia" w:cs="Times New Roman"/>
                <w:color w:val="auto"/>
                <w:sz w:val="24"/>
                <w:highlight w:val="none"/>
                <w:lang w:val="en-US" w:eastAsia="zh-CN"/>
              </w:rPr>
              <w:t>1.2312</w:t>
            </w:r>
            <w:r>
              <w:rPr>
                <w:rFonts w:hint="default" w:ascii="Times New Roman" w:hAnsi="Times New Roman" w:cs="Times New Roman"/>
                <w:color w:val="auto"/>
                <w:sz w:val="24"/>
                <w:highlight w:val="none"/>
              </w:rPr>
              <w:t>kV/m，出现在距离线路中心线地面投影-</w:t>
            </w:r>
            <w:r>
              <w:rPr>
                <w:rFonts w:hint="eastAsia" w:cs="Times New Roman"/>
                <w:color w:val="auto"/>
                <w:sz w:val="24"/>
                <w:highlight w:val="none"/>
                <w:lang w:val="en-US" w:eastAsia="zh-CN"/>
              </w:rPr>
              <w:t>10</w:t>
            </w:r>
            <w:r>
              <w:rPr>
                <w:rFonts w:hint="default" w:ascii="Times New Roman" w:hAnsi="Times New Roman" w:cs="Times New Roman"/>
                <w:color w:val="auto"/>
                <w:sz w:val="24"/>
                <w:highlight w:val="none"/>
              </w:rPr>
              <w:t>m</w:t>
            </w:r>
            <w:r>
              <w:rPr>
                <w:rFonts w:hint="eastAsia" w:cs="Times New Roman"/>
                <w:color w:val="auto"/>
                <w:sz w:val="24"/>
                <w:highlight w:val="none"/>
                <w:lang w:val="en-US" w:eastAsia="zh-CN"/>
              </w:rPr>
              <w:t>和10m</w:t>
            </w:r>
            <w:r>
              <w:rPr>
                <w:rFonts w:hint="default" w:ascii="Times New Roman" w:hAnsi="Times New Roman" w:cs="Times New Roman"/>
                <w:color w:val="auto"/>
                <w:sz w:val="24"/>
                <w:highlight w:val="none"/>
              </w:rPr>
              <w:t>处；工频磁感应强度最大值为</w:t>
            </w:r>
            <w:r>
              <w:rPr>
                <w:rFonts w:hint="eastAsia" w:cs="Times New Roman"/>
                <w:color w:val="auto"/>
                <w:sz w:val="24"/>
                <w:highlight w:val="none"/>
                <w:lang w:val="en-US" w:eastAsia="zh-CN"/>
              </w:rPr>
              <w:t>9.6817</w:t>
            </w:r>
            <w:r>
              <w:rPr>
                <w:rFonts w:hint="default" w:ascii="Times New Roman" w:hAnsi="Times New Roman" w:cs="Times New Roman"/>
                <w:color w:val="auto"/>
                <w:sz w:val="24"/>
                <w:highlight w:val="none"/>
              </w:rPr>
              <w:t>μT，出现在距离线路中心线地面投影</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5D2430A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抬高改造段</w:t>
            </w:r>
            <w:r>
              <w:rPr>
                <w:rFonts w:hint="default" w:ascii="Times New Roman" w:hAnsi="Times New Roman" w:cs="Times New Roman"/>
                <w:bCs/>
                <w:color w:val="auto"/>
                <w:sz w:val="24"/>
                <w:highlight w:val="none"/>
                <w:lang w:val="en-US" w:eastAsia="zh-CN"/>
              </w:rPr>
              <w:t>110千伏</w:t>
            </w:r>
            <w:r>
              <w:rPr>
                <w:rFonts w:hint="default" w:ascii="Times New Roman" w:hAnsi="Times New Roman" w:cs="Times New Roman"/>
                <w:bCs/>
                <w:color w:val="auto"/>
                <w:sz w:val="24"/>
                <w:highlight w:val="none"/>
              </w:rPr>
              <w:t>单回架空线路段</w:t>
            </w:r>
            <w:r>
              <w:rPr>
                <w:rFonts w:hint="default" w:ascii="Times New Roman" w:hAnsi="Times New Roman" w:cs="Times New Roman"/>
                <w:color w:val="auto"/>
                <w:sz w:val="24"/>
                <w:highlight w:val="none"/>
              </w:rPr>
              <w:t>随着与线路中心线的距离增加，线路运行产生的工频电场强度先增大后减小，工频磁感应强度逐渐减小。导线对地高度为</w:t>
            </w:r>
            <w:r>
              <w:rPr>
                <w:rFonts w:hint="eastAsia" w:cs="Times New Roman"/>
                <w:color w:val="auto"/>
                <w:sz w:val="24"/>
                <w:highlight w:val="none"/>
                <w:lang w:val="en-US" w:eastAsia="zh-CN"/>
              </w:rPr>
              <w:t>35.3</w:t>
            </w:r>
            <w:r>
              <w:rPr>
                <w:rFonts w:hint="default" w:ascii="Times New Roman" w:hAnsi="Times New Roman" w:cs="Times New Roman"/>
                <w:color w:val="auto"/>
                <w:sz w:val="24"/>
                <w:highlight w:val="none"/>
              </w:rPr>
              <w:t>m时，地面1.5m高度处的工频电场强度最大值为</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1368</w:t>
            </w:r>
            <w:r>
              <w:rPr>
                <w:rFonts w:hint="default" w:ascii="Times New Roman" w:hAnsi="Times New Roman" w:cs="Times New Roman"/>
                <w:color w:val="auto"/>
                <w:sz w:val="24"/>
                <w:highlight w:val="none"/>
              </w:rPr>
              <w:t>kV/m，出现在距离线路中心线地面投影-</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rPr>
              <w:t>m</w:t>
            </w:r>
            <w:r>
              <w:rPr>
                <w:rFonts w:hint="eastAsia" w:cs="Times New Roman"/>
                <w:color w:val="auto"/>
                <w:sz w:val="24"/>
                <w:highlight w:val="none"/>
                <w:lang w:eastAsia="zh-CN"/>
              </w:rPr>
              <w:t>、</w:t>
            </w:r>
            <w:r>
              <w:rPr>
                <w:rFonts w:hint="eastAsia" w:cs="Times New Roman"/>
                <w:color w:val="auto"/>
                <w:sz w:val="24"/>
                <w:highlight w:val="none"/>
                <w:lang w:val="en-US" w:eastAsia="zh-CN"/>
              </w:rPr>
              <w:t>-21</w:t>
            </w:r>
            <w:r>
              <w:rPr>
                <w:rFonts w:hint="default" w:ascii="Times New Roman" w:hAnsi="Times New Roman" w:cs="Times New Roman"/>
                <w:color w:val="auto"/>
                <w:sz w:val="24"/>
                <w:highlight w:val="none"/>
              </w:rPr>
              <w:t>m</w:t>
            </w:r>
            <w:r>
              <w:rPr>
                <w:rFonts w:hint="eastAsia" w:cs="Times New Roman"/>
                <w:color w:val="auto"/>
                <w:sz w:val="24"/>
                <w:highlight w:val="none"/>
                <w:lang w:eastAsia="zh-CN"/>
              </w:rPr>
              <w:t>、</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rPr>
              <w:t>m</w:t>
            </w:r>
            <w:r>
              <w:rPr>
                <w:rFonts w:hint="eastAsia" w:cs="Times New Roman"/>
                <w:color w:val="auto"/>
                <w:sz w:val="24"/>
                <w:highlight w:val="none"/>
                <w:lang w:eastAsia="zh-CN"/>
              </w:rPr>
              <w:t>、</w:t>
            </w:r>
            <w:r>
              <w:rPr>
                <w:rFonts w:hint="eastAsia" w:cs="Times New Roman"/>
                <w:color w:val="auto"/>
                <w:sz w:val="24"/>
                <w:highlight w:val="none"/>
                <w:lang w:val="en-US" w:eastAsia="zh-CN"/>
              </w:rPr>
              <w:t>21</w:t>
            </w:r>
            <w:r>
              <w:rPr>
                <w:rFonts w:hint="default" w:ascii="Times New Roman" w:hAnsi="Times New Roman" w:cs="Times New Roman"/>
                <w:color w:val="auto"/>
                <w:sz w:val="24"/>
                <w:highlight w:val="none"/>
              </w:rPr>
              <w:t>m处；工频磁感应强度最大值为</w:t>
            </w:r>
            <w:r>
              <w:rPr>
                <w:rFonts w:hint="eastAsia" w:cs="Times New Roman"/>
                <w:color w:val="auto"/>
                <w:sz w:val="24"/>
                <w:highlight w:val="none"/>
                <w:lang w:val="en-US" w:eastAsia="zh-CN"/>
              </w:rPr>
              <w:t>1.3864</w:t>
            </w:r>
            <w:r>
              <w:rPr>
                <w:rFonts w:hint="default" w:ascii="Times New Roman" w:hAnsi="Times New Roman" w:cs="Times New Roman"/>
                <w:color w:val="auto"/>
                <w:sz w:val="24"/>
                <w:highlight w:val="none"/>
              </w:rPr>
              <w:t>μT，出现在距离线路中心线地面投影</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7D79314A">
            <w:pPr>
              <w:adjustRightInd w:val="0"/>
              <w:snapToGrid w:val="0"/>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⑶</w:t>
            </w:r>
            <w:r>
              <w:rPr>
                <w:rFonts w:hint="default" w:ascii="Times New Roman" w:hAnsi="Times New Roman" w:cs="Times New Roman"/>
                <w:b/>
                <w:bCs/>
                <w:color w:val="auto"/>
                <w:sz w:val="24"/>
                <w:highlight w:val="none"/>
              </w:rPr>
              <w:t>输电线路</w:t>
            </w:r>
            <w:r>
              <w:rPr>
                <w:rFonts w:hint="default" w:ascii="Times New Roman" w:hAnsi="Times New Roman" w:cs="Times New Roman"/>
                <w:b/>
                <w:bCs/>
                <w:color w:val="auto"/>
                <w:sz w:val="24"/>
                <w:highlight w:val="none"/>
                <w:lang w:eastAsia="zh-CN"/>
              </w:rPr>
              <w:t>双</w:t>
            </w:r>
            <w:r>
              <w:rPr>
                <w:rFonts w:hint="default" w:ascii="Times New Roman" w:hAnsi="Times New Roman" w:cs="Times New Roman"/>
                <w:b/>
                <w:bCs/>
                <w:color w:val="auto"/>
                <w:sz w:val="24"/>
                <w:highlight w:val="none"/>
              </w:rPr>
              <w:t>回架空</w:t>
            </w:r>
            <w:r>
              <w:rPr>
                <w:rFonts w:hint="default" w:ascii="Times New Roman" w:hAnsi="Times New Roman" w:cs="Times New Roman"/>
                <w:b/>
                <w:bCs/>
                <w:color w:val="auto"/>
                <w:sz w:val="24"/>
                <w:highlight w:val="none"/>
                <w:lang w:val="en-US" w:eastAsia="zh-CN"/>
              </w:rPr>
              <w:t>线路</w:t>
            </w:r>
            <w:r>
              <w:rPr>
                <w:rFonts w:hint="default" w:ascii="Times New Roman" w:hAnsi="Times New Roman" w:cs="Times New Roman"/>
                <w:b/>
                <w:bCs/>
                <w:color w:val="auto"/>
                <w:sz w:val="24"/>
                <w:highlight w:val="none"/>
              </w:rPr>
              <w:t>电磁环境影响预测结果</w:t>
            </w:r>
          </w:p>
          <w:p w14:paraId="5D16A00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lang w:val="en-US" w:eastAsia="zh-CN"/>
              </w:rPr>
              <w:t>本项目110千伏</w:t>
            </w:r>
            <w:r>
              <w:rPr>
                <w:rFonts w:hint="default" w:ascii="Times New Roman" w:hAnsi="Times New Roman" w:cs="Times New Roman"/>
                <w:bCs/>
                <w:color w:val="auto"/>
                <w:sz w:val="24"/>
                <w:highlight w:val="none"/>
              </w:rPr>
              <w:t>双回架空线路段</w:t>
            </w:r>
            <w:r>
              <w:rPr>
                <w:rFonts w:hint="default" w:ascii="Times New Roman" w:hAnsi="Times New Roman" w:cs="Times New Roman"/>
                <w:color w:val="auto"/>
                <w:sz w:val="24"/>
                <w:highlight w:val="none"/>
              </w:rPr>
              <w:t>随着与线路中心线的距离增加，线路运行产生的工频电场强度、工频磁感应强度均逐渐减小。线路导线对地高度为</w:t>
            </w:r>
            <w:r>
              <w:rPr>
                <w:rFonts w:hint="eastAsia" w:cs="Times New Roman"/>
                <w:color w:val="auto"/>
                <w:sz w:val="24"/>
                <w:highlight w:val="none"/>
                <w:lang w:val="en-US" w:eastAsia="zh-CN"/>
              </w:rPr>
              <w:t>15.0</w:t>
            </w:r>
            <w:r>
              <w:rPr>
                <w:rFonts w:hint="default" w:ascii="Times New Roman" w:hAnsi="Times New Roman" w:cs="Times New Roman"/>
                <w:color w:val="auto"/>
                <w:sz w:val="24"/>
                <w:highlight w:val="none"/>
              </w:rPr>
              <w:t>m时，地面1.5m高度处的工频电场强度最大值为</w:t>
            </w:r>
            <w:r>
              <w:rPr>
                <w:rFonts w:hint="eastAsia" w:cs="Times New Roman"/>
                <w:bCs/>
                <w:color w:val="auto"/>
                <w:sz w:val="24"/>
                <w:highlight w:val="none"/>
                <w:lang w:val="en-US" w:eastAsia="zh-CN"/>
              </w:rPr>
              <w:t>0.837</w:t>
            </w:r>
            <w:r>
              <w:rPr>
                <w:rFonts w:hint="default" w:ascii="Times New Roman" w:hAnsi="Times New Roman" w:cs="Times New Roman"/>
                <w:color w:val="auto"/>
                <w:sz w:val="24"/>
                <w:highlight w:val="none"/>
              </w:rPr>
              <w:t>kV/m，出现在距离线路中心线地面投影</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rPr>
              <w:t>m处；工频磁感应强度最大值为</w:t>
            </w:r>
            <w:r>
              <w:rPr>
                <w:rFonts w:hint="eastAsia" w:cs="Times New Roman"/>
                <w:bCs/>
                <w:color w:val="auto"/>
                <w:sz w:val="24"/>
                <w:highlight w:val="none"/>
                <w:lang w:val="en-US" w:eastAsia="zh-CN"/>
              </w:rPr>
              <w:t>3.8877</w:t>
            </w:r>
            <w:r>
              <w:rPr>
                <w:rFonts w:hint="default" w:ascii="Times New Roman" w:hAnsi="Times New Roman" w:cs="Times New Roman"/>
                <w:color w:val="auto"/>
                <w:sz w:val="24"/>
                <w:highlight w:val="none"/>
              </w:rPr>
              <w:t>μT，出现在距离线路中心线地面投影</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468EBC2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lang w:val="en-US" w:eastAsia="zh-CN"/>
              </w:rPr>
              <w:t>本项目110千伏</w:t>
            </w:r>
            <w:r>
              <w:rPr>
                <w:rFonts w:hint="default" w:ascii="Times New Roman" w:hAnsi="Times New Roman" w:cs="Times New Roman"/>
                <w:bCs/>
                <w:color w:val="auto"/>
                <w:sz w:val="24"/>
                <w:highlight w:val="none"/>
              </w:rPr>
              <w:t>双回架空线路段</w:t>
            </w:r>
            <w:r>
              <w:rPr>
                <w:rFonts w:hint="default" w:ascii="Times New Roman" w:hAnsi="Times New Roman" w:cs="Times New Roman"/>
                <w:bCs/>
                <w:color w:val="auto"/>
                <w:sz w:val="24"/>
                <w:highlight w:val="none"/>
                <w:lang w:eastAsia="zh-CN"/>
              </w:rPr>
              <w:t>（单侧运行）</w:t>
            </w:r>
            <w:r>
              <w:rPr>
                <w:rFonts w:hint="default" w:ascii="Times New Roman" w:hAnsi="Times New Roman" w:cs="Times New Roman"/>
                <w:color w:val="auto"/>
                <w:sz w:val="24"/>
                <w:highlight w:val="none"/>
              </w:rPr>
              <w:t>随着与线路中心线的距离增加，线路运行产生的工频电场强度、工频磁感应强度均逐渐减小。线路导线对地高度为1</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rPr>
              <w:t>m时，地面1.5m高度处的工频电场强度最大值为</w:t>
            </w:r>
            <w:r>
              <w:rPr>
                <w:rFonts w:hint="default" w:ascii="Times New Roman" w:hAnsi="Times New Roman" w:cs="Times New Roman"/>
                <w:bCs/>
                <w:color w:val="auto"/>
                <w:sz w:val="24"/>
                <w:highlight w:val="none"/>
                <w:lang w:val="en-US" w:eastAsia="zh-CN"/>
              </w:rPr>
              <w:t>0.</w:t>
            </w:r>
            <w:r>
              <w:rPr>
                <w:rFonts w:hint="eastAsia" w:cs="Times New Roman"/>
                <w:bCs/>
                <w:color w:val="auto"/>
                <w:sz w:val="24"/>
                <w:highlight w:val="none"/>
                <w:lang w:val="en-US" w:eastAsia="zh-CN"/>
              </w:rPr>
              <w:t>7151</w:t>
            </w:r>
            <w:r>
              <w:rPr>
                <w:rFonts w:hint="default" w:ascii="Times New Roman" w:hAnsi="Times New Roman" w:cs="Times New Roman"/>
                <w:color w:val="auto"/>
                <w:sz w:val="24"/>
                <w:highlight w:val="none"/>
              </w:rPr>
              <w:t>kV/m，出现在距离线路中心线地面投影</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m处；工频磁感应强度最大值为</w:t>
            </w:r>
            <w:r>
              <w:rPr>
                <w:rFonts w:hint="eastAsia" w:cs="Times New Roman"/>
                <w:bCs/>
                <w:color w:val="auto"/>
                <w:sz w:val="24"/>
                <w:highlight w:val="none"/>
                <w:lang w:val="en-US" w:eastAsia="zh-CN"/>
              </w:rPr>
              <w:t>2.8767</w:t>
            </w:r>
            <w:r>
              <w:rPr>
                <w:rFonts w:hint="default" w:ascii="Times New Roman" w:hAnsi="Times New Roman" w:cs="Times New Roman"/>
                <w:color w:val="auto"/>
                <w:sz w:val="24"/>
                <w:highlight w:val="none"/>
              </w:rPr>
              <w:t>μT，出现在距离线路中心线地面投影</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66397718">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综上所述，本项目</w:t>
            </w:r>
            <w:r>
              <w:rPr>
                <w:rFonts w:hint="default" w:ascii="Times New Roman" w:hAnsi="Times New Roman" w:cs="Times New Roman"/>
                <w:bCs/>
                <w:color w:val="auto"/>
                <w:sz w:val="24"/>
                <w:highlight w:val="none"/>
                <w:lang w:val="en-US" w:eastAsia="zh-CN"/>
              </w:rPr>
              <w:t>11</w:t>
            </w:r>
            <w:r>
              <w:rPr>
                <w:rFonts w:hint="default" w:ascii="Times New Roman" w:hAnsi="Times New Roman" w:cs="Times New Roman"/>
                <w:bCs/>
                <w:color w:val="auto"/>
                <w:sz w:val="24"/>
                <w:highlight w:val="none"/>
              </w:rPr>
              <w:t>0</w:t>
            </w:r>
            <w:r>
              <w:rPr>
                <w:rFonts w:hint="default" w:ascii="Times New Roman" w:hAnsi="Times New Roman" w:cs="Times New Roman"/>
                <w:bCs/>
                <w:color w:val="auto"/>
                <w:sz w:val="24"/>
                <w:highlight w:val="none"/>
                <w:lang w:val="en-US" w:eastAsia="zh-CN"/>
              </w:rPr>
              <w:t>千伏</w:t>
            </w:r>
            <w:r>
              <w:rPr>
                <w:rFonts w:hint="default" w:ascii="Times New Roman" w:hAnsi="Times New Roman" w:cs="Times New Roman"/>
                <w:bCs/>
                <w:color w:val="auto"/>
                <w:sz w:val="24"/>
                <w:highlight w:val="none"/>
              </w:rPr>
              <w:t>架空输电线路运行后产生的工频电场强度、工频磁感应强度均满足《电磁环境控制限值》（GB8702-2014）规定的公众曝露</w:t>
            </w:r>
            <w:r>
              <w:rPr>
                <w:rFonts w:hint="default" w:ascii="Times New Roman" w:hAnsi="Times New Roman" w:cs="Times New Roman"/>
                <w:bCs/>
                <w:color w:val="auto"/>
                <w:sz w:val="24"/>
                <w:highlight w:val="none"/>
                <w:lang w:val="en-US" w:eastAsia="zh-CN"/>
              </w:rPr>
              <w:t>控制</w:t>
            </w:r>
            <w:r>
              <w:rPr>
                <w:rFonts w:hint="default" w:ascii="Times New Roman" w:hAnsi="Times New Roman" w:cs="Times New Roman"/>
                <w:bCs/>
                <w:color w:val="auto"/>
                <w:sz w:val="24"/>
                <w:highlight w:val="none"/>
              </w:rPr>
              <w:t>限值工频电场强度4000V/m（架空输电线路下的耕地、园地、牧草地、畜禽饲养地、养殖水面、道路等场所10kV/m）、工频磁感应强度100μT要求。</w:t>
            </w:r>
          </w:p>
          <w:p w14:paraId="1FB4A4DC">
            <w:pPr>
              <w:snapToGrid w:val="0"/>
              <w:spacing w:line="360" w:lineRule="auto"/>
              <w:ind w:firstLine="482" w:firstLineChars="200"/>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sz w:val="24"/>
                <w:highlight w:val="none"/>
                <w:lang w:eastAsia="zh-CN"/>
              </w:rPr>
              <w:t>⑷电磁环境敏感目标的预测分析</w:t>
            </w:r>
          </w:p>
          <w:p w14:paraId="070F740B">
            <w:pPr>
              <w:keepNext w:val="0"/>
              <w:keepLines w:val="0"/>
              <w:pageBreakBefore w:val="0"/>
              <w:widowControl w:val="0"/>
              <w:tabs>
                <w:tab w:val="left" w:pos="600"/>
              </w:tabs>
              <w:kinsoku/>
              <w:wordWrap/>
              <w:overflowPunct w:val="0"/>
              <w:topLinePunct w:val="0"/>
              <w:autoSpaceDE w:val="0"/>
              <w:autoSpaceDN w:val="0"/>
              <w:bidi w:val="0"/>
              <w:adjustRightInd w:val="0"/>
              <w:snapToGrid w:val="0"/>
              <w:spacing w:line="360" w:lineRule="auto"/>
              <w:ind w:firstLine="480" w:firstLineChars="200"/>
              <w:jc w:val="both"/>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次评价对输电线路沿线电磁环境敏感目标进行定量预测</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根据预测结果，拟建输电线路建成运行后，</w:t>
            </w:r>
            <w:r>
              <w:rPr>
                <w:rFonts w:hint="default" w:ascii="Times New Roman" w:hAnsi="Times New Roman" w:cs="Times New Roman"/>
                <w:color w:val="auto"/>
                <w:sz w:val="24"/>
                <w:highlight w:val="none"/>
                <w:lang w:val="en-US" w:eastAsia="zh-CN"/>
              </w:rPr>
              <w:t>架空输电</w:t>
            </w:r>
            <w:r>
              <w:rPr>
                <w:rFonts w:hint="default" w:ascii="Times New Roman" w:hAnsi="Times New Roman" w:cs="Times New Roman"/>
                <w:color w:val="auto"/>
                <w:sz w:val="24"/>
                <w:highlight w:val="none"/>
              </w:rPr>
              <w:t>线路在环境敏感目标处</w:t>
            </w:r>
            <w:r>
              <w:rPr>
                <w:rFonts w:hint="default" w:ascii="Times New Roman" w:hAnsi="Times New Roman" w:cs="Times New Roman"/>
                <w:color w:val="auto"/>
                <w:sz w:val="24"/>
                <w:highlight w:val="none"/>
                <w:lang w:val="en-US" w:eastAsia="zh-CN"/>
              </w:rPr>
              <w:t>距离地面1.5m处的</w:t>
            </w:r>
            <w:r>
              <w:rPr>
                <w:rFonts w:hint="default" w:ascii="Times New Roman" w:hAnsi="Times New Roman" w:cs="Times New Roman"/>
                <w:color w:val="auto"/>
                <w:sz w:val="24"/>
                <w:highlight w:val="none"/>
              </w:rPr>
              <w:t>工频电场强度</w:t>
            </w:r>
            <w:r>
              <w:rPr>
                <w:rFonts w:hint="default" w:ascii="Times New Roman" w:hAnsi="Times New Roman" w:cs="Times New Roman"/>
                <w:color w:val="auto"/>
                <w:sz w:val="24"/>
                <w:highlight w:val="none"/>
                <w:lang w:val="en-US" w:eastAsia="zh-CN"/>
              </w:rPr>
              <w:t>在0.0</w:t>
            </w:r>
            <w:r>
              <w:rPr>
                <w:rFonts w:hint="eastAsia" w:cs="Times New Roman"/>
                <w:color w:val="auto"/>
                <w:sz w:val="24"/>
                <w:highlight w:val="none"/>
                <w:lang w:val="en-US" w:eastAsia="zh-CN"/>
              </w:rPr>
              <w:t>781</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2604</w:t>
            </w:r>
            <w:r>
              <w:rPr>
                <w:rFonts w:hint="default" w:ascii="Times New Roman" w:hAnsi="Times New Roman" w:cs="Times New Roman"/>
                <w:color w:val="auto"/>
                <w:sz w:val="24"/>
                <w:highlight w:val="none"/>
              </w:rPr>
              <w:t>V/m之间、工频磁感应强度</w:t>
            </w:r>
            <w:r>
              <w:rPr>
                <w:rFonts w:hint="default" w:ascii="Times New Roman" w:hAnsi="Times New Roman" w:cs="Times New Roman"/>
                <w:color w:val="auto"/>
                <w:sz w:val="24"/>
                <w:highlight w:val="none"/>
                <w:lang w:val="en-US" w:eastAsia="zh-CN"/>
              </w:rPr>
              <w:t>在0.6</w:t>
            </w:r>
            <w:r>
              <w:rPr>
                <w:rFonts w:hint="eastAsia" w:cs="Times New Roman"/>
                <w:color w:val="auto"/>
                <w:sz w:val="24"/>
                <w:highlight w:val="none"/>
                <w:lang w:val="en-US" w:eastAsia="zh-CN"/>
              </w:rPr>
              <w:t>856</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1.6098</w:t>
            </w:r>
            <w:r>
              <w:rPr>
                <w:rFonts w:hint="default" w:ascii="Times New Roman" w:hAnsi="Times New Roman" w:cs="Times New Roman"/>
                <w:color w:val="auto"/>
                <w:sz w:val="24"/>
                <w:highlight w:val="none"/>
              </w:rPr>
              <w:t>μT之间</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均满足《电磁环境控制限值》（GB8072-2014）中规定的</w:t>
            </w:r>
            <w:r>
              <w:rPr>
                <w:rFonts w:hint="default" w:ascii="Times New Roman" w:hAnsi="Times New Roman" w:cs="Times New Roman"/>
                <w:bCs/>
                <w:color w:val="auto"/>
                <w:sz w:val="24"/>
                <w:highlight w:val="none"/>
              </w:rPr>
              <w:t>公众曝露</w:t>
            </w:r>
            <w:r>
              <w:rPr>
                <w:rFonts w:hint="default" w:ascii="Times New Roman" w:hAnsi="Times New Roman" w:cs="Times New Roman"/>
                <w:bCs/>
                <w:color w:val="auto"/>
                <w:sz w:val="24"/>
                <w:highlight w:val="none"/>
                <w:lang w:val="en-US" w:eastAsia="zh-CN"/>
              </w:rPr>
              <w:t>控制</w:t>
            </w:r>
            <w:r>
              <w:rPr>
                <w:rFonts w:hint="default" w:ascii="Times New Roman" w:hAnsi="Times New Roman" w:cs="Times New Roman"/>
                <w:bCs/>
                <w:color w:val="auto"/>
                <w:sz w:val="24"/>
                <w:highlight w:val="none"/>
              </w:rPr>
              <w:t>限值工频电场强度4000V/m、工频磁感应强度100μT要求。</w:t>
            </w:r>
            <w:r>
              <w:rPr>
                <w:rFonts w:hint="default" w:ascii="Times New Roman" w:hAnsi="Times New Roman" w:cs="Times New Roman"/>
                <w:color w:val="auto"/>
                <w:sz w:val="24"/>
                <w:highlight w:val="none"/>
              </w:rPr>
              <w:t>且线路实际架设高度高于7.</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m，会进一步减少对环境敏感目标的影响。因此，本项目输电线路投运后对电磁环境敏感目标的影响在接受范围内。</w:t>
            </w:r>
          </w:p>
          <w:p w14:paraId="68BCD845">
            <w:pPr>
              <w:snapToGrid w:val="0"/>
              <w:spacing w:line="360" w:lineRule="auto"/>
              <w:ind w:firstLine="480" w:firstLineChars="200"/>
              <w:rPr>
                <w:rFonts w:hint="default" w:ascii="Times New Roman" w:hAnsi="Times New Roman" w:cs="Times New Roman"/>
                <w:b/>
                <w:bCs/>
                <w:color w:val="auto"/>
                <w:sz w:val="24"/>
                <w:highlight w:val="none"/>
              </w:rPr>
            </w:pPr>
            <w:r>
              <w:rPr>
                <w:rFonts w:hint="default" w:ascii="Times New Roman" w:hAnsi="Times New Roman" w:cs="Times New Roman"/>
                <w:color w:val="auto"/>
                <w:sz w:val="24"/>
                <w:highlight w:val="none"/>
              </w:rPr>
              <w:t>综上所述，本项目运行后对周围电磁环境影响很小。</w:t>
            </w:r>
            <w:r>
              <w:rPr>
                <w:rFonts w:hint="default" w:ascii="Times New Roman" w:hAnsi="Times New Roman" w:cs="Times New Roman"/>
                <w:b/>
                <w:bCs/>
                <w:color w:val="auto"/>
                <w:sz w:val="24"/>
                <w:highlight w:val="none"/>
              </w:rPr>
              <w:t>具体电磁环境影响预测评价详见本报告电磁环境影响专</w:t>
            </w:r>
            <w:r>
              <w:rPr>
                <w:rFonts w:hint="default" w:ascii="Times New Roman" w:hAnsi="Times New Roman" w:cs="Times New Roman"/>
                <w:b/>
                <w:bCs/>
                <w:color w:val="auto"/>
                <w:sz w:val="24"/>
                <w:highlight w:val="none"/>
                <w:lang w:val="en-US" w:eastAsia="zh-CN"/>
              </w:rPr>
              <w:t>题</w:t>
            </w:r>
            <w:r>
              <w:rPr>
                <w:rFonts w:hint="default" w:ascii="Times New Roman" w:hAnsi="Times New Roman" w:cs="Times New Roman"/>
                <w:b/>
                <w:bCs/>
                <w:color w:val="auto"/>
                <w:sz w:val="24"/>
                <w:highlight w:val="none"/>
              </w:rPr>
              <w:t>评价。</w:t>
            </w:r>
          </w:p>
          <w:p w14:paraId="538C20EB">
            <w:pPr>
              <w:tabs>
                <w:tab w:val="center" w:pos="4409"/>
              </w:tabs>
              <w:spacing w:line="360" w:lineRule="auto"/>
              <w:ind w:firstLine="477" w:firstLineChars="198"/>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2.</w:t>
            </w:r>
            <w:r>
              <w:rPr>
                <w:rFonts w:hint="default" w:ascii="Times New Roman" w:hAnsi="Times New Roman" w:cs="Times New Roman"/>
                <w:b/>
                <w:bCs/>
                <w:color w:val="auto"/>
                <w:sz w:val="24"/>
                <w:highlight w:val="none"/>
              </w:rPr>
              <w:t>声环境影响分析</w:t>
            </w:r>
          </w:p>
          <w:p w14:paraId="54F16B94">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w:t>
            </w:r>
            <w:r>
              <w:rPr>
                <w:rFonts w:hint="default" w:ascii="Times New Roman" w:hAnsi="Times New Roman" w:cs="Times New Roman"/>
                <w:color w:val="auto"/>
                <w:sz w:val="24"/>
                <w:lang w:val="en-US" w:eastAsia="zh-CN"/>
              </w:rPr>
              <w:t>项目110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cs="Times New Roman"/>
                <w:color w:val="auto"/>
                <w:sz w:val="24"/>
              </w:rPr>
              <w:t>输电线路运营期噪声主要为架空线路运行期间产生的电晕噪声。根据《环境影响评价技术导则 输变电》（HJ 24-2020），</w:t>
            </w:r>
            <w:r>
              <w:rPr>
                <w:rFonts w:hint="default" w:ascii="Times New Roman" w:hAnsi="Times New Roman" w:cs="Times New Roman"/>
                <w:color w:val="auto"/>
                <w:sz w:val="24"/>
                <w:highlight w:val="none"/>
                <w:lang w:val="en-US" w:eastAsia="zh-CN"/>
              </w:rPr>
              <w:t>本项目</w:t>
            </w:r>
            <w:r>
              <w:rPr>
                <w:rFonts w:hint="default" w:ascii="Times New Roman" w:hAnsi="Times New Roman" w:cs="Times New Roman"/>
                <w:color w:val="auto"/>
                <w:sz w:val="24"/>
                <w:highlight w:val="none"/>
              </w:rPr>
              <w:t>变电站间隔扩建工程的声环境影响预测采用类比监测的方法</w:t>
            </w:r>
            <w:r>
              <w:rPr>
                <w:rFonts w:hint="default" w:ascii="Times New Roman" w:hAnsi="Times New Roman" w:cs="Times New Roman"/>
                <w:color w:val="auto"/>
                <w:sz w:val="24"/>
              </w:rPr>
              <w:t>；新建110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cs="Times New Roman"/>
                <w:color w:val="auto"/>
                <w:sz w:val="24"/>
              </w:rPr>
              <w:t>架空线路的声环境影响预测采用类比监测和模式预测相结合的方法。</w:t>
            </w:r>
          </w:p>
          <w:p w14:paraId="59214AEB">
            <w:pPr>
              <w:spacing w:line="360" w:lineRule="auto"/>
              <w:ind w:firstLine="472" w:firstLineChars="196"/>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rPr>
              <w:t>⑴</w:t>
            </w:r>
            <w:r>
              <w:rPr>
                <w:rFonts w:hint="default" w:ascii="Times New Roman" w:hAnsi="Times New Roman" w:cs="Times New Roman"/>
                <w:b/>
                <w:bCs/>
                <w:color w:val="auto"/>
                <w:sz w:val="24"/>
                <w:lang w:val="en-US" w:eastAsia="zh-CN"/>
              </w:rPr>
              <w:t>间隔扩建工程</w:t>
            </w:r>
          </w:p>
          <w:p w14:paraId="16A80368">
            <w:pPr>
              <w:numPr>
                <w:ilvl w:val="0"/>
                <w:numId w:val="0"/>
              </w:numPr>
              <w:spacing w:line="360" w:lineRule="auto"/>
              <w:ind w:firstLine="480" w:firstLineChars="200"/>
              <w:jc w:val="both"/>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val="en-US" w:eastAsia="zh-CN"/>
              </w:rPr>
              <w:t>1）</w:t>
            </w:r>
            <w:r>
              <w:rPr>
                <w:rFonts w:hint="default" w:ascii="Times New Roman" w:hAnsi="Times New Roman" w:eastAsia="宋体" w:cs="Times New Roman"/>
                <w:bCs/>
                <w:color w:val="auto"/>
                <w:sz w:val="24"/>
                <w:highlight w:val="none"/>
              </w:rPr>
              <w:t>类比对象</w:t>
            </w:r>
          </w:p>
          <w:p w14:paraId="758823E3">
            <w:pPr>
              <w:numPr>
                <w:ilvl w:val="0"/>
                <w:numId w:val="0"/>
              </w:numPr>
              <w:spacing w:line="360" w:lineRule="auto"/>
              <w:ind w:firstLine="480" w:firstLineChars="200"/>
              <w:jc w:val="both"/>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为预测</w:t>
            </w:r>
            <w:r>
              <w:rPr>
                <w:rFonts w:hint="default" w:ascii="Times New Roman" w:hAnsi="Times New Roman" w:eastAsia="宋体" w:cs="Times New Roman"/>
                <w:bCs/>
                <w:color w:val="auto"/>
                <w:sz w:val="24"/>
                <w:highlight w:val="none"/>
                <w:lang w:val="en-US" w:eastAsia="zh-CN"/>
              </w:rPr>
              <w:t>云雾山</w:t>
            </w:r>
            <w:r>
              <w:rPr>
                <w:rFonts w:hint="default" w:ascii="Times New Roman" w:hAnsi="Times New Roman" w:eastAsia="宋体" w:cs="Times New Roman"/>
                <w:bCs/>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bCs/>
                <w:color w:val="auto"/>
                <w:sz w:val="24"/>
                <w:highlight w:val="none"/>
              </w:rPr>
              <w:t>变电站</w:t>
            </w:r>
            <w:r>
              <w:rPr>
                <w:rFonts w:hint="default" w:ascii="Times New Roman" w:hAnsi="Times New Roman" w:eastAsia="宋体" w:cs="Times New Roman"/>
                <w:bCs/>
                <w:color w:val="auto"/>
                <w:sz w:val="24"/>
                <w:highlight w:val="none"/>
                <w:lang w:val="en-US" w:eastAsia="zh-CN"/>
              </w:rPr>
              <w:t>间隔扩建工程</w:t>
            </w:r>
            <w:r>
              <w:rPr>
                <w:rFonts w:hint="default" w:ascii="Times New Roman" w:hAnsi="Times New Roman" w:eastAsia="宋体" w:cs="Times New Roman"/>
                <w:bCs/>
                <w:color w:val="auto"/>
                <w:sz w:val="24"/>
                <w:highlight w:val="none"/>
              </w:rPr>
              <w:t>运行产生的</w:t>
            </w:r>
            <w:r>
              <w:rPr>
                <w:rFonts w:hint="eastAsia" w:ascii="Times New Roman" w:hAnsi="Times New Roman" w:eastAsia="宋体" w:cs="Times New Roman"/>
                <w:bCs/>
                <w:color w:val="auto"/>
                <w:sz w:val="24"/>
                <w:highlight w:val="none"/>
                <w:lang w:val="en-US" w:eastAsia="zh-CN"/>
              </w:rPr>
              <w:t>噪声</w:t>
            </w:r>
            <w:r>
              <w:rPr>
                <w:rFonts w:hint="default" w:ascii="Times New Roman" w:hAnsi="Times New Roman" w:eastAsia="宋体" w:cs="Times New Roman"/>
                <w:bCs/>
                <w:color w:val="auto"/>
                <w:sz w:val="24"/>
                <w:highlight w:val="none"/>
              </w:rPr>
              <w:t>对站址周围环境的影响，选取与</w:t>
            </w:r>
            <w:r>
              <w:rPr>
                <w:rFonts w:hint="default" w:ascii="Times New Roman" w:hAnsi="Times New Roman" w:eastAsia="宋体" w:cs="Times New Roman"/>
                <w:bCs/>
                <w:color w:val="auto"/>
                <w:sz w:val="24"/>
                <w:highlight w:val="none"/>
                <w:lang w:eastAsia="zh-CN"/>
              </w:rPr>
              <w:t>本项目</w:t>
            </w:r>
            <w:r>
              <w:rPr>
                <w:rFonts w:hint="default" w:ascii="Times New Roman" w:hAnsi="Times New Roman" w:eastAsia="宋体" w:cs="Times New Roman"/>
                <w:bCs/>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bCs/>
                <w:color w:val="auto"/>
                <w:sz w:val="24"/>
                <w:highlight w:val="none"/>
              </w:rPr>
              <w:t>变电站条件相似的330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bCs/>
                <w:color w:val="auto"/>
                <w:sz w:val="24"/>
                <w:highlight w:val="none"/>
              </w:rPr>
              <w:t>变电站，本次类比对象选择</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bCs/>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bCs/>
                <w:color w:val="auto"/>
                <w:sz w:val="24"/>
                <w:highlight w:val="none"/>
              </w:rPr>
              <w:t>变电站，类比监测数据采用</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宁夏清水河330千伏变电站3号主变扩建工程</w:t>
            </w:r>
            <w:r>
              <w:rPr>
                <w:rFonts w:hint="default" w:ascii="Times New Roman" w:hAnsi="Times New Roman" w:eastAsia="宋体" w:cs="Times New Roman"/>
                <w:color w:val="auto"/>
                <w:sz w:val="24"/>
                <w:highlight w:val="none"/>
                <w:lang w:val="en-US" w:eastAsia="zh-CN"/>
              </w:rPr>
              <w:t>竣工环境保护验收调查报告</w:t>
            </w:r>
            <w:r>
              <w:rPr>
                <w:rFonts w:hint="default" w:ascii="Times New Roman" w:hAnsi="Times New Roman" w:eastAsia="宋体" w:cs="Times New Roman"/>
                <w:bCs/>
                <w:color w:val="auto"/>
                <w:sz w:val="24"/>
                <w:highlight w:val="none"/>
              </w:rPr>
              <w:t>》中宁夏盛世蓝天环保技术有限公司对</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bCs/>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bCs/>
                <w:color w:val="auto"/>
                <w:sz w:val="24"/>
                <w:highlight w:val="none"/>
              </w:rPr>
              <w:t>变电站的监测数据</w:t>
            </w:r>
            <w:r>
              <w:rPr>
                <w:rFonts w:hint="eastAsia" w:cs="Times New Roman"/>
                <w:bCs/>
                <w:color w:val="auto"/>
                <w:sz w:val="24"/>
                <w:highlight w:val="none"/>
                <w:lang w:eastAsia="zh-CN"/>
              </w:rPr>
              <w:t>，</w:t>
            </w:r>
            <w:r>
              <w:rPr>
                <w:rFonts w:hint="eastAsia" w:cs="Times New Roman"/>
                <w:b/>
                <w:bCs w:val="0"/>
                <w:color w:val="auto"/>
                <w:sz w:val="24"/>
                <w:highlight w:val="none"/>
                <w:lang w:val="en-US" w:eastAsia="zh-CN"/>
              </w:rPr>
              <w:t>详见附件9</w:t>
            </w:r>
            <w:r>
              <w:rPr>
                <w:rFonts w:hint="default" w:ascii="Times New Roman" w:hAnsi="Times New Roman" w:eastAsia="宋体" w:cs="Times New Roman"/>
                <w:bCs/>
                <w:color w:val="auto"/>
                <w:sz w:val="24"/>
                <w:highlight w:val="none"/>
              </w:rPr>
              <w:t>。本次环评选择类比变电站的有关情况见表</w:t>
            </w:r>
            <w:r>
              <w:rPr>
                <w:rFonts w:hint="default" w:ascii="Times New Roman" w:hAnsi="Times New Roman" w:eastAsia="宋体" w:cs="Times New Roman"/>
                <w:bCs/>
                <w:color w:val="auto"/>
                <w:sz w:val="24"/>
                <w:highlight w:val="none"/>
                <w:lang w:val="en-US" w:eastAsia="zh-CN"/>
              </w:rPr>
              <w:t>4</w:t>
            </w:r>
            <w:r>
              <w:rPr>
                <w:rFonts w:hint="default" w:ascii="Times New Roman" w:hAnsi="Times New Roman" w:eastAsia="宋体" w:cs="Times New Roman"/>
                <w:bCs/>
                <w:color w:val="auto"/>
                <w:sz w:val="24"/>
                <w:highlight w:val="none"/>
              </w:rPr>
              <w:t>-</w:t>
            </w:r>
            <w:r>
              <w:rPr>
                <w:rFonts w:hint="eastAsia" w:cs="Times New Roman"/>
                <w:bCs/>
                <w:color w:val="auto"/>
                <w:sz w:val="24"/>
                <w:highlight w:val="none"/>
                <w:lang w:val="en-US" w:eastAsia="zh-CN"/>
              </w:rPr>
              <w:t>5</w:t>
            </w:r>
            <w:r>
              <w:rPr>
                <w:rFonts w:hint="default" w:ascii="Times New Roman" w:hAnsi="Times New Roman" w:eastAsia="宋体" w:cs="Times New Roman"/>
                <w:bCs/>
                <w:color w:val="auto"/>
                <w:sz w:val="24"/>
                <w:highlight w:val="none"/>
              </w:rPr>
              <w:t>。</w:t>
            </w:r>
          </w:p>
          <w:p w14:paraId="2AE7B7EA">
            <w:pPr>
              <w:spacing w:line="24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rPr>
              <w:t>-</w:t>
            </w:r>
            <w:r>
              <w:rPr>
                <w:rFonts w:hint="eastAsia" w:cs="Times New Roman"/>
                <w:b/>
                <w:color w:val="auto"/>
                <w:sz w:val="24"/>
                <w:highlight w:val="none"/>
                <w:lang w:val="en-US" w:eastAsia="zh-CN"/>
              </w:rPr>
              <w:t>5</w:t>
            </w:r>
            <w:r>
              <w:rPr>
                <w:rFonts w:hint="default" w:ascii="Times New Roman" w:hAnsi="Times New Roman" w:eastAsia="宋体" w:cs="Times New Roman"/>
                <w:b/>
                <w:color w:val="auto"/>
                <w:sz w:val="24"/>
                <w:highlight w:val="none"/>
              </w:rPr>
              <w:t xml:space="preserve">  </w:t>
            </w:r>
            <w:r>
              <w:rPr>
                <w:rFonts w:hint="default" w:ascii="Times New Roman" w:hAnsi="Times New Roman" w:eastAsia="宋体" w:cs="Times New Roman"/>
                <w:b/>
                <w:color w:val="auto"/>
                <w:sz w:val="24"/>
                <w:highlight w:val="none"/>
                <w:lang w:eastAsia="zh-CN"/>
              </w:rPr>
              <w:t>本项目</w:t>
            </w:r>
            <w:r>
              <w:rPr>
                <w:rFonts w:hint="default" w:ascii="Times New Roman" w:hAnsi="Times New Roman" w:eastAsia="宋体" w:cs="Times New Roman"/>
                <w:b/>
                <w:color w:val="auto"/>
                <w:sz w:val="24"/>
                <w:highlight w:val="none"/>
              </w:rPr>
              <w:t>新建变电站与类比变电站基础情况一览表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3243"/>
              <w:gridCol w:w="3185"/>
            </w:tblGrid>
            <w:tr w14:paraId="04107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5BD70C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项目</w:t>
                  </w:r>
                </w:p>
              </w:tc>
              <w:tc>
                <w:tcPr>
                  <w:tcW w:w="1935" w:type="pct"/>
                  <w:tcBorders>
                    <w:tl2br w:val="nil"/>
                    <w:tr2bl w:val="nil"/>
                  </w:tcBorders>
                  <w:noWrap w:val="0"/>
                  <w:vAlign w:val="center"/>
                </w:tcPr>
                <w:p w14:paraId="6430D7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4"/>
                      <w:highlight w:val="none"/>
                    </w:rPr>
                  </w:pPr>
                  <w:r>
                    <w:rPr>
                      <w:rFonts w:hint="default" w:ascii="Times New Roman" w:hAnsi="Times New Roman" w:eastAsia="宋体" w:cs="Times New Roman"/>
                      <w:b/>
                      <w:bCs/>
                      <w:color w:val="auto"/>
                      <w:kern w:val="2"/>
                      <w:sz w:val="21"/>
                      <w:szCs w:val="24"/>
                      <w:highlight w:val="none"/>
                      <w:lang w:val="en-US" w:eastAsia="zh-CN"/>
                    </w:rPr>
                    <w:t>清水河</w:t>
                  </w:r>
                  <w:r>
                    <w:rPr>
                      <w:rFonts w:hint="default" w:ascii="Times New Roman" w:hAnsi="Times New Roman" w:eastAsia="宋体" w:cs="Times New Roman"/>
                      <w:b/>
                      <w:bCs/>
                      <w:color w:val="auto"/>
                      <w:kern w:val="2"/>
                      <w:sz w:val="21"/>
                      <w:szCs w:val="24"/>
                      <w:highlight w:val="none"/>
                    </w:rPr>
                    <w:t>330</w:t>
                  </w:r>
                  <w:r>
                    <w:rPr>
                      <w:rFonts w:hint="default" w:ascii="Times New Roman" w:hAnsi="Times New Roman" w:eastAsia="宋体" w:cs="Times New Roman"/>
                      <w:b/>
                      <w:bCs/>
                      <w:color w:val="auto"/>
                      <w:kern w:val="2"/>
                      <w:sz w:val="21"/>
                      <w:szCs w:val="24"/>
                      <w:highlight w:val="none"/>
                      <w:lang w:val="en-US" w:eastAsia="zh-CN"/>
                    </w:rPr>
                    <w:t>千伏</w:t>
                  </w:r>
                  <w:r>
                    <w:rPr>
                      <w:rFonts w:hint="default" w:ascii="Times New Roman" w:hAnsi="Times New Roman" w:eastAsia="宋体" w:cs="Times New Roman"/>
                      <w:b/>
                      <w:bCs/>
                      <w:color w:val="auto"/>
                      <w:kern w:val="2"/>
                      <w:sz w:val="21"/>
                      <w:szCs w:val="24"/>
                      <w:highlight w:val="none"/>
                    </w:rPr>
                    <w:t>变电站</w:t>
                  </w:r>
                </w:p>
                <w:p w14:paraId="56DB32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4"/>
                      <w:highlight w:val="none"/>
                    </w:rPr>
                    <w:t>（类比</w:t>
                  </w:r>
                  <w:r>
                    <w:rPr>
                      <w:rFonts w:hint="default" w:ascii="Times New Roman" w:hAnsi="Times New Roman" w:eastAsia="宋体" w:cs="Times New Roman"/>
                      <w:b/>
                      <w:bCs/>
                      <w:color w:val="auto"/>
                      <w:kern w:val="2"/>
                      <w:sz w:val="21"/>
                      <w:szCs w:val="24"/>
                      <w:highlight w:val="none"/>
                      <w:lang w:val="en-US" w:eastAsia="zh-CN"/>
                    </w:rPr>
                    <w:t>变电站</w:t>
                  </w:r>
                  <w:r>
                    <w:rPr>
                      <w:rFonts w:hint="default" w:ascii="Times New Roman" w:hAnsi="Times New Roman" w:eastAsia="宋体" w:cs="Times New Roman"/>
                      <w:b/>
                      <w:bCs/>
                      <w:color w:val="auto"/>
                      <w:kern w:val="2"/>
                      <w:sz w:val="21"/>
                      <w:szCs w:val="24"/>
                      <w:highlight w:val="none"/>
                    </w:rPr>
                    <w:t>）</w:t>
                  </w:r>
                </w:p>
              </w:tc>
              <w:tc>
                <w:tcPr>
                  <w:tcW w:w="1900" w:type="pct"/>
                  <w:tcBorders>
                    <w:tl2br w:val="nil"/>
                    <w:tr2bl w:val="nil"/>
                  </w:tcBorders>
                  <w:noWrap w:val="0"/>
                  <w:vAlign w:val="center"/>
                </w:tcPr>
                <w:p w14:paraId="4863A1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rPr>
                    <w:t>云雾山</w:t>
                  </w:r>
                  <w:r>
                    <w:rPr>
                      <w:rFonts w:hint="default" w:ascii="Times New Roman" w:hAnsi="Times New Roman" w:eastAsia="宋体" w:cs="Times New Roman"/>
                      <w:b/>
                      <w:bCs/>
                      <w:color w:val="auto"/>
                      <w:kern w:val="2"/>
                      <w:sz w:val="21"/>
                      <w:szCs w:val="21"/>
                      <w:highlight w:val="none"/>
                    </w:rPr>
                    <w:t>330</w:t>
                  </w:r>
                  <w:r>
                    <w:rPr>
                      <w:rFonts w:hint="default" w:ascii="Times New Roman" w:hAnsi="Times New Roman" w:eastAsia="宋体" w:cs="Times New Roman"/>
                      <w:b/>
                      <w:bCs/>
                      <w:color w:val="auto"/>
                      <w:kern w:val="2"/>
                      <w:sz w:val="21"/>
                      <w:szCs w:val="21"/>
                      <w:highlight w:val="none"/>
                      <w:lang w:val="en-US" w:eastAsia="zh-CN"/>
                    </w:rPr>
                    <w:t>千伏</w:t>
                  </w:r>
                  <w:r>
                    <w:rPr>
                      <w:rFonts w:hint="default" w:ascii="Times New Roman" w:hAnsi="Times New Roman" w:eastAsia="宋体" w:cs="Times New Roman"/>
                      <w:b/>
                      <w:bCs/>
                      <w:color w:val="auto"/>
                      <w:kern w:val="2"/>
                      <w:sz w:val="21"/>
                      <w:szCs w:val="21"/>
                      <w:highlight w:val="none"/>
                    </w:rPr>
                    <w:t>变电站</w:t>
                  </w:r>
                </w:p>
                <w:p w14:paraId="7C08EF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（本期</w:t>
                  </w:r>
                  <w:r>
                    <w:rPr>
                      <w:rFonts w:hint="default" w:ascii="Times New Roman" w:hAnsi="Times New Roman" w:eastAsia="宋体" w:cs="Times New Roman"/>
                      <w:b/>
                      <w:bCs/>
                      <w:color w:val="auto"/>
                      <w:kern w:val="2"/>
                      <w:sz w:val="21"/>
                      <w:szCs w:val="21"/>
                      <w:highlight w:val="none"/>
                      <w:lang w:val="en-US" w:eastAsia="zh-CN"/>
                    </w:rPr>
                    <w:t>间隔扩建工程</w:t>
                  </w:r>
                  <w:r>
                    <w:rPr>
                      <w:rFonts w:hint="default" w:ascii="Times New Roman" w:hAnsi="Times New Roman" w:eastAsia="宋体" w:cs="Times New Roman"/>
                      <w:b/>
                      <w:bCs/>
                      <w:color w:val="auto"/>
                      <w:kern w:val="2"/>
                      <w:sz w:val="21"/>
                      <w:szCs w:val="21"/>
                      <w:highlight w:val="none"/>
                    </w:rPr>
                    <w:t>）</w:t>
                  </w:r>
                </w:p>
              </w:tc>
            </w:tr>
            <w:tr w14:paraId="5333CE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66405F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rPr>
                    <w:t>建设地点</w:t>
                  </w:r>
                </w:p>
              </w:tc>
              <w:tc>
                <w:tcPr>
                  <w:tcW w:w="1935" w:type="pct"/>
                  <w:tcBorders>
                    <w:tl2br w:val="nil"/>
                    <w:tr2bl w:val="nil"/>
                  </w:tcBorders>
                  <w:noWrap w:val="0"/>
                  <w:vAlign w:val="center"/>
                </w:tcPr>
                <w:p w14:paraId="53B682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rPr>
                    <w:t>宁夏回族自治区</w:t>
                  </w:r>
                  <w:r>
                    <w:rPr>
                      <w:rFonts w:hint="default" w:ascii="Times New Roman" w:hAnsi="Times New Roman" w:eastAsia="宋体" w:cs="Times New Roman"/>
                      <w:color w:val="auto"/>
                      <w:kern w:val="2"/>
                      <w:sz w:val="21"/>
                      <w:szCs w:val="21"/>
                      <w:highlight w:val="none"/>
                      <w:lang w:val="en-US" w:eastAsia="zh-CN"/>
                    </w:rPr>
                    <w:t>固原</w:t>
                  </w:r>
                  <w:r>
                    <w:rPr>
                      <w:rFonts w:hint="default" w:ascii="Times New Roman" w:hAnsi="Times New Roman" w:eastAsia="宋体" w:cs="Times New Roman"/>
                      <w:color w:val="auto"/>
                      <w:kern w:val="2"/>
                      <w:sz w:val="21"/>
                      <w:szCs w:val="21"/>
                      <w:highlight w:val="none"/>
                    </w:rPr>
                    <w:t>市</w:t>
                  </w:r>
                  <w:r>
                    <w:rPr>
                      <w:rFonts w:hint="default" w:ascii="Times New Roman" w:hAnsi="Times New Roman" w:eastAsia="宋体" w:cs="Times New Roman"/>
                      <w:color w:val="auto"/>
                      <w:kern w:val="2"/>
                      <w:sz w:val="21"/>
                      <w:szCs w:val="21"/>
                      <w:highlight w:val="none"/>
                      <w:lang w:val="en-US" w:eastAsia="zh-CN"/>
                    </w:rPr>
                    <w:t>原州区</w:t>
                  </w:r>
                </w:p>
                <w:p w14:paraId="2F9F9B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21"/>
                      <w:szCs w:val="21"/>
                      <w:highlight w:val="none"/>
                      <w:lang w:val="en-US" w:eastAsia="zh-CN"/>
                    </w:rPr>
                    <w:t>肖沟村</w:t>
                  </w:r>
                </w:p>
              </w:tc>
              <w:tc>
                <w:tcPr>
                  <w:tcW w:w="1900" w:type="pct"/>
                  <w:tcBorders>
                    <w:tl2br w:val="nil"/>
                    <w:tr2bl w:val="nil"/>
                  </w:tcBorders>
                  <w:noWrap w:val="0"/>
                  <w:vAlign w:val="center"/>
                </w:tcPr>
                <w:p w14:paraId="589C61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rPr>
                    <w:t>宁夏回族自治区</w:t>
                  </w:r>
                  <w:r>
                    <w:rPr>
                      <w:rFonts w:hint="default" w:ascii="Times New Roman" w:hAnsi="Times New Roman" w:eastAsia="宋体" w:cs="Times New Roman"/>
                      <w:color w:val="auto"/>
                      <w:kern w:val="2"/>
                      <w:sz w:val="21"/>
                      <w:szCs w:val="21"/>
                      <w:highlight w:val="none"/>
                      <w:lang w:val="en-US" w:eastAsia="zh-CN"/>
                    </w:rPr>
                    <w:t>固原</w:t>
                  </w:r>
                  <w:r>
                    <w:rPr>
                      <w:rFonts w:hint="default" w:ascii="Times New Roman" w:hAnsi="Times New Roman" w:eastAsia="宋体" w:cs="Times New Roman"/>
                      <w:color w:val="auto"/>
                      <w:kern w:val="2"/>
                      <w:sz w:val="21"/>
                      <w:szCs w:val="21"/>
                      <w:highlight w:val="none"/>
                    </w:rPr>
                    <w:t>市</w:t>
                  </w:r>
                  <w:r>
                    <w:rPr>
                      <w:rFonts w:hint="default" w:ascii="Times New Roman" w:hAnsi="Times New Roman" w:eastAsia="宋体" w:cs="Times New Roman"/>
                      <w:color w:val="auto"/>
                      <w:kern w:val="2"/>
                      <w:sz w:val="21"/>
                      <w:szCs w:val="21"/>
                      <w:highlight w:val="none"/>
                      <w:lang w:val="en-US" w:eastAsia="zh-CN"/>
                    </w:rPr>
                    <w:t>原州区</w:t>
                  </w:r>
                </w:p>
                <w:p w14:paraId="49B6B7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大黄村</w:t>
                  </w:r>
                </w:p>
              </w:tc>
            </w:tr>
            <w:tr w14:paraId="0ACE1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187411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主变规模</w:t>
                  </w:r>
                </w:p>
              </w:tc>
              <w:tc>
                <w:tcPr>
                  <w:tcW w:w="1935" w:type="pct"/>
                  <w:tcBorders>
                    <w:tl2br w:val="nil"/>
                    <w:tr2bl w:val="nil"/>
                  </w:tcBorders>
                  <w:noWrap w:val="0"/>
                  <w:vAlign w:val="center"/>
                </w:tcPr>
                <w:p w14:paraId="37C0A8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3</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24</w:t>
                  </w:r>
                  <w:r>
                    <w:rPr>
                      <w:rFonts w:hint="default" w:ascii="Times New Roman" w:hAnsi="Times New Roman" w:eastAsia="宋体" w:cs="Times New Roman"/>
                      <w:color w:val="auto"/>
                      <w:kern w:val="2"/>
                      <w:sz w:val="21"/>
                      <w:szCs w:val="21"/>
                      <w:highlight w:val="none"/>
                    </w:rPr>
                    <w:t>0MVA</w:t>
                  </w:r>
                </w:p>
              </w:tc>
              <w:tc>
                <w:tcPr>
                  <w:tcW w:w="1900" w:type="pct"/>
                  <w:tcBorders>
                    <w:tl2br w:val="nil"/>
                    <w:tr2bl w:val="nil"/>
                  </w:tcBorders>
                  <w:noWrap w:val="0"/>
                  <w:vAlign w:val="center"/>
                </w:tcPr>
                <w:p w14:paraId="5E8B92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w:t>
                  </w:r>
                  <w:r>
                    <w:rPr>
                      <w:rFonts w:hint="default" w:ascii="Times New Roman" w:hAnsi="Times New Roman" w:eastAsia="宋体" w:cs="Times New Roman"/>
                      <w:color w:val="auto"/>
                      <w:kern w:val="2"/>
                      <w:sz w:val="21"/>
                      <w:szCs w:val="21"/>
                      <w:highlight w:val="none"/>
                      <w:lang w:val="en-US" w:eastAsia="zh-CN"/>
                    </w:rPr>
                    <w:t>24</w:t>
                  </w:r>
                  <w:r>
                    <w:rPr>
                      <w:rFonts w:hint="default" w:ascii="Times New Roman" w:hAnsi="Times New Roman" w:eastAsia="宋体" w:cs="Times New Roman"/>
                      <w:color w:val="auto"/>
                      <w:kern w:val="2"/>
                      <w:sz w:val="21"/>
                      <w:szCs w:val="21"/>
                      <w:highlight w:val="none"/>
                    </w:rPr>
                    <w:t>0MVA</w:t>
                  </w:r>
                </w:p>
              </w:tc>
            </w:tr>
            <w:tr w14:paraId="3C7CD2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2B2413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bCs/>
                      <w:color w:val="auto"/>
                    </w:rPr>
                    <w:t>电压等级</w:t>
                  </w:r>
                </w:p>
              </w:tc>
              <w:tc>
                <w:tcPr>
                  <w:tcW w:w="1935" w:type="pct"/>
                  <w:tcBorders>
                    <w:tl2br w:val="nil"/>
                    <w:tr2bl w:val="nil"/>
                  </w:tcBorders>
                  <w:noWrap w:val="0"/>
                  <w:vAlign w:val="center"/>
                </w:tcPr>
                <w:p w14:paraId="51AB5E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330/110/35</w:t>
                  </w:r>
                  <w:r>
                    <w:rPr>
                      <w:rFonts w:hint="eastAsia" w:cs="Times New Roman"/>
                      <w:color w:val="auto"/>
                      <w:kern w:val="2"/>
                      <w:sz w:val="21"/>
                      <w:szCs w:val="21"/>
                      <w:highlight w:val="none"/>
                      <w:lang w:val="en-US" w:eastAsia="zh-CN"/>
                    </w:rPr>
                    <w:t>千伏</w:t>
                  </w:r>
                </w:p>
              </w:tc>
              <w:tc>
                <w:tcPr>
                  <w:tcW w:w="1900" w:type="pct"/>
                  <w:tcBorders>
                    <w:tl2br w:val="nil"/>
                    <w:tr2bl w:val="nil"/>
                  </w:tcBorders>
                  <w:noWrap w:val="0"/>
                  <w:vAlign w:val="center"/>
                </w:tcPr>
                <w:p w14:paraId="4F0E1B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330/110/35</w:t>
                  </w:r>
                  <w:r>
                    <w:rPr>
                      <w:rFonts w:hint="eastAsia" w:cs="Times New Roman"/>
                      <w:color w:val="auto"/>
                      <w:kern w:val="2"/>
                      <w:sz w:val="21"/>
                      <w:szCs w:val="21"/>
                      <w:highlight w:val="none"/>
                      <w:lang w:val="en-US" w:eastAsia="zh-CN"/>
                    </w:rPr>
                    <w:t>千伏</w:t>
                  </w:r>
                </w:p>
              </w:tc>
            </w:tr>
            <w:tr w14:paraId="6BE21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64AF96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主变布置</w:t>
                  </w:r>
                </w:p>
              </w:tc>
              <w:tc>
                <w:tcPr>
                  <w:tcW w:w="1935" w:type="pct"/>
                  <w:tcBorders>
                    <w:tl2br w:val="nil"/>
                    <w:tr2bl w:val="nil"/>
                  </w:tcBorders>
                  <w:noWrap w:val="0"/>
                  <w:vAlign w:val="center"/>
                </w:tcPr>
                <w:p w14:paraId="525D4B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户外</w:t>
                  </w:r>
                </w:p>
              </w:tc>
              <w:tc>
                <w:tcPr>
                  <w:tcW w:w="1900" w:type="pct"/>
                  <w:tcBorders>
                    <w:tl2br w:val="nil"/>
                    <w:tr2bl w:val="nil"/>
                  </w:tcBorders>
                  <w:noWrap w:val="0"/>
                  <w:vAlign w:val="center"/>
                </w:tcPr>
                <w:p w14:paraId="11DA3B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户外</w:t>
                  </w:r>
                </w:p>
              </w:tc>
            </w:tr>
            <w:tr w14:paraId="5EF976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4BFA61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330</w:t>
                  </w:r>
                  <w:r>
                    <w:rPr>
                      <w:rFonts w:hint="eastAsia" w:cs="Times New Roman"/>
                      <w:color w:val="auto"/>
                      <w:kern w:val="2"/>
                      <w:sz w:val="21"/>
                      <w:szCs w:val="21"/>
                      <w:highlight w:val="none"/>
                      <w:lang w:val="en-US" w:eastAsia="zh-CN"/>
                    </w:rPr>
                    <w:t>千伏</w:t>
                  </w:r>
                  <w:r>
                    <w:rPr>
                      <w:rFonts w:hint="default" w:ascii="Times New Roman" w:hAnsi="Times New Roman" w:eastAsia="宋体" w:cs="Times New Roman"/>
                      <w:color w:val="auto"/>
                      <w:kern w:val="2"/>
                      <w:sz w:val="21"/>
                      <w:szCs w:val="21"/>
                      <w:highlight w:val="none"/>
                    </w:rPr>
                    <w:t>出线规模</w:t>
                  </w:r>
                </w:p>
              </w:tc>
              <w:tc>
                <w:tcPr>
                  <w:tcW w:w="1935" w:type="pct"/>
                  <w:tcBorders>
                    <w:tl2br w:val="nil"/>
                    <w:tr2bl w:val="nil"/>
                  </w:tcBorders>
                  <w:noWrap w:val="0"/>
                  <w:vAlign w:val="center"/>
                </w:tcPr>
                <w:p w14:paraId="5B9D5F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6</w:t>
                  </w:r>
                  <w:r>
                    <w:rPr>
                      <w:rFonts w:hint="default" w:ascii="Times New Roman" w:hAnsi="Times New Roman" w:eastAsia="宋体" w:cs="Times New Roman"/>
                      <w:color w:val="auto"/>
                      <w:kern w:val="2"/>
                      <w:sz w:val="21"/>
                      <w:szCs w:val="21"/>
                      <w:highlight w:val="none"/>
                    </w:rPr>
                    <w:t>回</w:t>
                  </w:r>
                </w:p>
              </w:tc>
              <w:tc>
                <w:tcPr>
                  <w:tcW w:w="1900" w:type="pct"/>
                  <w:tcBorders>
                    <w:tl2br w:val="nil"/>
                    <w:tr2bl w:val="nil"/>
                  </w:tcBorders>
                  <w:noWrap w:val="0"/>
                  <w:vAlign w:val="center"/>
                </w:tcPr>
                <w:p w14:paraId="1475F6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6</w:t>
                  </w:r>
                  <w:r>
                    <w:rPr>
                      <w:rFonts w:hint="default" w:ascii="Times New Roman" w:hAnsi="Times New Roman" w:eastAsia="宋体" w:cs="Times New Roman"/>
                      <w:color w:val="auto"/>
                      <w:kern w:val="2"/>
                      <w:sz w:val="21"/>
                      <w:szCs w:val="21"/>
                      <w:highlight w:val="none"/>
                    </w:rPr>
                    <w:t>回</w:t>
                  </w:r>
                </w:p>
              </w:tc>
            </w:tr>
            <w:tr w14:paraId="36598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64" w:type="pct"/>
                  <w:tcBorders>
                    <w:tl2br w:val="nil"/>
                    <w:tr2bl w:val="nil"/>
                  </w:tcBorders>
                  <w:noWrap w:val="0"/>
                  <w:vAlign w:val="center"/>
                </w:tcPr>
                <w:p w14:paraId="4BD41D20">
                  <w:pPr>
                    <w:keepNext w:val="0"/>
                    <w:keepLines w:val="0"/>
                    <w:pageBreakBefore w:val="0"/>
                    <w:widowControl w:val="0"/>
                    <w:kinsoku/>
                    <w:wordWrap/>
                    <w:overflowPunct w:val="0"/>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330</w:t>
                  </w:r>
                  <w:r>
                    <w:rPr>
                      <w:rFonts w:hint="eastAsia" w:cs="Times New Roman"/>
                      <w:color w:val="auto"/>
                      <w:kern w:val="2"/>
                      <w:sz w:val="21"/>
                      <w:szCs w:val="21"/>
                      <w:highlight w:val="none"/>
                      <w:lang w:val="en-US" w:eastAsia="zh-CN"/>
                    </w:rPr>
                    <w:t>千伏</w:t>
                  </w:r>
                  <w:r>
                    <w:rPr>
                      <w:rFonts w:hint="default" w:ascii="Times New Roman" w:hAnsi="Times New Roman" w:eastAsia="宋体" w:cs="Times New Roman"/>
                      <w:color w:val="auto"/>
                      <w:kern w:val="2"/>
                      <w:sz w:val="21"/>
                      <w:szCs w:val="21"/>
                      <w:highlight w:val="none"/>
                    </w:rPr>
                    <w:t>配电装置</w:t>
                  </w:r>
                </w:p>
              </w:tc>
              <w:tc>
                <w:tcPr>
                  <w:tcW w:w="1935" w:type="pct"/>
                  <w:tcBorders>
                    <w:tl2br w:val="nil"/>
                    <w:tr2bl w:val="nil"/>
                  </w:tcBorders>
                  <w:noWrap w:val="0"/>
                  <w:vAlign w:val="center"/>
                </w:tcPr>
                <w:p w14:paraId="2049B918">
                  <w:pPr>
                    <w:keepNext w:val="0"/>
                    <w:keepLines w:val="0"/>
                    <w:pageBreakBefore w:val="0"/>
                    <w:widowControl w:val="0"/>
                    <w:kinsoku/>
                    <w:wordWrap/>
                    <w:overflowPunct w:val="0"/>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HGIS，户外布置</w:t>
                  </w:r>
                </w:p>
              </w:tc>
              <w:tc>
                <w:tcPr>
                  <w:tcW w:w="1900" w:type="pct"/>
                  <w:tcBorders>
                    <w:tl2br w:val="nil"/>
                    <w:tr2bl w:val="nil"/>
                  </w:tcBorders>
                  <w:noWrap w:val="0"/>
                  <w:vAlign w:val="center"/>
                </w:tcPr>
                <w:p w14:paraId="4E896135">
                  <w:pPr>
                    <w:keepNext w:val="0"/>
                    <w:keepLines w:val="0"/>
                    <w:pageBreakBefore w:val="0"/>
                    <w:widowControl w:val="0"/>
                    <w:kinsoku/>
                    <w:wordWrap/>
                    <w:overflowPunct w:val="0"/>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HGIS，户外布置</w:t>
                  </w:r>
                </w:p>
              </w:tc>
            </w:tr>
            <w:tr w14:paraId="213FE7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25F175CA">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110</w:t>
                  </w:r>
                  <w:r>
                    <w:rPr>
                      <w:rFonts w:hint="eastAsia" w:cs="Times New Roman"/>
                      <w:color w:val="auto"/>
                      <w:kern w:val="2"/>
                      <w:sz w:val="21"/>
                      <w:szCs w:val="21"/>
                      <w:highlight w:val="none"/>
                      <w:lang w:val="en-US" w:eastAsia="zh-CN"/>
                    </w:rPr>
                    <w:t>千伏</w:t>
                  </w:r>
                  <w:r>
                    <w:rPr>
                      <w:rFonts w:hint="default" w:ascii="Times New Roman" w:hAnsi="Times New Roman" w:eastAsia="宋体" w:cs="Times New Roman"/>
                      <w:color w:val="auto"/>
                      <w:kern w:val="2"/>
                      <w:sz w:val="21"/>
                      <w:szCs w:val="21"/>
                      <w:highlight w:val="none"/>
                    </w:rPr>
                    <w:t>出线规模</w:t>
                  </w:r>
                </w:p>
              </w:tc>
              <w:tc>
                <w:tcPr>
                  <w:tcW w:w="1935" w:type="pct"/>
                  <w:tcBorders>
                    <w:tl2br w:val="nil"/>
                    <w:tr2bl w:val="nil"/>
                  </w:tcBorders>
                  <w:noWrap w:val="0"/>
                  <w:vAlign w:val="center"/>
                </w:tcPr>
                <w:p w14:paraId="32D7C623">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w:t>
                  </w:r>
                  <w:r>
                    <w:rPr>
                      <w:rFonts w:hint="default" w:ascii="Times New Roman" w:hAnsi="Times New Roman" w:eastAsia="宋体" w:cs="Times New Roman"/>
                      <w:color w:val="auto"/>
                      <w:kern w:val="2"/>
                      <w:sz w:val="21"/>
                      <w:szCs w:val="21"/>
                      <w:highlight w:val="none"/>
                      <w:lang w:val="en-US" w:eastAsia="zh-CN"/>
                    </w:rPr>
                    <w:t>9</w:t>
                  </w:r>
                  <w:r>
                    <w:rPr>
                      <w:rFonts w:hint="default" w:ascii="Times New Roman" w:hAnsi="Times New Roman" w:eastAsia="宋体" w:cs="Times New Roman"/>
                      <w:color w:val="auto"/>
                      <w:kern w:val="2"/>
                      <w:sz w:val="21"/>
                      <w:szCs w:val="21"/>
                      <w:highlight w:val="none"/>
                    </w:rPr>
                    <w:t>回</w:t>
                  </w:r>
                </w:p>
              </w:tc>
              <w:tc>
                <w:tcPr>
                  <w:tcW w:w="1900" w:type="pct"/>
                  <w:tcBorders>
                    <w:tl2br w:val="nil"/>
                    <w:tr2bl w:val="nil"/>
                  </w:tcBorders>
                  <w:noWrap w:val="0"/>
                  <w:vAlign w:val="center"/>
                </w:tcPr>
                <w:p w14:paraId="350224F3">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w:t>
                  </w:r>
                  <w:r>
                    <w:rPr>
                      <w:rFonts w:hint="eastAsia" w:cs="Times New Roman"/>
                      <w:color w:val="auto"/>
                      <w:kern w:val="2"/>
                      <w:sz w:val="21"/>
                      <w:szCs w:val="21"/>
                      <w:highlight w:val="none"/>
                      <w:lang w:val="en-US" w:eastAsia="zh-CN"/>
                    </w:rPr>
                    <w:t>0</w:t>
                  </w:r>
                  <w:r>
                    <w:rPr>
                      <w:rFonts w:hint="default" w:ascii="Times New Roman" w:hAnsi="Times New Roman" w:eastAsia="宋体" w:cs="Times New Roman"/>
                      <w:color w:val="auto"/>
                      <w:kern w:val="2"/>
                      <w:sz w:val="21"/>
                      <w:szCs w:val="21"/>
                      <w:highlight w:val="none"/>
                    </w:rPr>
                    <w:t>回</w:t>
                  </w:r>
                </w:p>
              </w:tc>
            </w:tr>
            <w:tr w14:paraId="0E037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06F9210A">
                  <w:pPr>
                    <w:keepNext w:val="0"/>
                    <w:keepLines w:val="0"/>
                    <w:pageBreakBefore w:val="0"/>
                    <w:widowControl w:val="0"/>
                    <w:kinsoku/>
                    <w:wordWrap/>
                    <w:overflowPunct w:val="0"/>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110</w:t>
                  </w:r>
                  <w:r>
                    <w:rPr>
                      <w:rFonts w:hint="eastAsia" w:cs="Times New Roman"/>
                      <w:color w:val="auto"/>
                      <w:kern w:val="2"/>
                      <w:sz w:val="21"/>
                      <w:szCs w:val="21"/>
                      <w:highlight w:val="none"/>
                      <w:lang w:val="en-US" w:eastAsia="zh-CN"/>
                    </w:rPr>
                    <w:t>千伏</w:t>
                  </w:r>
                  <w:r>
                    <w:rPr>
                      <w:rFonts w:hint="default" w:ascii="Times New Roman" w:hAnsi="Times New Roman" w:eastAsia="宋体" w:cs="Times New Roman"/>
                      <w:color w:val="auto"/>
                      <w:kern w:val="2"/>
                      <w:sz w:val="21"/>
                      <w:szCs w:val="21"/>
                      <w:highlight w:val="none"/>
                    </w:rPr>
                    <w:t>配电装置</w:t>
                  </w:r>
                </w:p>
              </w:tc>
              <w:tc>
                <w:tcPr>
                  <w:tcW w:w="1935" w:type="pct"/>
                  <w:tcBorders>
                    <w:tl2br w:val="nil"/>
                    <w:tr2bl w:val="nil"/>
                  </w:tcBorders>
                  <w:noWrap w:val="0"/>
                  <w:vAlign w:val="center"/>
                </w:tcPr>
                <w:p w14:paraId="40C513F0">
                  <w:pPr>
                    <w:keepNext w:val="0"/>
                    <w:keepLines w:val="0"/>
                    <w:pageBreakBefore w:val="0"/>
                    <w:widowControl w:val="0"/>
                    <w:kinsoku/>
                    <w:wordWrap/>
                    <w:overflowPunct w:val="0"/>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GIS，户外布置</w:t>
                  </w:r>
                </w:p>
              </w:tc>
              <w:tc>
                <w:tcPr>
                  <w:tcW w:w="1900" w:type="pct"/>
                  <w:tcBorders>
                    <w:tl2br w:val="nil"/>
                    <w:tr2bl w:val="nil"/>
                  </w:tcBorders>
                  <w:noWrap w:val="0"/>
                  <w:vAlign w:val="center"/>
                </w:tcPr>
                <w:p w14:paraId="1A3963B5">
                  <w:pPr>
                    <w:keepNext w:val="0"/>
                    <w:keepLines w:val="0"/>
                    <w:pageBreakBefore w:val="0"/>
                    <w:widowControl w:val="0"/>
                    <w:kinsoku/>
                    <w:wordWrap/>
                    <w:overflowPunct w:val="0"/>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HGIS，户外布置</w:t>
                  </w:r>
                </w:p>
              </w:tc>
            </w:tr>
            <w:tr w14:paraId="48C0A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2A7FC9F5">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低压电容器</w:t>
                  </w:r>
                </w:p>
              </w:tc>
              <w:tc>
                <w:tcPr>
                  <w:tcW w:w="1935" w:type="pct"/>
                  <w:tcBorders>
                    <w:tl2br w:val="nil"/>
                    <w:tr2bl w:val="nil"/>
                  </w:tcBorders>
                  <w:noWrap w:val="0"/>
                  <w:vAlign w:val="center"/>
                </w:tcPr>
                <w:p w14:paraId="2FFFBC8E">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0）Mvar</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0）Mvar</w:t>
                  </w:r>
                </w:p>
              </w:tc>
              <w:tc>
                <w:tcPr>
                  <w:tcW w:w="1900" w:type="pct"/>
                  <w:tcBorders>
                    <w:tl2br w:val="nil"/>
                    <w:tr2bl w:val="nil"/>
                  </w:tcBorders>
                  <w:noWrap w:val="0"/>
                  <w:vAlign w:val="center"/>
                </w:tcPr>
                <w:p w14:paraId="0E845C4F">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2×（2×</w:t>
                  </w:r>
                  <w:r>
                    <w:rPr>
                      <w:rFonts w:hint="default" w:ascii="Times New Roman" w:hAnsi="Times New Roman" w:eastAsia="宋体" w:cs="Times New Roman"/>
                      <w:color w:val="auto"/>
                      <w:kern w:val="2"/>
                      <w:sz w:val="21"/>
                      <w:szCs w:val="21"/>
                      <w:highlight w:val="none"/>
                      <w:lang w:val="en-US" w:eastAsia="zh-CN"/>
                    </w:rPr>
                    <w:t>3</w:t>
                  </w:r>
                  <w:r>
                    <w:rPr>
                      <w:rFonts w:hint="default" w:ascii="Times New Roman" w:hAnsi="Times New Roman" w:eastAsia="宋体" w:cs="Times New Roman"/>
                      <w:color w:val="auto"/>
                      <w:kern w:val="2"/>
                      <w:sz w:val="21"/>
                      <w:szCs w:val="21"/>
                      <w:highlight w:val="none"/>
                    </w:rPr>
                    <w:t>0）Mvar</w:t>
                  </w:r>
                </w:p>
              </w:tc>
            </w:tr>
            <w:tr w14:paraId="4DE8C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219F6BA2">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低压电抗器</w:t>
                  </w:r>
                </w:p>
              </w:tc>
              <w:tc>
                <w:tcPr>
                  <w:tcW w:w="1935" w:type="pct"/>
                  <w:tcBorders>
                    <w:tl2br w:val="nil"/>
                    <w:tr2bl w:val="nil"/>
                  </w:tcBorders>
                  <w:noWrap w:val="0"/>
                  <w:vAlign w:val="center"/>
                </w:tcPr>
                <w:p w14:paraId="2A35D547">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0）Mvar</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3</w:t>
                  </w:r>
                  <w:r>
                    <w:rPr>
                      <w:rFonts w:hint="default" w:ascii="Times New Roman" w:hAnsi="Times New Roman" w:eastAsia="宋体" w:cs="Times New Roman"/>
                      <w:color w:val="auto"/>
                      <w:kern w:val="2"/>
                      <w:sz w:val="21"/>
                      <w:szCs w:val="21"/>
                      <w:highlight w:val="none"/>
                    </w:rPr>
                    <w:t>0）Mvar</w:t>
                  </w:r>
                </w:p>
              </w:tc>
              <w:tc>
                <w:tcPr>
                  <w:tcW w:w="1900" w:type="pct"/>
                  <w:tcBorders>
                    <w:tl2br w:val="nil"/>
                    <w:tr2bl w:val="nil"/>
                  </w:tcBorders>
                  <w:noWrap w:val="0"/>
                  <w:vAlign w:val="center"/>
                </w:tcPr>
                <w:p w14:paraId="1991B01C">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2×（1×</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0）Mvar</w:t>
                  </w:r>
                </w:p>
              </w:tc>
            </w:tr>
            <w:tr w14:paraId="62351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3A6A3D8A">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lang w:eastAsia="zh-CN"/>
                    </w:rPr>
                  </w:pPr>
                  <w:r>
                    <w:rPr>
                      <w:rFonts w:hint="default" w:ascii="Times New Roman" w:hAnsi="Times New Roman" w:eastAsia="宋体" w:cs="Times New Roman"/>
                      <w:bCs/>
                      <w:color w:val="auto"/>
                      <w:kern w:val="2"/>
                      <w:sz w:val="21"/>
                      <w:szCs w:val="21"/>
                      <w:highlight w:val="none"/>
                    </w:rPr>
                    <w:t>占地面积</w:t>
                  </w:r>
                  <w:r>
                    <w:rPr>
                      <w:rFonts w:hint="default" w:ascii="Times New Roman" w:hAnsi="Times New Roman" w:eastAsia="宋体" w:cs="Times New Roman"/>
                      <w:bCs/>
                      <w:color w:val="auto"/>
                      <w:kern w:val="2"/>
                      <w:sz w:val="21"/>
                      <w:szCs w:val="21"/>
                      <w:highlight w:val="none"/>
                      <w:lang w:eastAsia="zh-CN"/>
                    </w:rPr>
                    <w:t>（</w:t>
                  </w:r>
                  <w:r>
                    <w:rPr>
                      <w:rFonts w:hint="default" w:ascii="Times New Roman" w:hAnsi="Times New Roman" w:eastAsia="宋体" w:cs="Times New Roman"/>
                      <w:bCs/>
                      <w:color w:val="auto"/>
                      <w:kern w:val="2"/>
                      <w:sz w:val="21"/>
                      <w:szCs w:val="21"/>
                      <w:highlight w:val="none"/>
                      <w:lang w:val="en-US" w:eastAsia="zh-CN"/>
                    </w:rPr>
                    <w:t>围墙内</w:t>
                  </w:r>
                  <w:r>
                    <w:rPr>
                      <w:rFonts w:hint="default" w:ascii="Times New Roman" w:hAnsi="Times New Roman" w:eastAsia="宋体" w:cs="Times New Roman"/>
                      <w:bCs/>
                      <w:color w:val="auto"/>
                      <w:kern w:val="2"/>
                      <w:sz w:val="21"/>
                      <w:szCs w:val="21"/>
                      <w:highlight w:val="none"/>
                      <w:lang w:eastAsia="zh-CN"/>
                    </w:rPr>
                    <w:t>）</w:t>
                  </w:r>
                </w:p>
              </w:tc>
              <w:tc>
                <w:tcPr>
                  <w:tcW w:w="1935" w:type="pct"/>
                  <w:tcBorders>
                    <w:tl2br w:val="nil"/>
                    <w:tr2bl w:val="nil"/>
                  </w:tcBorders>
                  <w:noWrap w:val="0"/>
                  <w:vAlign w:val="center"/>
                </w:tcPr>
                <w:p w14:paraId="47897FFD">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3.46</w:t>
                  </w:r>
                  <w:r>
                    <w:rPr>
                      <w:rFonts w:hint="default" w:ascii="Times New Roman" w:hAnsi="Times New Roman" w:eastAsia="宋体" w:cs="Times New Roman"/>
                      <w:color w:val="auto"/>
                      <w:kern w:val="2"/>
                      <w:sz w:val="21"/>
                      <w:szCs w:val="21"/>
                      <w:highlight w:val="none"/>
                    </w:rPr>
                    <w:t>hm</w:t>
                  </w:r>
                  <w:r>
                    <w:rPr>
                      <w:rFonts w:hint="default" w:ascii="Times New Roman" w:hAnsi="Times New Roman" w:eastAsia="宋体" w:cs="Times New Roman"/>
                      <w:color w:val="auto"/>
                      <w:kern w:val="2"/>
                      <w:sz w:val="21"/>
                      <w:szCs w:val="21"/>
                      <w:highlight w:val="none"/>
                      <w:vertAlign w:val="superscript"/>
                    </w:rPr>
                    <w:t>2</w:t>
                  </w:r>
                </w:p>
              </w:tc>
              <w:tc>
                <w:tcPr>
                  <w:tcW w:w="1900" w:type="pct"/>
                  <w:tcBorders>
                    <w:tl2br w:val="nil"/>
                    <w:tr2bl w:val="nil"/>
                  </w:tcBorders>
                  <w:noWrap w:val="0"/>
                  <w:vAlign w:val="center"/>
                </w:tcPr>
                <w:p w14:paraId="1227336C">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2.9195</w:t>
                  </w:r>
                  <w:r>
                    <w:rPr>
                      <w:rFonts w:hint="default" w:ascii="Times New Roman" w:hAnsi="Times New Roman" w:eastAsia="宋体" w:cs="Times New Roman"/>
                      <w:color w:val="auto"/>
                      <w:kern w:val="2"/>
                      <w:sz w:val="21"/>
                      <w:szCs w:val="21"/>
                      <w:highlight w:val="none"/>
                    </w:rPr>
                    <w:t>hm</w:t>
                  </w:r>
                  <w:r>
                    <w:rPr>
                      <w:rFonts w:hint="default" w:ascii="Times New Roman" w:hAnsi="Times New Roman" w:eastAsia="宋体" w:cs="Times New Roman"/>
                      <w:color w:val="auto"/>
                      <w:kern w:val="2"/>
                      <w:sz w:val="21"/>
                      <w:szCs w:val="21"/>
                      <w:highlight w:val="none"/>
                      <w:vertAlign w:val="superscript"/>
                    </w:rPr>
                    <w:t>2</w:t>
                  </w:r>
                </w:p>
              </w:tc>
            </w:tr>
            <w:tr w14:paraId="3E7D3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64" w:type="pct"/>
                  <w:tcBorders>
                    <w:tl2br w:val="nil"/>
                    <w:tr2bl w:val="nil"/>
                  </w:tcBorders>
                  <w:noWrap w:val="0"/>
                  <w:vAlign w:val="center"/>
                </w:tcPr>
                <w:p w14:paraId="0F0FCEF4">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环境条件</w:t>
                  </w:r>
                </w:p>
              </w:tc>
              <w:tc>
                <w:tcPr>
                  <w:tcW w:w="1935" w:type="pct"/>
                  <w:tcBorders>
                    <w:tl2br w:val="nil"/>
                    <w:tr2bl w:val="nil"/>
                  </w:tcBorders>
                  <w:noWrap w:val="0"/>
                  <w:vAlign w:val="center"/>
                </w:tcPr>
                <w:p w14:paraId="1F9E3963">
                  <w:pPr>
                    <w:keepNext w:val="0"/>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地貌单元属宁南侵蚀堆积黄土河谷地貌</w:t>
                  </w:r>
                </w:p>
              </w:tc>
              <w:tc>
                <w:tcPr>
                  <w:tcW w:w="1900" w:type="pct"/>
                  <w:tcBorders>
                    <w:tl2br w:val="nil"/>
                    <w:tr2bl w:val="nil"/>
                  </w:tcBorders>
                  <w:noWrap w:val="0"/>
                  <w:vAlign w:val="center"/>
                </w:tcPr>
                <w:p w14:paraId="09A564C3">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地貌单元属宁南侵蚀堆积黄土河谷地貌</w:t>
                  </w:r>
                </w:p>
              </w:tc>
            </w:tr>
          </w:tbl>
          <w:p w14:paraId="183F224A">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由表</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rPr>
              <w:t>内容分析，本期类比分析如下：</w:t>
            </w:r>
          </w:p>
          <w:p w14:paraId="59BC452C">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①电压等级</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主变</w:t>
            </w:r>
            <w:r>
              <w:rPr>
                <w:rFonts w:hint="default" w:ascii="Times New Roman" w:hAnsi="Times New Roman" w:eastAsia="宋体" w:cs="Times New Roman"/>
                <w:color w:val="auto"/>
                <w:sz w:val="24"/>
                <w:highlight w:val="none"/>
              </w:rPr>
              <w:t>容量</w:t>
            </w:r>
          </w:p>
          <w:p w14:paraId="106F7964">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cs="Times New Roman"/>
                <w:color w:val="auto"/>
                <w:kern w:val="0"/>
                <w:sz w:val="24"/>
              </w:rPr>
            </w:pPr>
            <w:r>
              <w:rPr>
                <w:rFonts w:hint="default" w:ascii="Times New Roman" w:hAnsi="Times New Roman" w:cs="Times New Roman"/>
                <w:color w:val="auto"/>
                <w:kern w:val="0"/>
                <w:sz w:val="24"/>
              </w:rPr>
              <w:t>本期扩建变电站和类比变电站的电压等级均为</w:t>
            </w:r>
            <w:r>
              <w:rPr>
                <w:rFonts w:hint="eastAsia" w:ascii="Times New Roman" w:hAnsi="Times New Roman" w:cs="Times New Roman"/>
                <w:color w:val="auto"/>
                <w:kern w:val="0"/>
                <w:sz w:val="24"/>
                <w:lang w:val="en-US" w:eastAsia="zh-CN"/>
              </w:rPr>
              <w:t>33</w:t>
            </w:r>
            <w:r>
              <w:rPr>
                <w:rFonts w:hint="default" w:ascii="Times New Roman" w:hAnsi="Times New Roman" w:cs="Times New Roman"/>
                <w:color w:val="auto"/>
                <w:kern w:val="0"/>
                <w:sz w:val="24"/>
                <w:lang w:val="en-US" w:eastAsia="zh-CN"/>
              </w:rPr>
              <w:t>0</w:t>
            </w:r>
            <w:r>
              <w:rPr>
                <w:rFonts w:hint="default" w:ascii="Times New Roman" w:hAnsi="Times New Roman" w:cs="Times New Roman"/>
                <w:color w:val="auto"/>
                <w:kern w:val="0"/>
                <w:sz w:val="24"/>
                <w:lang w:eastAsia="zh-CN"/>
              </w:rPr>
              <w:t>千伏</w:t>
            </w:r>
            <w:r>
              <w:rPr>
                <w:rFonts w:hint="default" w:ascii="Times New Roman" w:hAnsi="Times New Roman" w:cs="Times New Roman"/>
                <w:color w:val="auto"/>
                <w:kern w:val="0"/>
                <w:sz w:val="24"/>
              </w:rPr>
              <w:t>，电压等级</w:t>
            </w:r>
            <w:r>
              <w:rPr>
                <w:rFonts w:hint="default" w:ascii="Times New Roman" w:hAnsi="Times New Roman" w:cs="Times New Roman"/>
                <w:color w:val="auto"/>
                <w:kern w:val="0"/>
                <w:sz w:val="24"/>
                <w:lang w:val="en-US" w:eastAsia="zh-CN"/>
              </w:rPr>
              <w:t>相同。</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建设</w:t>
            </w:r>
            <w:r>
              <w:rPr>
                <w:rFonts w:hint="default" w:ascii="Times New Roman" w:hAnsi="Times New Roman" w:eastAsia="宋体" w:cs="Times New Roman"/>
                <w:color w:val="auto"/>
                <w:sz w:val="24"/>
                <w:highlight w:val="none"/>
              </w:rPr>
              <w:t>主变2</w:t>
            </w:r>
            <w:r>
              <w:rPr>
                <w:rFonts w:hint="default" w:ascii="Times New Roman" w:hAnsi="Times New Roman" w:eastAsia="宋体" w:cs="Times New Roman"/>
                <w:color w:val="auto"/>
                <w:sz w:val="24"/>
                <w:highlight w:val="none"/>
                <w:lang w:val="en-US" w:eastAsia="zh-CN"/>
              </w:rPr>
              <w:t>台</w:t>
            </w:r>
            <w:r>
              <w:rPr>
                <w:rFonts w:hint="default" w:ascii="Times New Roman" w:hAnsi="Times New Roman" w:eastAsia="宋体" w:cs="Times New Roman"/>
                <w:color w:val="auto"/>
                <w:sz w:val="24"/>
                <w:highlight w:val="none"/>
              </w:rPr>
              <w:t>，容量为2×</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0MVA，类比330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变电站主变</w:t>
            </w:r>
            <w:r>
              <w:rPr>
                <w:rFonts w:hint="default" w:ascii="Times New Roman" w:hAnsi="Times New Roman" w:eastAsia="宋体" w:cs="Times New Roman"/>
                <w:color w:val="auto"/>
                <w:sz w:val="24"/>
                <w:highlight w:val="none"/>
                <w:lang w:val="en-US" w:eastAsia="zh-CN"/>
              </w:rPr>
              <w:t>3台</w:t>
            </w:r>
            <w:r>
              <w:rPr>
                <w:rFonts w:hint="default" w:ascii="Times New Roman" w:hAnsi="Times New Roman" w:eastAsia="宋体" w:cs="Times New Roman"/>
                <w:color w:val="auto"/>
                <w:sz w:val="24"/>
                <w:highlight w:val="none"/>
              </w:rPr>
              <w:t>，容量</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0MVA，</w:t>
            </w:r>
            <w:r>
              <w:rPr>
                <w:rFonts w:hint="default" w:ascii="Times New Roman" w:hAnsi="Times New Roman" w:cs="Times New Roman"/>
                <w:color w:val="auto"/>
                <w:kern w:val="0"/>
                <w:sz w:val="24"/>
              </w:rPr>
              <w:t>类比变电站主变容量比</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cs="Times New Roman"/>
                <w:color w:val="auto"/>
                <w:kern w:val="0"/>
                <w:sz w:val="24"/>
              </w:rPr>
              <w:t>变电站</w:t>
            </w:r>
            <w:r>
              <w:rPr>
                <w:rFonts w:hint="default" w:ascii="Times New Roman" w:hAnsi="Times New Roman" w:cs="Times New Roman"/>
                <w:color w:val="auto"/>
                <w:kern w:val="0"/>
                <w:sz w:val="24"/>
                <w:lang w:val="en-US" w:eastAsia="zh-CN"/>
              </w:rPr>
              <w:t>主变多1台，</w:t>
            </w:r>
            <w:r>
              <w:rPr>
                <w:rFonts w:hint="default" w:ascii="Times New Roman" w:hAnsi="Times New Roman" w:eastAsia="宋体" w:cs="Times New Roman"/>
                <w:color w:val="auto"/>
                <w:sz w:val="24"/>
                <w:highlight w:val="none"/>
              </w:rPr>
              <w:t>影响程度比</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变电站的影响程度要大。</w:t>
            </w:r>
            <w:r>
              <w:rPr>
                <w:rFonts w:hint="default" w:ascii="Times New Roman" w:hAnsi="Times New Roman" w:cs="Times New Roman"/>
                <w:color w:val="auto"/>
                <w:kern w:val="0"/>
                <w:sz w:val="24"/>
              </w:rPr>
              <w:t>因此，选用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cs="Times New Roman"/>
                <w:color w:val="auto"/>
                <w:kern w:val="0"/>
                <w:sz w:val="24"/>
                <w:lang w:eastAsia="zh-CN"/>
              </w:rPr>
              <w:t>变电站</w:t>
            </w:r>
            <w:r>
              <w:rPr>
                <w:rFonts w:hint="default" w:ascii="Times New Roman" w:hAnsi="Times New Roman" w:cs="Times New Roman"/>
                <w:color w:val="auto"/>
                <w:kern w:val="0"/>
                <w:sz w:val="24"/>
              </w:rPr>
              <w:t>进行类比分析是可行的。</w:t>
            </w:r>
          </w:p>
          <w:p w14:paraId="17B3786C">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②</w:t>
            </w:r>
            <w:r>
              <w:rPr>
                <w:rFonts w:hint="eastAsia" w:ascii="Times New Roman" w:hAnsi="Times New Roman" w:eastAsia="宋体" w:cs="Times New Roman"/>
                <w:color w:val="auto"/>
                <w:sz w:val="24"/>
                <w:highlight w:val="none"/>
                <w:lang w:val="en-US" w:eastAsia="zh-CN"/>
              </w:rPr>
              <w:t>出线间隔规模</w:t>
            </w:r>
          </w:p>
          <w:p w14:paraId="7B19C72A">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变电站的330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回、110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出线1</w:t>
            </w:r>
            <w:r>
              <w:rPr>
                <w:rFonts w:hint="eastAsia" w:cs="Times New Roman"/>
                <w:color w:val="auto"/>
                <w:sz w:val="24"/>
                <w:highlight w:val="none"/>
                <w:lang w:val="en-US" w:eastAsia="zh-CN"/>
              </w:rPr>
              <w:t>0</w:t>
            </w:r>
            <w:r>
              <w:rPr>
                <w:rFonts w:hint="default" w:ascii="Times New Roman" w:hAnsi="Times New Roman" w:eastAsia="宋体" w:cs="Times New Roman"/>
                <w:color w:val="auto"/>
                <w:sz w:val="24"/>
                <w:highlight w:val="none"/>
              </w:rPr>
              <w:t>回。类比330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回，110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出线1</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回，类比变电站330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出线规模与</w:t>
            </w: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变电站330</w:t>
            </w:r>
            <w:r>
              <w:rPr>
                <w:rFonts w:hint="default" w:ascii="Times New Roman" w:hAnsi="Times New Roman" w:eastAsia="宋体" w:cs="Times New Roman"/>
                <w:color w:val="auto"/>
                <w:sz w:val="24"/>
                <w:highlight w:val="none"/>
                <w:lang w:val="en-US" w:eastAsia="zh-CN"/>
              </w:rPr>
              <w:t>千伏出线相同</w:t>
            </w:r>
            <w:r>
              <w:rPr>
                <w:rFonts w:hint="default" w:ascii="Times New Roman" w:hAnsi="Times New Roman" w:eastAsia="宋体" w:cs="Times New Roman"/>
                <w:color w:val="auto"/>
                <w:sz w:val="24"/>
                <w:highlight w:val="none"/>
              </w:rPr>
              <w:t>，类比变电站</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出线规模</w:t>
            </w:r>
            <w:r>
              <w:rPr>
                <w:rFonts w:hint="default" w:ascii="Times New Roman" w:hAnsi="Times New Roman" w:eastAsia="宋体" w:cs="Times New Roman"/>
                <w:color w:val="auto"/>
                <w:sz w:val="24"/>
                <w:highlight w:val="none"/>
                <w:lang w:val="en-US" w:eastAsia="zh-CN"/>
              </w:rPr>
              <w:t>比本项目</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sz w:val="24"/>
                <w:highlight w:val="none"/>
                <w:lang w:val="en-US" w:eastAsia="zh-CN"/>
              </w:rPr>
              <w:t>千伏出线多</w:t>
            </w:r>
            <w:r>
              <w:rPr>
                <w:rFonts w:hint="eastAsia"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回，</w:t>
            </w:r>
            <w:r>
              <w:rPr>
                <w:rFonts w:hint="default" w:ascii="Times New Roman" w:hAnsi="Times New Roman" w:eastAsia="宋体" w:cs="Times New Roman"/>
                <w:color w:val="auto"/>
                <w:sz w:val="24"/>
                <w:highlight w:val="none"/>
              </w:rPr>
              <w:t>因此，选用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变电站进行类比分析是</w:t>
            </w:r>
            <w:r>
              <w:rPr>
                <w:rFonts w:hint="default" w:ascii="Times New Roman" w:hAnsi="Times New Roman" w:eastAsia="宋体" w:cs="Times New Roman"/>
                <w:color w:val="auto"/>
                <w:sz w:val="24"/>
                <w:highlight w:val="none"/>
                <w:lang w:val="en-US" w:eastAsia="zh-CN"/>
              </w:rPr>
              <w:t>合理的</w:t>
            </w:r>
            <w:r>
              <w:rPr>
                <w:rFonts w:hint="default" w:ascii="Times New Roman" w:hAnsi="Times New Roman" w:eastAsia="宋体" w:cs="Times New Roman"/>
                <w:color w:val="auto"/>
                <w:sz w:val="24"/>
                <w:highlight w:val="none"/>
              </w:rPr>
              <w:t>。</w:t>
            </w:r>
          </w:p>
          <w:p w14:paraId="19AB89ED">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建设</w:t>
            </w:r>
            <w:r>
              <w:rPr>
                <w:rFonts w:hint="default" w:ascii="Times New Roman" w:hAnsi="Times New Roman" w:eastAsia="宋体" w:cs="Times New Roman"/>
                <w:color w:val="auto"/>
                <w:sz w:val="24"/>
                <w:highlight w:val="none"/>
              </w:rPr>
              <w:t>2×（2×30）Mvar低压电容器，2×（1×30）Mvar低压电抗器，类比变电站已建</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0）Mvar</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0）Mvar低压电容器，</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0）Mvar</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0）Mvar低压电抗器，</w:t>
            </w:r>
            <w:r>
              <w:rPr>
                <w:rFonts w:hint="default" w:ascii="Times New Roman" w:hAnsi="Times New Roman" w:eastAsia="宋体" w:cs="Times New Roman"/>
                <w:color w:val="auto"/>
                <w:sz w:val="24"/>
                <w:highlight w:val="none"/>
                <w:lang w:val="en-US" w:eastAsia="zh-CN"/>
              </w:rPr>
              <w:t>类比变电站</w:t>
            </w:r>
            <w:r>
              <w:rPr>
                <w:rFonts w:hint="default" w:ascii="Times New Roman" w:hAnsi="Times New Roman" w:eastAsia="宋体" w:cs="Times New Roman"/>
                <w:color w:val="auto"/>
                <w:sz w:val="24"/>
                <w:highlight w:val="none"/>
              </w:rPr>
              <w:t>现有规模</w:t>
            </w:r>
            <w:r>
              <w:rPr>
                <w:rFonts w:hint="default" w:ascii="Times New Roman" w:hAnsi="Times New Roman" w:eastAsia="宋体" w:cs="Times New Roman"/>
                <w:color w:val="auto"/>
                <w:sz w:val="24"/>
                <w:highlight w:val="none"/>
                <w:lang w:val="en-US" w:eastAsia="zh-CN"/>
              </w:rPr>
              <w:t>与本项目</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建设规模相近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变电站进行类比分析是</w:t>
            </w:r>
            <w:r>
              <w:rPr>
                <w:rFonts w:hint="default" w:ascii="Times New Roman" w:hAnsi="Times New Roman" w:eastAsia="宋体" w:cs="Times New Roman"/>
                <w:color w:val="auto"/>
                <w:sz w:val="24"/>
                <w:highlight w:val="none"/>
                <w:lang w:val="en-US" w:eastAsia="zh-CN"/>
              </w:rPr>
              <w:t>合理的</w:t>
            </w:r>
            <w:r>
              <w:rPr>
                <w:rFonts w:hint="default" w:ascii="Times New Roman" w:hAnsi="Times New Roman" w:eastAsia="宋体" w:cs="Times New Roman"/>
                <w:color w:val="auto"/>
                <w:sz w:val="24"/>
                <w:highlight w:val="none"/>
              </w:rPr>
              <w:t>。</w:t>
            </w:r>
          </w:p>
          <w:p w14:paraId="13B6F481">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eastAsia="宋体" w:cs="Times New Roman"/>
                <w:color w:val="auto"/>
                <w:sz w:val="24"/>
                <w:highlight w:val="none"/>
              </w:rPr>
              <w:t>③</w:t>
            </w:r>
            <w:r>
              <w:rPr>
                <w:rFonts w:hint="default" w:ascii="Times New Roman" w:hAnsi="Times New Roman" w:eastAsia="宋体" w:cs="Times New Roman"/>
                <w:color w:val="auto"/>
                <w:kern w:val="0"/>
                <w:sz w:val="24"/>
                <w:lang w:val="en-US" w:eastAsia="zh-CN"/>
              </w:rPr>
              <w:t>电气设</w:t>
            </w:r>
            <w:r>
              <w:rPr>
                <w:rFonts w:hint="default" w:ascii="Times New Roman" w:hAnsi="Times New Roman" w:cs="Times New Roman"/>
                <w:color w:val="auto"/>
                <w:kern w:val="0"/>
                <w:sz w:val="24"/>
              </w:rPr>
              <w:t>备布置方式</w:t>
            </w:r>
          </w:p>
          <w:p w14:paraId="62A99102">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kern w:val="0"/>
                <w:sz w:val="24"/>
              </w:rPr>
              <w:t>本期扩建</w:t>
            </w:r>
            <w:r>
              <w:rPr>
                <w:rFonts w:hint="default" w:ascii="Times New Roman" w:hAnsi="Times New Roman" w:eastAsia="宋体" w:cs="Times New Roman"/>
                <w:color w:val="auto"/>
                <w:sz w:val="24"/>
                <w:highlight w:val="none"/>
                <w:lang w:val="en-US" w:eastAsia="zh-CN"/>
              </w:rPr>
              <w:t>变电站运行后自西向东依次排列2台主变，主变均为户外布置。类比升压站主变为自北向南依次排列2台户外布置。云雾山</w:t>
            </w:r>
            <w:r>
              <w:rPr>
                <w:rFonts w:hint="default" w:ascii="Times New Roman" w:hAnsi="Times New Roman" w:eastAsia="宋体" w:cs="Times New Roman"/>
                <w:color w:val="auto"/>
                <w:sz w:val="24"/>
                <w:highlight w:val="none"/>
              </w:rPr>
              <w:t>变电站与类比变电站330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配电装置均采用户外HGIS布置方式。</w:t>
            </w:r>
            <w:r>
              <w:rPr>
                <w:rFonts w:hint="default" w:ascii="Times New Roman" w:hAnsi="Times New Roman" w:cs="Times New Roman"/>
                <w:color w:val="auto"/>
                <w:kern w:val="0"/>
                <w:sz w:val="24"/>
              </w:rPr>
              <w:t>因此，选用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cs="Times New Roman"/>
                <w:color w:val="auto"/>
                <w:sz w:val="24"/>
                <w:lang w:val="en-US" w:eastAsia="zh-CN"/>
              </w:rPr>
              <w:t>千伏变电站</w:t>
            </w:r>
            <w:r>
              <w:rPr>
                <w:rFonts w:hint="default" w:ascii="Times New Roman" w:hAnsi="Times New Roman" w:cs="Times New Roman"/>
                <w:color w:val="auto"/>
                <w:kern w:val="0"/>
                <w:sz w:val="24"/>
              </w:rPr>
              <w:t>进行类比分析是可行的。</w:t>
            </w:r>
          </w:p>
          <w:p w14:paraId="6572D2D5">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④</w:t>
            </w:r>
            <w:r>
              <w:rPr>
                <w:rFonts w:hint="default" w:ascii="Times New Roman" w:hAnsi="Times New Roman" w:eastAsia="宋体" w:cs="Times New Roman"/>
                <w:color w:val="auto"/>
                <w:sz w:val="24"/>
                <w:highlight w:val="none"/>
                <w:lang w:val="en-US" w:eastAsia="zh-CN"/>
              </w:rPr>
              <w:t>占地面积</w:t>
            </w:r>
          </w:p>
          <w:p w14:paraId="111F7160">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类比变电站比云雾山变电站的</w:t>
            </w:r>
            <w:r>
              <w:rPr>
                <w:rFonts w:hint="default" w:ascii="Times New Roman" w:hAnsi="Times New Roman" w:eastAsia="宋体" w:cs="Times New Roman"/>
                <w:color w:val="auto"/>
                <w:sz w:val="24"/>
                <w:highlight w:val="none"/>
              </w:rPr>
              <w:t>占地面积</w:t>
            </w:r>
            <w:r>
              <w:rPr>
                <w:rFonts w:hint="default" w:ascii="Times New Roman" w:hAnsi="Times New Roman" w:eastAsia="宋体" w:cs="Times New Roman"/>
                <w:color w:val="auto"/>
                <w:sz w:val="24"/>
                <w:highlight w:val="none"/>
                <w:lang w:val="en-US" w:eastAsia="zh-CN"/>
              </w:rPr>
              <w:t>大，类比变电站主变及配电装置等设备距离站界较近，类比变电站具有可比性。</w:t>
            </w:r>
          </w:p>
          <w:p w14:paraId="40A55EAA">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⑤</w:t>
            </w:r>
            <w:r>
              <w:rPr>
                <w:rFonts w:hint="default" w:ascii="Times New Roman" w:hAnsi="Times New Roman" w:eastAsia="宋体" w:cs="Times New Roman"/>
                <w:color w:val="auto"/>
                <w:sz w:val="24"/>
                <w:highlight w:val="none"/>
                <w:lang w:val="en-US" w:eastAsia="zh-CN"/>
              </w:rPr>
              <w:t>环境条件</w:t>
            </w:r>
          </w:p>
          <w:p w14:paraId="79099514">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变电站与类比330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均位于固原市原州区，两站</w:t>
            </w:r>
            <w:r>
              <w:rPr>
                <w:rFonts w:hint="default" w:ascii="Times New Roman" w:hAnsi="Times New Roman" w:eastAsia="宋体" w:cs="Times New Roman"/>
                <w:color w:val="auto"/>
                <w:sz w:val="24"/>
                <w:highlight w:val="none"/>
              </w:rPr>
              <w:t>的</w:t>
            </w:r>
            <w:r>
              <w:rPr>
                <w:rFonts w:hint="default" w:ascii="Times New Roman" w:hAnsi="Times New Roman" w:eastAsia="宋体" w:cs="Times New Roman"/>
                <w:color w:val="auto"/>
                <w:sz w:val="24"/>
                <w:highlight w:val="none"/>
                <w:lang w:eastAsia="zh-CN"/>
              </w:rPr>
              <w:t>海拔</w:t>
            </w:r>
            <w:r>
              <w:rPr>
                <w:rFonts w:hint="default" w:ascii="Times New Roman" w:hAnsi="Times New Roman" w:eastAsia="宋体" w:cs="Times New Roman"/>
                <w:color w:val="auto"/>
                <w:sz w:val="24"/>
                <w:highlight w:val="none"/>
              </w:rPr>
              <w:t>基本相</w:t>
            </w:r>
            <w:r>
              <w:rPr>
                <w:rFonts w:hint="default" w:ascii="Times New Roman" w:hAnsi="Times New Roman" w:eastAsia="宋体" w:cs="Times New Roman"/>
                <w:color w:val="auto"/>
                <w:sz w:val="24"/>
                <w:highlight w:val="none"/>
                <w:lang w:val="en-US" w:eastAsia="zh-CN"/>
              </w:rPr>
              <w:t>近，</w:t>
            </w:r>
            <w:r>
              <w:rPr>
                <w:rFonts w:hint="default" w:ascii="Times New Roman" w:hAnsi="Times New Roman" w:eastAsia="宋体" w:cs="Times New Roman"/>
                <w:color w:val="auto"/>
                <w:sz w:val="24"/>
                <w:highlight w:val="none"/>
              </w:rPr>
              <w:t>地形情况相</w:t>
            </w:r>
            <w:r>
              <w:rPr>
                <w:rFonts w:hint="default" w:ascii="Times New Roman" w:hAnsi="Times New Roman" w:eastAsia="宋体" w:cs="Times New Roman"/>
                <w:color w:val="auto"/>
                <w:sz w:val="24"/>
                <w:highlight w:val="none"/>
                <w:lang w:val="en-US" w:eastAsia="zh-CN"/>
              </w:rPr>
              <w:t>近</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szCs w:val="24"/>
                <w:highlight w:val="none"/>
                <w:lang w:val="en-US" w:eastAsia="zh-CN"/>
              </w:rPr>
              <w:t>且类比变电站总占地面积与</w:t>
            </w:r>
            <w:r>
              <w:rPr>
                <w:rFonts w:hint="eastAsia" w:ascii="Times New Roman" w:hAnsi="Times New Roman" w:cs="Times New Roman"/>
                <w:color w:val="auto"/>
                <w:sz w:val="24"/>
                <w:szCs w:val="24"/>
                <w:highlight w:val="none"/>
                <w:lang w:val="en-US" w:eastAsia="zh-CN"/>
              </w:rPr>
              <w:t>云雾山33</w:t>
            </w:r>
            <w:r>
              <w:rPr>
                <w:rFonts w:hint="default" w:ascii="Times New Roman" w:hAnsi="Times New Roman" w:cs="Times New Roman"/>
                <w:color w:val="auto"/>
                <w:sz w:val="24"/>
                <w:szCs w:val="24"/>
                <w:highlight w:val="none"/>
                <w:lang w:val="en-US" w:eastAsia="zh-CN"/>
              </w:rPr>
              <w:t>0千伏变电站总占地面积</w:t>
            </w:r>
            <w:r>
              <w:rPr>
                <w:rFonts w:hint="eastAsia" w:ascii="Times New Roman" w:hAnsi="Times New Roman" w:cs="Times New Roman"/>
                <w:color w:val="auto"/>
                <w:sz w:val="24"/>
                <w:szCs w:val="24"/>
                <w:highlight w:val="none"/>
                <w:lang w:val="en-US" w:eastAsia="zh-CN"/>
              </w:rPr>
              <w:t>大</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lang w:val="en-US" w:eastAsia="zh-CN"/>
              </w:rPr>
              <w:t>因此，选用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cs="Times New Roman"/>
                <w:color w:val="auto"/>
                <w:sz w:val="24"/>
                <w:szCs w:val="24"/>
                <w:lang w:val="en-US" w:eastAsia="zh-CN"/>
              </w:rPr>
              <w:t>千伏变电站进行类比分析是可行的</w:t>
            </w:r>
            <w:r>
              <w:rPr>
                <w:rFonts w:hint="default" w:ascii="Times New Roman" w:hAnsi="Times New Roman" w:eastAsia="宋体" w:cs="Times New Roman"/>
                <w:color w:val="auto"/>
                <w:sz w:val="24"/>
                <w:highlight w:val="none"/>
              </w:rPr>
              <w:t>。</w:t>
            </w:r>
          </w:p>
          <w:p w14:paraId="669F2155">
            <w:pPr>
              <w:pStyle w:val="76"/>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综上所述，选用类比</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cs="Times New Roman"/>
                <w:color w:val="auto"/>
                <w:sz w:val="24"/>
                <w:szCs w:val="24"/>
                <w:lang w:val="en-US" w:eastAsia="zh-CN"/>
              </w:rPr>
              <w:t>千伏</w:t>
            </w:r>
            <w:r>
              <w:rPr>
                <w:rFonts w:hint="default" w:ascii="Times New Roman" w:hAnsi="Times New Roman" w:eastAsia="宋体" w:cs="Times New Roman"/>
                <w:color w:val="auto"/>
                <w:sz w:val="24"/>
                <w:highlight w:val="none"/>
              </w:rPr>
              <w:t>变电站虽然与</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cs="Times New Roman"/>
                <w:color w:val="auto"/>
                <w:sz w:val="24"/>
                <w:szCs w:val="24"/>
                <w:lang w:val="en-US" w:eastAsia="zh-CN"/>
              </w:rPr>
              <w:t>千伏</w:t>
            </w:r>
            <w:r>
              <w:rPr>
                <w:rFonts w:hint="default" w:ascii="Times New Roman" w:hAnsi="Times New Roman" w:eastAsia="宋体" w:cs="Times New Roman"/>
                <w:color w:val="auto"/>
                <w:sz w:val="24"/>
                <w:highlight w:val="none"/>
              </w:rPr>
              <w:t>变电站存在一些差异，但从电压等级、电气设备布置方式、</w:t>
            </w:r>
            <w:r>
              <w:rPr>
                <w:rFonts w:hint="default" w:ascii="Times New Roman" w:hAnsi="Times New Roman" w:eastAsia="宋体" w:cs="Times New Roman"/>
                <w:color w:val="auto"/>
                <w:sz w:val="24"/>
                <w:highlight w:val="none"/>
                <w:lang w:val="en-US" w:eastAsia="zh-CN"/>
              </w:rPr>
              <w:t>单台</w:t>
            </w:r>
            <w:r>
              <w:rPr>
                <w:rFonts w:hint="default" w:ascii="Times New Roman" w:hAnsi="Times New Roman" w:eastAsia="宋体" w:cs="Times New Roman"/>
                <w:color w:val="auto"/>
                <w:sz w:val="24"/>
                <w:highlight w:val="none"/>
              </w:rPr>
              <w:t>主变容量及布置</w:t>
            </w:r>
            <w:r>
              <w:rPr>
                <w:rFonts w:hint="default" w:ascii="Times New Roman" w:hAnsi="Times New Roman" w:eastAsia="宋体" w:cs="Times New Roman"/>
                <w:color w:val="auto"/>
                <w:sz w:val="24"/>
                <w:highlight w:val="none"/>
                <w:lang w:val="en-US" w:eastAsia="zh-CN"/>
              </w:rPr>
              <w:t>型</w:t>
            </w:r>
            <w:r>
              <w:rPr>
                <w:rFonts w:hint="default" w:ascii="Times New Roman" w:hAnsi="Times New Roman" w:eastAsia="宋体" w:cs="Times New Roman"/>
                <w:color w:val="auto"/>
                <w:sz w:val="24"/>
                <w:highlight w:val="none"/>
              </w:rPr>
              <w:t>式、无功补偿、进出线等</w:t>
            </w:r>
            <w:r>
              <w:rPr>
                <w:rFonts w:hint="eastAsia" w:ascii="Times New Roman" w:hAnsi="Times New Roman" w:eastAsia="宋体" w:cs="Times New Roman"/>
                <w:color w:val="auto"/>
                <w:sz w:val="24"/>
                <w:highlight w:val="none"/>
                <w:lang w:val="en-US" w:eastAsia="zh-CN"/>
              </w:rPr>
              <w:t>大致相似</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kern w:val="0"/>
                <w:sz w:val="24"/>
              </w:rPr>
              <w:t>因此，选用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w:t>
            </w:r>
            <w:r>
              <w:rPr>
                <w:rFonts w:hint="default" w:ascii="Times New Roman" w:hAnsi="Times New Roman" w:cs="Times New Roman"/>
                <w:color w:val="auto"/>
                <w:sz w:val="24"/>
                <w:lang w:val="en-US" w:eastAsia="zh-CN"/>
              </w:rPr>
              <w:t>0千伏变电站</w:t>
            </w:r>
            <w:r>
              <w:rPr>
                <w:rFonts w:hint="default" w:ascii="Times New Roman" w:hAnsi="Times New Roman" w:cs="Times New Roman"/>
                <w:color w:val="auto"/>
                <w:kern w:val="0"/>
                <w:sz w:val="24"/>
              </w:rPr>
              <w:t>已运行的</w:t>
            </w:r>
            <w:r>
              <w:rPr>
                <w:rFonts w:hint="default" w:ascii="Times New Roman" w:hAnsi="Times New Roman" w:cs="Times New Roman"/>
                <w:color w:val="auto"/>
                <w:kern w:val="0"/>
                <w:sz w:val="24"/>
                <w:lang w:val="en-US" w:eastAsia="zh-CN"/>
              </w:rPr>
              <w:t>110千伏出线</w:t>
            </w:r>
            <w:r>
              <w:rPr>
                <w:rFonts w:hint="default" w:ascii="Times New Roman" w:hAnsi="Times New Roman" w:cs="Times New Roman"/>
                <w:color w:val="auto"/>
                <w:kern w:val="0"/>
                <w:sz w:val="24"/>
              </w:rPr>
              <w:t>间隔处的类比监测结果来预测分析本期</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w:t>
            </w:r>
            <w:r>
              <w:rPr>
                <w:rFonts w:hint="default" w:ascii="Times New Roman" w:hAnsi="Times New Roman" w:cs="Times New Roman"/>
                <w:color w:val="auto"/>
                <w:kern w:val="0"/>
                <w:sz w:val="24"/>
                <w:lang w:val="en-US" w:eastAsia="zh-CN"/>
              </w:rPr>
              <w:t>0千伏变电站110</w:t>
            </w:r>
            <w:r>
              <w:rPr>
                <w:rFonts w:hint="default" w:ascii="Times New Roman" w:hAnsi="Times New Roman" w:cs="Times New Roman"/>
                <w:color w:val="auto"/>
                <w:kern w:val="0"/>
                <w:sz w:val="24"/>
                <w:lang w:eastAsia="zh-CN"/>
              </w:rPr>
              <w:t>千伏</w:t>
            </w:r>
            <w:r>
              <w:rPr>
                <w:rFonts w:hint="default" w:ascii="Times New Roman" w:hAnsi="Times New Roman" w:cs="Times New Roman"/>
                <w:color w:val="auto"/>
                <w:kern w:val="0"/>
                <w:sz w:val="24"/>
              </w:rPr>
              <w:t>间隔扩建工程建成后的声环境影响是合理的，可以反映出</w:t>
            </w:r>
            <w:r>
              <w:rPr>
                <w:rFonts w:hint="default" w:ascii="Times New Roman" w:hAnsi="Times New Roman" w:eastAsia="宋体" w:cs="Times New Roman"/>
                <w:color w:val="auto"/>
                <w:sz w:val="24"/>
                <w:highlight w:val="none"/>
                <w:lang w:val="en-US" w:eastAsia="zh-CN"/>
              </w:rPr>
              <w:t>云雾山</w:t>
            </w:r>
            <w:r>
              <w:rPr>
                <w:rFonts w:hint="eastAsia" w:ascii="Times New Roman" w:hAnsi="Times New Roman" w:eastAsia="宋体" w:cs="Times New Roman"/>
                <w:color w:val="auto"/>
                <w:sz w:val="24"/>
                <w:highlight w:val="none"/>
                <w:lang w:val="en-US" w:eastAsia="zh-CN"/>
              </w:rPr>
              <w:t>33</w:t>
            </w:r>
            <w:r>
              <w:rPr>
                <w:rFonts w:hint="default" w:ascii="Times New Roman" w:hAnsi="Times New Roman" w:cs="Times New Roman"/>
                <w:color w:val="auto"/>
                <w:kern w:val="0"/>
                <w:sz w:val="24"/>
                <w:lang w:val="en-US" w:eastAsia="zh-CN"/>
              </w:rPr>
              <w:t>0千伏变电站</w:t>
            </w:r>
            <w:r>
              <w:rPr>
                <w:rFonts w:hint="default" w:ascii="Times New Roman" w:hAnsi="Times New Roman" w:cs="Times New Roman"/>
                <w:color w:val="auto"/>
                <w:kern w:val="0"/>
                <w:sz w:val="24"/>
              </w:rPr>
              <w:t>本期工程运行后对周围声环境的影响程度。</w:t>
            </w:r>
          </w:p>
          <w:p w14:paraId="6D69D7CA">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类比监测单位</w:t>
            </w:r>
          </w:p>
          <w:p w14:paraId="0B57223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宁夏盛世蓝天环保技术有限公司</w:t>
            </w:r>
            <w:r>
              <w:rPr>
                <w:rFonts w:hint="default" w:ascii="Times New Roman" w:hAnsi="Times New Roman" w:eastAsia="宋体" w:cs="Times New Roman"/>
                <w:color w:val="auto"/>
                <w:sz w:val="24"/>
                <w:highlight w:val="none"/>
              </w:rPr>
              <w:t>。</w:t>
            </w:r>
          </w:p>
          <w:p w14:paraId="348D541A">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3）监测项目</w:t>
            </w:r>
          </w:p>
          <w:p w14:paraId="66B96E64">
            <w:pPr>
              <w:pStyle w:val="76"/>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噪声。</w:t>
            </w:r>
          </w:p>
          <w:p w14:paraId="4460348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4）监测方法</w:t>
            </w:r>
          </w:p>
          <w:p w14:paraId="2A76F0FF">
            <w:pPr>
              <w:pStyle w:val="76"/>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按照《工业企业厂界环境噪声排放标准》（GB12348-2008）要求。</w:t>
            </w:r>
          </w:p>
          <w:p w14:paraId="721102EB">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5）监测仪器</w:t>
            </w:r>
          </w:p>
          <w:p w14:paraId="53CE9AE2">
            <w:pPr>
              <w:pStyle w:val="76"/>
              <w:numPr>
                <w:ilvl w:val="0"/>
                <w:numId w:val="0"/>
              </w:numPr>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监测使用的仪器见表4-</w:t>
            </w:r>
            <w:r>
              <w:rPr>
                <w:rFonts w:hint="eastAsia" w:cs="Times New Roman"/>
                <w:color w:val="auto"/>
                <w:kern w:val="2"/>
                <w:sz w:val="24"/>
                <w:szCs w:val="24"/>
                <w:lang w:val="en-US" w:eastAsia="zh-CN" w:bidi="ar-SA"/>
              </w:rPr>
              <w:t>6</w:t>
            </w:r>
            <w:r>
              <w:rPr>
                <w:rFonts w:hint="default" w:ascii="Times New Roman" w:hAnsi="Times New Roman" w:eastAsia="宋体" w:cs="Times New Roman"/>
                <w:color w:val="auto"/>
                <w:kern w:val="2"/>
                <w:sz w:val="24"/>
                <w:szCs w:val="24"/>
                <w:lang w:val="en-US" w:eastAsia="zh-CN" w:bidi="ar-SA"/>
              </w:rPr>
              <w:t>。</w:t>
            </w:r>
          </w:p>
          <w:p w14:paraId="482BA54B">
            <w:pPr>
              <w:spacing w:line="240" w:lineRule="auto"/>
              <w:jc w:val="center"/>
              <w:rPr>
                <w:rFonts w:hint="default" w:ascii="Times New Roman" w:hAnsi="Times New Roman" w:eastAsia="宋体" w:cs="Times New Roman"/>
                <w:b/>
                <w:bCs w:val="0"/>
                <w:color w:val="auto"/>
                <w:sz w:val="24"/>
                <w:lang w:val="en-US" w:eastAsia="zh-CN"/>
              </w:rPr>
            </w:pPr>
            <w:r>
              <w:rPr>
                <w:rFonts w:hint="default" w:ascii="Times New Roman" w:hAnsi="Times New Roman" w:eastAsia="宋体" w:cs="Times New Roman"/>
                <w:b/>
                <w:bCs w:val="0"/>
                <w:color w:val="auto"/>
                <w:sz w:val="24"/>
                <w:lang w:val="en-US" w:eastAsia="zh-CN"/>
              </w:rPr>
              <w:t>表4-</w:t>
            </w:r>
            <w:r>
              <w:rPr>
                <w:rFonts w:hint="eastAsia" w:cs="Times New Roman"/>
                <w:b/>
                <w:bCs w:val="0"/>
                <w:color w:val="auto"/>
                <w:sz w:val="24"/>
                <w:lang w:val="en-US" w:eastAsia="zh-CN"/>
              </w:rPr>
              <w:t>6</w:t>
            </w:r>
            <w:r>
              <w:rPr>
                <w:rFonts w:hint="default" w:ascii="Times New Roman" w:hAnsi="Times New Roman" w:eastAsia="宋体" w:cs="Times New Roman"/>
                <w:b/>
                <w:bCs w:val="0"/>
                <w:color w:val="auto"/>
                <w:sz w:val="24"/>
                <w:lang w:val="en-US" w:eastAsia="zh-CN"/>
              </w:rPr>
              <w:t xml:space="preserve">  类比监测使用的仪器</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61"/>
              <w:gridCol w:w="1378"/>
              <w:gridCol w:w="1086"/>
              <w:gridCol w:w="3995"/>
            </w:tblGrid>
            <w:tr w14:paraId="4AFF89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761" w:type="dxa"/>
                  <w:tcBorders>
                    <w:tl2br w:val="nil"/>
                    <w:tr2bl w:val="nil"/>
                  </w:tcBorders>
                  <w:noWrap w:val="0"/>
                  <w:vAlign w:val="center"/>
                </w:tcPr>
                <w:p w14:paraId="1D86287B">
                  <w:pPr>
                    <w:keepNext w:val="0"/>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仪器名称及型号</w:t>
                  </w:r>
                </w:p>
              </w:tc>
              <w:tc>
                <w:tcPr>
                  <w:tcW w:w="1378" w:type="dxa"/>
                  <w:tcBorders>
                    <w:tl2br w:val="nil"/>
                    <w:tr2bl w:val="nil"/>
                  </w:tcBorders>
                  <w:noWrap w:val="0"/>
                  <w:vAlign w:val="center"/>
                </w:tcPr>
                <w:p w14:paraId="1B7E71B5">
                  <w:pPr>
                    <w:keepNext w:val="0"/>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 xml:space="preserve">测量范围 </w:t>
                  </w:r>
                </w:p>
              </w:tc>
              <w:tc>
                <w:tcPr>
                  <w:tcW w:w="1086" w:type="dxa"/>
                  <w:tcBorders>
                    <w:tl2br w:val="nil"/>
                    <w:tr2bl w:val="nil"/>
                  </w:tcBorders>
                  <w:noWrap w:val="0"/>
                  <w:vAlign w:val="center"/>
                </w:tcPr>
                <w:p w14:paraId="68B64A59">
                  <w:pPr>
                    <w:keepNext w:val="0"/>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生产厂家</w:t>
                  </w:r>
                </w:p>
              </w:tc>
              <w:tc>
                <w:tcPr>
                  <w:tcW w:w="3995" w:type="dxa"/>
                  <w:tcBorders>
                    <w:tl2br w:val="nil"/>
                    <w:tr2bl w:val="nil"/>
                  </w:tcBorders>
                  <w:noWrap w:val="0"/>
                  <w:vAlign w:val="center"/>
                </w:tcPr>
                <w:p w14:paraId="5FF5182A">
                  <w:pPr>
                    <w:keepNext w:val="0"/>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检测（校准）证书编号</w:t>
                  </w:r>
                </w:p>
              </w:tc>
            </w:tr>
            <w:tr w14:paraId="5E9C8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761" w:type="dxa"/>
                  <w:tcBorders>
                    <w:tl2br w:val="nil"/>
                    <w:tr2bl w:val="nil"/>
                  </w:tcBorders>
                  <w:noWrap w:val="0"/>
                  <w:vAlign w:val="center"/>
                </w:tcPr>
                <w:p w14:paraId="1252DE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AHA5688</w:t>
                  </w:r>
                </w:p>
                <w:p w14:paraId="18BED0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多功能声级计</w:t>
                  </w:r>
                </w:p>
              </w:tc>
              <w:tc>
                <w:tcPr>
                  <w:tcW w:w="1378" w:type="dxa"/>
                  <w:tcBorders>
                    <w:tl2br w:val="nil"/>
                    <w:tr2bl w:val="nil"/>
                  </w:tcBorders>
                  <w:noWrap w:val="0"/>
                  <w:vAlign w:val="center"/>
                </w:tcPr>
                <w:p w14:paraId="3D0935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color w:val="auto"/>
                      <w:szCs w:val="21"/>
                      <w:lang w:val="en-US" w:eastAsia="zh-CN"/>
                    </w:rPr>
                    <w:t>30dB~105dB</w:t>
                  </w:r>
                </w:p>
              </w:tc>
              <w:tc>
                <w:tcPr>
                  <w:tcW w:w="1086" w:type="dxa"/>
                  <w:tcBorders>
                    <w:tl2br w:val="nil"/>
                    <w:tr2bl w:val="nil"/>
                  </w:tcBorders>
                  <w:noWrap w:val="0"/>
                  <w:vAlign w:val="center"/>
                </w:tcPr>
                <w:p w14:paraId="7B67F2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color w:val="auto"/>
                      <w:szCs w:val="21"/>
                      <w:lang w:val="en-US" w:eastAsia="zh-CN"/>
                    </w:rPr>
                    <w:t>杭州爱华仪器有限公司</w:t>
                  </w:r>
                </w:p>
              </w:tc>
              <w:tc>
                <w:tcPr>
                  <w:tcW w:w="3995" w:type="dxa"/>
                  <w:tcBorders>
                    <w:tl2br w:val="nil"/>
                    <w:tr2bl w:val="nil"/>
                  </w:tcBorders>
                  <w:noWrap w:val="0"/>
                  <w:vAlign w:val="center"/>
                </w:tcPr>
                <w:p w14:paraId="2F937B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出厂编号：10329747</w:t>
                  </w:r>
                </w:p>
                <w:p w14:paraId="08352B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设备编号：LT03</w:t>
                  </w:r>
                </w:p>
                <w:p w14:paraId="2754DAD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检定单位：宁夏计量质量检验检测研究院</w:t>
                  </w:r>
                </w:p>
                <w:p w14:paraId="1CF8D5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检定证书号：23005290-001</w:t>
                  </w:r>
                </w:p>
                <w:p w14:paraId="0EA6062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有效期：2023.3.28-2024.3.27</w:t>
                  </w:r>
                </w:p>
              </w:tc>
            </w:tr>
            <w:tr w14:paraId="6D6DD1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761" w:type="dxa"/>
                  <w:tcBorders>
                    <w:tl2br w:val="nil"/>
                    <w:tr2bl w:val="nil"/>
                  </w:tcBorders>
                  <w:noWrap w:val="0"/>
                  <w:vAlign w:val="center"/>
                </w:tcPr>
                <w:p w14:paraId="68E781B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AWA6221A</w:t>
                  </w:r>
                </w:p>
                <w:p w14:paraId="72BA50D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color w:val="auto"/>
                      <w:szCs w:val="21"/>
                      <w:lang w:val="en-US" w:eastAsia="zh-CN"/>
                    </w:rPr>
                    <w:t>声校准器</w:t>
                  </w:r>
                </w:p>
              </w:tc>
              <w:tc>
                <w:tcPr>
                  <w:tcW w:w="1378" w:type="dxa"/>
                  <w:tcBorders>
                    <w:tl2br w:val="nil"/>
                    <w:tr2bl w:val="nil"/>
                  </w:tcBorders>
                  <w:noWrap w:val="0"/>
                  <w:vAlign w:val="center"/>
                </w:tcPr>
                <w:p w14:paraId="472984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color w:val="auto"/>
                      <w:szCs w:val="21"/>
                      <w:lang w:val="en-US" w:eastAsia="zh-CN"/>
                    </w:rPr>
                    <w:t>标准声压级：94.0dB</w:t>
                  </w:r>
                </w:p>
              </w:tc>
              <w:tc>
                <w:tcPr>
                  <w:tcW w:w="1086" w:type="dxa"/>
                  <w:tcBorders>
                    <w:tl2br w:val="nil"/>
                    <w:tr2bl w:val="nil"/>
                  </w:tcBorders>
                  <w:noWrap w:val="0"/>
                  <w:vAlign w:val="center"/>
                </w:tcPr>
                <w:p w14:paraId="413116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color w:val="auto"/>
                      <w:szCs w:val="21"/>
                      <w:lang w:val="en-US" w:eastAsia="zh-CN"/>
                    </w:rPr>
                    <w:t>杭州爱华仪器有限公司</w:t>
                  </w:r>
                </w:p>
              </w:tc>
              <w:tc>
                <w:tcPr>
                  <w:tcW w:w="3995" w:type="dxa"/>
                  <w:tcBorders>
                    <w:tl2br w:val="nil"/>
                    <w:tr2bl w:val="nil"/>
                  </w:tcBorders>
                  <w:noWrap w:val="0"/>
                  <w:vAlign w:val="center"/>
                </w:tcPr>
                <w:p w14:paraId="017A892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出厂编号：1007026</w:t>
                  </w:r>
                </w:p>
                <w:p w14:paraId="0A94DA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设备编号：LT-03-1</w:t>
                  </w:r>
                </w:p>
                <w:p w14:paraId="568048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检定单位：深圳天溯计量检测股份有限公司</w:t>
                  </w:r>
                </w:p>
                <w:p w14:paraId="7E7F317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检定证书号：Z20237-C321272</w:t>
                  </w:r>
                </w:p>
                <w:p w14:paraId="06D708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b w:val="0"/>
                      <w:bCs w:val="0"/>
                      <w:color w:val="auto"/>
                      <w:kern w:val="2"/>
                      <w:sz w:val="21"/>
                      <w:szCs w:val="22"/>
                      <w:highlight w:val="none"/>
                      <w:lang w:val="en-US" w:eastAsia="zh-CN" w:bidi="ar-SA"/>
                    </w:rPr>
                    <w:t>有效期：2023.3.23-2024.3.22</w:t>
                  </w:r>
                </w:p>
              </w:tc>
            </w:tr>
          </w:tbl>
          <w:p w14:paraId="4074639F">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6）监测点布设</w:t>
            </w:r>
          </w:p>
          <w:p w14:paraId="63C6FB55">
            <w:pPr>
              <w:pStyle w:val="76"/>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lang w:eastAsia="zh-CN"/>
              </w:rPr>
              <w:t>站界</w:t>
            </w:r>
            <w:r>
              <w:rPr>
                <w:rFonts w:hint="default" w:ascii="Times New Roman" w:hAnsi="Times New Roman" w:cs="Times New Roman"/>
                <w:color w:val="auto"/>
                <w:sz w:val="24"/>
              </w:rPr>
              <w:t>噪声监测点选在变电站站界外1m、高度1.5m</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距任一反射面距离不小于1m位置，共布设</w:t>
            </w: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个噪声监测点。</w:t>
            </w:r>
            <w:r>
              <w:rPr>
                <w:rFonts w:hint="default" w:ascii="Times New Roman" w:hAnsi="Times New Roman" w:eastAsia="宋体" w:cs="Times New Roman"/>
                <w:color w:val="auto"/>
                <w:sz w:val="24"/>
                <w:highlight w:val="none"/>
              </w:rPr>
              <w:t>类比变电站监测点位示意图见图</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-1。</w:t>
            </w:r>
          </w:p>
          <w:p w14:paraId="6E60709E">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7）监测条件</w:t>
            </w:r>
          </w:p>
          <w:p w14:paraId="22B9B8AC">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2023年4月18日</w:t>
            </w:r>
            <w:r>
              <w:rPr>
                <w:rFonts w:hint="default" w:ascii="Times New Roman" w:hAnsi="Times New Roman" w:eastAsia="宋体" w:cs="Times New Roman"/>
                <w:color w:val="auto"/>
                <w:sz w:val="24"/>
                <w:highlight w:val="none"/>
              </w:rPr>
              <w:t>，昼间，天气</w:t>
            </w:r>
            <w:r>
              <w:rPr>
                <w:rFonts w:hint="default" w:ascii="Times New Roman" w:hAnsi="Times New Roman" w:eastAsia="宋体" w:cs="Times New Roman"/>
                <w:color w:val="auto"/>
                <w:sz w:val="24"/>
                <w:highlight w:val="none"/>
                <w:lang w:val="en-US" w:eastAsia="zh-CN"/>
              </w:rPr>
              <w:t>晴</w:t>
            </w:r>
            <w:r>
              <w:rPr>
                <w:rFonts w:hint="default" w:ascii="Times New Roman" w:hAnsi="Times New Roman" w:eastAsia="宋体" w:cs="Times New Roman"/>
                <w:color w:val="auto"/>
                <w:sz w:val="24"/>
                <w:highlight w:val="none"/>
              </w:rPr>
              <w:t>，环境温度</w:t>
            </w:r>
            <w:r>
              <w:rPr>
                <w:rFonts w:hint="default" w:ascii="Times New Roman" w:hAnsi="Times New Roman" w:eastAsia="宋体" w:cs="Times New Roman"/>
                <w:color w:val="auto"/>
                <w:sz w:val="24"/>
                <w:highlight w:val="none"/>
                <w:lang w:val="en-US" w:eastAsia="zh-CN"/>
              </w:rPr>
              <w:t>18.7</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22.1</w:t>
            </w:r>
            <w:r>
              <w:rPr>
                <w:rFonts w:hint="default" w:ascii="Times New Roman" w:hAnsi="Times New Roman" w:eastAsia="宋体" w:cs="Times New Roman"/>
                <w:color w:val="auto"/>
                <w:sz w:val="24"/>
                <w:highlight w:val="none"/>
              </w:rPr>
              <w:t>℃，湿度</w:t>
            </w:r>
            <w:r>
              <w:rPr>
                <w:rFonts w:hint="default" w:ascii="Times New Roman" w:hAnsi="Times New Roman" w:eastAsia="宋体" w:cs="Times New Roman"/>
                <w:color w:val="auto"/>
                <w:sz w:val="24"/>
                <w:highlight w:val="none"/>
                <w:lang w:eastAsia="zh-CN"/>
              </w:rPr>
              <w:t>38.3%～41.2%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风速</w:t>
            </w:r>
            <w:r>
              <w:rPr>
                <w:rFonts w:hint="default" w:ascii="Times New Roman" w:hAnsi="Times New Roman" w:eastAsia="宋体" w:cs="Times New Roman"/>
                <w:color w:val="auto"/>
                <w:sz w:val="24"/>
                <w:highlight w:val="none"/>
              </w:rPr>
              <w:t>静风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大气压862.5~879.1hPa</w:t>
            </w:r>
            <w:r>
              <w:rPr>
                <w:rFonts w:hint="default" w:ascii="Times New Roman" w:hAnsi="Times New Roman" w:eastAsia="宋体" w:cs="Times New Roman"/>
                <w:color w:val="auto"/>
                <w:sz w:val="24"/>
                <w:highlight w:val="none"/>
              </w:rPr>
              <w:t>。</w:t>
            </w:r>
          </w:p>
          <w:p w14:paraId="21E8358F">
            <w:pPr>
              <w:numPr>
                <w:ilvl w:val="0"/>
                <w:numId w:val="3"/>
              </w:numPr>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类比变电站监测工况</w:t>
            </w:r>
          </w:p>
          <w:p w14:paraId="62540987">
            <w:pPr>
              <w:pStyle w:val="106"/>
              <w:keepNext w:val="0"/>
              <w:keepLines w:val="0"/>
              <w:pageBreakBefore w:val="0"/>
              <w:widowControl w:val="0"/>
              <w:kinsoku/>
              <w:wordWrap/>
              <w:overflowPunct/>
              <w:topLinePunct w:val="0"/>
              <w:autoSpaceDE/>
              <w:autoSpaceDN/>
              <w:bidi w:val="0"/>
              <w:adjustRightInd w:val="0"/>
              <w:snapToGrid w:val="0"/>
              <w:spacing w:line="360" w:lineRule="auto"/>
              <w:ind w:left="0" w:firstLine="472" w:firstLineChars="200"/>
              <w:textAlignment w:val="auto"/>
              <w:rPr>
                <w:rFonts w:hint="default" w:ascii="Times New Roman" w:hAnsi="Times New Roman" w:cs="Times New Roman"/>
                <w:color w:val="auto"/>
              </w:rPr>
            </w:pPr>
            <w:r>
              <w:rPr>
                <w:rFonts w:hint="default" w:ascii="Times New Roman" w:hAnsi="Times New Roman" w:cs="Times New Roman"/>
                <w:color w:val="auto"/>
                <w:spacing w:val="-2"/>
                <w:lang w:val="en-US" w:eastAsia="zh-CN"/>
              </w:rPr>
              <w:t>清水河</w:t>
            </w:r>
            <w:r>
              <w:rPr>
                <w:rFonts w:hint="default" w:ascii="Times New Roman" w:hAnsi="Times New Roman" w:cs="Times New Roman"/>
                <w:color w:val="auto"/>
                <w:spacing w:val="-41"/>
              </w:rPr>
              <w:t xml:space="preserve"> </w:t>
            </w:r>
            <w:r>
              <w:rPr>
                <w:rFonts w:hint="default" w:ascii="Times New Roman" w:hAnsi="Times New Roman" w:cs="Times New Roman"/>
                <w:color w:val="auto"/>
                <w:spacing w:val="-2"/>
                <w:lang w:val="en-US" w:eastAsia="zh-CN"/>
              </w:rPr>
              <w:t>33</w:t>
            </w:r>
            <w:r>
              <w:rPr>
                <w:rFonts w:hint="default" w:ascii="Times New Roman" w:hAnsi="Times New Roman" w:eastAsia="Times New Roman" w:cs="Times New Roman"/>
                <w:color w:val="auto"/>
                <w:spacing w:val="-2"/>
              </w:rPr>
              <w:t>0</w:t>
            </w:r>
            <w:r>
              <w:rPr>
                <w:rFonts w:hint="default" w:ascii="Times New Roman" w:hAnsi="Times New Roman" w:eastAsia="Times New Roman" w:cs="Times New Roman"/>
                <w:color w:val="auto"/>
                <w:spacing w:val="-2"/>
                <w:lang w:val="en-US" w:eastAsia="zh-CN"/>
              </w:rPr>
              <w:t>千伏</w:t>
            </w:r>
            <w:r>
              <w:rPr>
                <w:rFonts w:hint="default" w:ascii="Times New Roman" w:hAnsi="Times New Roman" w:cs="Times New Roman"/>
                <w:color w:val="auto"/>
                <w:spacing w:val="-2"/>
              </w:rPr>
              <w:t>变电站监测期间运行工况见表</w:t>
            </w:r>
            <w:r>
              <w:rPr>
                <w:rFonts w:hint="default" w:ascii="Times New Roman" w:hAnsi="Times New Roman" w:cs="Times New Roman"/>
                <w:color w:val="auto"/>
                <w:spacing w:val="-56"/>
              </w:rPr>
              <w:t xml:space="preserve"> </w:t>
            </w:r>
            <w:r>
              <w:rPr>
                <w:rFonts w:hint="default" w:ascii="Times New Roman" w:hAnsi="Times New Roman" w:eastAsia="Times New Roman" w:cs="Times New Roman"/>
                <w:color w:val="auto"/>
                <w:spacing w:val="-2"/>
              </w:rPr>
              <w:t>4-</w:t>
            </w:r>
            <w:r>
              <w:rPr>
                <w:rFonts w:hint="eastAsia" w:ascii="Times New Roman" w:hAnsi="Times New Roman" w:cs="Times New Roman"/>
                <w:color w:val="auto"/>
                <w:spacing w:val="-2"/>
                <w:lang w:val="en-US" w:eastAsia="zh-CN"/>
              </w:rPr>
              <w:t>7</w:t>
            </w:r>
            <w:r>
              <w:rPr>
                <w:rFonts w:hint="default" w:ascii="Times New Roman" w:hAnsi="Times New Roman" w:cs="Times New Roman"/>
                <w:color w:val="auto"/>
                <w:spacing w:val="-2"/>
              </w:rPr>
              <w:t>。</w:t>
            </w:r>
          </w:p>
          <w:p w14:paraId="21318E4C">
            <w:pPr>
              <w:pStyle w:val="10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kern w:val="2"/>
                <w:sz w:val="24"/>
                <w:szCs w:val="24"/>
                <w:highlight w:val="none"/>
                <w:lang w:val="en-US" w:eastAsia="zh-CN" w:bidi="ar-SA"/>
              </w:rPr>
              <w:t>表4-</w:t>
            </w:r>
            <w:r>
              <w:rPr>
                <w:rFonts w:hint="eastAsia" w:ascii="Times New Roman" w:hAnsi="Times New Roman" w:cs="Times New Roman"/>
                <w:b/>
                <w:color w:val="auto"/>
                <w:kern w:val="2"/>
                <w:sz w:val="24"/>
                <w:szCs w:val="24"/>
                <w:highlight w:val="none"/>
                <w:lang w:val="en-US" w:eastAsia="zh-CN" w:bidi="ar-SA"/>
              </w:rPr>
              <w:t>7</w:t>
            </w:r>
            <w:r>
              <w:rPr>
                <w:rFonts w:hint="default" w:ascii="Times New Roman" w:hAnsi="Times New Roman" w:eastAsia="宋体" w:cs="Times New Roman"/>
                <w:b/>
                <w:color w:val="auto"/>
                <w:kern w:val="2"/>
                <w:sz w:val="24"/>
                <w:szCs w:val="24"/>
                <w:highlight w:val="none"/>
                <w:lang w:val="en-US" w:eastAsia="zh-CN" w:bidi="ar-SA"/>
              </w:rPr>
              <w:t xml:space="preserve">  类比变电站监测期间运行工况一览表</w:t>
            </w:r>
          </w:p>
          <w:tbl>
            <w:tblPr>
              <w:tblStyle w:val="83"/>
              <w:tblW w:w="8220" w:type="dxa"/>
              <w:jc w:val="center"/>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Layout w:type="fixed"/>
              <w:tblCellMar>
                <w:top w:w="0" w:type="dxa"/>
                <w:left w:w="0" w:type="dxa"/>
                <w:bottom w:w="0" w:type="dxa"/>
                <w:right w:w="0" w:type="dxa"/>
              </w:tblCellMar>
            </w:tblPr>
            <w:tblGrid>
              <w:gridCol w:w="2470"/>
              <w:gridCol w:w="1058"/>
              <w:gridCol w:w="1029"/>
              <w:gridCol w:w="1826"/>
              <w:gridCol w:w="1837"/>
            </w:tblGrid>
            <w:tr w14:paraId="3538FCA3">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cantSplit/>
                <w:trHeight w:val="0" w:hRule="atLeast"/>
                <w:jc w:val="center"/>
              </w:trPr>
              <w:tc>
                <w:tcPr>
                  <w:tcW w:w="2470" w:type="dxa"/>
                  <w:tcBorders>
                    <w:tl2br w:val="nil"/>
                    <w:tr2bl w:val="nil"/>
                  </w:tcBorders>
                  <w:noWrap w:val="0"/>
                  <w:vAlign w:val="center"/>
                </w:tcPr>
                <w:p w14:paraId="2F9DD780">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5"/>
                      <w:sz w:val="21"/>
                      <w:szCs w:val="21"/>
                    </w:rPr>
                    <w:t>工程名称</w:t>
                  </w:r>
                </w:p>
              </w:tc>
              <w:tc>
                <w:tcPr>
                  <w:tcW w:w="1058" w:type="dxa"/>
                  <w:tcBorders>
                    <w:tl2br w:val="nil"/>
                    <w:tr2bl w:val="nil"/>
                  </w:tcBorders>
                  <w:noWrap w:val="0"/>
                  <w:vAlign w:val="center"/>
                </w:tcPr>
                <w:p w14:paraId="22E83C31">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电压（kV）</w:t>
                  </w:r>
                </w:p>
              </w:tc>
              <w:tc>
                <w:tcPr>
                  <w:tcW w:w="1029" w:type="dxa"/>
                  <w:tcBorders>
                    <w:tl2br w:val="nil"/>
                    <w:tr2bl w:val="nil"/>
                  </w:tcBorders>
                  <w:noWrap w:val="0"/>
                  <w:vAlign w:val="center"/>
                </w:tcPr>
                <w:p w14:paraId="3459CAF1">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bCs/>
                      <w:color w:val="auto"/>
                      <w:spacing w:val="-1"/>
                      <w:sz w:val="21"/>
                      <w:szCs w:val="21"/>
                    </w:rPr>
                    <w:t>电流</w:t>
                  </w:r>
                  <w:r>
                    <w:rPr>
                      <w:rFonts w:hint="default" w:ascii="Times New Roman" w:hAnsi="Times New Roman" w:eastAsia="宋体" w:cs="Times New Roman"/>
                      <w:b/>
                      <w:bCs/>
                      <w:color w:val="auto"/>
                      <w:spacing w:val="-1"/>
                      <w:sz w:val="21"/>
                      <w:szCs w:val="21"/>
                      <w:lang w:eastAsia="zh-CN"/>
                    </w:rPr>
                    <w:t>(A)</w:t>
                  </w:r>
                </w:p>
              </w:tc>
              <w:tc>
                <w:tcPr>
                  <w:tcW w:w="1826" w:type="dxa"/>
                  <w:tcBorders>
                    <w:tl2br w:val="nil"/>
                    <w:tr2bl w:val="nil"/>
                  </w:tcBorders>
                  <w:noWrap w:val="0"/>
                  <w:vAlign w:val="center"/>
                </w:tcPr>
                <w:p w14:paraId="551755B8">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8"/>
                      <w:sz w:val="21"/>
                      <w:szCs w:val="21"/>
                    </w:rPr>
                    <w:t>有功功率（</w:t>
                  </w:r>
                  <w:r>
                    <w:rPr>
                      <w:rFonts w:hint="default" w:ascii="Times New Roman" w:hAnsi="Times New Roman" w:eastAsia="宋体" w:cs="Times New Roman"/>
                      <w:b/>
                      <w:bCs/>
                      <w:color w:val="auto"/>
                      <w:sz w:val="21"/>
                      <w:szCs w:val="21"/>
                    </w:rPr>
                    <w:t>MW</w:t>
                  </w:r>
                  <w:r>
                    <w:rPr>
                      <w:rFonts w:hint="default" w:ascii="Times New Roman" w:hAnsi="Times New Roman" w:eastAsia="宋体" w:cs="Times New Roman"/>
                      <w:b/>
                      <w:bCs/>
                      <w:color w:val="auto"/>
                      <w:spacing w:val="8"/>
                      <w:sz w:val="21"/>
                      <w:szCs w:val="21"/>
                    </w:rPr>
                    <w:t>）</w:t>
                  </w:r>
                </w:p>
              </w:tc>
              <w:tc>
                <w:tcPr>
                  <w:tcW w:w="1837" w:type="dxa"/>
                  <w:tcBorders>
                    <w:tl2br w:val="nil"/>
                    <w:tr2bl w:val="nil"/>
                  </w:tcBorders>
                  <w:noWrap w:val="0"/>
                  <w:vAlign w:val="center"/>
                </w:tcPr>
                <w:p w14:paraId="1183686C">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9"/>
                      <w:sz w:val="21"/>
                      <w:szCs w:val="21"/>
                    </w:rPr>
                    <w:t>无功功率（</w:t>
                  </w:r>
                  <w:r>
                    <w:rPr>
                      <w:rFonts w:hint="default" w:ascii="Times New Roman" w:hAnsi="Times New Roman" w:eastAsia="宋体" w:cs="Times New Roman"/>
                      <w:b/>
                      <w:bCs/>
                      <w:color w:val="auto"/>
                      <w:sz w:val="21"/>
                      <w:szCs w:val="21"/>
                    </w:rPr>
                    <w:t>Mvar</w:t>
                  </w:r>
                  <w:r>
                    <w:rPr>
                      <w:rFonts w:hint="default" w:ascii="Times New Roman" w:hAnsi="Times New Roman" w:eastAsia="宋体" w:cs="Times New Roman"/>
                      <w:b/>
                      <w:bCs/>
                      <w:color w:val="auto"/>
                      <w:spacing w:val="9"/>
                      <w:sz w:val="21"/>
                      <w:szCs w:val="21"/>
                    </w:rPr>
                    <w:t>）</w:t>
                  </w:r>
                </w:p>
              </w:tc>
            </w:tr>
            <w:tr w14:paraId="0714744C">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cantSplit/>
                <w:trHeight w:val="0" w:hRule="atLeast"/>
                <w:jc w:val="center"/>
              </w:trPr>
              <w:tc>
                <w:tcPr>
                  <w:tcW w:w="2470" w:type="dxa"/>
                  <w:tcBorders>
                    <w:tl2br w:val="nil"/>
                    <w:tr2bl w:val="nil"/>
                  </w:tcBorders>
                  <w:noWrap w:val="0"/>
                  <w:vAlign w:val="center"/>
                </w:tcPr>
                <w:p w14:paraId="69FCE784">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lang w:val="en-US" w:eastAsia="zh-CN"/>
                    </w:rPr>
                    <w:t>清水河</w:t>
                  </w:r>
                  <w:r>
                    <w:rPr>
                      <w:rFonts w:hint="default" w:ascii="Times New Roman" w:hAnsi="Times New Roman" w:eastAsia="宋体" w:cs="Times New Roman"/>
                      <w:color w:val="auto"/>
                      <w:spacing w:val="3"/>
                      <w:sz w:val="21"/>
                      <w:szCs w:val="21"/>
                    </w:rPr>
                    <w:t>变</w:t>
                  </w:r>
                  <w:r>
                    <w:rPr>
                      <w:rFonts w:hint="default" w:ascii="Times New Roman" w:hAnsi="Times New Roman" w:eastAsia="宋体" w:cs="Times New Roman"/>
                      <w:color w:val="auto"/>
                      <w:spacing w:val="3"/>
                      <w:sz w:val="21"/>
                      <w:szCs w:val="21"/>
                      <w:lang w:val="en-US" w:eastAsia="zh-CN"/>
                    </w:rPr>
                    <w:t>电站</w:t>
                  </w:r>
                  <w:r>
                    <w:rPr>
                      <w:rFonts w:hint="default" w:ascii="Times New Roman" w:hAnsi="Times New Roman" w:eastAsia="宋体" w:cs="Times New Roman"/>
                      <w:color w:val="auto"/>
                      <w:spacing w:val="-23"/>
                      <w:sz w:val="21"/>
                      <w:szCs w:val="21"/>
                    </w:rPr>
                    <w:t xml:space="preserve"> </w:t>
                  </w:r>
                  <w:r>
                    <w:rPr>
                      <w:rFonts w:hint="default" w:ascii="Times New Roman" w:hAnsi="Times New Roman" w:eastAsia="宋体" w:cs="Times New Roman"/>
                      <w:color w:val="auto"/>
                      <w:spacing w:val="3"/>
                      <w:sz w:val="21"/>
                      <w:szCs w:val="21"/>
                    </w:rPr>
                    <w:t>1号主变</w:t>
                  </w:r>
                </w:p>
              </w:tc>
              <w:tc>
                <w:tcPr>
                  <w:tcW w:w="1058" w:type="dxa"/>
                  <w:tcBorders>
                    <w:tl2br w:val="nil"/>
                    <w:tr2bl w:val="nil"/>
                  </w:tcBorders>
                  <w:noWrap w:val="0"/>
                  <w:vAlign w:val="center"/>
                </w:tcPr>
                <w:p w14:paraId="351649D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lang w:val="en-US" w:eastAsia="zh-CN"/>
                    </w:rPr>
                    <w:t>330</w:t>
                  </w:r>
                </w:p>
              </w:tc>
              <w:tc>
                <w:tcPr>
                  <w:tcW w:w="1029" w:type="dxa"/>
                  <w:tcBorders>
                    <w:tl2br w:val="nil"/>
                    <w:tr2bl w:val="nil"/>
                  </w:tcBorders>
                  <w:noWrap w:val="0"/>
                  <w:vAlign w:val="center"/>
                </w:tcPr>
                <w:p w14:paraId="5D3CD1B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93.3</w:t>
                  </w:r>
                </w:p>
              </w:tc>
              <w:tc>
                <w:tcPr>
                  <w:tcW w:w="1826" w:type="dxa"/>
                  <w:tcBorders>
                    <w:tl2br w:val="nil"/>
                    <w:tr2bl w:val="nil"/>
                  </w:tcBorders>
                  <w:noWrap w:val="0"/>
                  <w:vAlign w:val="center"/>
                </w:tcPr>
                <w:p w14:paraId="26FDF05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2"/>
                      <w:sz w:val="21"/>
                      <w:szCs w:val="21"/>
                      <w:lang w:val="en-US" w:eastAsia="zh-CN"/>
                    </w:rPr>
                    <w:t>9.0</w:t>
                  </w:r>
                </w:p>
              </w:tc>
              <w:tc>
                <w:tcPr>
                  <w:tcW w:w="1837" w:type="dxa"/>
                  <w:tcBorders>
                    <w:tl2br w:val="nil"/>
                    <w:tr2bl w:val="nil"/>
                  </w:tcBorders>
                  <w:noWrap w:val="0"/>
                  <w:vAlign w:val="center"/>
                </w:tcPr>
                <w:p w14:paraId="4CC164D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r>
            <w:tr w14:paraId="090F5E7B">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cantSplit/>
                <w:trHeight w:val="0" w:hRule="atLeast"/>
                <w:jc w:val="center"/>
              </w:trPr>
              <w:tc>
                <w:tcPr>
                  <w:tcW w:w="2470" w:type="dxa"/>
                  <w:tcBorders>
                    <w:tl2br w:val="nil"/>
                    <w:tr2bl w:val="nil"/>
                  </w:tcBorders>
                  <w:noWrap w:val="0"/>
                  <w:vAlign w:val="center"/>
                </w:tcPr>
                <w:p w14:paraId="063071D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lang w:val="en-US" w:eastAsia="zh-CN"/>
                    </w:rPr>
                    <w:t>清水河</w:t>
                  </w:r>
                  <w:r>
                    <w:rPr>
                      <w:rFonts w:hint="default" w:ascii="Times New Roman" w:hAnsi="Times New Roman" w:eastAsia="宋体" w:cs="Times New Roman"/>
                      <w:color w:val="auto"/>
                      <w:spacing w:val="3"/>
                      <w:sz w:val="21"/>
                      <w:szCs w:val="21"/>
                    </w:rPr>
                    <w:t>变</w:t>
                  </w:r>
                  <w:r>
                    <w:rPr>
                      <w:rFonts w:hint="default" w:ascii="Times New Roman" w:hAnsi="Times New Roman" w:eastAsia="宋体" w:cs="Times New Roman"/>
                      <w:color w:val="auto"/>
                      <w:spacing w:val="3"/>
                      <w:sz w:val="21"/>
                      <w:szCs w:val="21"/>
                      <w:lang w:val="en-US" w:eastAsia="zh-CN"/>
                    </w:rPr>
                    <w:t>电站</w:t>
                  </w:r>
                  <w:r>
                    <w:rPr>
                      <w:rFonts w:hint="default" w:ascii="Times New Roman" w:hAnsi="Times New Roman" w:eastAsia="宋体" w:cs="Times New Roman"/>
                      <w:color w:val="auto"/>
                      <w:spacing w:val="-23"/>
                      <w:sz w:val="21"/>
                      <w:szCs w:val="21"/>
                    </w:rPr>
                    <w:t xml:space="preserve"> </w:t>
                  </w:r>
                  <w:r>
                    <w:rPr>
                      <w:rFonts w:hint="default" w:ascii="Times New Roman" w:hAnsi="Times New Roman" w:eastAsia="宋体" w:cs="Times New Roman"/>
                      <w:color w:val="auto"/>
                      <w:spacing w:val="-23"/>
                      <w:sz w:val="21"/>
                      <w:szCs w:val="21"/>
                      <w:lang w:val="en-US" w:eastAsia="zh-CN"/>
                    </w:rPr>
                    <w:t>2</w:t>
                  </w:r>
                  <w:r>
                    <w:rPr>
                      <w:rFonts w:hint="default" w:ascii="Times New Roman" w:hAnsi="Times New Roman" w:eastAsia="宋体" w:cs="Times New Roman"/>
                      <w:color w:val="auto"/>
                      <w:spacing w:val="3"/>
                      <w:sz w:val="21"/>
                      <w:szCs w:val="21"/>
                    </w:rPr>
                    <w:t>号主变</w:t>
                  </w:r>
                </w:p>
              </w:tc>
              <w:tc>
                <w:tcPr>
                  <w:tcW w:w="1058" w:type="dxa"/>
                  <w:tcBorders>
                    <w:tl2br w:val="nil"/>
                    <w:tr2bl w:val="nil"/>
                  </w:tcBorders>
                  <w:noWrap w:val="0"/>
                  <w:vAlign w:val="center"/>
                </w:tcPr>
                <w:p w14:paraId="12B2E9E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lang w:val="en-US" w:eastAsia="zh-CN"/>
                    </w:rPr>
                    <w:t>330</w:t>
                  </w:r>
                </w:p>
              </w:tc>
              <w:tc>
                <w:tcPr>
                  <w:tcW w:w="1029" w:type="dxa"/>
                  <w:tcBorders>
                    <w:tl2br w:val="nil"/>
                    <w:tr2bl w:val="nil"/>
                  </w:tcBorders>
                  <w:noWrap w:val="0"/>
                  <w:vAlign w:val="center"/>
                </w:tcPr>
                <w:p w14:paraId="100C90B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4"/>
                      <w:sz w:val="21"/>
                      <w:szCs w:val="21"/>
                      <w:lang w:val="en-US" w:eastAsia="zh-CN"/>
                    </w:rPr>
                    <w:t>33</w:t>
                  </w:r>
                </w:p>
              </w:tc>
              <w:tc>
                <w:tcPr>
                  <w:tcW w:w="1826" w:type="dxa"/>
                  <w:tcBorders>
                    <w:tl2br w:val="nil"/>
                    <w:tr2bl w:val="nil"/>
                  </w:tcBorders>
                  <w:noWrap w:val="0"/>
                  <w:vAlign w:val="center"/>
                </w:tcPr>
                <w:p w14:paraId="4E9A3E3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2"/>
                      <w:sz w:val="21"/>
                      <w:szCs w:val="21"/>
                      <w:lang w:val="en-US" w:eastAsia="zh-CN"/>
                    </w:rPr>
                    <w:t>6.4</w:t>
                  </w:r>
                </w:p>
              </w:tc>
              <w:tc>
                <w:tcPr>
                  <w:tcW w:w="1837" w:type="dxa"/>
                  <w:tcBorders>
                    <w:tl2br w:val="nil"/>
                    <w:tr2bl w:val="nil"/>
                  </w:tcBorders>
                  <w:noWrap w:val="0"/>
                  <w:vAlign w:val="center"/>
                </w:tcPr>
                <w:p w14:paraId="4A04BD7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2"/>
                      <w:sz w:val="21"/>
                      <w:szCs w:val="21"/>
                      <w:lang w:val="en-US" w:eastAsia="zh-CN"/>
                    </w:rPr>
                    <w:t>90</w:t>
                  </w:r>
                </w:p>
              </w:tc>
            </w:tr>
            <w:tr w14:paraId="0BA2BF2C">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cantSplit/>
                <w:trHeight w:val="0" w:hRule="atLeast"/>
                <w:jc w:val="center"/>
              </w:trPr>
              <w:tc>
                <w:tcPr>
                  <w:tcW w:w="2470" w:type="dxa"/>
                  <w:tcBorders>
                    <w:tl2br w:val="nil"/>
                    <w:tr2bl w:val="nil"/>
                  </w:tcBorders>
                  <w:noWrap w:val="0"/>
                  <w:vAlign w:val="center"/>
                </w:tcPr>
                <w:p w14:paraId="1334152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lang w:val="en-US" w:eastAsia="zh-CN"/>
                    </w:rPr>
                    <w:t>清水河</w:t>
                  </w:r>
                  <w:r>
                    <w:rPr>
                      <w:rFonts w:hint="default" w:ascii="Times New Roman" w:hAnsi="Times New Roman" w:eastAsia="宋体" w:cs="Times New Roman"/>
                      <w:color w:val="auto"/>
                      <w:spacing w:val="3"/>
                      <w:sz w:val="21"/>
                      <w:szCs w:val="21"/>
                    </w:rPr>
                    <w:t>变</w:t>
                  </w:r>
                  <w:r>
                    <w:rPr>
                      <w:rFonts w:hint="default" w:ascii="Times New Roman" w:hAnsi="Times New Roman" w:eastAsia="宋体" w:cs="Times New Roman"/>
                      <w:color w:val="auto"/>
                      <w:spacing w:val="3"/>
                      <w:sz w:val="21"/>
                      <w:szCs w:val="21"/>
                      <w:lang w:val="en-US" w:eastAsia="zh-CN"/>
                    </w:rPr>
                    <w:t>电站3</w:t>
                  </w:r>
                  <w:r>
                    <w:rPr>
                      <w:rFonts w:hint="default" w:ascii="Times New Roman" w:hAnsi="Times New Roman" w:eastAsia="宋体" w:cs="Times New Roman"/>
                      <w:color w:val="auto"/>
                      <w:spacing w:val="3"/>
                      <w:sz w:val="21"/>
                      <w:szCs w:val="21"/>
                    </w:rPr>
                    <w:t>号主变</w:t>
                  </w:r>
                </w:p>
              </w:tc>
              <w:tc>
                <w:tcPr>
                  <w:tcW w:w="1058" w:type="dxa"/>
                  <w:tcBorders>
                    <w:tl2br w:val="nil"/>
                    <w:tr2bl w:val="nil"/>
                  </w:tcBorders>
                  <w:noWrap w:val="0"/>
                  <w:vAlign w:val="center"/>
                </w:tcPr>
                <w:p w14:paraId="390D9A8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lang w:val="en-US" w:eastAsia="zh-CN"/>
                    </w:rPr>
                    <w:t>330</w:t>
                  </w:r>
                </w:p>
              </w:tc>
              <w:tc>
                <w:tcPr>
                  <w:tcW w:w="1029" w:type="dxa"/>
                  <w:tcBorders>
                    <w:tl2br w:val="nil"/>
                    <w:tr2bl w:val="nil"/>
                  </w:tcBorders>
                  <w:noWrap w:val="0"/>
                  <w:vAlign w:val="center"/>
                </w:tcPr>
                <w:p w14:paraId="0F860E7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4"/>
                      <w:sz w:val="21"/>
                      <w:szCs w:val="21"/>
                      <w:lang w:val="en-US" w:eastAsia="zh-CN"/>
                    </w:rPr>
                    <w:t>53.2</w:t>
                  </w:r>
                </w:p>
              </w:tc>
              <w:tc>
                <w:tcPr>
                  <w:tcW w:w="1826" w:type="dxa"/>
                  <w:tcBorders>
                    <w:tl2br w:val="nil"/>
                    <w:tr2bl w:val="nil"/>
                  </w:tcBorders>
                  <w:noWrap w:val="0"/>
                  <w:vAlign w:val="center"/>
                </w:tcPr>
                <w:p w14:paraId="4C77AA7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lang w:val="en-US" w:eastAsia="zh-CN"/>
                    </w:rPr>
                    <w:t>9.6</w:t>
                  </w:r>
                </w:p>
              </w:tc>
              <w:tc>
                <w:tcPr>
                  <w:tcW w:w="1837" w:type="dxa"/>
                  <w:tcBorders>
                    <w:tl2br w:val="nil"/>
                    <w:tr2bl w:val="nil"/>
                  </w:tcBorders>
                  <w:noWrap w:val="0"/>
                  <w:vAlign w:val="center"/>
                </w:tcPr>
                <w:p w14:paraId="59B3938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lang w:val="en-US" w:eastAsia="zh-CN"/>
                    </w:rPr>
                    <w:t>70</w:t>
                  </w:r>
                </w:p>
              </w:tc>
            </w:tr>
          </w:tbl>
          <w:p w14:paraId="1B0BCF1B">
            <w:pPr>
              <w:widowControl/>
              <w:jc w:val="center"/>
              <w:rPr>
                <w:rFonts w:hint="default" w:ascii="Times New Roman" w:hAnsi="Times New Roman" w:eastAsia="仿宋_GB2312" w:cs="Times New Roman"/>
                <w:color w:val="auto"/>
                <w:highlight w:val="none"/>
                <w:lang w:eastAsia="zh-CN"/>
              </w:rPr>
            </w:pPr>
            <w:r>
              <w:rPr>
                <w:rFonts w:hint="default" w:ascii="Times New Roman" w:hAnsi="Times New Roman" w:eastAsia="仿宋_GB2312" w:cs="Times New Roman"/>
                <w:color w:val="auto"/>
                <w:highlight w:val="none"/>
                <w:lang w:eastAsia="zh-CN"/>
              </w:rPr>
              <w:drawing>
                <wp:inline distT="0" distB="0" distL="114300" distR="114300">
                  <wp:extent cx="5264785" cy="3847465"/>
                  <wp:effectExtent l="0" t="0" r="12065" b="635"/>
                  <wp:docPr id="40" name="图片 40" descr="类比变电站清水河330千伏变电站噪声监测点位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类比变电站清水河330千伏变电站噪声监测点位图副本"/>
                          <pic:cNvPicPr>
                            <a:picLocks noChangeAspect="1"/>
                          </pic:cNvPicPr>
                        </pic:nvPicPr>
                        <pic:blipFill>
                          <a:blip r:embed="rId55"/>
                          <a:stretch>
                            <a:fillRect/>
                          </a:stretch>
                        </pic:blipFill>
                        <pic:spPr>
                          <a:xfrm>
                            <a:off x="0" y="0"/>
                            <a:ext cx="5264785" cy="3847465"/>
                          </a:xfrm>
                          <a:prstGeom prst="rect">
                            <a:avLst/>
                          </a:prstGeom>
                        </pic:spPr>
                      </pic:pic>
                    </a:graphicData>
                  </a:graphic>
                </wp:inline>
              </w:drawing>
            </w:r>
          </w:p>
          <w:p w14:paraId="18E703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bCs/>
                <w:color w:val="auto"/>
                <w:kern w:val="2"/>
                <w:sz w:val="24"/>
                <w:szCs w:val="20"/>
                <w:highlight w:val="none"/>
              </w:rPr>
            </w:pPr>
            <w:r>
              <w:rPr>
                <w:rFonts w:hint="default" w:ascii="Times New Roman" w:hAnsi="Times New Roman" w:eastAsia="宋体" w:cs="Times New Roman"/>
                <w:b/>
                <w:bCs/>
                <w:color w:val="auto"/>
                <w:kern w:val="2"/>
                <w:sz w:val="24"/>
                <w:szCs w:val="20"/>
                <w:highlight w:val="none"/>
              </w:rPr>
              <w:t>图</w:t>
            </w:r>
            <w:r>
              <w:rPr>
                <w:rFonts w:hint="default" w:ascii="Times New Roman" w:hAnsi="Times New Roman" w:eastAsia="宋体" w:cs="Times New Roman"/>
                <w:b/>
                <w:bCs/>
                <w:color w:val="auto"/>
                <w:kern w:val="2"/>
                <w:sz w:val="24"/>
                <w:szCs w:val="20"/>
                <w:highlight w:val="none"/>
                <w:lang w:val="en-US" w:eastAsia="zh-CN"/>
              </w:rPr>
              <w:t>4</w:t>
            </w:r>
            <w:r>
              <w:rPr>
                <w:rFonts w:hint="default" w:ascii="Times New Roman" w:hAnsi="Times New Roman" w:eastAsia="宋体" w:cs="Times New Roman"/>
                <w:b/>
                <w:bCs/>
                <w:color w:val="auto"/>
                <w:kern w:val="2"/>
                <w:sz w:val="24"/>
                <w:szCs w:val="20"/>
                <w:highlight w:val="none"/>
              </w:rPr>
              <w:t xml:space="preserve">-1 </w:t>
            </w:r>
            <w:r>
              <w:rPr>
                <w:rFonts w:hint="default" w:ascii="Times New Roman" w:hAnsi="Times New Roman" w:eastAsia="宋体" w:cs="Times New Roman"/>
                <w:b/>
                <w:bCs/>
                <w:color w:val="auto"/>
                <w:kern w:val="2"/>
                <w:sz w:val="24"/>
                <w:szCs w:val="20"/>
                <w:highlight w:val="none"/>
                <w:lang w:val="en-US" w:eastAsia="zh-CN"/>
              </w:rPr>
              <w:t xml:space="preserve"> 类比</w:t>
            </w:r>
            <w:r>
              <w:rPr>
                <w:rFonts w:hint="default" w:ascii="Times New Roman" w:hAnsi="Times New Roman" w:eastAsia="宋体" w:cs="Times New Roman"/>
                <w:b/>
                <w:bCs/>
                <w:color w:val="auto"/>
                <w:kern w:val="2"/>
                <w:sz w:val="24"/>
                <w:szCs w:val="28"/>
                <w:highlight w:val="none"/>
              </w:rPr>
              <w:t>330</w:t>
            </w:r>
            <w:r>
              <w:rPr>
                <w:rFonts w:hint="default" w:ascii="Times New Roman" w:hAnsi="Times New Roman" w:eastAsia="宋体" w:cs="Times New Roman"/>
                <w:b/>
                <w:bCs/>
                <w:color w:val="auto"/>
                <w:kern w:val="2"/>
                <w:sz w:val="24"/>
                <w:szCs w:val="28"/>
                <w:highlight w:val="none"/>
                <w:lang w:val="en-US" w:eastAsia="zh-CN"/>
              </w:rPr>
              <w:t>千伏</w:t>
            </w:r>
            <w:r>
              <w:rPr>
                <w:rFonts w:hint="default" w:ascii="Times New Roman" w:hAnsi="Times New Roman" w:eastAsia="宋体" w:cs="Times New Roman"/>
                <w:b/>
                <w:bCs/>
                <w:color w:val="auto"/>
                <w:kern w:val="2"/>
                <w:sz w:val="24"/>
                <w:szCs w:val="28"/>
                <w:highlight w:val="none"/>
              </w:rPr>
              <w:t>变电站监测点位示意图</w:t>
            </w:r>
          </w:p>
          <w:p w14:paraId="52EF9EEA">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）类比监测结果</w:t>
            </w:r>
          </w:p>
          <w:p w14:paraId="5D2D9286">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类比</w:t>
            </w:r>
            <w:r>
              <w:rPr>
                <w:rFonts w:hint="eastAsia" w:ascii="Times New Roman" w:hAnsi="Times New Roman" w:eastAsia="宋体" w:cs="Times New Roman"/>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cs="Times New Roman"/>
                <w:color w:val="auto"/>
                <w:sz w:val="24"/>
                <w:szCs w:val="24"/>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噪声</w:t>
            </w:r>
            <w:r>
              <w:rPr>
                <w:rFonts w:hint="default" w:ascii="Times New Roman" w:hAnsi="Times New Roman" w:eastAsia="宋体" w:cs="Times New Roman"/>
                <w:color w:val="auto"/>
                <w:sz w:val="24"/>
                <w:highlight w:val="none"/>
              </w:rPr>
              <w:t>监测点布</w:t>
            </w:r>
            <w:r>
              <w:rPr>
                <w:rFonts w:hint="default" w:ascii="Times New Roman" w:hAnsi="Times New Roman" w:eastAsia="宋体" w:cs="Times New Roman"/>
                <w:color w:val="auto"/>
                <w:sz w:val="24"/>
                <w:highlight w:val="none"/>
                <w:lang w:val="en-US" w:eastAsia="zh-CN"/>
              </w:rPr>
              <w:t>置</w:t>
            </w:r>
            <w:r>
              <w:rPr>
                <w:rFonts w:hint="default" w:ascii="Times New Roman" w:hAnsi="Times New Roman" w:eastAsia="宋体" w:cs="Times New Roman"/>
                <w:color w:val="auto"/>
                <w:sz w:val="24"/>
                <w:highlight w:val="none"/>
              </w:rPr>
              <w:t>于变电站围墙外</w:t>
            </w:r>
            <w:r>
              <w:rPr>
                <w:rFonts w:hint="default" w:ascii="Times New Roman" w:hAnsi="Times New Roman" w:eastAsia="宋体" w:cs="Times New Roman"/>
                <w:color w:val="auto"/>
                <w:sz w:val="24"/>
                <w:highlight w:val="none"/>
                <w:lang w:val="en-US" w:eastAsia="zh-CN"/>
              </w:rPr>
              <w:t>1m处</w:t>
            </w:r>
            <w:r>
              <w:rPr>
                <w:rFonts w:hint="default" w:ascii="Times New Roman" w:hAnsi="Times New Roman" w:eastAsia="宋体" w:cs="Times New Roman"/>
                <w:color w:val="auto"/>
                <w:sz w:val="24"/>
                <w:highlight w:val="none"/>
              </w:rPr>
              <w:t>、测量离地1.5m高处的</w:t>
            </w:r>
            <w:r>
              <w:rPr>
                <w:rFonts w:hint="default" w:ascii="Times New Roman" w:hAnsi="Times New Roman" w:eastAsia="宋体" w:cs="Times New Roman"/>
                <w:color w:val="auto"/>
                <w:sz w:val="24"/>
                <w:highlight w:val="none"/>
                <w:lang w:val="en-US" w:eastAsia="zh-CN"/>
              </w:rPr>
              <w:t>声环境质量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具体监测</w:t>
            </w:r>
            <w:r>
              <w:rPr>
                <w:rFonts w:hint="default" w:ascii="Times New Roman" w:hAnsi="Times New Roman" w:eastAsia="宋体" w:cs="Times New Roman"/>
                <w:color w:val="auto"/>
                <w:sz w:val="24"/>
                <w:highlight w:val="none"/>
              </w:rPr>
              <w:t>结果见表</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8</w:t>
            </w:r>
            <w:r>
              <w:rPr>
                <w:rFonts w:hint="default" w:ascii="Times New Roman" w:hAnsi="Times New Roman" w:eastAsia="宋体" w:cs="Times New Roman"/>
                <w:color w:val="auto"/>
                <w:sz w:val="24"/>
                <w:highlight w:val="none"/>
              </w:rPr>
              <w:t>。</w:t>
            </w:r>
          </w:p>
          <w:p w14:paraId="3568EF3E">
            <w:pPr>
              <w:spacing w:line="24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rPr>
              <w:t>-</w:t>
            </w:r>
            <w:r>
              <w:rPr>
                <w:rFonts w:hint="eastAsia" w:cs="Times New Roman"/>
                <w:b/>
                <w:color w:val="auto"/>
                <w:sz w:val="24"/>
                <w:highlight w:val="none"/>
                <w:lang w:val="en-US" w:eastAsia="zh-CN"/>
              </w:rPr>
              <w:t>8</w:t>
            </w:r>
            <w:r>
              <w:rPr>
                <w:rFonts w:hint="default" w:ascii="Times New Roman" w:hAnsi="Times New Roman" w:eastAsia="宋体" w:cs="Times New Roman"/>
                <w:b/>
                <w:color w:val="auto"/>
                <w:sz w:val="24"/>
                <w:highlight w:val="none"/>
              </w:rPr>
              <w:t xml:space="preserve">  </w:t>
            </w:r>
            <w:r>
              <w:rPr>
                <w:rFonts w:hint="default" w:ascii="Times New Roman" w:hAnsi="Times New Roman" w:eastAsia="宋体" w:cs="Times New Roman"/>
                <w:b/>
                <w:color w:val="auto"/>
                <w:sz w:val="24"/>
                <w:highlight w:val="none"/>
                <w:lang w:val="en-US" w:eastAsia="zh-CN"/>
              </w:rPr>
              <w:t>清水河</w:t>
            </w:r>
            <w:r>
              <w:rPr>
                <w:rFonts w:hint="default" w:ascii="Times New Roman" w:hAnsi="Times New Roman" w:eastAsia="宋体" w:cs="Times New Roman"/>
                <w:b/>
                <w:color w:val="auto"/>
                <w:sz w:val="24"/>
                <w:highlight w:val="none"/>
              </w:rPr>
              <w:t>330</w:t>
            </w:r>
            <w:r>
              <w:rPr>
                <w:rFonts w:hint="default" w:ascii="Times New Roman" w:hAnsi="Times New Roman" w:eastAsia="宋体" w:cs="Times New Roman"/>
                <w:b/>
                <w:color w:val="auto"/>
                <w:sz w:val="24"/>
                <w:highlight w:val="none"/>
                <w:lang w:val="en-US" w:eastAsia="zh-CN"/>
              </w:rPr>
              <w:t>千伏</w:t>
            </w:r>
            <w:r>
              <w:rPr>
                <w:rFonts w:hint="default" w:ascii="Times New Roman" w:hAnsi="Times New Roman" w:eastAsia="宋体" w:cs="Times New Roman"/>
                <w:b/>
                <w:color w:val="auto"/>
                <w:sz w:val="24"/>
                <w:highlight w:val="none"/>
              </w:rPr>
              <w:t>变电站</w:t>
            </w:r>
            <w:r>
              <w:rPr>
                <w:rFonts w:hint="default" w:ascii="Times New Roman" w:hAnsi="Times New Roman" w:eastAsia="宋体" w:cs="Times New Roman"/>
                <w:b/>
                <w:color w:val="auto"/>
                <w:sz w:val="24"/>
                <w:highlight w:val="none"/>
                <w:lang w:val="en-US" w:eastAsia="zh-CN"/>
              </w:rPr>
              <w:t>声环境质量监测</w:t>
            </w:r>
            <w:r>
              <w:rPr>
                <w:rFonts w:hint="default" w:ascii="Times New Roman" w:hAnsi="Times New Roman" w:eastAsia="宋体" w:cs="Times New Roman"/>
                <w:b/>
                <w:color w:val="auto"/>
                <w:sz w:val="24"/>
                <w:highlight w:val="none"/>
              </w:rPr>
              <w:t>结果</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4"/>
              <w:gridCol w:w="2971"/>
              <w:gridCol w:w="1580"/>
              <w:gridCol w:w="1391"/>
              <w:gridCol w:w="1634"/>
            </w:tblGrid>
            <w:tr w14:paraId="0174F6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91" w:type="pct"/>
                  <w:noWrap w:val="0"/>
                  <w:vAlign w:val="center"/>
                </w:tcPr>
                <w:p w14:paraId="1023F2A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val="0"/>
                      <w:iCs/>
                      <w:color w:val="auto"/>
                      <w:kern w:val="2"/>
                      <w:sz w:val="21"/>
                      <w:szCs w:val="21"/>
                      <w:highlight w:val="none"/>
                      <w:lang w:val="en-US" w:eastAsia="zh-CN"/>
                    </w:rPr>
                  </w:pPr>
                  <w:r>
                    <w:rPr>
                      <w:rFonts w:hint="default" w:ascii="Times New Roman" w:hAnsi="Times New Roman" w:eastAsia="宋体" w:cs="Times New Roman"/>
                      <w:b/>
                      <w:bCs w:val="0"/>
                      <w:iCs/>
                      <w:color w:val="auto"/>
                      <w:kern w:val="2"/>
                      <w:sz w:val="21"/>
                      <w:szCs w:val="21"/>
                      <w:highlight w:val="none"/>
                      <w:lang w:val="en-US" w:eastAsia="zh-CN"/>
                    </w:rPr>
                    <w:t>序号</w:t>
                  </w:r>
                </w:p>
              </w:tc>
              <w:tc>
                <w:tcPr>
                  <w:tcW w:w="1807" w:type="pct"/>
                  <w:noWrap w:val="0"/>
                  <w:vAlign w:val="center"/>
                </w:tcPr>
                <w:p w14:paraId="5F85D05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val="0"/>
                      <w:iCs/>
                      <w:color w:val="auto"/>
                      <w:kern w:val="2"/>
                      <w:sz w:val="21"/>
                      <w:szCs w:val="21"/>
                      <w:highlight w:val="none"/>
                    </w:rPr>
                  </w:pPr>
                  <w:r>
                    <w:rPr>
                      <w:rFonts w:hint="default" w:ascii="Times New Roman" w:hAnsi="Times New Roman" w:eastAsia="宋体" w:cs="Times New Roman"/>
                      <w:b/>
                      <w:bCs w:val="0"/>
                      <w:iCs/>
                      <w:color w:val="auto"/>
                      <w:kern w:val="2"/>
                      <w:sz w:val="21"/>
                      <w:szCs w:val="21"/>
                      <w:highlight w:val="none"/>
                    </w:rPr>
                    <w:t>点位描述</w:t>
                  </w:r>
                </w:p>
              </w:tc>
              <w:tc>
                <w:tcPr>
                  <w:tcW w:w="961" w:type="pct"/>
                  <w:noWrap w:val="0"/>
                  <w:vAlign w:val="center"/>
                </w:tcPr>
                <w:p w14:paraId="6778D5C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val="0"/>
                      <w:color w:val="auto"/>
                      <w:kern w:val="2"/>
                      <w:sz w:val="21"/>
                      <w:szCs w:val="21"/>
                      <w:highlight w:val="none"/>
                      <w:lang w:val="en-US" w:eastAsia="zh-CN"/>
                    </w:rPr>
                  </w:pPr>
                  <w:r>
                    <w:rPr>
                      <w:rFonts w:hint="default" w:ascii="Times New Roman" w:hAnsi="Times New Roman" w:eastAsia="宋体" w:cs="Times New Roman"/>
                      <w:b/>
                      <w:bCs w:val="0"/>
                      <w:color w:val="auto"/>
                      <w:kern w:val="2"/>
                      <w:sz w:val="21"/>
                      <w:szCs w:val="21"/>
                      <w:highlight w:val="none"/>
                      <w:lang w:val="en-US" w:eastAsia="zh-CN"/>
                    </w:rPr>
                    <w:t>测量高度（m）</w:t>
                  </w:r>
                </w:p>
              </w:tc>
              <w:tc>
                <w:tcPr>
                  <w:tcW w:w="846" w:type="pct"/>
                  <w:noWrap w:val="0"/>
                  <w:vAlign w:val="center"/>
                </w:tcPr>
                <w:p w14:paraId="7C72265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val="0"/>
                      <w:color w:val="auto"/>
                      <w:kern w:val="2"/>
                      <w:sz w:val="21"/>
                      <w:szCs w:val="21"/>
                      <w:highlight w:val="none"/>
                      <w:lang w:val="en-US" w:eastAsia="zh-CN"/>
                    </w:rPr>
                  </w:pPr>
                  <w:r>
                    <w:rPr>
                      <w:rFonts w:hint="default" w:ascii="Times New Roman" w:hAnsi="Times New Roman" w:eastAsia="宋体" w:cs="Times New Roman"/>
                      <w:b/>
                      <w:bCs w:val="0"/>
                      <w:color w:val="auto"/>
                      <w:kern w:val="2"/>
                      <w:sz w:val="21"/>
                      <w:szCs w:val="21"/>
                      <w:highlight w:val="none"/>
                      <w:lang w:val="en-US" w:eastAsia="zh-CN"/>
                    </w:rPr>
                    <w:t>昼间</w:t>
                  </w:r>
                  <w:r>
                    <w:rPr>
                      <w:rFonts w:hint="default" w:ascii="Times New Roman" w:hAnsi="Times New Roman" w:eastAsia="宋体" w:cs="Times New Roman"/>
                      <w:b/>
                      <w:bCs/>
                      <w:color w:val="auto"/>
                      <w:spacing w:val="23"/>
                      <w:w w:val="109"/>
                      <w:sz w:val="21"/>
                      <w:szCs w:val="21"/>
                    </w:rPr>
                    <w:t>dB(A)</w:t>
                  </w:r>
                </w:p>
              </w:tc>
              <w:tc>
                <w:tcPr>
                  <w:tcW w:w="993" w:type="pct"/>
                  <w:noWrap w:val="0"/>
                  <w:vAlign w:val="center"/>
                </w:tcPr>
                <w:p w14:paraId="27A35A6B">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color w:val="auto"/>
                      <w:spacing w:val="23"/>
                      <w:w w:val="109"/>
                      <w:sz w:val="21"/>
                      <w:szCs w:val="21"/>
                    </w:rPr>
                    <w:t>夜间dB(A)</w:t>
                  </w:r>
                </w:p>
              </w:tc>
            </w:tr>
            <w:tr w14:paraId="721A20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91" w:type="pct"/>
                  <w:noWrap w:val="0"/>
                  <w:vAlign w:val="center"/>
                </w:tcPr>
                <w:p w14:paraId="322CA4BF">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color w:val="auto"/>
                      <w:spacing w:val="3"/>
                      <w:sz w:val="21"/>
                      <w:szCs w:val="21"/>
                      <w:lang w:val="en-US" w:eastAsia="zh-CN"/>
                    </w:rPr>
                    <w:t>1</w:t>
                  </w:r>
                </w:p>
              </w:tc>
              <w:tc>
                <w:tcPr>
                  <w:tcW w:w="1807" w:type="pct"/>
                  <w:noWrap w:val="0"/>
                  <w:vAlign w:val="center"/>
                </w:tcPr>
                <w:p w14:paraId="52CDACAE">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spacing w:val="3"/>
                      <w:sz w:val="21"/>
                      <w:szCs w:val="21"/>
                    </w:rPr>
                    <w:t>变电站站西侧墙外</w:t>
                  </w:r>
                  <w:r>
                    <w:rPr>
                      <w:rFonts w:hint="default" w:ascii="Times New Roman" w:hAnsi="Times New Roman" w:eastAsia="宋体" w:cs="Times New Roman"/>
                      <w:color w:val="auto"/>
                      <w:spacing w:val="3"/>
                      <w:sz w:val="21"/>
                      <w:szCs w:val="21"/>
                      <w:lang w:val="en-US" w:eastAsia="zh-CN"/>
                    </w:rPr>
                    <w:t>1</w:t>
                  </w:r>
                  <w:r>
                    <w:rPr>
                      <w:rFonts w:hint="default" w:ascii="Times New Roman" w:hAnsi="Times New Roman" w:eastAsia="宋体" w:cs="Times New Roman"/>
                      <w:color w:val="auto"/>
                      <w:spacing w:val="3"/>
                      <w:sz w:val="21"/>
                      <w:szCs w:val="21"/>
                    </w:rPr>
                    <w:t>m处</w:t>
                  </w:r>
                </w:p>
              </w:tc>
              <w:tc>
                <w:tcPr>
                  <w:tcW w:w="961" w:type="pct"/>
                  <w:noWrap w:val="0"/>
                  <w:vAlign w:val="center"/>
                </w:tcPr>
                <w:p w14:paraId="6F5A41CC">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7"/>
                      <w:sz w:val="21"/>
                      <w:szCs w:val="21"/>
                    </w:rPr>
                    <w:t>1.5</w:t>
                  </w:r>
                </w:p>
              </w:tc>
              <w:tc>
                <w:tcPr>
                  <w:tcW w:w="846" w:type="pct"/>
                  <w:noWrap w:val="0"/>
                  <w:vAlign w:val="center"/>
                </w:tcPr>
                <w:p w14:paraId="552166E7">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2"/>
                      <w:sz w:val="21"/>
                      <w:szCs w:val="21"/>
                    </w:rPr>
                    <w:t>45.8</w:t>
                  </w:r>
                </w:p>
              </w:tc>
              <w:tc>
                <w:tcPr>
                  <w:tcW w:w="993" w:type="pct"/>
                  <w:noWrap w:val="0"/>
                  <w:vAlign w:val="center"/>
                </w:tcPr>
                <w:p w14:paraId="42853D46">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43.2</w:t>
                  </w:r>
                </w:p>
              </w:tc>
            </w:tr>
            <w:tr w14:paraId="7900B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91" w:type="pct"/>
                  <w:noWrap w:val="0"/>
                  <w:vAlign w:val="center"/>
                </w:tcPr>
                <w:p w14:paraId="1772514F">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color w:val="auto"/>
                      <w:spacing w:val="3"/>
                      <w:sz w:val="21"/>
                      <w:szCs w:val="21"/>
                      <w:lang w:val="en-US" w:eastAsia="zh-CN"/>
                    </w:rPr>
                    <w:t>2</w:t>
                  </w:r>
                </w:p>
              </w:tc>
              <w:tc>
                <w:tcPr>
                  <w:tcW w:w="1807" w:type="pct"/>
                  <w:noWrap w:val="0"/>
                  <w:vAlign w:val="center"/>
                </w:tcPr>
                <w:p w14:paraId="1CDA14AE">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spacing w:val="3"/>
                      <w:sz w:val="21"/>
                      <w:szCs w:val="21"/>
                    </w:rPr>
                    <w:t>变电站站南偏西侧墙外</w:t>
                  </w:r>
                  <w:r>
                    <w:rPr>
                      <w:rFonts w:hint="default" w:ascii="Times New Roman" w:hAnsi="Times New Roman" w:eastAsia="宋体" w:cs="Times New Roman"/>
                      <w:color w:val="auto"/>
                      <w:spacing w:val="3"/>
                      <w:sz w:val="21"/>
                      <w:szCs w:val="21"/>
                      <w:lang w:val="en-US" w:eastAsia="zh-CN"/>
                    </w:rPr>
                    <w:t>1</w:t>
                  </w:r>
                  <w:r>
                    <w:rPr>
                      <w:rFonts w:hint="default" w:ascii="Times New Roman" w:hAnsi="Times New Roman" w:eastAsia="宋体" w:cs="Times New Roman"/>
                      <w:color w:val="auto"/>
                      <w:spacing w:val="3"/>
                      <w:sz w:val="21"/>
                      <w:szCs w:val="21"/>
                    </w:rPr>
                    <w:t>m处</w:t>
                  </w:r>
                </w:p>
              </w:tc>
              <w:tc>
                <w:tcPr>
                  <w:tcW w:w="961" w:type="pct"/>
                  <w:noWrap w:val="0"/>
                  <w:vAlign w:val="center"/>
                </w:tcPr>
                <w:p w14:paraId="37EE9E3C">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7"/>
                      <w:sz w:val="21"/>
                      <w:szCs w:val="21"/>
                    </w:rPr>
                    <w:t>1.5</w:t>
                  </w:r>
                </w:p>
              </w:tc>
              <w:tc>
                <w:tcPr>
                  <w:tcW w:w="846" w:type="pct"/>
                  <w:noWrap w:val="0"/>
                  <w:vAlign w:val="center"/>
                </w:tcPr>
                <w:p w14:paraId="5E1E72E7">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2"/>
                      <w:sz w:val="21"/>
                      <w:szCs w:val="21"/>
                    </w:rPr>
                    <w:t>44.7</w:t>
                  </w:r>
                </w:p>
              </w:tc>
              <w:tc>
                <w:tcPr>
                  <w:tcW w:w="993" w:type="pct"/>
                  <w:noWrap w:val="0"/>
                  <w:vAlign w:val="center"/>
                </w:tcPr>
                <w:p w14:paraId="5E917476">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42.8</w:t>
                  </w:r>
                </w:p>
              </w:tc>
            </w:tr>
            <w:tr w14:paraId="73CB3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91" w:type="pct"/>
                  <w:noWrap w:val="0"/>
                  <w:vAlign w:val="center"/>
                </w:tcPr>
                <w:p w14:paraId="654D5207">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color w:val="auto"/>
                      <w:spacing w:val="3"/>
                      <w:sz w:val="21"/>
                      <w:szCs w:val="21"/>
                      <w:lang w:val="en-US" w:eastAsia="zh-CN"/>
                    </w:rPr>
                    <w:t>3</w:t>
                  </w:r>
                </w:p>
              </w:tc>
              <w:tc>
                <w:tcPr>
                  <w:tcW w:w="1807" w:type="pct"/>
                  <w:noWrap w:val="0"/>
                  <w:vAlign w:val="center"/>
                </w:tcPr>
                <w:p w14:paraId="3B262560">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spacing w:val="3"/>
                      <w:sz w:val="21"/>
                      <w:szCs w:val="21"/>
                    </w:rPr>
                    <w:t>变电站站南偏东侧墙外</w:t>
                  </w:r>
                  <w:r>
                    <w:rPr>
                      <w:rFonts w:hint="default" w:ascii="Times New Roman" w:hAnsi="Times New Roman" w:eastAsia="宋体" w:cs="Times New Roman"/>
                      <w:color w:val="auto"/>
                      <w:spacing w:val="3"/>
                      <w:sz w:val="21"/>
                      <w:szCs w:val="21"/>
                      <w:lang w:val="en-US" w:eastAsia="zh-CN"/>
                    </w:rPr>
                    <w:t>1</w:t>
                  </w:r>
                  <w:r>
                    <w:rPr>
                      <w:rFonts w:hint="default" w:ascii="Times New Roman" w:hAnsi="Times New Roman" w:eastAsia="宋体" w:cs="Times New Roman"/>
                      <w:color w:val="auto"/>
                      <w:spacing w:val="3"/>
                      <w:sz w:val="21"/>
                      <w:szCs w:val="21"/>
                    </w:rPr>
                    <w:t>m处</w:t>
                  </w:r>
                </w:p>
              </w:tc>
              <w:tc>
                <w:tcPr>
                  <w:tcW w:w="961" w:type="pct"/>
                  <w:noWrap w:val="0"/>
                  <w:vAlign w:val="center"/>
                </w:tcPr>
                <w:p w14:paraId="2745C184">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7"/>
                      <w:sz w:val="21"/>
                      <w:szCs w:val="21"/>
                    </w:rPr>
                    <w:t>1.5</w:t>
                  </w:r>
                </w:p>
              </w:tc>
              <w:tc>
                <w:tcPr>
                  <w:tcW w:w="846" w:type="pct"/>
                  <w:noWrap w:val="0"/>
                  <w:vAlign w:val="center"/>
                </w:tcPr>
                <w:p w14:paraId="58EF55B8">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2"/>
                      <w:sz w:val="21"/>
                      <w:szCs w:val="21"/>
                    </w:rPr>
                    <w:t>46.0</w:t>
                  </w:r>
                </w:p>
              </w:tc>
              <w:tc>
                <w:tcPr>
                  <w:tcW w:w="993" w:type="pct"/>
                  <w:noWrap w:val="0"/>
                  <w:vAlign w:val="center"/>
                </w:tcPr>
                <w:p w14:paraId="0214BB45">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42.6</w:t>
                  </w:r>
                </w:p>
              </w:tc>
            </w:tr>
            <w:tr w14:paraId="5A037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91" w:type="pct"/>
                  <w:noWrap w:val="0"/>
                  <w:vAlign w:val="center"/>
                </w:tcPr>
                <w:p w14:paraId="348BB58B">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color w:val="auto"/>
                      <w:spacing w:val="3"/>
                      <w:sz w:val="21"/>
                      <w:szCs w:val="21"/>
                      <w:lang w:val="en-US" w:eastAsia="zh-CN"/>
                    </w:rPr>
                    <w:t>4</w:t>
                  </w:r>
                </w:p>
              </w:tc>
              <w:tc>
                <w:tcPr>
                  <w:tcW w:w="1807" w:type="pct"/>
                  <w:noWrap w:val="0"/>
                  <w:vAlign w:val="center"/>
                </w:tcPr>
                <w:p w14:paraId="24E5215A">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spacing w:val="3"/>
                      <w:sz w:val="21"/>
                      <w:szCs w:val="21"/>
                    </w:rPr>
                    <w:t>变电站站东偏南侧墙外</w:t>
                  </w:r>
                  <w:r>
                    <w:rPr>
                      <w:rFonts w:hint="default" w:ascii="Times New Roman" w:hAnsi="Times New Roman" w:eastAsia="宋体" w:cs="Times New Roman"/>
                      <w:color w:val="auto"/>
                      <w:spacing w:val="3"/>
                      <w:sz w:val="21"/>
                      <w:szCs w:val="21"/>
                      <w:lang w:val="en-US" w:eastAsia="zh-CN"/>
                    </w:rPr>
                    <w:t>1</w:t>
                  </w:r>
                  <w:r>
                    <w:rPr>
                      <w:rFonts w:hint="default" w:ascii="Times New Roman" w:hAnsi="Times New Roman" w:eastAsia="宋体" w:cs="Times New Roman"/>
                      <w:color w:val="auto"/>
                      <w:spacing w:val="3"/>
                      <w:sz w:val="21"/>
                      <w:szCs w:val="21"/>
                    </w:rPr>
                    <w:t>m处</w:t>
                  </w:r>
                </w:p>
              </w:tc>
              <w:tc>
                <w:tcPr>
                  <w:tcW w:w="961" w:type="pct"/>
                  <w:noWrap w:val="0"/>
                  <w:vAlign w:val="center"/>
                </w:tcPr>
                <w:p w14:paraId="3C4A8120">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7"/>
                      <w:sz w:val="21"/>
                      <w:szCs w:val="21"/>
                    </w:rPr>
                    <w:t>1.5</w:t>
                  </w:r>
                </w:p>
              </w:tc>
              <w:tc>
                <w:tcPr>
                  <w:tcW w:w="846" w:type="pct"/>
                  <w:noWrap w:val="0"/>
                  <w:vAlign w:val="center"/>
                </w:tcPr>
                <w:p w14:paraId="39C5C658">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2"/>
                      <w:sz w:val="21"/>
                      <w:szCs w:val="21"/>
                    </w:rPr>
                    <w:t>44.5</w:t>
                  </w:r>
                </w:p>
              </w:tc>
              <w:tc>
                <w:tcPr>
                  <w:tcW w:w="993" w:type="pct"/>
                  <w:noWrap w:val="0"/>
                  <w:vAlign w:val="center"/>
                </w:tcPr>
                <w:p w14:paraId="05B61A5B">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42.3</w:t>
                  </w:r>
                </w:p>
              </w:tc>
            </w:tr>
            <w:tr w14:paraId="702CD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91" w:type="pct"/>
                  <w:noWrap w:val="0"/>
                  <w:vAlign w:val="center"/>
                </w:tcPr>
                <w:p w14:paraId="303FE1BC">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color w:val="auto"/>
                      <w:spacing w:val="3"/>
                      <w:sz w:val="21"/>
                      <w:szCs w:val="21"/>
                      <w:lang w:val="en-US" w:eastAsia="zh-CN"/>
                    </w:rPr>
                    <w:t>5</w:t>
                  </w:r>
                </w:p>
              </w:tc>
              <w:tc>
                <w:tcPr>
                  <w:tcW w:w="1807" w:type="pct"/>
                  <w:noWrap w:val="0"/>
                  <w:vAlign w:val="center"/>
                </w:tcPr>
                <w:p w14:paraId="0BB5B7D6">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spacing w:val="3"/>
                      <w:sz w:val="21"/>
                      <w:szCs w:val="21"/>
                    </w:rPr>
                    <w:t>变电站站东偏北侧墙外</w:t>
                  </w:r>
                  <w:r>
                    <w:rPr>
                      <w:rFonts w:hint="default" w:ascii="Times New Roman" w:hAnsi="Times New Roman" w:eastAsia="宋体" w:cs="Times New Roman"/>
                      <w:color w:val="auto"/>
                      <w:spacing w:val="3"/>
                      <w:sz w:val="21"/>
                      <w:szCs w:val="21"/>
                      <w:lang w:val="en-US" w:eastAsia="zh-CN"/>
                    </w:rPr>
                    <w:t>1</w:t>
                  </w:r>
                  <w:r>
                    <w:rPr>
                      <w:rFonts w:hint="default" w:ascii="Times New Roman" w:hAnsi="Times New Roman" w:eastAsia="宋体" w:cs="Times New Roman"/>
                      <w:color w:val="auto"/>
                      <w:spacing w:val="3"/>
                      <w:sz w:val="21"/>
                      <w:szCs w:val="21"/>
                    </w:rPr>
                    <w:t>m处</w:t>
                  </w:r>
                </w:p>
              </w:tc>
              <w:tc>
                <w:tcPr>
                  <w:tcW w:w="961" w:type="pct"/>
                  <w:noWrap w:val="0"/>
                  <w:vAlign w:val="center"/>
                </w:tcPr>
                <w:p w14:paraId="28031B32">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7"/>
                      <w:sz w:val="21"/>
                      <w:szCs w:val="21"/>
                    </w:rPr>
                    <w:t>1.5</w:t>
                  </w:r>
                </w:p>
              </w:tc>
              <w:tc>
                <w:tcPr>
                  <w:tcW w:w="846" w:type="pct"/>
                  <w:noWrap w:val="0"/>
                  <w:vAlign w:val="center"/>
                </w:tcPr>
                <w:p w14:paraId="00C7A7D4">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2"/>
                      <w:sz w:val="21"/>
                      <w:szCs w:val="21"/>
                    </w:rPr>
                    <w:t>43.6</w:t>
                  </w:r>
                </w:p>
              </w:tc>
              <w:tc>
                <w:tcPr>
                  <w:tcW w:w="993" w:type="pct"/>
                  <w:noWrap w:val="0"/>
                  <w:vAlign w:val="center"/>
                </w:tcPr>
                <w:p w14:paraId="4E328B56">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41.5</w:t>
                  </w:r>
                </w:p>
              </w:tc>
            </w:tr>
            <w:tr w14:paraId="76EAAD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91" w:type="pct"/>
                  <w:noWrap w:val="0"/>
                  <w:vAlign w:val="center"/>
                </w:tcPr>
                <w:p w14:paraId="14B6362F">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color w:val="auto"/>
                      <w:spacing w:val="3"/>
                      <w:sz w:val="21"/>
                      <w:szCs w:val="21"/>
                      <w:lang w:val="en-US" w:eastAsia="zh-CN"/>
                    </w:rPr>
                    <w:t>6</w:t>
                  </w:r>
                </w:p>
              </w:tc>
              <w:tc>
                <w:tcPr>
                  <w:tcW w:w="1807" w:type="pct"/>
                  <w:noWrap w:val="0"/>
                  <w:vAlign w:val="center"/>
                </w:tcPr>
                <w:p w14:paraId="7EA23978">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spacing w:val="3"/>
                      <w:sz w:val="21"/>
                      <w:szCs w:val="21"/>
                    </w:rPr>
                    <w:t>变电站站北偏东侧墙外</w:t>
                  </w:r>
                  <w:r>
                    <w:rPr>
                      <w:rFonts w:hint="default" w:ascii="Times New Roman" w:hAnsi="Times New Roman" w:eastAsia="宋体" w:cs="Times New Roman"/>
                      <w:color w:val="auto"/>
                      <w:spacing w:val="3"/>
                      <w:sz w:val="21"/>
                      <w:szCs w:val="21"/>
                      <w:lang w:val="en-US" w:eastAsia="zh-CN"/>
                    </w:rPr>
                    <w:t>1</w:t>
                  </w:r>
                  <w:r>
                    <w:rPr>
                      <w:rFonts w:hint="default" w:ascii="Times New Roman" w:hAnsi="Times New Roman" w:eastAsia="宋体" w:cs="Times New Roman"/>
                      <w:color w:val="auto"/>
                      <w:spacing w:val="3"/>
                      <w:sz w:val="21"/>
                      <w:szCs w:val="21"/>
                    </w:rPr>
                    <w:t>m处</w:t>
                  </w:r>
                </w:p>
              </w:tc>
              <w:tc>
                <w:tcPr>
                  <w:tcW w:w="961" w:type="pct"/>
                  <w:noWrap w:val="0"/>
                  <w:vAlign w:val="center"/>
                </w:tcPr>
                <w:p w14:paraId="0D1BE192">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7"/>
                      <w:sz w:val="21"/>
                      <w:szCs w:val="21"/>
                    </w:rPr>
                    <w:t>1.5</w:t>
                  </w:r>
                </w:p>
              </w:tc>
              <w:tc>
                <w:tcPr>
                  <w:tcW w:w="846" w:type="pct"/>
                  <w:noWrap w:val="0"/>
                  <w:vAlign w:val="center"/>
                </w:tcPr>
                <w:p w14:paraId="15D3F6FC">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2"/>
                      <w:sz w:val="21"/>
                      <w:szCs w:val="21"/>
                    </w:rPr>
                    <w:t>44.7</w:t>
                  </w:r>
                </w:p>
              </w:tc>
              <w:tc>
                <w:tcPr>
                  <w:tcW w:w="993" w:type="pct"/>
                  <w:noWrap w:val="0"/>
                  <w:vAlign w:val="center"/>
                </w:tcPr>
                <w:p w14:paraId="1DE6165C">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42.2</w:t>
                  </w:r>
                </w:p>
              </w:tc>
            </w:tr>
            <w:tr w14:paraId="61F755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91" w:type="pct"/>
                  <w:noWrap w:val="0"/>
                  <w:vAlign w:val="center"/>
                </w:tcPr>
                <w:p w14:paraId="7D3CD4C5">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color w:val="auto"/>
                      <w:spacing w:val="3"/>
                      <w:sz w:val="21"/>
                      <w:szCs w:val="21"/>
                      <w:lang w:val="en-US" w:eastAsia="zh-CN"/>
                    </w:rPr>
                    <w:t>7</w:t>
                  </w:r>
                </w:p>
              </w:tc>
              <w:tc>
                <w:tcPr>
                  <w:tcW w:w="1807" w:type="pct"/>
                  <w:noWrap w:val="0"/>
                  <w:vAlign w:val="center"/>
                </w:tcPr>
                <w:p w14:paraId="11593A66">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spacing w:val="3"/>
                      <w:sz w:val="21"/>
                      <w:szCs w:val="21"/>
                    </w:rPr>
                    <w:t>变电站站北偏西侧墙外</w:t>
                  </w:r>
                  <w:r>
                    <w:rPr>
                      <w:rFonts w:hint="default" w:ascii="Times New Roman" w:hAnsi="Times New Roman" w:eastAsia="宋体" w:cs="Times New Roman"/>
                      <w:color w:val="auto"/>
                      <w:spacing w:val="3"/>
                      <w:sz w:val="21"/>
                      <w:szCs w:val="21"/>
                      <w:lang w:val="en-US" w:eastAsia="zh-CN"/>
                    </w:rPr>
                    <w:t>1</w:t>
                  </w:r>
                  <w:r>
                    <w:rPr>
                      <w:rFonts w:hint="default" w:ascii="Times New Roman" w:hAnsi="Times New Roman" w:eastAsia="宋体" w:cs="Times New Roman"/>
                      <w:color w:val="auto"/>
                      <w:spacing w:val="3"/>
                      <w:sz w:val="21"/>
                      <w:szCs w:val="21"/>
                    </w:rPr>
                    <w:t>m处</w:t>
                  </w:r>
                </w:p>
              </w:tc>
              <w:tc>
                <w:tcPr>
                  <w:tcW w:w="961" w:type="pct"/>
                  <w:noWrap w:val="0"/>
                  <w:vAlign w:val="center"/>
                </w:tcPr>
                <w:p w14:paraId="159BB384">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7"/>
                      <w:sz w:val="21"/>
                      <w:szCs w:val="21"/>
                    </w:rPr>
                    <w:t>1.5</w:t>
                  </w:r>
                </w:p>
              </w:tc>
              <w:tc>
                <w:tcPr>
                  <w:tcW w:w="846" w:type="pct"/>
                  <w:noWrap w:val="0"/>
                  <w:vAlign w:val="center"/>
                </w:tcPr>
                <w:p w14:paraId="44555DAE">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color w:val="auto"/>
                      <w:spacing w:val="-3"/>
                      <w:sz w:val="21"/>
                      <w:szCs w:val="21"/>
                    </w:rPr>
                    <w:t>52.3</w:t>
                  </w:r>
                </w:p>
              </w:tc>
              <w:tc>
                <w:tcPr>
                  <w:tcW w:w="993" w:type="pct"/>
                  <w:noWrap w:val="0"/>
                  <w:vAlign w:val="center"/>
                </w:tcPr>
                <w:p w14:paraId="6718AB1C">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2"/>
                      <w:sz w:val="21"/>
                      <w:szCs w:val="21"/>
                    </w:rPr>
                    <w:t>48.4</w:t>
                  </w:r>
                </w:p>
              </w:tc>
            </w:tr>
          </w:tbl>
          <w:p w14:paraId="6B2098A9">
            <w:pPr>
              <w:pStyle w:val="76"/>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highlight w:val="none"/>
              </w:rPr>
              <w:t>从表</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8</w:t>
            </w:r>
            <w:r>
              <w:rPr>
                <w:rFonts w:hint="default" w:ascii="Times New Roman" w:hAnsi="Times New Roman" w:eastAsia="宋体" w:cs="Times New Roman"/>
                <w:color w:val="auto"/>
                <w:sz w:val="24"/>
                <w:highlight w:val="none"/>
              </w:rPr>
              <w:t>可知，</w:t>
            </w:r>
            <w:r>
              <w:rPr>
                <w:rFonts w:hint="default" w:ascii="Times New Roman" w:hAnsi="Times New Roman" w:eastAsia="宋体" w:cs="Times New Roman"/>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cs="Times New Roman"/>
                <w:color w:val="auto"/>
                <w:sz w:val="24"/>
                <w:szCs w:val="24"/>
                <w:lang w:val="en-US" w:eastAsia="zh-CN"/>
              </w:rPr>
              <w:t>千伏</w:t>
            </w:r>
            <w:r>
              <w:rPr>
                <w:rFonts w:hint="default" w:ascii="Times New Roman" w:hAnsi="Times New Roman" w:eastAsia="宋体" w:cs="Times New Roman"/>
                <w:color w:val="auto"/>
                <w:sz w:val="24"/>
                <w:highlight w:val="none"/>
              </w:rPr>
              <w:t>变电站四周围墙外</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m处</w:t>
            </w:r>
            <w:r>
              <w:rPr>
                <w:rFonts w:hint="default" w:ascii="Times New Roman" w:hAnsi="Times New Roman" w:eastAsia="宋体" w:cs="Times New Roman"/>
                <w:color w:val="auto"/>
                <w:sz w:val="24"/>
                <w:highlight w:val="none"/>
                <w:lang w:val="en-US" w:eastAsia="zh-CN"/>
              </w:rPr>
              <w:t>昼间噪声在</w:t>
            </w:r>
            <w:r>
              <w:rPr>
                <w:rFonts w:hint="default" w:ascii="Times New Roman" w:hAnsi="Times New Roman" w:cs="Times New Roman"/>
                <w:color w:val="auto"/>
                <w:kern w:val="0"/>
                <w:sz w:val="24"/>
                <w:highlight w:val="none"/>
                <w:lang w:val="en-US" w:eastAsia="zh-CN"/>
              </w:rPr>
              <w:t>43.6dB(A)~52.3dB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之间，夜间噪声监测值在41.5dB(A)~48.4dB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lang w:val="en-US" w:eastAsia="zh-CN"/>
              </w:rPr>
              <w:t>类比清水河330千伏变电站</w:t>
            </w:r>
            <w:r>
              <w:rPr>
                <w:rFonts w:hint="default" w:ascii="Times New Roman" w:hAnsi="Times New Roman" w:eastAsia="宋体" w:cs="Times New Roman"/>
                <w:color w:val="auto"/>
                <w:sz w:val="24"/>
                <w:highlight w:val="none"/>
                <w:lang w:val="en-US" w:eastAsia="zh-CN"/>
              </w:rPr>
              <w:t>东</w:t>
            </w:r>
            <w:r>
              <w:rPr>
                <w:rFonts w:hint="default" w:ascii="Times New Roman" w:hAnsi="Times New Roman" w:eastAsia="宋体" w:cs="Times New Roman"/>
                <w:color w:val="auto"/>
                <w:sz w:val="24"/>
                <w:lang w:val="en-US" w:eastAsia="zh-CN"/>
              </w:rPr>
              <w:t>侧为110千伏配电装置区，110千伏配电装置区围墙外昼间噪声值在</w:t>
            </w:r>
            <w:r>
              <w:rPr>
                <w:rFonts w:hint="default" w:ascii="Times New Roman" w:hAnsi="Times New Roman" w:cs="Times New Roman"/>
                <w:color w:val="auto"/>
                <w:kern w:val="0"/>
                <w:sz w:val="24"/>
                <w:highlight w:val="none"/>
                <w:lang w:val="en-US" w:eastAsia="zh-CN"/>
              </w:rPr>
              <w:t>43.6dB(A)~44.5dB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w:t>
            </w:r>
            <w:r>
              <w:rPr>
                <w:rFonts w:hint="default" w:ascii="Times New Roman" w:hAnsi="Times New Roman" w:eastAsia="宋体" w:cs="Times New Roman"/>
                <w:color w:val="auto"/>
                <w:sz w:val="24"/>
                <w:lang w:val="en-US" w:eastAsia="zh-CN"/>
              </w:rPr>
              <w:t>，夜间噪声值在</w:t>
            </w:r>
            <w:r>
              <w:rPr>
                <w:rFonts w:hint="default" w:ascii="Times New Roman" w:hAnsi="Times New Roman" w:cs="Times New Roman"/>
                <w:color w:val="auto"/>
                <w:kern w:val="0"/>
                <w:sz w:val="24"/>
                <w:highlight w:val="none"/>
                <w:lang w:val="en-US" w:eastAsia="zh-CN"/>
              </w:rPr>
              <w:t>41.5dB(A)~42.3dB</w:t>
            </w:r>
            <w:r>
              <w:rPr>
                <w:rFonts w:hint="eastAsia" w:cs="Times New Roman"/>
                <w:color w:val="auto"/>
                <w:kern w:val="0"/>
                <w:sz w:val="24"/>
                <w:highlight w:val="none"/>
                <w:lang w:val="en-US" w:eastAsia="zh-CN"/>
              </w:rPr>
              <w:t>(A)</w:t>
            </w:r>
            <w:r>
              <w:rPr>
                <w:rFonts w:hint="default" w:ascii="Times New Roman" w:hAnsi="Times New Roman" w:cs="Times New Roman"/>
                <w:color w:val="auto"/>
                <w:kern w:val="0"/>
                <w:sz w:val="24"/>
                <w:highlight w:val="none"/>
                <w:lang w:val="en-US" w:eastAsia="zh-CN"/>
              </w:rPr>
              <w:t>之间</w:t>
            </w:r>
            <w:r>
              <w:rPr>
                <w:rFonts w:hint="default" w:ascii="Times New Roman" w:hAnsi="Times New Roman" w:eastAsia="宋体" w:cs="Times New Roman"/>
                <w:color w:val="auto"/>
                <w:sz w:val="24"/>
                <w:lang w:val="en-US" w:eastAsia="zh-CN"/>
              </w:rPr>
              <w:t>，均低于《工业企业厂界环境噪声排放标准》（GB12348-2008）2类标准，即昼间60dB</w:t>
            </w:r>
            <w:r>
              <w:rPr>
                <w:rFonts w:hint="eastAsia" w:cs="Times New Roman"/>
                <w:color w:val="auto"/>
                <w:sz w:val="24"/>
                <w:lang w:val="en-US" w:eastAsia="zh-CN"/>
              </w:rPr>
              <w:t>(A)</w:t>
            </w:r>
            <w:r>
              <w:rPr>
                <w:rFonts w:hint="default" w:ascii="Times New Roman" w:hAnsi="Times New Roman" w:eastAsia="宋体" w:cs="Times New Roman"/>
                <w:color w:val="auto"/>
                <w:sz w:val="24"/>
                <w:lang w:val="en-US" w:eastAsia="zh-CN"/>
              </w:rPr>
              <w:t>，夜间50dB</w:t>
            </w:r>
            <w:r>
              <w:rPr>
                <w:rFonts w:hint="eastAsia" w:cs="Times New Roman"/>
                <w:color w:val="auto"/>
                <w:sz w:val="24"/>
                <w:lang w:val="en-US" w:eastAsia="zh-CN"/>
              </w:rPr>
              <w:t>(A)</w:t>
            </w:r>
            <w:r>
              <w:rPr>
                <w:rFonts w:hint="default" w:ascii="Times New Roman" w:hAnsi="Times New Roman" w:eastAsia="宋体" w:cs="Times New Roman"/>
                <w:color w:val="auto"/>
                <w:sz w:val="24"/>
                <w:lang w:val="en-US" w:eastAsia="zh-CN"/>
              </w:rPr>
              <w:t>。</w:t>
            </w:r>
          </w:p>
          <w:p w14:paraId="2F9991E2">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9）工频电场和工频磁场类比监测评价</w:t>
            </w:r>
          </w:p>
          <w:p w14:paraId="75F11295">
            <w:pPr>
              <w:pStyle w:val="76"/>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经类比预测本次云雾山330千伏变电站</w:t>
            </w:r>
            <w:r>
              <w:rPr>
                <w:rFonts w:hint="eastAsia" w:cs="Times New Roman"/>
                <w:color w:val="auto"/>
                <w:sz w:val="24"/>
                <w:lang w:val="en-US" w:eastAsia="zh-CN"/>
              </w:rPr>
              <w:t>110千伏</w:t>
            </w:r>
            <w:r>
              <w:rPr>
                <w:rFonts w:hint="default" w:ascii="Times New Roman" w:hAnsi="Times New Roman" w:eastAsia="宋体" w:cs="Times New Roman"/>
                <w:color w:val="auto"/>
                <w:sz w:val="24"/>
                <w:lang w:val="en-US" w:eastAsia="zh-CN"/>
              </w:rPr>
              <w:t>间隔扩建工程建成后噪声也满足《工业企业厂界环境噪声排放标准》（GB12348-2008）2类标准，即昼间60dB</w:t>
            </w:r>
            <w:r>
              <w:rPr>
                <w:rFonts w:hint="eastAsia" w:cs="Times New Roman"/>
                <w:color w:val="auto"/>
                <w:sz w:val="24"/>
                <w:lang w:val="en-US" w:eastAsia="zh-CN"/>
              </w:rPr>
              <w:t>(A)</w:t>
            </w:r>
            <w:r>
              <w:rPr>
                <w:rFonts w:hint="default" w:ascii="Times New Roman" w:hAnsi="Times New Roman" w:eastAsia="宋体" w:cs="Times New Roman"/>
                <w:color w:val="auto"/>
                <w:sz w:val="24"/>
                <w:lang w:val="en-US" w:eastAsia="zh-CN"/>
              </w:rPr>
              <w:t>，夜间50dB</w:t>
            </w:r>
            <w:r>
              <w:rPr>
                <w:rFonts w:hint="eastAsia" w:cs="Times New Roman"/>
                <w:color w:val="auto"/>
                <w:sz w:val="24"/>
                <w:lang w:val="en-US" w:eastAsia="zh-CN"/>
              </w:rPr>
              <w:t>(A)</w:t>
            </w:r>
            <w:r>
              <w:rPr>
                <w:rFonts w:hint="default" w:ascii="Times New Roman" w:hAnsi="Times New Roman" w:eastAsia="宋体" w:cs="Times New Roman"/>
                <w:color w:val="auto"/>
                <w:sz w:val="24"/>
                <w:lang w:val="en-US" w:eastAsia="zh-CN"/>
              </w:rPr>
              <w:t>。</w:t>
            </w:r>
          </w:p>
          <w:p w14:paraId="266C2194">
            <w:pPr>
              <w:pStyle w:val="76"/>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
                <w:bCs/>
                <w:color w:val="auto"/>
                <w:sz w:val="24"/>
                <w:lang w:val="en-US" w:eastAsia="zh-CN"/>
              </w:rPr>
            </w:pPr>
            <w:r>
              <w:rPr>
                <w:rFonts w:hint="default" w:ascii="Times New Roman" w:hAnsi="Times New Roman" w:eastAsia="宋体" w:cs="Times New Roman"/>
                <w:color w:val="auto"/>
                <w:sz w:val="24"/>
                <w:lang w:val="en-US" w:eastAsia="zh-CN"/>
              </w:rPr>
              <w:t>云雾山330千伏变电站本期仅扩建110千伏出线间隔1个，不新增主变压器等主要声源设备，扩建完成后变电站区域及厂界噪声能够维持前期工程水平，不会增加新的影响。根据现状监测和类比监测，云雾山330千伏变电站厂界噪声满足《工业企业厂界环境噪声排放标准》（GB12348-2008）2类排放限值要求。因此，可以预测本期间隔扩建完成后，变电站厂界噪声仍能满足《工业企业厂界环境噪声排放标准》（GB12348-2008）2类排放限值要求。</w:t>
            </w:r>
          </w:p>
          <w:p w14:paraId="0536C5BB">
            <w:pPr>
              <w:spacing w:line="360" w:lineRule="auto"/>
              <w:ind w:firstLine="472" w:firstLineChars="196"/>
              <w:rPr>
                <w:rFonts w:hint="default" w:ascii="Times New Roman" w:hAnsi="Times New Roman" w:cs="Times New Roman"/>
                <w:color w:val="auto"/>
                <w:sz w:val="24"/>
              </w:rPr>
            </w:pPr>
            <w:r>
              <w:rPr>
                <w:rFonts w:hint="default" w:ascii="Times New Roman" w:hAnsi="Times New Roman" w:cs="Times New Roman"/>
                <w:b/>
                <w:bCs/>
                <w:color w:val="auto"/>
                <w:sz w:val="24"/>
              </w:rPr>
              <w:t>⑵本期</w:t>
            </w:r>
            <w:r>
              <w:rPr>
                <w:rFonts w:hint="default" w:ascii="Times New Roman" w:hAnsi="Times New Roman" w:cs="Times New Roman"/>
                <w:b/>
                <w:bCs/>
                <w:color w:val="auto"/>
                <w:sz w:val="24"/>
                <w:lang w:val="en-US" w:eastAsia="zh-CN"/>
              </w:rPr>
              <w:t>新建</w:t>
            </w:r>
            <w:r>
              <w:rPr>
                <w:rFonts w:hint="default" w:ascii="Times New Roman" w:hAnsi="Times New Roman" w:cs="Times New Roman"/>
                <w:b/>
                <w:bCs/>
                <w:color w:val="auto"/>
                <w:sz w:val="24"/>
              </w:rPr>
              <w:t>单回路输电线路工程</w:t>
            </w:r>
          </w:p>
          <w:p w14:paraId="6C9BCE4C">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①</w:t>
            </w:r>
            <w:r>
              <w:rPr>
                <w:rFonts w:hint="default" w:ascii="Times New Roman" w:hAnsi="Times New Roman" w:cs="Times New Roman"/>
                <w:color w:val="auto"/>
                <w:sz w:val="24"/>
              </w:rPr>
              <w:t>选择类比对象</w:t>
            </w:r>
          </w:p>
          <w:p w14:paraId="31410243">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本项目选取同规模已运行线路进行类比监测的方法来分析本期110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单回路线路工程产生的噪声对周围环境的影响。</w:t>
            </w:r>
          </w:p>
          <w:p w14:paraId="70849EF7">
            <w:pPr>
              <w:pStyle w:val="13"/>
              <w:spacing w:after="0" w:line="360" w:lineRule="auto"/>
              <w:ind w:left="0" w:leftChars="0" w:firstLine="480" w:firstLineChars="200"/>
              <w:rPr>
                <w:rFonts w:hint="default" w:ascii="Times New Roman" w:hAnsi="Times New Roman" w:cs="Times New Roman"/>
                <w:b/>
                <w:bCs/>
                <w:color w:val="auto"/>
                <w:sz w:val="24"/>
              </w:rPr>
            </w:pPr>
            <w:r>
              <w:rPr>
                <w:rFonts w:hint="default" w:ascii="Times New Roman" w:hAnsi="Times New Roman" w:cs="Times New Roman"/>
                <w:color w:val="auto"/>
                <w:sz w:val="24"/>
              </w:rPr>
              <w:t>类比监测数据引用《宁夏宁东马斯特鸦儿沟风电110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送出工程竣工环境保护验收调查报告表》宁夏盛世蓝天环保技术有限公司对</w:t>
            </w:r>
            <w:r>
              <w:rPr>
                <w:rFonts w:hint="default" w:ascii="Times New Roman" w:hAnsi="Times New Roman" w:cs="Times New Roman"/>
                <w:color w:val="auto"/>
                <w:sz w:val="24"/>
                <w:lang w:val="en-US" w:eastAsia="zh-CN"/>
              </w:rPr>
              <w:t>110千伏龙三风场线</w:t>
            </w:r>
            <w:r>
              <w:rPr>
                <w:rFonts w:hint="default" w:ascii="Times New Roman" w:hAnsi="Times New Roman" w:cs="Times New Roman"/>
                <w:color w:val="auto"/>
                <w:sz w:val="24"/>
              </w:rPr>
              <w:t>单回路段</w:t>
            </w:r>
            <w:r>
              <w:rPr>
                <w:rFonts w:hint="default" w:ascii="Times New Roman" w:hAnsi="Times New Roman" w:cs="Times New Roman"/>
                <w:color w:val="auto"/>
                <w:sz w:val="24"/>
                <w:lang w:val="en-US" w:eastAsia="zh-CN"/>
              </w:rPr>
              <w:t>107#~108#</w:t>
            </w:r>
            <w:r>
              <w:rPr>
                <w:rFonts w:hint="default" w:ascii="Times New Roman" w:hAnsi="Times New Roman" w:cs="Times New Roman"/>
                <w:color w:val="auto"/>
                <w:sz w:val="24"/>
              </w:rPr>
              <w:t>杆塔</w:t>
            </w:r>
            <w:r>
              <w:rPr>
                <w:rFonts w:hint="default" w:ascii="Times New Roman" w:hAnsi="Times New Roman" w:cs="Times New Roman"/>
                <w:color w:val="auto"/>
                <w:sz w:val="24"/>
                <w:lang w:val="en-US" w:eastAsia="zh-CN"/>
              </w:rPr>
              <w:t>间</w:t>
            </w:r>
            <w:r>
              <w:rPr>
                <w:rFonts w:hint="default" w:ascii="Times New Roman" w:hAnsi="Times New Roman" w:cs="Times New Roman"/>
                <w:color w:val="auto"/>
                <w:sz w:val="24"/>
              </w:rPr>
              <w:t>（线高</w:t>
            </w:r>
            <w:r>
              <w:rPr>
                <w:rFonts w:hint="default" w:ascii="Times New Roman" w:hAnsi="Times New Roman" w:cs="Times New Roman"/>
                <w:color w:val="auto"/>
                <w:sz w:val="24"/>
                <w:lang w:val="en-US" w:eastAsia="zh-CN"/>
              </w:rPr>
              <w:t>9.5</w:t>
            </w:r>
            <w:r>
              <w:rPr>
                <w:rFonts w:hint="default" w:ascii="Times New Roman" w:hAnsi="Times New Roman" w:cs="Times New Roman"/>
                <w:color w:val="auto"/>
                <w:sz w:val="24"/>
              </w:rPr>
              <w:t>m、档距3</w:t>
            </w:r>
            <w:r>
              <w:rPr>
                <w:rFonts w:hint="default" w:ascii="Times New Roman" w:hAnsi="Times New Roman" w:cs="Times New Roman"/>
                <w:color w:val="auto"/>
                <w:sz w:val="24"/>
                <w:lang w:val="en-US" w:eastAsia="zh-CN"/>
              </w:rPr>
              <w:t>53</w:t>
            </w:r>
            <w:r>
              <w:rPr>
                <w:rFonts w:hint="default" w:ascii="Times New Roman" w:hAnsi="Times New Roman" w:cs="Times New Roman"/>
                <w:color w:val="auto"/>
                <w:sz w:val="24"/>
              </w:rPr>
              <w:t>m）的验收监测数据</w:t>
            </w:r>
            <w:r>
              <w:rPr>
                <w:rFonts w:hint="eastAsia" w:cs="Times New Roman"/>
                <w:color w:val="auto"/>
                <w:sz w:val="24"/>
                <w:lang w:eastAsia="zh-CN"/>
              </w:rPr>
              <w:t>，</w:t>
            </w:r>
            <w:r>
              <w:rPr>
                <w:rFonts w:hint="eastAsia" w:cs="Times New Roman"/>
                <w:b/>
                <w:bCs/>
                <w:color w:val="auto"/>
                <w:sz w:val="24"/>
                <w:lang w:val="en-US" w:eastAsia="zh-CN"/>
              </w:rPr>
              <w:t>详见附件10</w:t>
            </w:r>
            <w:r>
              <w:rPr>
                <w:rFonts w:hint="default" w:ascii="Times New Roman" w:hAnsi="Times New Roman" w:cs="Times New Roman"/>
                <w:b/>
                <w:bCs/>
                <w:color w:val="auto"/>
                <w:sz w:val="24"/>
              </w:rPr>
              <w:t>。</w:t>
            </w:r>
          </w:p>
          <w:p w14:paraId="114D59A2">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线路产生的噪声主要与线路电压等级、导线架设方式、导线排列方式等因素有关，根据表4-</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，选取与本项目110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单回路线路电压等级、导线架设方式、导线排列方式均相同的</w:t>
            </w:r>
            <w:r>
              <w:rPr>
                <w:rFonts w:hint="default" w:ascii="Times New Roman" w:hAnsi="Times New Roman" w:cs="Times New Roman"/>
                <w:color w:val="auto"/>
                <w:sz w:val="24"/>
                <w:lang w:val="en-US" w:eastAsia="zh-CN"/>
              </w:rPr>
              <w:t>110千伏龙三风场线单回路107#~108#</w:t>
            </w:r>
            <w:r>
              <w:rPr>
                <w:rFonts w:hint="default" w:ascii="Times New Roman" w:hAnsi="Times New Roman" w:cs="Times New Roman"/>
                <w:color w:val="auto"/>
                <w:sz w:val="24"/>
              </w:rPr>
              <w:t>杆塔</w:t>
            </w:r>
            <w:r>
              <w:rPr>
                <w:rFonts w:hint="default" w:ascii="Times New Roman" w:hAnsi="Times New Roman" w:cs="Times New Roman"/>
                <w:color w:val="auto"/>
                <w:sz w:val="24"/>
                <w:lang w:val="en-US" w:eastAsia="zh-CN"/>
              </w:rPr>
              <w:t>间</w:t>
            </w:r>
            <w:r>
              <w:rPr>
                <w:rFonts w:hint="default" w:ascii="Times New Roman" w:hAnsi="Times New Roman" w:cs="Times New Roman"/>
                <w:color w:val="auto"/>
                <w:sz w:val="24"/>
              </w:rPr>
              <w:t>噪声类比监测预测。因此，类比线路的噪声监测结果能够较好</w:t>
            </w:r>
            <w:r>
              <w:rPr>
                <w:rFonts w:hint="default" w:ascii="Times New Roman" w:hAnsi="Times New Roman" w:cs="Times New Roman"/>
                <w:color w:val="auto"/>
                <w:sz w:val="24"/>
                <w:lang w:eastAsia="zh-CN"/>
              </w:rPr>
              <w:t>地反映</w:t>
            </w:r>
            <w:r>
              <w:rPr>
                <w:rFonts w:hint="default" w:ascii="Times New Roman" w:hAnsi="Times New Roman" w:cs="Times New Roman"/>
                <w:color w:val="auto"/>
                <w:sz w:val="24"/>
              </w:rPr>
              <w:t>本项目新建单回路线路运行后产生的噪声影响。</w:t>
            </w:r>
          </w:p>
          <w:p w14:paraId="6B17AE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表4-</w:t>
            </w:r>
            <w:r>
              <w:rPr>
                <w:rFonts w:hint="eastAsia" w:cs="Times New Roman"/>
                <w:b/>
                <w:bCs/>
                <w:color w:val="auto"/>
                <w:sz w:val="24"/>
                <w:lang w:val="en-US" w:eastAsia="zh-CN"/>
              </w:rPr>
              <w:t>9</w:t>
            </w:r>
            <w:r>
              <w:rPr>
                <w:rFonts w:hint="default" w:ascii="Times New Roman" w:hAnsi="Times New Roman" w:eastAsia="宋体" w:cs="Times New Roman"/>
                <w:b/>
                <w:bCs/>
                <w:color w:val="auto"/>
                <w:sz w:val="24"/>
              </w:rPr>
              <w:t xml:space="preserve">  110</w:t>
            </w:r>
            <w:r>
              <w:rPr>
                <w:rFonts w:hint="default" w:ascii="Times New Roman" w:hAnsi="Times New Roman" w:eastAsia="宋体" w:cs="Times New Roman"/>
                <w:b/>
                <w:bCs/>
                <w:color w:val="auto"/>
                <w:sz w:val="24"/>
                <w:lang w:val="en-US" w:eastAsia="zh-CN"/>
              </w:rPr>
              <w:t>千伏</w:t>
            </w:r>
            <w:r>
              <w:rPr>
                <w:rFonts w:hint="default" w:ascii="Times New Roman" w:hAnsi="Times New Roman" w:cs="Times New Roman"/>
                <w:b/>
                <w:bCs/>
                <w:color w:val="auto"/>
                <w:sz w:val="24"/>
                <w:lang w:val="en-US" w:eastAsia="zh-CN"/>
              </w:rPr>
              <w:t>新建</w:t>
            </w:r>
            <w:r>
              <w:rPr>
                <w:rFonts w:hint="default" w:ascii="Times New Roman" w:hAnsi="Times New Roman" w:eastAsia="宋体" w:cs="Times New Roman"/>
                <w:b/>
                <w:bCs/>
                <w:color w:val="auto"/>
                <w:sz w:val="24"/>
              </w:rPr>
              <w:t>单回路线路类比情况一览表</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2"/>
              <w:gridCol w:w="3100"/>
              <w:gridCol w:w="3528"/>
            </w:tblGrid>
            <w:tr w14:paraId="56FA8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780DE6BA">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项目</w:t>
                  </w:r>
                </w:p>
              </w:tc>
              <w:tc>
                <w:tcPr>
                  <w:tcW w:w="3100" w:type="dxa"/>
                  <w:noWrap w:val="0"/>
                  <w:vAlign w:val="center"/>
                </w:tcPr>
                <w:p w14:paraId="0E131C7D">
                  <w:pPr>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val="0"/>
                      <w:color w:val="auto"/>
                      <w:szCs w:val="21"/>
                    </w:rPr>
                    <w:t>宁夏宁东马斯特鸦儿沟风电110</w:t>
                  </w:r>
                  <w:r>
                    <w:rPr>
                      <w:rFonts w:hint="default" w:ascii="Times New Roman" w:hAnsi="Times New Roman" w:cs="Times New Roman"/>
                      <w:b/>
                      <w:bCs w:val="0"/>
                      <w:color w:val="auto"/>
                      <w:szCs w:val="21"/>
                      <w:lang w:val="en-US" w:eastAsia="zh-CN"/>
                    </w:rPr>
                    <w:t>千伏</w:t>
                  </w:r>
                  <w:r>
                    <w:rPr>
                      <w:rFonts w:hint="default" w:ascii="Times New Roman" w:hAnsi="Times New Roman" w:cs="Times New Roman"/>
                      <w:b/>
                      <w:bCs w:val="0"/>
                      <w:color w:val="auto"/>
                      <w:szCs w:val="21"/>
                    </w:rPr>
                    <w:t>送出工程</w:t>
                  </w:r>
                  <w:r>
                    <w:rPr>
                      <w:rFonts w:hint="default" w:ascii="Times New Roman" w:hAnsi="Times New Roman" w:cs="Times New Roman"/>
                      <w:b/>
                      <w:bCs w:val="0"/>
                      <w:color w:val="auto"/>
                      <w:szCs w:val="21"/>
                      <w:lang w:val="en-US" w:eastAsia="zh-CN"/>
                    </w:rPr>
                    <w:t>110千伏龙三风场线</w:t>
                  </w:r>
                  <w:r>
                    <w:rPr>
                      <w:rFonts w:hint="default" w:ascii="Times New Roman" w:hAnsi="Times New Roman" w:cs="Times New Roman"/>
                      <w:b/>
                      <w:bCs w:val="0"/>
                      <w:color w:val="auto"/>
                      <w:szCs w:val="21"/>
                    </w:rPr>
                    <w:t>单回路</w:t>
                  </w:r>
                  <w:r>
                    <w:rPr>
                      <w:rFonts w:hint="default" w:ascii="Times New Roman" w:hAnsi="Times New Roman" w:cs="Times New Roman"/>
                      <w:b/>
                      <w:bCs/>
                      <w:color w:val="auto"/>
                      <w:sz w:val="21"/>
                      <w:szCs w:val="21"/>
                      <w:lang w:val="en-US" w:eastAsia="zh-CN"/>
                    </w:rPr>
                    <w:t>107#~108#</w:t>
                  </w:r>
                  <w:r>
                    <w:rPr>
                      <w:rFonts w:hint="default" w:ascii="Times New Roman" w:hAnsi="Times New Roman" w:cs="Times New Roman"/>
                      <w:b/>
                      <w:bCs/>
                      <w:color w:val="auto"/>
                      <w:sz w:val="21"/>
                      <w:szCs w:val="21"/>
                    </w:rPr>
                    <w:t>杆塔</w:t>
                  </w:r>
                  <w:r>
                    <w:rPr>
                      <w:rFonts w:hint="default" w:ascii="Times New Roman" w:hAnsi="Times New Roman" w:cs="Times New Roman"/>
                      <w:b/>
                      <w:bCs/>
                      <w:color w:val="auto"/>
                      <w:sz w:val="21"/>
                      <w:szCs w:val="21"/>
                      <w:lang w:val="en-US" w:eastAsia="zh-CN"/>
                    </w:rPr>
                    <w:t>间</w:t>
                  </w:r>
                </w:p>
                <w:p w14:paraId="39587DC3">
                  <w:pPr>
                    <w:spacing w:line="240" w:lineRule="auto"/>
                    <w:jc w:val="center"/>
                    <w:rPr>
                      <w:rFonts w:hint="default" w:ascii="Times New Roman" w:hAnsi="Times New Roman" w:cs="Times New Roman"/>
                      <w:b/>
                      <w:bCs w:val="0"/>
                      <w:color w:val="auto"/>
                      <w:szCs w:val="21"/>
                    </w:rPr>
                  </w:pPr>
                  <w:r>
                    <w:rPr>
                      <w:rFonts w:hint="default" w:ascii="Times New Roman" w:hAnsi="Times New Roman" w:cs="Times New Roman"/>
                      <w:b/>
                      <w:bCs w:val="0"/>
                      <w:color w:val="auto"/>
                      <w:szCs w:val="21"/>
                    </w:rPr>
                    <w:t>（类比线路）</w:t>
                  </w:r>
                </w:p>
              </w:tc>
              <w:tc>
                <w:tcPr>
                  <w:tcW w:w="3528" w:type="dxa"/>
                  <w:noWrap w:val="0"/>
                  <w:vAlign w:val="center"/>
                </w:tcPr>
                <w:p w14:paraId="3BA08A8A">
                  <w:pPr>
                    <w:pStyle w:val="75"/>
                    <w:spacing w:line="240" w:lineRule="auto"/>
                    <w:ind w:firstLine="0" w:firstLineChars="0"/>
                    <w:jc w:val="center"/>
                    <w:textAlignment w:val="center"/>
                    <w:rPr>
                      <w:rFonts w:hint="default" w:ascii="Times New Roman" w:hAnsi="Times New Roman" w:eastAsia="宋体" w:cs="Times New Roman"/>
                      <w:b/>
                      <w:bCs w:val="0"/>
                      <w:color w:val="auto"/>
                    </w:rPr>
                  </w:pPr>
                  <w:r>
                    <w:rPr>
                      <w:rFonts w:hint="default" w:ascii="Times New Roman" w:hAnsi="Times New Roman" w:eastAsia="宋体" w:cs="Times New Roman"/>
                      <w:b/>
                      <w:bCs w:val="0"/>
                      <w:color w:val="auto"/>
                      <w:sz w:val="21"/>
                      <w:szCs w:val="21"/>
                    </w:rPr>
                    <w:t>本项目线路</w:t>
                  </w:r>
                </w:p>
              </w:tc>
            </w:tr>
            <w:tr w14:paraId="12833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3F915AB5">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建设规模</w:t>
                  </w:r>
                </w:p>
              </w:tc>
              <w:tc>
                <w:tcPr>
                  <w:tcW w:w="3100" w:type="dxa"/>
                  <w:noWrap w:val="0"/>
                  <w:vAlign w:val="center"/>
                </w:tcPr>
                <w:p w14:paraId="0352370D">
                  <w:pPr>
                    <w:spacing w:line="240" w:lineRule="auto"/>
                    <w:jc w:val="center"/>
                    <w:rPr>
                      <w:rFonts w:hint="default" w:ascii="Times New Roman" w:hAnsi="Times New Roman" w:cs="Times New Roman"/>
                      <w:color w:val="auto"/>
                    </w:rPr>
                  </w:pPr>
                  <w:r>
                    <w:rPr>
                      <w:rFonts w:hint="default" w:ascii="Times New Roman" w:hAnsi="Times New Roman" w:cs="Times New Roman"/>
                      <w:color w:val="auto"/>
                      <w:szCs w:val="21"/>
                    </w:rPr>
                    <w:t>110</w:t>
                  </w:r>
                  <w:r>
                    <w:rPr>
                      <w:rFonts w:hint="default" w:ascii="Times New Roman" w:hAnsi="Times New Roman" w:cs="Times New Roman"/>
                      <w:color w:val="auto"/>
                      <w:szCs w:val="21"/>
                      <w:lang w:val="en-US" w:eastAsia="zh-CN"/>
                    </w:rPr>
                    <w:t>千伏</w:t>
                  </w:r>
                  <w:r>
                    <w:rPr>
                      <w:rFonts w:hint="default" w:ascii="Times New Roman" w:hAnsi="Times New Roman" w:cs="Times New Roman"/>
                      <w:color w:val="auto"/>
                      <w:szCs w:val="21"/>
                    </w:rPr>
                    <w:t>输电线路</w:t>
                  </w:r>
                </w:p>
              </w:tc>
              <w:tc>
                <w:tcPr>
                  <w:tcW w:w="3528" w:type="dxa"/>
                  <w:noWrap w:val="0"/>
                  <w:vAlign w:val="center"/>
                </w:tcPr>
                <w:p w14:paraId="5A5195E6">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w:t>
                  </w:r>
                  <w:r>
                    <w:rPr>
                      <w:rFonts w:hint="default" w:ascii="Times New Roman" w:hAnsi="Times New Roman" w:eastAsia="宋体" w:cs="Times New Roman"/>
                      <w:color w:val="auto"/>
                      <w:sz w:val="21"/>
                      <w:szCs w:val="21"/>
                      <w:lang w:val="en-US" w:eastAsia="zh-CN"/>
                    </w:rPr>
                    <w:t>千伏</w:t>
                  </w:r>
                  <w:r>
                    <w:rPr>
                      <w:rFonts w:hint="default" w:ascii="Times New Roman" w:hAnsi="Times New Roman" w:eastAsia="宋体" w:cs="Times New Roman"/>
                      <w:color w:val="auto"/>
                      <w:sz w:val="21"/>
                      <w:szCs w:val="21"/>
                    </w:rPr>
                    <w:t>输电线路</w:t>
                  </w:r>
                </w:p>
              </w:tc>
            </w:tr>
            <w:tr w14:paraId="198C7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7BEF928A">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导线型号</w:t>
                  </w:r>
                </w:p>
              </w:tc>
              <w:tc>
                <w:tcPr>
                  <w:tcW w:w="3100" w:type="dxa"/>
                  <w:noWrap w:val="0"/>
                  <w:vAlign w:val="center"/>
                </w:tcPr>
                <w:p w14:paraId="5FF489E8">
                  <w:pPr>
                    <w:spacing w:line="240" w:lineRule="auto"/>
                    <w:jc w:val="center"/>
                    <w:rPr>
                      <w:rFonts w:hint="default" w:ascii="Times New Roman" w:hAnsi="Times New Roman" w:cs="Times New Roman"/>
                      <w:color w:val="auto"/>
                      <w:szCs w:val="21"/>
                    </w:rPr>
                  </w:pPr>
                  <w:r>
                    <w:rPr>
                      <w:rFonts w:hint="eastAsia"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eastAsia="zh-CN"/>
                    </w:rPr>
                    <w:t>JL/G1A-240/30-24/7</w:t>
                  </w:r>
                </w:p>
              </w:tc>
              <w:tc>
                <w:tcPr>
                  <w:tcW w:w="3528" w:type="dxa"/>
                  <w:noWrap w:val="0"/>
                  <w:vAlign w:val="center"/>
                </w:tcPr>
                <w:p w14:paraId="0D6D5DF4">
                  <w:pPr>
                    <w:pStyle w:val="75"/>
                    <w:spacing w:line="240" w:lineRule="auto"/>
                    <w:ind w:firstLine="0" w:firstLineChars="0"/>
                    <w:jc w:val="center"/>
                    <w:textAlignment w:val="center"/>
                    <w:rPr>
                      <w:rFonts w:hint="default" w:ascii="Times New Roman" w:hAnsi="Times New Roman" w:eastAsia="宋体" w:cs="Times New Roman"/>
                      <w:color w:val="auto"/>
                      <w:sz w:val="21"/>
                      <w:szCs w:val="21"/>
                      <w:lang w:val="en-US"/>
                    </w:rPr>
                  </w:pPr>
                  <w:r>
                    <w:rPr>
                      <w:rFonts w:hint="eastAsia"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eastAsia="zh-CN"/>
                    </w:rPr>
                    <w:t>JL</w:t>
                  </w:r>
                  <w:r>
                    <w:rPr>
                      <w:rFonts w:hint="default" w:ascii="Times New Roman" w:hAnsi="Times New Roman" w:eastAsia="宋体" w:cs="Times New Roman"/>
                      <w:color w:val="auto"/>
                      <w:sz w:val="21"/>
                      <w:szCs w:val="21"/>
                      <w:vertAlign w:val="baseline"/>
                      <w:lang w:val="en-US" w:eastAsia="zh-CN"/>
                    </w:rPr>
                    <w:t>3</w:t>
                  </w:r>
                  <w:r>
                    <w:rPr>
                      <w:rFonts w:hint="default" w:ascii="Times New Roman" w:hAnsi="Times New Roman" w:eastAsia="宋体" w:cs="Times New Roman"/>
                      <w:color w:val="auto"/>
                      <w:sz w:val="21"/>
                      <w:szCs w:val="21"/>
                      <w:vertAlign w:val="baseline"/>
                      <w:lang w:eastAsia="zh-CN"/>
                    </w:rPr>
                    <w:t>/G1A-240/30-24/7</w:t>
                  </w:r>
                  <w:r>
                    <w:rPr>
                      <w:rFonts w:hint="eastAsia" w:eastAsia="宋体" w:cs="Times New Roman"/>
                      <w:color w:val="auto"/>
                      <w:sz w:val="21"/>
                      <w:szCs w:val="21"/>
                      <w:vertAlign w:val="baseline"/>
                      <w:lang w:eastAsia="zh-CN"/>
                    </w:rPr>
                    <w:t>（</w:t>
                  </w:r>
                  <w:r>
                    <w:rPr>
                      <w:rFonts w:hint="eastAsia" w:eastAsia="宋体" w:cs="Times New Roman"/>
                      <w:color w:val="auto"/>
                      <w:sz w:val="21"/>
                      <w:szCs w:val="21"/>
                      <w:vertAlign w:val="baseline"/>
                      <w:lang w:val="en-US" w:eastAsia="zh-CN"/>
                    </w:rPr>
                    <w:t>新建单回路段</w:t>
                  </w:r>
                  <w:r>
                    <w:rPr>
                      <w:rFonts w:hint="eastAsia"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lang w:val="en-US" w:eastAsia="zh-CN"/>
                    </w:rPr>
                    <w:t>1×JL/G1A-240/40</w:t>
                  </w:r>
                  <w:r>
                    <w:rPr>
                      <w:rFonts w:hint="eastAsia" w:eastAsia="宋体" w:cs="Times New Roman"/>
                      <w:color w:val="auto"/>
                      <w:sz w:val="21"/>
                      <w:szCs w:val="21"/>
                      <w:vertAlign w:val="baseline"/>
                      <w:lang w:val="en-US" w:eastAsia="zh-CN"/>
                    </w:rPr>
                    <w:t>（抬高改造段）</w:t>
                  </w:r>
                </w:p>
              </w:tc>
            </w:tr>
            <w:tr w14:paraId="4D5BF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2491AF79">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导线外径</w:t>
                  </w:r>
                </w:p>
              </w:tc>
              <w:tc>
                <w:tcPr>
                  <w:tcW w:w="3100" w:type="dxa"/>
                  <w:noWrap w:val="0"/>
                  <w:vAlign w:val="center"/>
                </w:tcPr>
                <w:p w14:paraId="165341BB">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r>
                    <w:rPr>
                      <w:rFonts w:hint="default" w:ascii="Times New Roman" w:hAnsi="Times New Roman" w:cs="Times New Roman"/>
                      <w:color w:val="auto"/>
                      <w:szCs w:val="21"/>
                      <w:lang w:val="en-US" w:eastAsia="zh-CN"/>
                    </w:rPr>
                    <w:t>1.6</w:t>
                  </w:r>
                  <w:r>
                    <w:rPr>
                      <w:rFonts w:hint="default" w:ascii="Times New Roman" w:hAnsi="Times New Roman" w:cs="Times New Roman"/>
                      <w:color w:val="auto"/>
                      <w:szCs w:val="21"/>
                    </w:rPr>
                    <w:t>mm</w:t>
                  </w:r>
                </w:p>
              </w:tc>
              <w:tc>
                <w:tcPr>
                  <w:tcW w:w="3528" w:type="dxa"/>
                  <w:noWrap w:val="0"/>
                  <w:vAlign w:val="center"/>
                </w:tcPr>
                <w:p w14:paraId="6986E23F">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1.6</w:t>
                  </w:r>
                  <w:r>
                    <w:rPr>
                      <w:rFonts w:hint="default" w:ascii="Times New Roman" w:hAnsi="Times New Roman" w:eastAsia="宋体" w:cs="Times New Roman"/>
                      <w:color w:val="auto"/>
                      <w:sz w:val="21"/>
                      <w:szCs w:val="21"/>
                    </w:rPr>
                    <w:t>mm</w:t>
                  </w:r>
                </w:p>
              </w:tc>
            </w:tr>
            <w:tr w14:paraId="6369E3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4A2AD4A7">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电压等级</w:t>
                  </w:r>
                </w:p>
              </w:tc>
              <w:tc>
                <w:tcPr>
                  <w:tcW w:w="3100" w:type="dxa"/>
                  <w:noWrap w:val="0"/>
                  <w:vAlign w:val="center"/>
                </w:tcPr>
                <w:p w14:paraId="62F103ED">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w:t>
                  </w:r>
                  <w:r>
                    <w:rPr>
                      <w:rFonts w:hint="default" w:ascii="Times New Roman" w:hAnsi="Times New Roman" w:eastAsia="宋体" w:cs="Times New Roman"/>
                      <w:color w:val="auto"/>
                      <w:sz w:val="21"/>
                      <w:szCs w:val="21"/>
                      <w:lang w:val="en-US" w:eastAsia="zh-CN"/>
                    </w:rPr>
                    <w:t>千伏</w:t>
                  </w:r>
                </w:p>
              </w:tc>
              <w:tc>
                <w:tcPr>
                  <w:tcW w:w="3528" w:type="dxa"/>
                  <w:noWrap w:val="0"/>
                  <w:vAlign w:val="center"/>
                </w:tcPr>
                <w:p w14:paraId="2B0278A6">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w:t>
                  </w:r>
                  <w:r>
                    <w:rPr>
                      <w:rFonts w:hint="default" w:ascii="Times New Roman" w:hAnsi="Times New Roman" w:eastAsia="宋体" w:cs="Times New Roman"/>
                      <w:color w:val="auto"/>
                      <w:sz w:val="21"/>
                      <w:szCs w:val="21"/>
                      <w:lang w:val="en-US" w:eastAsia="zh-CN"/>
                    </w:rPr>
                    <w:t>千伏</w:t>
                  </w:r>
                </w:p>
              </w:tc>
            </w:tr>
            <w:tr w14:paraId="51A7D7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7CE79D55">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lang w:val="en-US" w:eastAsia="zh-CN"/>
                    </w:rPr>
                  </w:pPr>
                  <w:r>
                    <w:rPr>
                      <w:rFonts w:hint="eastAsia" w:eastAsia="宋体" w:cs="Times New Roman"/>
                      <w:b/>
                      <w:bCs w:val="0"/>
                      <w:color w:val="auto"/>
                      <w:sz w:val="21"/>
                      <w:szCs w:val="21"/>
                      <w:lang w:val="en-US" w:eastAsia="zh-CN"/>
                    </w:rPr>
                    <w:t>分裂数</w:t>
                  </w:r>
                </w:p>
              </w:tc>
              <w:tc>
                <w:tcPr>
                  <w:tcW w:w="3100" w:type="dxa"/>
                  <w:noWrap w:val="0"/>
                  <w:vAlign w:val="center"/>
                </w:tcPr>
                <w:p w14:paraId="37289318">
                  <w:pPr>
                    <w:pStyle w:val="75"/>
                    <w:spacing w:line="240" w:lineRule="auto"/>
                    <w:ind w:firstLine="0" w:firstLineChars="0"/>
                    <w:jc w:val="center"/>
                    <w:textAlignment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双</w:t>
                  </w:r>
                  <w:r>
                    <w:rPr>
                      <w:rFonts w:hint="eastAsia" w:eastAsia="宋体" w:cs="Times New Roman"/>
                      <w:b w:val="0"/>
                      <w:bCs/>
                      <w:color w:val="auto"/>
                      <w:sz w:val="21"/>
                      <w:szCs w:val="21"/>
                      <w:lang w:val="en-US" w:eastAsia="zh-CN"/>
                    </w:rPr>
                    <w:t>分裂</w:t>
                  </w:r>
                </w:p>
              </w:tc>
              <w:tc>
                <w:tcPr>
                  <w:tcW w:w="3528" w:type="dxa"/>
                  <w:noWrap w:val="0"/>
                  <w:vAlign w:val="center"/>
                </w:tcPr>
                <w:p w14:paraId="45727308">
                  <w:pPr>
                    <w:pStyle w:val="75"/>
                    <w:spacing w:line="240" w:lineRule="auto"/>
                    <w:ind w:firstLine="0" w:firstLineChars="0"/>
                    <w:jc w:val="center"/>
                    <w:textAlignment w:val="center"/>
                    <w:rPr>
                      <w:rFonts w:hint="default" w:ascii="Times New Roman" w:hAnsi="Times New Roman" w:eastAsia="宋体" w:cs="Times New Roman"/>
                      <w:color w:val="auto"/>
                      <w:sz w:val="21"/>
                      <w:szCs w:val="21"/>
                      <w:lang w:val="en-US"/>
                    </w:rPr>
                  </w:pPr>
                  <w:r>
                    <w:rPr>
                      <w:rFonts w:hint="eastAsia" w:eastAsia="宋体" w:cs="Times New Roman"/>
                      <w:color w:val="auto"/>
                      <w:sz w:val="21"/>
                      <w:szCs w:val="21"/>
                      <w:lang w:val="en-US" w:eastAsia="zh-CN"/>
                    </w:rPr>
                    <w:t>双</w:t>
                  </w:r>
                  <w:r>
                    <w:rPr>
                      <w:rFonts w:hint="eastAsia" w:eastAsia="宋体" w:cs="Times New Roman"/>
                      <w:b w:val="0"/>
                      <w:bCs/>
                      <w:color w:val="auto"/>
                      <w:sz w:val="21"/>
                      <w:szCs w:val="21"/>
                      <w:lang w:val="en-US" w:eastAsia="zh-CN"/>
                    </w:rPr>
                    <w:t>分裂、单分裂</w:t>
                  </w:r>
                </w:p>
              </w:tc>
            </w:tr>
            <w:tr w14:paraId="2B8B9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084B6B71">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架线型式</w:t>
                  </w:r>
                </w:p>
              </w:tc>
              <w:tc>
                <w:tcPr>
                  <w:tcW w:w="3100" w:type="dxa"/>
                  <w:noWrap w:val="0"/>
                  <w:vAlign w:val="center"/>
                </w:tcPr>
                <w:p w14:paraId="7F372983">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单回路</w:t>
                  </w:r>
                </w:p>
              </w:tc>
              <w:tc>
                <w:tcPr>
                  <w:tcW w:w="3528" w:type="dxa"/>
                  <w:noWrap w:val="0"/>
                  <w:vAlign w:val="center"/>
                </w:tcPr>
                <w:p w14:paraId="5963CD6D">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单回路</w:t>
                  </w:r>
                </w:p>
              </w:tc>
            </w:tr>
            <w:tr w14:paraId="2977B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59A06AE6">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导线排列方式</w:t>
                  </w:r>
                </w:p>
              </w:tc>
              <w:tc>
                <w:tcPr>
                  <w:tcW w:w="3100" w:type="dxa"/>
                  <w:noWrap w:val="0"/>
                  <w:vAlign w:val="center"/>
                </w:tcPr>
                <w:p w14:paraId="24C04FEF">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三角排列</w:t>
                  </w:r>
                </w:p>
              </w:tc>
              <w:tc>
                <w:tcPr>
                  <w:tcW w:w="3528" w:type="dxa"/>
                  <w:noWrap w:val="0"/>
                  <w:vAlign w:val="center"/>
                </w:tcPr>
                <w:p w14:paraId="1D4794FE">
                  <w:pPr>
                    <w:pStyle w:val="75"/>
                    <w:spacing w:line="240" w:lineRule="auto"/>
                    <w:ind w:firstLine="0" w:firstLineChars="0"/>
                    <w:jc w:val="center"/>
                    <w:textAlignment w:val="center"/>
                    <w:rPr>
                      <w:rFonts w:hint="default" w:ascii="Times New Roman" w:hAnsi="Times New Roman" w:cs="Times New Roman"/>
                      <w:color w:val="auto"/>
                    </w:rPr>
                  </w:pPr>
                  <w:r>
                    <w:rPr>
                      <w:rFonts w:hint="default" w:ascii="Times New Roman" w:hAnsi="Times New Roman" w:eastAsia="宋体" w:cs="Times New Roman"/>
                      <w:color w:val="auto"/>
                      <w:sz w:val="21"/>
                    </w:rPr>
                    <w:t>三角排列</w:t>
                  </w:r>
                </w:p>
              </w:tc>
            </w:tr>
            <w:tr w14:paraId="1BA5F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0720279F">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导线对地高度</w:t>
                  </w:r>
                </w:p>
              </w:tc>
              <w:tc>
                <w:tcPr>
                  <w:tcW w:w="3100" w:type="dxa"/>
                  <w:noWrap w:val="0"/>
                  <w:vAlign w:val="center"/>
                </w:tcPr>
                <w:p w14:paraId="5DB74FC2">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9.5</w:t>
                  </w:r>
                  <w:r>
                    <w:rPr>
                      <w:rFonts w:hint="default" w:ascii="Times New Roman" w:hAnsi="Times New Roman" w:eastAsia="宋体" w:cs="Times New Roman"/>
                      <w:color w:val="auto"/>
                      <w:sz w:val="21"/>
                      <w:szCs w:val="21"/>
                    </w:rPr>
                    <w:t>m</w:t>
                  </w:r>
                </w:p>
              </w:tc>
              <w:tc>
                <w:tcPr>
                  <w:tcW w:w="3528" w:type="dxa"/>
                  <w:noWrap w:val="0"/>
                  <w:vAlign w:val="center"/>
                </w:tcPr>
                <w:p w14:paraId="4DAA0AF1">
                  <w:pPr>
                    <w:pStyle w:val="75"/>
                    <w:spacing w:line="240" w:lineRule="auto"/>
                    <w:ind w:firstLine="0" w:firstLineChars="0"/>
                    <w:jc w:val="center"/>
                    <w:textAlignment w:val="center"/>
                    <w:rPr>
                      <w:rFonts w:hint="default" w:ascii="Times New Roman" w:hAnsi="Times New Roman" w:eastAsia="宋体" w:cs="Times New Roman"/>
                      <w:color w:val="auto"/>
                      <w:lang w:eastAsia="zh-CN"/>
                    </w:rPr>
                  </w:pPr>
                  <w:r>
                    <w:rPr>
                      <w:rFonts w:hint="eastAsia" w:eastAsia="宋体" w:cs="Times New Roman"/>
                      <w:color w:val="auto"/>
                      <w:sz w:val="21"/>
                      <w:szCs w:val="21"/>
                      <w:lang w:val="en-US" w:eastAsia="zh-CN"/>
                    </w:rPr>
                    <w:t>12.3</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来源于设计文件</w:t>
                  </w:r>
                  <w:r>
                    <w:rPr>
                      <w:rFonts w:hint="default" w:ascii="Times New Roman" w:hAnsi="Times New Roman" w:eastAsia="宋体" w:cs="Times New Roman"/>
                      <w:color w:val="auto"/>
                      <w:sz w:val="21"/>
                      <w:szCs w:val="21"/>
                      <w:lang w:eastAsia="zh-CN"/>
                    </w:rPr>
                    <w:t>）</w:t>
                  </w:r>
                </w:p>
              </w:tc>
            </w:tr>
            <w:tr w14:paraId="423896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69CBA12B">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环境条件</w:t>
                  </w:r>
                </w:p>
              </w:tc>
              <w:tc>
                <w:tcPr>
                  <w:tcW w:w="3100" w:type="dxa"/>
                  <w:noWrap w:val="0"/>
                  <w:vAlign w:val="center"/>
                </w:tcPr>
                <w:p w14:paraId="516ACB80">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宁夏回族自治区银川市灵武市</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吴忠市盐池县</w:t>
                  </w:r>
                  <w:r>
                    <w:rPr>
                      <w:rFonts w:hint="default" w:ascii="Times New Roman" w:hAnsi="Times New Roman" w:eastAsia="宋体" w:cs="Times New Roman"/>
                      <w:color w:val="auto"/>
                      <w:sz w:val="21"/>
                      <w:szCs w:val="21"/>
                      <w:lang w:val="en-US" w:eastAsia="zh-CN"/>
                    </w:rPr>
                    <w:t>境内</w:t>
                  </w:r>
                </w:p>
              </w:tc>
              <w:tc>
                <w:tcPr>
                  <w:tcW w:w="3528" w:type="dxa"/>
                  <w:noWrap w:val="0"/>
                  <w:vAlign w:val="center"/>
                </w:tcPr>
                <w:p w14:paraId="06594123">
                  <w:pPr>
                    <w:pStyle w:val="75"/>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宁夏回族自治区</w:t>
                  </w:r>
                  <w:r>
                    <w:rPr>
                      <w:rFonts w:hint="default" w:ascii="Times New Roman" w:hAnsi="Times New Roman" w:eastAsia="宋体" w:cs="Times New Roman"/>
                      <w:color w:val="auto"/>
                      <w:sz w:val="21"/>
                      <w:szCs w:val="21"/>
                      <w:lang w:val="en-US" w:eastAsia="zh-CN"/>
                    </w:rPr>
                    <w:t>固原市原州区、彭阳县境内，黄土河谷高阶地地貌、黄土塬梁地貌</w:t>
                  </w:r>
                </w:p>
              </w:tc>
            </w:tr>
            <w:tr w14:paraId="14405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2" w:type="dxa"/>
                  <w:noWrap w:val="0"/>
                  <w:vAlign w:val="center"/>
                </w:tcPr>
                <w:p w14:paraId="2768F5E3">
                  <w:pPr>
                    <w:pStyle w:val="75"/>
                    <w:spacing w:line="240" w:lineRule="auto"/>
                    <w:ind w:firstLine="0" w:firstLineChars="0"/>
                    <w:jc w:val="center"/>
                    <w:textAlignment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运行工况</w:t>
                  </w:r>
                </w:p>
              </w:tc>
              <w:tc>
                <w:tcPr>
                  <w:tcW w:w="3100" w:type="dxa"/>
                  <w:noWrap w:val="0"/>
                  <w:vAlign w:val="center"/>
                </w:tcPr>
                <w:p w14:paraId="33A64CF0">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正常运行</w:t>
                  </w:r>
                </w:p>
              </w:tc>
              <w:tc>
                <w:tcPr>
                  <w:tcW w:w="3528" w:type="dxa"/>
                  <w:noWrap w:val="0"/>
                  <w:vAlign w:val="center"/>
                </w:tcPr>
                <w:p w14:paraId="77D1D647">
                  <w:pPr>
                    <w:pStyle w:val="75"/>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14:paraId="0BBB6DB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②类比监测单位</w:t>
            </w:r>
          </w:p>
          <w:p w14:paraId="5ED5006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宁夏盛世蓝天环保技术有限公司。</w:t>
            </w:r>
          </w:p>
          <w:p w14:paraId="3D48121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③类比监测项目</w:t>
            </w:r>
          </w:p>
          <w:p w14:paraId="1A13E39A">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噪声。</w:t>
            </w:r>
          </w:p>
          <w:p w14:paraId="4550720C">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④类比监测方法</w:t>
            </w:r>
          </w:p>
          <w:p w14:paraId="0A08F288">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按</w:t>
            </w:r>
            <w:r>
              <w:rPr>
                <w:rFonts w:hint="default" w:ascii="Times New Roman" w:hAnsi="Times New Roman" w:cs="Times New Roman"/>
                <w:color w:val="auto"/>
                <w:sz w:val="24"/>
                <w:highlight w:val="none"/>
              </w:rPr>
              <w:t>《工业企业厂界环境噪声排放标准》</w:t>
            </w:r>
            <w:r>
              <w:rPr>
                <w:rFonts w:hint="default" w:ascii="Times New Roman" w:hAnsi="Times New Roman" w:cs="Times New Roman"/>
                <w:color w:val="auto"/>
                <w:sz w:val="24"/>
                <w:highlight w:val="none"/>
                <w:lang w:eastAsia="zh-CN"/>
              </w:rPr>
              <w:t>（GB12348-2008）</w:t>
            </w:r>
            <w:r>
              <w:rPr>
                <w:rFonts w:hint="default" w:ascii="Times New Roman" w:hAnsi="Times New Roman" w:cs="Times New Roman"/>
                <w:color w:val="auto"/>
                <w:sz w:val="24"/>
              </w:rPr>
              <w:t>进行监测。采用类比分析方法评价架空线路运行后产生的噪声对周围环境的影响。</w:t>
            </w:r>
          </w:p>
          <w:p w14:paraId="289BC4D6">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⑤类比监测仪器</w:t>
            </w:r>
          </w:p>
          <w:p w14:paraId="6E1042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表4-</w:t>
            </w:r>
            <w:r>
              <w:rPr>
                <w:rFonts w:hint="default" w:ascii="Times New Roman" w:hAnsi="Times New Roman" w:eastAsia="宋体" w:cs="Times New Roman"/>
                <w:b/>
                <w:bCs/>
                <w:color w:val="auto"/>
                <w:sz w:val="24"/>
                <w:lang w:val="en-US" w:eastAsia="zh-CN"/>
              </w:rPr>
              <w:t>1</w:t>
            </w:r>
            <w:r>
              <w:rPr>
                <w:rFonts w:hint="eastAsia" w:cs="Times New Roman"/>
                <w:b/>
                <w:bCs/>
                <w:color w:val="auto"/>
                <w:sz w:val="24"/>
                <w:lang w:val="en-US" w:eastAsia="zh-CN"/>
              </w:rPr>
              <w:t>0</w:t>
            </w:r>
            <w:r>
              <w:rPr>
                <w:rFonts w:hint="default" w:ascii="Times New Roman" w:hAnsi="Times New Roman" w:eastAsia="宋体" w:cs="Times New Roman"/>
                <w:b/>
                <w:bCs/>
                <w:color w:val="auto"/>
                <w:sz w:val="24"/>
              </w:rPr>
              <w:t xml:space="preserve">    噪声监测仪器一览表</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6"/>
              <w:gridCol w:w="1406"/>
              <w:gridCol w:w="1096"/>
              <w:gridCol w:w="3992"/>
            </w:tblGrid>
            <w:tr w14:paraId="70294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26" w:type="dxa"/>
                  <w:noWrap w:val="0"/>
                  <w:vAlign w:val="center"/>
                </w:tcPr>
                <w:p w14:paraId="152CB8B5">
                  <w:pPr>
                    <w:jc w:val="center"/>
                    <w:rPr>
                      <w:rFonts w:hint="default" w:ascii="Times New Roman" w:hAnsi="Times New Roman" w:cs="Times New Roman"/>
                      <w:b/>
                      <w:bCs/>
                      <w:color w:val="auto"/>
                    </w:rPr>
                  </w:pPr>
                  <w:r>
                    <w:rPr>
                      <w:rFonts w:hint="default" w:ascii="Times New Roman" w:hAnsi="Times New Roman" w:cs="Times New Roman"/>
                      <w:b/>
                      <w:bCs/>
                      <w:color w:val="auto"/>
                    </w:rPr>
                    <w:t>仪器名称及型号</w:t>
                  </w:r>
                </w:p>
              </w:tc>
              <w:tc>
                <w:tcPr>
                  <w:tcW w:w="1406" w:type="dxa"/>
                  <w:noWrap w:val="0"/>
                  <w:vAlign w:val="center"/>
                </w:tcPr>
                <w:p w14:paraId="26BCF53C">
                  <w:pPr>
                    <w:jc w:val="center"/>
                    <w:rPr>
                      <w:rFonts w:hint="default" w:ascii="Times New Roman" w:hAnsi="Times New Roman" w:cs="Times New Roman"/>
                      <w:b/>
                      <w:bCs/>
                      <w:color w:val="auto"/>
                    </w:rPr>
                  </w:pPr>
                  <w:r>
                    <w:rPr>
                      <w:rFonts w:hint="default" w:ascii="Times New Roman" w:hAnsi="Times New Roman" w:cs="Times New Roman"/>
                      <w:b/>
                      <w:bCs/>
                      <w:color w:val="auto"/>
                    </w:rPr>
                    <w:t>测量范围</w:t>
                  </w:r>
                </w:p>
              </w:tc>
              <w:tc>
                <w:tcPr>
                  <w:tcW w:w="1096" w:type="dxa"/>
                  <w:noWrap w:val="0"/>
                  <w:vAlign w:val="center"/>
                </w:tcPr>
                <w:p w14:paraId="27FE77FC">
                  <w:pPr>
                    <w:jc w:val="center"/>
                    <w:rPr>
                      <w:rFonts w:hint="default" w:ascii="Times New Roman" w:hAnsi="Times New Roman" w:cs="Times New Roman"/>
                      <w:b/>
                      <w:bCs/>
                      <w:color w:val="auto"/>
                    </w:rPr>
                  </w:pPr>
                  <w:r>
                    <w:rPr>
                      <w:rFonts w:hint="default" w:ascii="Times New Roman" w:hAnsi="Times New Roman" w:cs="Times New Roman"/>
                      <w:b/>
                      <w:bCs/>
                      <w:color w:val="auto"/>
                    </w:rPr>
                    <w:t>生产厂家</w:t>
                  </w:r>
                </w:p>
              </w:tc>
              <w:tc>
                <w:tcPr>
                  <w:tcW w:w="3992" w:type="dxa"/>
                  <w:noWrap w:val="0"/>
                  <w:vAlign w:val="center"/>
                </w:tcPr>
                <w:p w14:paraId="3EB98573">
                  <w:pPr>
                    <w:jc w:val="center"/>
                    <w:rPr>
                      <w:rFonts w:hint="default" w:ascii="Times New Roman" w:hAnsi="Times New Roman" w:cs="Times New Roman"/>
                      <w:b/>
                      <w:bCs/>
                      <w:color w:val="auto"/>
                    </w:rPr>
                  </w:pPr>
                  <w:r>
                    <w:rPr>
                      <w:rFonts w:hint="default" w:ascii="Times New Roman" w:hAnsi="Times New Roman" w:cs="Times New Roman"/>
                      <w:b/>
                      <w:bCs/>
                      <w:color w:val="auto"/>
                    </w:rPr>
                    <w:t>检测（校准）证书编号</w:t>
                  </w:r>
                </w:p>
              </w:tc>
            </w:tr>
            <w:tr w14:paraId="3871B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26" w:type="dxa"/>
                  <w:noWrap w:val="0"/>
                  <w:vAlign w:val="center"/>
                </w:tcPr>
                <w:p w14:paraId="1AD64D91">
                  <w:pPr>
                    <w:jc w:val="center"/>
                    <w:rPr>
                      <w:rFonts w:hint="default" w:ascii="Times New Roman" w:hAnsi="Times New Roman" w:cs="Times New Roman"/>
                      <w:color w:val="auto"/>
                    </w:rPr>
                  </w:pPr>
                  <w:r>
                    <w:rPr>
                      <w:rFonts w:hint="default" w:ascii="Times New Roman" w:hAnsi="Times New Roman" w:cs="Times New Roman"/>
                      <w:color w:val="auto"/>
                    </w:rPr>
                    <w:t>AWAS688</w:t>
                  </w:r>
                </w:p>
                <w:p w14:paraId="6B9CBC2D">
                  <w:pPr>
                    <w:jc w:val="center"/>
                    <w:rPr>
                      <w:rFonts w:hint="default" w:ascii="Times New Roman" w:hAnsi="Times New Roman" w:cs="Times New Roman"/>
                      <w:color w:val="auto"/>
                    </w:rPr>
                  </w:pPr>
                  <w:r>
                    <w:rPr>
                      <w:rFonts w:hint="default" w:ascii="Times New Roman" w:hAnsi="Times New Roman" w:cs="Times New Roman"/>
                      <w:color w:val="auto"/>
                    </w:rPr>
                    <w:t>多功能声级</w:t>
                  </w:r>
                </w:p>
                <w:p w14:paraId="466ABD79">
                  <w:pPr>
                    <w:jc w:val="center"/>
                    <w:rPr>
                      <w:rFonts w:hint="default" w:ascii="Times New Roman" w:hAnsi="Times New Roman" w:cs="Times New Roman"/>
                      <w:color w:val="auto"/>
                    </w:rPr>
                  </w:pPr>
                  <w:r>
                    <w:rPr>
                      <w:rFonts w:hint="default" w:ascii="Times New Roman" w:hAnsi="Times New Roman" w:cs="Times New Roman"/>
                      <w:color w:val="auto"/>
                    </w:rPr>
                    <w:t>计</w:t>
                  </w:r>
                </w:p>
              </w:tc>
              <w:tc>
                <w:tcPr>
                  <w:tcW w:w="1406" w:type="dxa"/>
                  <w:noWrap w:val="0"/>
                  <w:vAlign w:val="center"/>
                </w:tcPr>
                <w:p w14:paraId="5629DE1D">
                  <w:pPr>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30dB~105dB</w:t>
                  </w:r>
                </w:p>
              </w:tc>
              <w:tc>
                <w:tcPr>
                  <w:tcW w:w="1096" w:type="dxa"/>
                  <w:noWrap w:val="0"/>
                  <w:vAlign w:val="center"/>
                </w:tcPr>
                <w:p w14:paraId="1CD029F5">
                  <w:pPr>
                    <w:jc w:val="center"/>
                    <w:rPr>
                      <w:rFonts w:hint="default" w:ascii="Times New Roman" w:hAnsi="Times New Roman" w:cs="Times New Roman"/>
                      <w:color w:val="auto"/>
                    </w:rPr>
                  </w:pPr>
                  <w:r>
                    <w:rPr>
                      <w:rFonts w:hint="default" w:ascii="Times New Roman" w:hAnsi="Times New Roman" w:cs="Times New Roman"/>
                      <w:color w:val="auto"/>
                    </w:rPr>
                    <w:t>杭州爱华</w:t>
                  </w:r>
                </w:p>
                <w:p w14:paraId="50F5E11C">
                  <w:pPr>
                    <w:jc w:val="center"/>
                    <w:rPr>
                      <w:rFonts w:hint="default" w:ascii="Times New Roman" w:hAnsi="Times New Roman" w:cs="Times New Roman"/>
                      <w:color w:val="auto"/>
                    </w:rPr>
                  </w:pPr>
                  <w:r>
                    <w:rPr>
                      <w:rFonts w:hint="default" w:ascii="Times New Roman" w:hAnsi="Times New Roman" w:cs="Times New Roman"/>
                      <w:color w:val="auto"/>
                    </w:rPr>
                    <w:t>仪器有限</w:t>
                  </w:r>
                </w:p>
                <w:p w14:paraId="0C02CA8E">
                  <w:pPr>
                    <w:jc w:val="center"/>
                    <w:rPr>
                      <w:rFonts w:hint="default" w:ascii="Times New Roman" w:hAnsi="Times New Roman" w:cs="Times New Roman"/>
                      <w:color w:val="auto"/>
                    </w:rPr>
                  </w:pPr>
                  <w:r>
                    <w:rPr>
                      <w:rFonts w:hint="default" w:ascii="Times New Roman" w:hAnsi="Times New Roman" w:cs="Times New Roman"/>
                      <w:color w:val="auto"/>
                    </w:rPr>
                    <w:t>公司</w:t>
                  </w:r>
                </w:p>
              </w:tc>
              <w:tc>
                <w:tcPr>
                  <w:tcW w:w="3992" w:type="dxa"/>
                  <w:noWrap w:val="0"/>
                  <w:vAlign w:val="center"/>
                </w:tcPr>
                <w:p w14:paraId="6C646293">
                  <w:pPr>
                    <w:jc w:val="left"/>
                    <w:rPr>
                      <w:rFonts w:hint="default" w:ascii="Times New Roman" w:hAnsi="Times New Roman" w:cs="Times New Roman"/>
                      <w:color w:val="auto"/>
                    </w:rPr>
                  </w:pPr>
                  <w:r>
                    <w:rPr>
                      <w:rFonts w:hint="default" w:ascii="Times New Roman" w:hAnsi="Times New Roman" w:cs="Times New Roman"/>
                      <w:color w:val="auto"/>
                    </w:rPr>
                    <w:t>出厂编号</w:t>
                  </w:r>
                  <w:r>
                    <w:rPr>
                      <w:rFonts w:hint="default" w:ascii="Times New Roman" w:hAnsi="Times New Roman" w:cs="Times New Roman"/>
                      <w:color w:val="auto"/>
                      <w:lang w:eastAsia="zh-CN"/>
                    </w:rPr>
                    <w:t>：</w:t>
                  </w:r>
                  <w:r>
                    <w:rPr>
                      <w:rFonts w:hint="default" w:ascii="Times New Roman" w:hAnsi="Times New Roman" w:cs="Times New Roman"/>
                      <w:color w:val="auto"/>
                    </w:rPr>
                    <w:t>10329747</w:t>
                  </w:r>
                </w:p>
                <w:p w14:paraId="0790741A">
                  <w:pPr>
                    <w:jc w:val="left"/>
                    <w:rPr>
                      <w:rFonts w:hint="default" w:ascii="Times New Roman" w:hAnsi="Times New Roman" w:cs="Times New Roman"/>
                      <w:color w:val="auto"/>
                    </w:rPr>
                  </w:pPr>
                  <w:r>
                    <w:rPr>
                      <w:rFonts w:hint="default" w:ascii="Times New Roman" w:hAnsi="Times New Roman" w:cs="Times New Roman"/>
                      <w:color w:val="auto"/>
                    </w:rPr>
                    <w:t>设备编号</w:t>
                  </w:r>
                  <w:r>
                    <w:rPr>
                      <w:rFonts w:hint="default" w:ascii="Times New Roman" w:hAnsi="Times New Roman" w:cs="Times New Roman"/>
                      <w:color w:val="auto"/>
                      <w:lang w:eastAsia="zh-CN"/>
                    </w:rPr>
                    <w:t>：</w:t>
                  </w:r>
                  <w:r>
                    <w:rPr>
                      <w:rFonts w:hint="default" w:ascii="Times New Roman" w:hAnsi="Times New Roman" w:cs="Times New Roman"/>
                      <w:color w:val="auto"/>
                    </w:rPr>
                    <w:t>LT-03</w:t>
                  </w:r>
                </w:p>
                <w:p w14:paraId="2F723211">
                  <w:pPr>
                    <w:jc w:val="left"/>
                    <w:rPr>
                      <w:rFonts w:hint="default" w:ascii="Times New Roman" w:hAnsi="Times New Roman" w:cs="Times New Roman"/>
                      <w:color w:val="auto"/>
                    </w:rPr>
                  </w:pPr>
                  <w:r>
                    <w:rPr>
                      <w:rFonts w:hint="default" w:ascii="Times New Roman" w:hAnsi="Times New Roman" w:cs="Times New Roman"/>
                      <w:color w:val="auto"/>
                    </w:rPr>
                    <w:t>检定单位</w:t>
                  </w:r>
                  <w:r>
                    <w:rPr>
                      <w:rFonts w:hint="default" w:ascii="Times New Roman" w:hAnsi="Times New Roman" w:cs="Times New Roman"/>
                      <w:color w:val="auto"/>
                      <w:lang w:eastAsia="zh-CN"/>
                    </w:rPr>
                    <w:t>：</w:t>
                  </w:r>
                  <w:r>
                    <w:rPr>
                      <w:rFonts w:hint="default" w:ascii="Times New Roman" w:hAnsi="Times New Roman" w:cs="Times New Roman"/>
                      <w:color w:val="auto"/>
                    </w:rPr>
                    <w:t>宁夏计量质量检验检测研究院</w:t>
                  </w:r>
                </w:p>
                <w:p w14:paraId="287B30A1">
                  <w:pPr>
                    <w:jc w:val="left"/>
                    <w:rPr>
                      <w:rFonts w:hint="default" w:ascii="Times New Roman" w:hAnsi="Times New Roman" w:cs="Times New Roman"/>
                      <w:color w:val="auto"/>
                    </w:rPr>
                  </w:pPr>
                  <w:r>
                    <w:rPr>
                      <w:rFonts w:hint="default" w:ascii="Times New Roman" w:hAnsi="Times New Roman" w:cs="Times New Roman"/>
                      <w:color w:val="auto"/>
                    </w:rPr>
                    <w:t>检定证书号</w:t>
                  </w:r>
                  <w:r>
                    <w:rPr>
                      <w:rFonts w:hint="default" w:ascii="Times New Roman" w:hAnsi="Times New Roman" w:cs="Times New Roman"/>
                      <w:color w:val="auto"/>
                      <w:lang w:eastAsia="zh-CN"/>
                    </w:rPr>
                    <w:t>：</w:t>
                  </w:r>
                  <w:r>
                    <w:rPr>
                      <w:rFonts w:hint="default" w:ascii="Times New Roman" w:hAnsi="Times New Roman" w:cs="Times New Roman"/>
                      <w:color w:val="auto"/>
                    </w:rPr>
                    <w:t>23005290-001</w:t>
                  </w:r>
                </w:p>
                <w:p w14:paraId="44D5D18B">
                  <w:pPr>
                    <w:jc w:val="left"/>
                    <w:rPr>
                      <w:rFonts w:hint="default" w:ascii="Times New Roman" w:hAnsi="Times New Roman" w:cs="Times New Roman"/>
                      <w:color w:val="auto"/>
                    </w:rPr>
                  </w:pPr>
                  <w:r>
                    <w:rPr>
                      <w:rFonts w:hint="default" w:ascii="Times New Roman" w:hAnsi="Times New Roman" w:cs="Times New Roman"/>
                      <w:color w:val="auto"/>
                    </w:rPr>
                    <w:t>有效期</w:t>
                  </w:r>
                  <w:r>
                    <w:rPr>
                      <w:rFonts w:hint="default" w:ascii="Times New Roman" w:hAnsi="Times New Roman" w:cs="Times New Roman"/>
                      <w:color w:val="auto"/>
                      <w:lang w:eastAsia="zh-CN"/>
                    </w:rPr>
                    <w:t>：</w:t>
                  </w:r>
                  <w:r>
                    <w:rPr>
                      <w:rFonts w:hint="default" w:ascii="Times New Roman" w:hAnsi="Times New Roman" w:cs="Times New Roman"/>
                      <w:color w:val="auto"/>
                    </w:rPr>
                    <w:t>2023.3.28-2024.3.27</w:t>
                  </w:r>
                </w:p>
              </w:tc>
            </w:tr>
            <w:tr w14:paraId="0ED0DD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26" w:type="dxa"/>
                  <w:noWrap w:val="0"/>
                  <w:vAlign w:val="center"/>
                </w:tcPr>
                <w:p w14:paraId="432B29B1">
                  <w:pPr>
                    <w:jc w:val="center"/>
                    <w:rPr>
                      <w:rFonts w:hint="default" w:ascii="Times New Roman" w:hAnsi="Times New Roman" w:cs="Times New Roman"/>
                      <w:color w:val="auto"/>
                    </w:rPr>
                  </w:pPr>
                  <w:r>
                    <w:rPr>
                      <w:rFonts w:hint="default" w:ascii="Times New Roman" w:hAnsi="Times New Roman" w:cs="Times New Roman"/>
                      <w:color w:val="auto"/>
                    </w:rPr>
                    <w:t>AWA6221A</w:t>
                  </w:r>
                </w:p>
                <w:p w14:paraId="256BE313">
                  <w:pPr>
                    <w:jc w:val="center"/>
                    <w:rPr>
                      <w:rFonts w:hint="default" w:ascii="Times New Roman" w:hAnsi="Times New Roman" w:cs="Times New Roman"/>
                      <w:color w:val="auto"/>
                    </w:rPr>
                  </w:pPr>
                  <w:r>
                    <w:rPr>
                      <w:rFonts w:hint="default" w:ascii="Times New Roman" w:hAnsi="Times New Roman" w:cs="Times New Roman"/>
                      <w:color w:val="auto"/>
                    </w:rPr>
                    <w:t>声校准器</w:t>
                  </w:r>
                </w:p>
              </w:tc>
              <w:tc>
                <w:tcPr>
                  <w:tcW w:w="1406" w:type="dxa"/>
                  <w:noWrap w:val="0"/>
                  <w:vAlign w:val="center"/>
                </w:tcPr>
                <w:p w14:paraId="2FC21007">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标准声压级</w:t>
                  </w:r>
                </w:p>
                <w:p w14:paraId="50289E1F">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94.0dB</w:t>
                  </w:r>
                </w:p>
              </w:tc>
              <w:tc>
                <w:tcPr>
                  <w:tcW w:w="1096" w:type="dxa"/>
                  <w:noWrap w:val="0"/>
                  <w:vAlign w:val="center"/>
                </w:tcPr>
                <w:p w14:paraId="69961471">
                  <w:pPr>
                    <w:jc w:val="center"/>
                    <w:rPr>
                      <w:rFonts w:hint="default" w:ascii="Times New Roman" w:hAnsi="Times New Roman" w:cs="Times New Roman"/>
                      <w:color w:val="auto"/>
                    </w:rPr>
                  </w:pPr>
                  <w:r>
                    <w:rPr>
                      <w:rFonts w:hint="default" w:ascii="Times New Roman" w:hAnsi="Times New Roman" w:cs="Times New Roman"/>
                      <w:color w:val="auto"/>
                    </w:rPr>
                    <w:t>杭州爱华</w:t>
                  </w:r>
                </w:p>
                <w:p w14:paraId="7DE338E2">
                  <w:pPr>
                    <w:jc w:val="center"/>
                    <w:rPr>
                      <w:rFonts w:hint="default" w:ascii="Times New Roman" w:hAnsi="Times New Roman" w:cs="Times New Roman"/>
                      <w:color w:val="auto"/>
                    </w:rPr>
                  </w:pPr>
                  <w:r>
                    <w:rPr>
                      <w:rFonts w:hint="default" w:ascii="Times New Roman" w:hAnsi="Times New Roman" w:cs="Times New Roman"/>
                      <w:color w:val="auto"/>
                    </w:rPr>
                    <w:t>仪器有限</w:t>
                  </w:r>
                </w:p>
                <w:p w14:paraId="6E16B3D8">
                  <w:pPr>
                    <w:jc w:val="center"/>
                    <w:rPr>
                      <w:rFonts w:hint="default" w:ascii="Times New Roman" w:hAnsi="Times New Roman" w:cs="Times New Roman"/>
                      <w:color w:val="auto"/>
                    </w:rPr>
                  </w:pPr>
                  <w:r>
                    <w:rPr>
                      <w:rFonts w:hint="default" w:ascii="Times New Roman" w:hAnsi="Times New Roman" w:cs="Times New Roman"/>
                      <w:color w:val="auto"/>
                    </w:rPr>
                    <w:t>公司</w:t>
                  </w:r>
                </w:p>
              </w:tc>
              <w:tc>
                <w:tcPr>
                  <w:tcW w:w="3992" w:type="dxa"/>
                  <w:noWrap w:val="0"/>
                  <w:vAlign w:val="center"/>
                </w:tcPr>
                <w:p w14:paraId="366D2D6A">
                  <w:pPr>
                    <w:jc w:val="left"/>
                    <w:rPr>
                      <w:rFonts w:hint="default" w:ascii="Times New Roman" w:hAnsi="Times New Roman" w:cs="Times New Roman"/>
                      <w:color w:val="auto"/>
                    </w:rPr>
                  </w:pPr>
                  <w:r>
                    <w:rPr>
                      <w:rFonts w:hint="default" w:ascii="Times New Roman" w:hAnsi="Times New Roman" w:cs="Times New Roman"/>
                      <w:color w:val="auto"/>
                    </w:rPr>
                    <w:t>出厂编号</w:t>
                  </w:r>
                  <w:r>
                    <w:rPr>
                      <w:rFonts w:hint="default" w:ascii="Times New Roman" w:hAnsi="Times New Roman" w:cs="Times New Roman"/>
                      <w:color w:val="auto"/>
                      <w:lang w:eastAsia="zh-CN"/>
                    </w:rPr>
                    <w:t>：</w:t>
                  </w:r>
                  <w:r>
                    <w:rPr>
                      <w:rFonts w:hint="default" w:ascii="Times New Roman" w:hAnsi="Times New Roman" w:cs="Times New Roman"/>
                      <w:color w:val="auto"/>
                    </w:rPr>
                    <w:t>1007026</w:t>
                  </w:r>
                </w:p>
                <w:p w14:paraId="515CC603">
                  <w:pPr>
                    <w:jc w:val="left"/>
                    <w:rPr>
                      <w:rFonts w:hint="default" w:ascii="Times New Roman" w:hAnsi="Times New Roman" w:cs="Times New Roman"/>
                      <w:color w:val="auto"/>
                    </w:rPr>
                  </w:pPr>
                  <w:r>
                    <w:rPr>
                      <w:rFonts w:hint="default" w:ascii="Times New Roman" w:hAnsi="Times New Roman" w:cs="Times New Roman"/>
                      <w:color w:val="auto"/>
                    </w:rPr>
                    <w:t>设备编号</w:t>
                  </w:r>
                  <w:r>
                    <w:rPr>
                      <w:rFonts w:hint="default" w:ascii="Times New Roman" w:hAnsi="Times New Roman" w:cs="Times New Roman"/>
                      <w:color w:val="auto"/>
                      <w:lang w:eastAsia="zh-CN"/>
                    </w:rPr>
                    <w:t>：</w:t>
                  </w:r>
                  <w:r>
                    <w:rPr>
                      <w:rFonts w:hint="default" w:ascii="Times New Roman" w:hAnsi="Times New Roman" w:cs="Times New Roman"/>
                      <w:color w:val="auto"/>
                    </w:rPr>
                    <w:t>LT-03-1</w:t>
                  </w:r>
                </w:p>
                <w:p w14:paraId="489FB5AC">
                  <w:pPr>
                    <w:jc w:val="left"/>
                    <w:rPr>
                      <w:rFonts w:hint="default" w:ascii="Times New Roman" w:hAnsi="Times New Roman" w:cs="Times New Roman"/>
                      <w:color w:val="auto"/>
                    </w:rPr>
                  </w:pPr>
                  <w:r>
                    <w:rPr>
                      <w:rFonts w:hint="default" w:ascii="Times New Roman" w:hAnsi="Times New Roman" w:cs="Times New Roman"/>
                      <w:color w:val="auto"/>
                    </w:rPr>
                    <w:t>检定单位</w:t>
                  </w:r>
                  <w:r>
                    <w:rPr>
                      <w:rFonts w:hint="default" w:ascii="Times New Roman" w:hAnsi="Times New Roman" w:cs="Times New Roman"/>
                      <w:color w:val="auto"/>
                      <w:lang w:eastAsia="zh-CN"/>
                    </w:rPr>
                    <w:t>：</w:t>
                  </w:r>
                  <w:r>
                    <w:rPr>
                      <w:rFonts w:hint="default" w:ascii="Times New Roman" w:hAnsi="Times New Roman" w:cs="Times New Roman"/>
                      <w:color w:val="auto"/>
                    </w:rPr>
                    <w:t>深圳天溯计量检测股份有限公司</w:t>
                  </w:r>
                </w:p>
                <w:p w14:paraId="49A7A50E">
                  <w:pPr>
                    <w:jc w:val="left"/>
                    <w:rPr>
                      <w:rFonts w:hint="default" w:ascii="Times New Roman" w:hAnsi="Times New Roman" w:cs="Times New Roman"/>
                      <w:color w:val="auto"/>
                    </w:rPr>
                  </w:pPr>
                  <w:r>
                    <w:rPr>
                      <w:rFonts w:hint="default" w:ascii="Times New Roman" w:hAnsi="Times New Roman" w:cs="Times New Roman"/>
                      <w:color w:val="auto"/>
                    </w:rPr>
                    <w:t>检定证书号</w:t>
                  </w:r>
                  <w:r>
                    <w:rPr>
                      <w:rFonts w:hint="default" w:ascii="Times New Roman" w:hAnsi="Times New Roman" w:cs="Times New Roman"/>
                      <w:color w:val="auto"/>
                      <w:lang w:eastAsia="zh-CN"/>
                    </w:rPr>
                    <w:t>：</w:t>
                  </w:r>
                  <w:r>
                    <w:rPr>
                      <w:rFonts w:hint="default" w:ascii="Times New Roman" w:hAnsi="Times New Roman" w:cs="Times New Roman"/>
                      <w:color w:val="auto"/>
                    </w:rPr>
                    <w:t>Z20237-C321272</w:t>
                  </w:r>
                </w:p>
                <w:p w14:paraId="280B3E1D">
                  <w:pPr>
                    <w:jc w:val="left"/>
                    <w:rPr>
                      <w:rFonts w:hint="default" w:ascii="Times New Roman" w:hAnsi="Times New Roman" w:cs="Times New Roman"/>
                      <w:color w:val="auto"/>
                    </w:rPr>
                  </w:pPr>
                  <w:r>
                    <w:rPr>
                      <w:rFonts w:hint="default" w:ascii="Times New Roman" w:hAnsi="Times New Roman" w:cs="Times New Roman"/>
                      <w:color w:val="auto"/>
                    </w:rPr>
                    <w:t>有效期</w:t>
                  </w:r>
                  <w:r>
                    <w:rPr>
                      <w:rFonts w:hint="default" w:ascii="Times New Roman" w:hAnsi="Times New Roman" w:cs="Times New Roman"/>
                      <w:color w:val="auto"/>
                      <w:lang w:eastAsia="zh-CN"/>
                    </w:rPr>
                    <w:t>：</w:t>
                  </w:r>
                  <w:r>
                    <w:rPr>
                      <w:rFonts w:hint="default" w:ascii="Times New Roman" w:hAnsi="Times New Roman" w:cs="Times New Roman"/>
                      <w:color w:val="auto"/>
                    </w:rPr>
                    <w:t>2023.3.23-2024.3.22</w:t>
                  </w:r>
                </w:p>
              </w:tc>
            </w:tr>
          </w:tbl>
          <w:p w14:paraId="7D856F04">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⑥类比监测</w:t>
            </w:r>
            <w:r>
              <w:rPr>
                <w:rFonts w:hint="eastAsia" w:cs="Times New Roman"/>
                <w:color w:val="auto"/>
                <w:sz w:val="24"/>
                <w:lang w:val="en-US" w:eastAsia="zh-CN"/>
              </w:rPr>
              <w:t>环境</w:t>
            </w:r>
            <w:r>
              <w:rPr>
                <w:rFonts w:hint="default" w:ascii="Times New Roman" w:hAnsi="Times New Roman" w:cs="Times New Roman"/>
                <w:color w:val="auto"/>
                <w:sz w:val="24"/>
              </w:rPr>
              <w:t>条件</w:t>
            </w:r>
          </w:p>
          <w:p w14:paraId="2BC5D028">
            <w:pPr>
              <w:keepLines/>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监测时间：</w:t>
            </w:r>
            <w:r>
              <w:rPr>
                <w:rFonts w:hint="default" w:ascii="Times New Roman" w:hAnsi="Times New Roman" w:cs="Times New Roman"/>
                <w:color w:val="auto"/>
                <w:sz w:val="24"/>
                <w:szCs w:val="24"/>
                <w:highlight w:val="none"/>
              </w:rPr>
              <w:t>202</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17</w:t>
            </w:r>
            <w:r>
              <w:rPr>
                <w:rFonts w:hint="default" w:ascii="Times New Roman" w:hAnsi="Times New Roman" w:cs="Times New Roman"/>
                <w:color w:val="auto"/>
                <w:sz w:val="24"/>
                <w:szCs w:val="24"/>
                <w:highlight w:val="none"/>
              </w:rPr>
              <w:t>日</w:t>
            </w:r>
          </w:p>
          <w:p w14:paraId="15EEA5B4">
            <w:pPr>
              <w:keepLines/>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监测环境</w:t>
            </w:r>
            <w:r>
              <w:rPr>
                <w:rFonts w:hint="default" w:ascii="Times New Roman" w:hAnsi="Times New Roman" w:cs="Times New Roman"/>
                <w:color w:val="auto"/>
                <w:kern w:val="0"/>
                <w:sz w:val="24"/>
              </w:rPr>
              <w:t>条件：</w:t>
            </w:r>
            <w:r>
              <w:rPr>
                <w:rFonts w:hint="default" w:ascii="Times New Roman" w:hAnsi="Times New Roman" w:eastAsia="宋体" w:cs="Times New Roman"/>
                <w:color w:val="auto"/>
                <w:kern w:val="0"/>
                <w:sz w:val="24"/>
                <w:szCs w:val="24"/>
                <w:highlight w:val="none"/>
                <w:lang w:eastAsia="zh-CN"/>
              </w:rPr>
              <w:t>昼间天气晴，温度</w:t>
            </w:r>
            <w:r>
              <w:rPr>
                <w:rFonts w:hint="default" w:ascii="Times New Roman" w:hAnsi="Times New Roman" w:eastAsia="宋体" w:cs="Times New Roman"/>
                <w:color w:val="auto"/>
                <w:kern w:val="0"/>
                <w:sz w:val="24"/>
                <w:szCs w:val="24"/>
                <w:highlight w:val="none"/>
                <w:lang w:val="en-US" w:eastAsia="zh-CN"/>
              </w:rPr>
              <w:t>18.5</w:t>
            </w:r>
            <w:r>
              <w:rPr>
                <w:rFonts w:hint="default" w:ascii="Times New Roman" w:hAnsi="Times New Roman" w:eastAsia="宋体" w:cs="Times New Roman"/>
                <w:color w:val="auto"/>
                <w:kern w:val="0"/>
                <w:sz w:val="24"/>
                <w:szCs w:val="24"/>
                <w:highlight w:val="none"/>
                <w:lang w:eastAsia="zh-CN"/>
              </w:rPr>
              <w:t>℃，湿度</w:t>
            </w:r>
            <w:r>
              <w:rPr>
                <w:rFonts w:hint="default" w:ascii="Times New Roman" w:hAnsi="Times New Roman" w:eastAsia="宋体" w:cs="Times New Roman"/>
                <w:color w:val="auto"/>
                <w:kern w:val="0"/>
                <w:sz w:val="24"/>
                <w:szCs w:val="24"/>
                <w:highlight w:val="none"/>
                <w:lang w:val="en-US" w:eastAsia="zh-CN"/>
              </w:rPr>
              <w:t>33.0</w:t>
            </w:r>
            <w:r>
              <w:rPr>
                <w:rFonts w:hint="default" w:ascii="Times New Roman" w:hAnsi="Times New Roman" w:eastAsia="宋体" w:cs="Times New Roman"/>
                <w:color w:val="auto"/>
                <w:kern w:val="0"/>
                <w:sz w:val="24"/>
                <w:szCs w:val="24"/>
                <w:highlight w:val="none"/>
                <w:lang w:eastAsia="zh-CN"/>
              </w:rPr>
              <w:t>%，风速</w:t>
            </w:r>
            <w:r>
              <w:rPr>
                <w:rFonts w:hint="default" w:ascii="Times New Roman" w:hAnsi="Times New Roman" w:eastAsia="宋体" w:cs="Times New Roman"/>
                <w:color w:val="auto"/>
                <w:kern w:val="0"/>
                <w:sz w:val="24"/>
                <w:szCs w:val="24"/>
                <w:highlight w:val="none"/>
                <w:lang w:val="en-US" w:eastAsia="zh-CN"/>
              </w:rPr>
              <w:t>0.6m/s</w:t>
            </w:r>
            <w:r>
              <w:rPr>
                <w:rFonts w:hint="default" w:ascii="Times New Roman" w:hAnsi="Times New Roman" w:eastAsia="宋体" w:cs="Times New Roman"/>
                <w:color w:val="auto"/>
                <w:kern w:val="0"/>
                <w:sz w:val="24"/>
                <w:szCs w:val="24"/>
                <w:highlight w:val="none"/>
                <w:lang w:eastAsia="zh-CN"/>
              </w:rPr>
              <w:t>，大气压</w:t>
            </w:r>
            <w:r>
              <w:rPr>
                <w:rFonts w:hint="default" w:ascii="Times New Roman" w:hAnsi="Times New Roman" w:eastAsia="宋体" w:cs="Times New Roman"/>
                <w:color w:val="auto"/>
                <w:kern w:val="0"/>
                <w:sz w:val="24"/>
                <w:szCs w:val="24"/>
                <w:highlight w:val="none"/>
                <w:lang w:val="en-US" w:eastAsia="zh-CN"/>
              </w:rPr>
              <w:t>857.3</w:t>
            </w:r>
            <w:r>
              <w:rPr>
                <w:rFonts w:hint="default" w:ascii="Times New Roman" w:hAnsi="Times New Roman" w:eastAsia="宋体" w:cs="Times New Roman"/>
                <w:color w:val="auto"/>
                <w:kern w:val="0"/>
                <w:sz w:val="24"/>
                <w:szCs w:val="24"/>
                <w:highlight w:val="none"/>
                <w:lang w:eastAsia="zh-CN"/>
              </w:rPr>
              <w:t>hPa。夜间天气晴，温度</w:t>
            </w:r>
            <w:r>
              <w:rPr>
                <w:rFonts w:hint="default" w:ascii="Times New Roman" w:hAnsi="Times New Roman" w:eastAsia="宋体" w:cs="Times New Roman"/>
                <w:color w:val="auto"/>
                <w:kern w:val="0"/>
                <w:sz w:val="24"/>
                <w:szCs w:val="24"/>
                <w:highlight w:val="none"/>
                <w:lang w:val="en-US" w:eastAsia="zh-CN"/>
              </w:rPr>
              <w:t>14.4</w:t>
            </w:r>
            <w:r>
              <w:rPr>
                <w:rFonts w:hint="default" w:ascii="Times New Roman" w:hAnsi="Times New Roman" w:eastAsia="宋体" w:cs="Times New Roman"/>
                <w:color w:val="auto"/>
                <w:kern w:val="0"/>
                <w:sz w:val="24"/>
                <w:szCs w:val="24"/>
                <w:highlight w:val="none"/>
                <w:lang w:eastAsia="zh-CN"/>
              </w:rPr>
              <w:t>℃，湿度</w:t>
            </w:r>
            <w:r>
              <w:rPr>
                <w:rFonts w:hint="default" w:ascii="Times New Roman" w:hAnsi="Times New Roman" w:eastAsia="宋体" w:cs="Times New Roman"/>
                <w:color w:val="auto"/>
                <w:kern w:val="0"/>
                <w:sz w:val="24"/>
                <w:szCs w:val="24"/>
                <w:highlight w:val="none"/>
                <w:lang w:val="en-US" w:eastAsia="zh-CN"/>
              </w:rPr>
              <w:t>31.2</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2"/>
                <w:sz w:val="24"/>
                <w:szCs w:val="24"/>
                <w:lang w:val="en-US" w:eastAsia="zh-CN" w:bidi="ar-SA"/>
              </w:rPr>
              <w:t>静风</w:t>
            </w:r>
            <w:r>
              <w:rPr>
                <w:rFonts w:hint="default" w:ascii="Times New Roman" w:hAnsi="Times New Roman" w:eastAsia="宋体" w:cs="Times New Roman"/>
                <w:color w:val="auto"/>
                <w:kern w:val="0"/>
                <w:sz w:val="24"/>
                <w:szCs w:val="24"/>
                <w:highlight w:val="none"/>
                <w:lang w:eastAsia="zh-CN"/>
              </w:rPr>
              <w:t>，大气压</w:t>
            </w:r>
            <w:r>
              <w:rPr>
                <w:rFonts w:hint="default" w:ascii="Times New Roman" w:hAnsi="Times New Roman" w:eastAsia="宋体" w:cs="Times New Roman"/>
                <w:color w:val="auto"/>
                <w:kern w:val="0"/>
                <w:sz w:val="24"/>
                <w:szCs w:val="24"/>
                <w:highlight w:val="none"/>
                <w:lang w:val="en-US" w:eastAsia="zh-CN"/>
              </w:rPr>
              <w:t>855.0</w:t>
            </w:r>
            <w:r>
              <w:rPr>
                <w:rFonts w:hint="default" w:ascii="Times New Roman" w:hAnsi="Times New Roman" w:eastAsia="宋体" w:cs="Times New Roman"/>
                <w:color w:val="auto"/>
                <w:kern w:val="0"/>
                <w:sz w:val="24"/>
                <w:szCs w:val="24"/>
                <w:highlight w:val="none"/>
                <w:lang w:eastAsia="zh-CN"/>
              </w:rPr>
              <w:t>hPa。</w:t>
            </w:r>
          </w:p>
          <w:p w14:paraId="616F194C">
            <w:pPr>
              <w:spacing w:line="360" w:lineRule="auto"/>
              <w:ind w:firstLine="470" w:firstLineChars="196"/>
              <w:rPr>
                <w:rFonts w:hint="default" w:ascii="Times New Roman" w:hAnsi="Times New Roman" w:cs="Times New Roman"/>
                <w:color w:val="auto"/>
                <w:sz w:val="24"/>
              </w:rPr>
            </w:pPr>
            <w:r>
              <w:rPr>
                <w:rFonts w:hint="default" w:ascii="Times New Roman" w:hAnsi="Times New Roman" w:cs="Times New Roman"/>
                <w:color w:val="auto"/>
                <w:sz w:val="24"/>
              </w:rPr>
              <w:t>⑦类比监测点位</w:t>
            </w:r>
          </w:p>
          <w:p w14:paraId="074D3958">
            <w:pPr>
              <w:spacing w:line="360" w:lineRule="auto"/>
              <w:ind w:firstLine="465"/>
              <w:rPr>
                <w:rFonts w:hint="default" w:ascii="Times New Roman" w:hAnsi="Times New Roman" w:cs="Times New Roman"/>
                <w:color w:val="auto"/>
                <w:sz w:val="24"/>
              </w:rPr>
            </w:pPr>
            <w:r>
              <w:rPr>
                <w:rFonts w:hint="default" w:ascii="Times New Roman" w:hAnsi="Times New Roman" w:cs="Times New Roman"/>
                <w:color w:val="auto"/>
                <w:sz w:val="24"/>
                <w:szCs w:val="24"/>
                <w:lang w:val="en-US" w:eastAsia="zh-CN"/>
              </w:rPr>
              <w:t>单回输电线路以弧垂最低位置处中相导线对地投影点为起点，监测点均匀分布在边相导线两侧的横断面方向上。110千伏龙三风场线单回路段弧垂最低位置在107#-108#杆塔间（线高9.5m、档距353m），线路对称，以弧垂最低位置处中相导线对地投影点为起点，</w:t>
            </w:r>
            <w:r>
              <w:rPr>
                <w:rFonts w:hint="default" w:ascii="Times New Roman" w:hAnsi="Times New Roman" w:cs="Times New Roman"/>
                <w:color w:val="auto"/>
                <w:sz w:val="24"/>
              </w:rPr>
              <w:t>沿垂直于线路方向进行，监测间距为5m，顺序测至</w:t>
            </w:r>
            <w:r>
              <w:rPr>
                <w:rFonts w:hint="default" w:ascii="Times New Roman" w:hAnsi="Times New Roman" w:cs="Times New Roman"/>
                <w:color w:val="auto"/>
                <w:sz w:val="24"/>
                <w:szCs w:val="24"/>
              </w:rPr>
              <w:t>边导线</w:t>
            </w:r>
            <w:r>
              <w:rPr>
                <w:rFonts w:hint="default" w:ascii="Times New Roman" w:hAnsi="Times New Roman" w:cs="Times New Roman"/>
                <w:color w:val="auto"/>
                <w:sz w:val="24"/>
              </w:rPr>
              <w:t>对地投影点</w:t>
            </w:r>
            <w:r>
              <w:rPr>
                <w:rFonts w:hint="default" w:ascii="Times New Roman" w:hAnsi="Times New Roman" w:cs="Times New Roman"/>
                <w:color w:val="auto"/>
                <w:sz w:val="24"/>
                <w:lang w:val="en-US" w:eastAsia="zh-CN"/>
              </w:rPr>
              <w:t>北</w:t>
            </w:r>
            <w:r>
              <w:rPr>
                <w:rFonts w:hint="default" w:ascii="Times New Roman" w:hAnsi="Times New Roman" w:cs="Times New Roman"/>
                <w:color w:val="auto"/>
                <w:sz w:val="24"/>
              </w:rPr>
              <w:t>30m处为止，分别测量地面1.5m高度处的等效连续A声级。</w:t>
            </w:r>
          </w:p>
          <w:p w14:paraId="5D31DA64">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110千伏龙三风场线</w:t>
            </w:r>
            <w:r>
              <w:rPr>
                <w:rFonts w:hint="default" w:ascii="Times New Roman" w:hAnsi="Times New Roman" w:cs="Times New Roman"/>
                <w:color w:val="auto"/>
                <w:sz w:val="24"/>
              </w:rPr>
              <w:t>单回路段</w:t>
            </w:r>
            <w:r>
              <w:rPr>
                <w:rFonts w:hint="default" w:ascii="Times New Roman" w:hAnsi="Times New Roman" w:cs="Times New Roman"/>
                <w:color w:val="auto"/>
                <w:sz w:val="24"/>
                <w:lang w:val="en-US" w:eastAsia="zh-CN"/>
              </w:rPr>
              <w:t>107#~108#</w:t>
            </w:r>
            <w:r>
              <w:rPr>
                <w:rFonts w:hint="default" w:ascii="Times New Roman" w:hAnsi="Times New Roman" w:cs="Times New Roman"/>
                <w:color w:val="auto"/>
                <w:sz w:val="24"/>
              </w:rPr>
              <w:t>杆塔间（线高</w:t>
            </w:r>
            <w:r>
              <w:rPr>
                <w:rFonts w:hint="default" w:ascii="Times New Roman" w:hAnsi="Times New Roman" w:cs="Times New Roman"/>
                <w:color w:val="auto"/>
                <w:sz w:val="24"/>
                <w:lang w:val="en-US" w:eastAsia="zh-CN"/>
              </w:rPr>
              <w:t>9.5</w:t>
            </w:r>
            <w:r>
              <w:rPr>
                <w:rFonts w:hint="default" w:ascii="Times New Roman" w:hAnsi="Times New Roman" w:cs="Times New Roman"/>
                <w:color w:val="auto"/>
                <w:sz w:val="24"/>
              </w:rPr>
              <w:t>m、档距</w:t>
            </w:r>
            <w:r>
              <w:rPr>
                <w:rFonts w:hint="default" w:ascii="Times New Roman" w:hAnsi="Times New Roman" w:cs="Times New Roman"/>
                <w:color w:val="auto"/>
                <w:sz w:val="24"/>
                <w:lang w:val="en-US" w:eastAsia="zh-CN"/>
              </w:rPr>
              <w:t>353</w:t>
            </w:r>
            <w:r>
              <w:rPr>
                <w:rFonts w:hint="default" w:ascii="Times New Roman" w:hAnsi="Times New Roman" w:cs="Times New Roman"/>
                <w:color w:val="auto"/>
                <w:sz w:val="24"/>
              </w:rPr>
              <w:t>m）架空线路监测断面见图4-1。</w:t>
            </w:r>
          </w:p>
          <w:p w14:paraId="0ED554C2">
            <w:pPr>
              <w:pStyle w:val="14"/>
              <w:keepNext w:val="0"/>
              <w:keepLines w:val="0"/>
              <w:pageBreakBefore w:val="0"/>
              <w:widowControl w:val="0"/>
              <w:tabs>
                <w:tab w:val="center" w:pos="4231"/>
                <w:tab w:val="left" w:pos="6504"/>
              </w:tabs>
              <w:kinsoku/>
              <w:wordWrap/>
              <w:overflowPunct/>
              <w:topLinePunct w:val="0"/>
              <w:autoSpaceDE/>
              <w:autoSpaceDN/>
              <w:bidi w:val="0"/>
              <w:adjustRightInd w:val="0"/>
              <w:snapToGrid w:val="0"/>
              <w:spacing w:before="0" w:after="0" w:line="240" w:lineRule="auto"/>
              <w:ind w:left="0" w:leftChars="0" w:right="0" w:firstLine="0" w:firstLineChars="0"/>
              <w:jc w:val="center"/>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object>
                <v:shape id="_x0000_i1029" o:spt="75" alt="" type="#_x0000_t75" style="height:136.7pt;width:255.2pt;" o:ole="t" filled="f" o:preferrelative="t" stroked="f" coordsize="21600,21600">
                  <v:path/>
                  <v:fill on="f" focussize="0,0"/>
                  <v:stroke on="f"/>
                  <v:imagedata r:id="rId57" o:title=""/>
                  <o:lock v:ext="edit" aspectratio="f"/>
                  <w10:wrap type="none"/>
                  <w10:anchorlock/>
                </v:shape>
                <o:OLEObject Type="Embed" ProgID="Visio.Drawing.11" ShapeID="_x0000_i1029" DrawAspect="Content" ObjectID="_1468075729" r:id="rId56">
                  <o:LockedField>false</o:LockedField>
                </o:OLEObject>
              </w:object>
            </w:r>
          </w:p>
          <w:p w14:paraId="1D01B743">
            <w:pPr>
              <w:pStyle w:val="14"/>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241"/>
              <w:textAlignment w:val="auto"/>
              <w:rPr>
                <w:rFonts w:hint="default" w:ascii="Times New Roman" w:hAnsi="Times New Roman" w:cs="Times New Roman"/>
                <w:color w:val="auto"/>
                <w:sz w:val="24"/>
              </w:rPr>
            </w:pPr>
            <w:r>
              <w:rPr>
                <w:rFonts w:hint="default" w:ascii="Times New Roman" w:hAnsi="Times New Roman" w:eastAsia="宋体" w:cs="Times New Roman"/>
                <w:b/>
                <w:color w:val="auto"/>
                <w:sz w:val="24"/>
              </w:rPr>
              <w:t>图4-1  类比线路衰减监测断面</w:t>
            </w:r>
          </w:p>
          <w:p w14:paraId="01DFBA9F">
            <w:pPr>
              <w:spacing w:line="360" w:lineRule="auto"/>
              <w:ind w:firstLine="470" w:firstLineChars="196"/>
              <w:rPr>
                <w:rFonts w:hint="default" w:ascii="Times New Roman" w:hAnsi="Times New Roman" w:cs="Times New Roman"/>
                <w:color w:val="auto"/>
                <w:sz w:val="24"/>
              </w:rPr>
            </w:pPr>
            <w:r>
              <w:rPr>
                <w:rFonts w:hint="default" w:ascii="Times New Roman" w:hAnsi="Times New Roman" w:cs="Times New Roman"/>
                <w:color w:val="auto"/>
                <w:sz w:val="24"/>
              </w:rPr>
              <w:t>⑧类比监测工况</w:t>
            </w:r>
          </w:p>
          <w:p w14:paraId="242AE0F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lang w:val="en-US" w:eastAsia="zh-CN"/>
              </w:rPr>
              <w:t>龙三风场</w:t>
            </w:r>
            <w:r>
              <w:rPr>
                <w:rFonts w:hint="default" w:ascii="Times New Roman" w:hAnsi="Times New Roman" w:cs="Times New Roman"/>
                <w:color w:val="auto"/>
                <w:sz w:val="24"/>
              </w:rPr>
              <w:t>线单回路段</w:t>
            </w:r>
            <w:r>
              <w:rPr>
                <w:rFonts w:hint="default" w:ascii="Times New Roman" w:hAnsi="Times New Roman" w:cs="Times New Roman"/>
                <w:color w:val="auto"/>
                <w:sz w:val="24"/>
                <w:lang w:val="en-US" w:eastAsia="zh-CN"/>
              </w:rPr>
              <w:t>107#~108#</w:t>
            </w:r>
            <w:r>
              <w:rPr>
                <w:rFonts w:hint="default" w:ascii="Times New Roman" w:hAnsi="Times New Roman" w:cs="Times New Roman"/>
                <w:color w:val="auto"/>
                <w:sz w:val="24"/>
              </w:rPr>
              <w:t>杆塔间（线高</w:t>
            </w:r>
            <w:r>
              <w:rPr>
                <w:rFonts w:hint="default" w:ascii="Times New Roman" w:hAnsi="Times New Roman" w:cs="Times New Roman"/>
                <w:color w:val="auto"/>
                <w:sz w:val="24"/>
                <w:lang w:val="en-US" w:eastAsia="zh-CN"/>
              </w:rPr>
              <w:t>9.5</w:t>
            </w:r>
            <w:r>
              <w:rPr>
                <w:rFonts w:hint="default" w:ascii="Times New Roman" w:hAnsi="Times New Roman" w:cs="Times New Roman"/>
                <w:color w:val="auto"/>
                <w:sz w:val="24"/>
              </w:rPr>
              <w:t>m、档距</w:t>
            </w:r>
            <w:r>
              <w:rPr>
                <w:rFonts w:hint="default" w:ascii="Times New Roman" w:hAnsi="Times New Roman" w:cs="Times New Roman"/>
                <w:color w:val="auto"/>
                <w:sz w:val="24"/>
                <w:lang w:val="en-US" w:eastAsia="zh-CN"/>
              </w:rPr>
              <w:t>353</w:t>
            </w:r>
            <w:r>
              <w:rPr>
                <w:rFonts w:hint="default" w:ascii="Times New Roman" w:hAnsi="Times New Roman" w:cs="Times New Roman"/>
                <w:color w:val="auto"/>
                <w:sz w:val="24"/>
              </w:rPr>
              <w:t>m）监测期间运行工况见表4-</w:t>
            </w:r>
            <w:r>
              <w:rPr>
                <w:rFonts w:hint="default" w:ascii="Times New Roman" w:hAnsi="Times New Roman" w:cs="Times New Roman"/>
                <w:color w:val="auto"/>
                <w:sz w:val="24"/>
                <w:lang w:val="en-US" w:eastAsia="zh-CN"/>
              </w:rPr>
              <w:t>1</w:t>
            </w:r>
            <w:r>
              <w:rPr>
                <w:rFonts w:hint="eastAsia" w:cs="Times New Roman"/>
                <w:color w:val="auto"/>
                <w:sz w:val="24"/>
                <w:lang w:val="en-US" w:eastAsia="zh-CN"/>
              </w:rPr>
              <w:t>1</w:t>
            </w:r>
            <w:r>
              <w:rPr>
                <w:rFonts w:hint="default" w:ascii="Times New Roman" w:hAnsi="Times New Roman" w:cs="Times New Roman"/>
                <w:color w:val="auto"/>
                <w:sz w:val="24"/>
              </w:rPr>
              <w:t>。</w:t>
            </w:r>
          </w:p>
          <w:p w14:paraId="27EE91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表4-</w:t>
            </w:r>
            <w:r>
              <w:rPr>
                <w:rFonts w:hint="default" w:ascii="Times New Roman" w:hAnsi="Times New Roman" w:eastAsia="宋体" w:cs="Times New Roman"/>
                <w:b/>
                <w:bCs/>
                <w:color w:val="auto"/>
                <w:sz w:val="24"/>
                <w:lang w:val="en-US" w:eastAsia="zh-CN"/>
              </w:rPr>
              <w:t>1</w:t>
            </w:r>
            <w:r>
              <w:rPr>
                <w:rFonts w:hint="eastAsia" w:cs="Times New Roman"/>
                <w:b/>
                <w:bCs/>
                <w:color w:val="auto"/>
                <w:sz w:val="24"/>
                <w:lang w:val="en-US" w:eastAsia="zh-CN"/>
              </w:rPr>
              <w:t>1</w:t>
            </w:r>
            <w:r>
              <w:rPr>
                <w:rFonts w:hint="default" w:ascii="Times New Roman" w:hAnsi="Times New Roman" w:eastAsia="宋体" w:cs="Times New Roman"/>
                <w:b/>
                <w:bCs/>
                <w:color w:val="auto"/>
                <w:sz w:val="24"/>
              </w:rPr>
              <w:t xml:space="preserve">  类比</w:t>
            </w:r>
            <w:r>
              <w:rPr>
                <w:rFonts w:hint="default" w:ascii="Times New Roman" w:hAnsi="Times New Roman" w:eastAsia="宋体" w:cs="Times New Roman"/>
                <w:b/>
                <w:bCs/>
                <w:color w:val="auto"/>
                <w:sz w:val="24"/>
                <w:lang w:val="en-US" w:eastAsia="zh-CN"/>
              </w:rPr>
              <w:t>单回路架空</w:t>
            </w:r>
            <w:r>
              <w:rPr>
                <w:rFonts w:hint="default" w:ascii="Times New Roman" w:hAnsi="Times New Roman" w:eastAsia="宋体" w:cs="Times New Roman"/>
                <w:b/>
                <w:bCs/>
                <w:color w:val="auto"/>
                <w:sz w:val="24"/>
              </w:rPr>
              <w:t>线路监测期间</w:t>
            </w:r>
            <w:r>
              <w:rPr>
                <w:rFonts w:hint="eastAsia" w:cs="Times New Roman"/>
                <w:b/>
                <w:bCs/>
                <w:color w:val="auto"/>
                <w:sz w:val="24"/>
                <w:lang w:val="en-US" w:eastAsia="zh-CN"/>
              </w:rPr>
              <w:t>实际</w:t>
            </w:r>
            <w:r>
              <w:rPr>
                <w:rFonts w:hint="default" w:ascii="Times New Roman" w:hAnsi="Times New Roman" w:eastAsia="宋体" w:cs="Times New Roman"/>
                <w:b/>
                <w:bCs/>
                <w:color w:val="auto"/>
                <w:sz w:val="24"/>
              </w:rPr>
              <w:t>运行工况一览表</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2"/>
              <w:gridCol w:w="1339"/>
              <w:gridCol w:w="1337"/>
              <w:gridCol w:w="1750"/>
              <w:gridCol w:w="1632"/>
            </w:tblGrid>
            <w:tr w14:paraId="1E6870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162" w:type="dxa"/>
                  <w:noWrap w:val="0"/>
                  <w:vAlign w:val="center"/>
                </w:tcPr>
                <w:p w14:paraId="3A3D7EA7">
                  <w:pPr>
                    <w:jc w:val="center"/>
                    <w:rPr>
                      <w:rFonts w:hint="default" w:ascii="Times New Roman" w:hAnsi="Times New Roman" w:cs="Times New Roman"/>
                      <w:b/>
                      <w:bCs/>
                      <w:color w:val="auto"/>
                    </w:rPr>
                  </w:pPr>
                  <w:r>
                    <w:rPr>
                      <w:rFonts w:hint="default" w:ascii="Times New Roman" w:hAnsi="Times New Roman" w:cs="Times New Roman"/>
                      <w:b/>
                      <w:bCs/>
                      <w:color w:val="auto"/>
                    </w:rPr>
                    <w:t>名称</w:t>
                  </w:r>
                </w:p>
              </w:tc>
              <w:tc>
                <w:tcPr>
                  <w:tcW w:w="1339" w:type="dxa"/>
                  <w:noWrap w:val="0"/>
                  <w:vAlign w:val="center"/>
                </w:tcPr>
                <w:p w14:paraId="0DF9A46F">
                  <w:pPr>
                    <w:jc w:val="center"/>
                    <w:rPr>
                      <w:rFonts w:hint="default" w:ascii="Times New Roman" w:hAnsi="Times New Roman" w:cs="Times New Roman"/>
                      <w:b/>
                      <w:bCs/>
                      <w:color w:val="auto"/>
                    </w:rPr>
                  </w:pPr>
                  <w:r>
                    <w:rPr>
                      <w:rFonts w:hint="default" w:ascii="Times New Roman" w:hAnsi="Times New Roman" w:cs="Times New Roman"/>
                      <w:b/>
                      <w:bCs/>
                      <w:color w:val="auto"/>
                    </w:rPr>
                    <w:t>运行电压（kV）</w:t>
                  </w:r>
                </w:p>
              </w:tc>
              <w:tc>
                <w:tcPr>
                  <w:tcW w:w="1337" w:type="dxa"/>
                  <w:noWrap w:val="0"/>
                  <w:vAlign w:val="center"/>
                </w:tcPr>
                <w:p w14:paraId="0B410D6E">
                  <w:pPr>
                    <w:jc w:val="center"/>
                    <w:rPr>
                      <w:rFonts w:hint="default" w:ascii="Times New Roman" w:hAnsi="Times New Roman" w:cs="Times New Roman"/>
                      <w:b/>
                      <w:bCs/>
                      <w:color w:val="auto"/>
                    </w:rPr>
                  </w:pPr>
                  <w:r>
                    <w:rPr>
                      <w:rFonts w:hint="default" w:ascii="Times New Roman" w:hAnsi="Times New Roman" w:cs="Times New Roman"/>
                      <w:b/>
                      <w:bCs/>
                      <w:color w:val="auto"/>
                    </w:rPr>
                    <w:t>运行电流</w:t>
                  </w:r>
                </w:p>
                <w:p w14:paraId="058AEFBB">
                  <w:pPr>
                    <w:jc w:val="center"/>
                    <w:rPr>
                      <w:rFonts w:hint="default" w:ascii="Times New Roman" w:hAnsi="Times New Roman" w:eastAsia="宋体" w:cs="Times New Roman"/>
                      <w:b/>
                      <w:bCs/>
                      <w:color w:val="auto"/>
                      <w:lang w:eastAsia="zh-CN"/>
                    </w:rPr>
                  </w:pPr>
                  <w:r>
                    <w:rPr>
                      <w:rFonts w:hint="default" w:ascii="Times New Roman" w:hAnsi="Times New Roman" w:cs="Times New Roman"/>
                      <w:b/>
                      <w:bCs/>
                      <w:color w:val="auto"/>
                      <w:lang w:eastAsia="zh-CN"/>
                    </w:rPr>
                    <w:t>(A)</w:t>
                  </w:r>
                </w:p>
              </w:tc>
              <w:tc>
                <w:tcPr>
                  <w:tcW w:w="1750" w:type="dxa"/>
                  <w:noWrap w:val="0"/>
                  <w:vAlign w:val="center"/>
                </w:tcPr>
                <w:p w14:paraId="60AD4EC1">
                  <w:pPr>
                    <w:jc w:val="center"/>
                    <w:rPr>
                      <w:rFonts w:hint="default" w:ascii="Times New Roman" w:hAnsi="Times New Roman" w:cs="Times New Roman"/>
                      <w:b/>
                      <w:bCs/>
                      <w:color w:val="auto"/>
                    </w:rPr>
                  </w:pPr>
                  <w:r>
                    <w:rPr>
                      <w:rFonts w:hint="default" w:ascii="Times New Roman" w:hAnsi="Times New Roman" w:cs="Times New Roman"/>
                      <w:b/>
                      <w:bCs/>
                      <w:color w:val="auto"/>
                    </w:rPr>
                    <w:t>有功功率</w:t>
                  </w:r>
                </w:p>
                <w:p w14:paraId="38C7C787">
                  <w:pPr>
                    <w:jc w:val="center"/>
                    <w:rPr>
                      <w:rFonts w:hint="default" w:ascii="Times New Roman" w:hAnsi="Times New Roman" w:cs="Times New Roman"/>
                      <w:b/>
                      <w:bCs/>
                      <w:color w:val="auto"/>
                    </w:rPr>
                  </w:pPr>
                  <w:r>
                    <w:rPr>
                      <w:rFonts w:hint="default" w:ascii="Times New Roman" w:hAnsi="Times New Roman" w:cs="Times New Roman"/>
                      <w:b/>
                      <w:bCs/>
                      <w:color w:val="auto"/>
                    </w:rPr>
                    <w:t>（MW）</w:t>
                  </w:r>
                </w:p>
              </w:tc>
              <w:tc>
                <w:tcPr>
                  <w:tcW w:w="1632" w:type="dxa"/>
                  <w:noWrap w:val="0"/>
                  <w:vAlign w:val="center"/>
                </w:tcPr>
                <w:p w14:paraId="61E71097">
                  <w:pPr>
                    <w:jc w:val="center"/>
                    <w:rPr>
                      <w:rFonts w:hint="default" w:ascii="Times New Roman" w:hAnsi="Times New Roman" w:cs="Times New Roman"/>
                      <w:b/>
                      <w:bCs/>
                      <w:color w:val="auto"/>
                    </w:rPr>
                  </w:pPr>
                  <w:r>
                    <w:rPr>
                      <w:rFonts w:hint="default" w:ascii="Times New Roman" w:hAnsi="Times New Roman" w:cs="Times New Roman"/>
                      <w:b/>
                      <w:bCs/>
                      <w:color w:val="auto"/>
                    </w:rPr>
                    <w:t>无功功率（MW）</w:t>
                  </w:r>
                </w:p>
              </w:tc>
            </w:tr>
            <w:tr w14:paraId="101E9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162" w:type="dxa"/>
                  <w:noWrap w:val="0"/>
                  <w:vAlign w:val="center"/>
                </w:tcPr>
                <w:p w14:paraId="581612DE">
                  <w:pPr>
                    <w:jc w:val="center"/>
                    <w:rPr>
                      <w:rFonts w:hint="default" w:ascii="Times New Roman" w:hAnsi="Times New Roman" w:cs="Times New Roman"/>
                      <w:color w:val="auto"/>
                    </w:rPr>
                  </w:pPr>
                  <w:r>
                    <w:rPr>
                      <w:rFonts w:hint="default" w:ascii="Times New Roman" w:hAnsi="Times New Roman" w:cs="Times New Roman"/>
                      <w:color w:val="auto"/>
                    </w:rPr>
                    <w:t>11</w:t>
                  </w: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千伏龙三风场</w:t>
                  </w:r>
                  <w:r>
                    <w:rPr>
                      <w:rFonts w:hint="default" w:ascii="Times New Roman" w:hAnsi="Times New Roman" w:cs="Times New Roman"/>
                      <w:color w:val="auto"/>
                      <w:sz w:val="21"/>
                      <w:szCs w:val="21"/>
                    </w:rPr>
                    <w:t>线</w:t>
                  </w:r>
                </w:p>
              </w:tc>
              <w:tc>
                <w:tcPr>
                  <w:tcW w:w="1339" w:type="dxa"/>
                  <w:noWrap w:val="0"/>
                  <w:vAlign w:val="center"/>
                </w:tcPr>
                <w:p w14:paraId="0BF9320F">
                  <w:pPr>
                    <w:keepNext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vertAlign w:val="baseline"/>
                      <w:lang w:val="en-US" w:eastAsia="zh-CN"/>
                    </w:rPr>
                    <w:t>110.56</w:t>
                  </w:r>
                </w:p>
              </w:tc>
              <w:tc>
                <w:tcPr>
                  <w:tcW w:w="1337" w:type="dxa"/>
                  <w:noWrap w:val="0"/>
                  <w:vAlign w:val="center"/>
                </w:tcPr>
                <w:p w14:paraId="75F5D598">
                  <w:pPr>
                    <w:keepNext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vertAlign w:val="baseline"/>
                      <w:lang w:val="en-US" w:eastAsia="zh-CN"/>
                    </w:rPr>
                    <w:t>101.65</w:t>
                  </w:r>
                </w:p>
              </w:tc>
              <w:tc>
                <w:tcPr>
                  <w:tcW w:w="1750" w:type="dxa"/>
                  <w:noWrap w:val="0"/>
                  <w:vAlign w:val="center"/>
                </w:tcPr>
                <w:p w14:paraId="65C0627A">
                  <w:pPr>
                    <w:keepNext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vertAlign w:val="baseline"/>
                      <w:lang w:val="en-US" w:eastAsia="zh-CN"/>
                    </w:rPr>
                    <w:t>21.42</w:t>
                  </w:r>
                </w:p>
              </w:tc>
              <w:tc>
                <w:tcPr>
                  <w:tcW w:w="1632" w:type="dxa"/>
                  <w:noWrap w:val="0"/>
                  <w:vAlign w:val="center"/>
                </w:tcPr>
                <w:p w14:paraId="6113481D">
                  <w:pPr>
                    <w:keepNext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vertAlign w:val="baseline"/>
                      <w:lang w:val="en-US" w:eastAsia="zh-CN"/>
                    </w:rPr>
                    <w:t>5.27</w:t>
                  </w:r>
                </w:p>
              </w:tc>
            </w:tr>
          </w:tbl>
          <w:p w14:paraId="0D58209F">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70" w:firstLineChars="196"/>
              <w:textAlignment w:val="auto"/>
              <w:rPr>
                <w:rFonts w:hint="default" w:ascii="Times New Roman" w:hAnsi="Times New Roman" w:cs="Times New Roman"/>
                <w:color w:val="auto"/>
                <w:sz w:val="24"/>
              </w:rPr>
            </w:pPr>
            <w:r>
              <w:rPr>
                <w:rFonts w:hint="default" w:ascii="Times New Roman" w:hAnsi="Times New Roman" w:cs="Times New Roman"/>
                <w:color w:val="auto"/>
                <w:sz w:val="24"/>
              </w:rPr>
              <w:t>⑨类比监测结果</w:t>
            </w:r>
          </w:p>
          <w:p w14:paraId="61FD94B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lang w:val="en-US" w:eastAsia="zh-CN"/>
              </w:rPr>
              <w:t>龙三风场</w:t>
            </w:r>
            <w:r>
              <w:rPr>
                <w:rFonts w:hint="default" w:ascii="Times New Roman" w:hAnsi="Times New Roman" w:cs="Times New Roman"/>
                <w:color w:val="auto"/>
                <w:sz w:val="24"/>
              </w:rPr>
              <w:t>线单回路段</w:t>
            </w:r>
            <w:r>
              <w:rPr>
                <w:rFonts w:hint="default" w:ascii="Times New Roman" w:hAnsi="Times New Roman" w:cs="Times New Roman"/>
                <w:color w:val="auto"/>
                <w:sz w:val="24"/>
                <w:lang w:val="en-US" w:eastAsia="zh-CN"/>
              </w:rPr>
              <w:t>107#~108#</w:t>
            </w:r>
            <w:r>
              <w:rPr>
                <w:rFonts w:hint="default" w:ascii="Times New Roman" w:hAnsi="Times New Roman" w:cs="Times New Roman"/>
                <w:color w:val="auto"/>
                <w:sz w:val="24"/>
              </w:rPr>
              <w:t>杆塔间（线高</w:t>
            </w:r>
            <w:r>
              <w:rPr>
                <w:rFonts w:hint="default" w:ascii="Times New Roman" w:hAnsi="Times New Roman" w:cs="Times New Roman"/>
                <w:color w:val="auto"/>
                <w:sz w:val="24"/>
                <w:lang w:val="en-US" w:eastAsia="zh-CN"/>
              </w:rPr>
              <w:t>9.5</w:t>
            </w:r>
            <w:r>
              <w:rPr>
                <w:rFonts w:hint="default" w:ascii="Times New Roman" w:hAnsi="Times New Roman" w:cs="Times New Roman"/>
                <w:color w:val="auto"/>
                <w:sz w:val="24"/>
              </w:rPr>
              <w:t>m、档距3</w:t>
            </w:r>
            <w:r>
              <w:rPr>
                <w:rFonts w:hint="default" w:ascii="Times New Roman" w:hAnsi="Times New Roman" w:cs="Times New Roman"/>
                <w:color w:val="auto"/>
                <w:sz w:val="24"/>
                <w:lang w:val="en-US" w:eastAsia="zh-CN"/>
              </w:rPr>
              <w:t>53</w:t>
            </w:r>
            <w:r>
              <w:rPr>
                <w:rFonts w:hint="default" w:ascii="Times New Roman" w:hAnsi="Times New Roman" w:cs="Times New Roman"/>
                <w:color w:val="auto"/>
                <w:sz w:val="24"/>
              </w:rPr>
              <w:t>m）运行产生的噪声源强见表4-</w:t>
            </w:r>
            <w:r>
              <w:rPr>
                <w:rFonts w:hint="default" w:ascii="Times New Roman" w:hAnsi="Times New Roman" w:cs="Times New Roman"/>
                <w:color w:val="auto"/>
                <w:sz w:val="24"/>
                <w:lang w:val="en-US" w:eastAsia="zh-CN"/>
              </w:rPr>
              <w:t>1</w:t>
            </w:r>
            <w:r>
              <w:rPr>
                <w:rFonts w:hint="eastAsia" w:cs="Times New Roman"/>
                <w:color w:val="auto"/>
                <w:sz w:val="24"/>
                <w:lang w:val="en-US" w:eastAsia="zh-CN"/>
              </w:rPr>
              <w:t>2</w:t>
            </w:r>
            <w:r>
              <w:rPr>
                <w:rFonts w:hint="default" w:ascii="Times New Roman" w:hAnsi="Times New Roman" w:cs="Times New Roman"/>
                <w:color w:val="auto"/>
                <w:sz w:val="24"/>
              </w:rPr>
              <w:t>。</w:t>
            </w:r>
          </w:p>
          <w:p w14:paraId="7963AB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表4-</w:t>
            </w:r>
            <w:r>
              <w:rPr>
                <w:rFonts w:hint="default" w:ascii="Times New Roman" w:hAnsi="Times New Roman" w:eastAsia="宋体" w:cs="Times New Roman"/>
                <w:b/>
                <w:bCs/>
                <w:color w:val="auto"/>
                <w:sz w:val="24"/>
                <w:lang w:val="en-US" w:eastAsia="zh-CN"/>
              </w:rPr>
              <w:t>1</w:t>
            </w:r>
            <w:r>
              <w:rPr>
                <w:rFonts w:hint="eastAsia" w:cs="Times New Roman"/>
                <w:b/>
                <w:bCs/>
                <w:color w:val="auto"/>
                <w:sz w:val="24"/>
                <w:lang w:val="en-US" w:eastAsia="zh-CN"/>
              </w:rPr>
              <w:t>2</w:t>
            </w:r>
            <w:r>
              <w:rPr>
                <w:rFonts w:hint="default" w:ascii="Times New Roman" w:hAnsi="Times New Roman" w:eastAsia="宋体" w:cs="Times New Roman"/>
                <w:b/>
                <w:bCs/>
                <w:color w:val="auto"/>
                <w:sz w:val="24"/>
              </w:rPr>
              <w:t xml:space="preserve">  类比</w:t>
            </w:r>
            <w:r>
              <w:rPr>
                <w:rFonts w:hint="default" w:ascii="Times New Roman" w:hAnsi="Times New Roman" w:eastAsia="宋体" w:cs="Times New Roman"/>
                <w:b/>
                <w:bCs/>
                <w:color w:val="auto"/>
                <w:sz w:val="24"/>
                <w:lang w:val="en-US" w:eastAsia="zh-CN"/>
              </w:rPr>
              <w:t>单回路架空</w:t>
            </w:r>
            <w:r>
              <w:rPr>
                <w:rFonts w:hint="default" w:ascii="Times New Roman" w:hAnsi="Times New Roman" w:eastAsia="宋体" w:cs="Times New Roman"/>
                <w:b/>
                <w:bCs/>
                <w:color w:val="auto"/>
                <w:sz w:val="24"/>
              </w:rPr>
              <w:t>线路产生的噪声源强值</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4313"/>
              <w:gridCol w:w="1283"/>
              <w:gridCol w:w="945"/>
              <w:gridCol w:w="1012"/>
            </w:tblGrid>
            <w:tr w14:paraId="739270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67" w:type="dxa"/>
                  <w:noWrap w:val="0"/>
                  <w:vAlign w:val="center"/>
                </w:tcPr>
                <w:p w14:paraId="4F27438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测点</w:t>
                  </w:r>
                </w:p>
                <w:p w14:paraId="5831181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编号</w:t>
                  </w:r>
                </w:p>
              </w:tc>
              <w:tc>
                <w:tcPr>
                  <w:tcW w:w="4313" w:type="dxa"/>
                  <w:noWrap w:val="0"/>
                  <w:vAlign w:val="center"/>
                </w:tcPr>
                <w:p w14:paraId="16F3B5E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监测点位</w:t>
                  </w:r>
                </w:p>
              </w:tc>
              <w:tc>
                <w:tcPr>
                  <w:tcW w:w="1283" w:type="dxa"/>
                  <w:noWrap w:val="0"/>
                  <w:vAlign w:val="center"/>
                </w:tcPr>
                <w:p w14:paraId="24168D9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测点高度（m）</w:t>
                  </w:r>
                </w:p>
              </w:tc>
              <w:tc>
                <w:tcPr>
                  <w:tcW w:w="945" w:type="dxa"/>
                  <w:noWrap w:val="0"/>
                  <w:vAlign w:val="center"/>
                </w:tcPr>
                <w:p w14:paraId="183B84F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昼间</w:t>
                  </w:r>
                </w:p>
                <w:p w14:paraId="3ECA348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lang w:eastAsia="zh-CN"/>
                    </w:rPr>
                  </w:pPr>
                  <w:r>
                    <w:rPr>
                      <w:rFonts w:hint="default" w:ascii="Times New Roman" w:hAnsi="Times New Roman" w:cs="Times New Roman"/>
                      <w:b/>
                      <w:bCs/>
                      <w:color w:val="auto"/>
                    </w:rPr>
                    <w:t>dB</w:t>
                  </w:r>
                  <w:r>
                    <w:rPr>
                      <w:rFonts w:hint="default" w:ascii="Times New Roman" w:hAnsi="Times New Roman" w:cs="Times New Roman"/>
                      <w:b/>
                      <w:bCs/>
                      <w:color w:val="auto"/>
                      <w:lang w:eastAsia="zh-CN"/>
                    </w:rPr>
                    <w:t>(A)</w:t>
                  </w:r>
                </w:p>
              </w:tc>
              <w:tc>
                <w:tcPr>
                  <w:tcW w:w="1012" w:type="dxa"/>
                  <w:noWrap w:val="0"/>
                  <w:vAlign w:val="center"/>
                </w:tcPr>
                <w:p w14:paraId="299AB3E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夜间</w:t>
                  </w:r>
                </w:p>
                <w:p w14:paraId="4A772CF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lang w:eastAsia="zh-CN"/>
                    </w:rPr>
                  </w:pPr>
                  <w:r>
                    <w:rPr>
                      <w:rFonts w:hint="default" w:ascii="Times New Roman" w:hAnsi="Times New Roman" w:cs="Times New Roman"/>
                      <w:b/>
                      <w:bCs/>
                      <w:color w:val="auto"/>
                    </w:rPr>
                    <w:t>dB</w:t>
                  </w:r>
                  <w:r>
                    <w:rPr>
                      <w:rFonts w:hint="default" w:ascii="Times New Roman" w:hAnsi="Times New Roman" w:cs="Times New Roman"/>
                      <w:b/>
                      <w:bCs/>
                      <w:color w:val="auto"/>
                      <w:lang w:eastAsia="zh-CN"/>
                    </w:rPr>
                    <w:t>(A)</w:t>
                  </w:r>
                </w:p>
              </w:tc>
            </w:tr>
            <w:tr w14:paraId="6D61DE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67" w:type="dxa"/>
                  <w:noWrap w:val="0"/>
                  <w:vAlign w:val="center"/>
                </w:tcPr>
                <w:p w14:paraId="012880B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w:t>
                  </w:r>
                </w:p>
              </w:tc>
              <w:tc>
                <w:tcPr>
                  <w:tcW w:w="4313" w:type="dxa"/>
                  <w:noWrap w:val="0"/>
                  <w:vAlign w:val="center"/>
                </w:tcPr>
                <w:p w14:paraId="37D31A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弧垂最</w:t>
                  </w:r>
                  <w:r>
                    <w:rPr>
                      <w:rFonts w:hint="default" w:ascii="Times New Roman" w:hAnsi="Times New Roman" w:eastAsia="宋体" w:cs="Times New Roman"/>
                      <w:color w:val="auto"/>
                      <w:sz w:val="21"/>
                      <w:szCs w:val="21"/>
                      <w:highlight w:val="none"/>
                      <w:lang w:val="en-US" w:eastAsia="zh-CN"/>
                    </w:rPr>
                    <w:t>大</w:t>
                  </w:r>
                  <w:r>
                    <w:rPr>
                      <w:rFonts w:hint="default" w:ascii="Times New Roman" w:hAnsi="Times New Roman" w:eastAsia="宋体" w:cs="Times New Roman"/>
                      <w:color w:val="auto"/>
                      <w:sz w:val="21"/>
                      <w:szCs w:val="21"/>
                      <w:highlight w:val="none"/>
                      <w:lang w:eastAsia="zh-CN"/>
                    </w:rPr>
                    <w:t>位置处中相导线对地投影点</w:t>
                  </w:r>
                  <w:r>
                    <w:rPr>
                      <w:rFonts w:hint="default" w:ascii="Times New Roman" w:hAnsi="Times New Roman" w:eastAsia="宋体" w:cs="Times New Roman"/>
                      <w:color w:val="auto"/>
                      <w:sz w:val="21"/>
                      <w:szCs w:val="21"/>
                    </w:rPr>
                    <w:t>0m</w:t>
                  </w:r>
                </w:p>
              </w:tc>
              <w:tc>
                <w:tcPr>
                  <w:tcW w:w="1283" w:type="dxa"/>
                  <w:noWrap w:val="0"/>
                  <w:vAlign w:val="center"/>
                </w:tcPr>
                <w:p w14:paraId="18D1D3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1.5</w:t>
                  </w:r>
                </w:p>
              </w:tc>
              <w:tc>
                <w:tcPr>
                  <w:tcW w:w="945" w:type="dxa"/>
                  <w:noWrap w:val="0"/>
                  <w:vAlign w:val="center"/>
                </w:tcPr>
                <w:p w14:paraId="08B22A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42</w:t>
                  </w:r>
                </w:p>
              </w:tc>
              <w:tc>
                <w:tcPr>
                  <w:tcW w:w="1012" w:type="dxa"/>
                  <w:noWrap w:val="0"/>
                  <w:vAlign w:val="center"/>
                </w:tcPr>
                <w:p w14:paraId="6FF574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41</w:t>
                  </w:r>
                </w:p>
              </w:tc>
            </w:tr>
            <w:tr w14:paraId="3DAB7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67" w:type="dxa"/>
                  <w:noWrap w:val="0"/>
                  <w:vAlign w:val="center"/>
                </w:tcPr>
                <w:p w14:paraId="1B4F35A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2</w:t>
                  </w:r>
                </w:p>
              </w:tc>
              <w:tc>
                <w:tcPr>
                  <w:tcW w:w="4313" w:type="dxa"/>
                  <w:noWrap w:val="0"/>
                  <w:vAlign w:val="center"/>
                </w:tcPr>
                <w:p w14:paraId="0F3BA4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eastAsia="zh-CN"/>
                    </w:rPr>
                    <w:t>弧垂最</w:t>
                  </w:r>
                  <w:r>
                    <w:rPr>
                      <w:rFonts w:hint="default" w:ascii="Times New Roman" w:hAnsi="Times New Roman" w:eastAsia="宋体" w:cs="Times New Roman"/>
                      <w:color w:val="auto"/>
                      <w:sz w:val="21"/>
                      <w:szCs w:val="21"/>
                      <w:highlight w:val="none"/>
                      <w:lang w:val="en-US" w:eastAsia="zh-CN"/>
                    </w:rPr>
                    <w:t>大</w:t>
                  </w:r>
                  <w:r>
                    <w:rPr>
                      <w:rFonts w:hint="default" w:ascii="Times New Roman" w:hAnsi="Times New Roman" w:eastAsia="宋体" w:cs="Times New Roman"/>
                      <w:color w:val="auto"/>
                      <w:sz w:val="21"/>
                      <w:szCs w:val="21"/>
                      <w:highlight w:val="none"/>
                      <w:lang w:eastAsia="zh-CN"/>
                    </w:rPr>
                    <w:t>位置处中相导线对地投影点北</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rPr>
                    <w:t>m</w:t>
                  </w:r>
                </w:p>
                <w:p w14:paraId="5582B0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边导线对地投影点0m处</w:t>
                  </w:r>
                  <w:r>
                    <w:rPr>
                      <w:rFonts w:hint="default" w:ascii="Times New Roman" w:hAnsi="Times New Roman" w:eastAsia="宋体" w:cs="Times New Roman"/>
                      <w:color w:val="auto"/>
                      <w:sz w:val="21"/>
                      <w:szCs w:val="21"/>
                      <w:highlight w:val="none"/>
                      <w:lang w:eastAsia="zh-CN"/>
                    </w:rPr>
                    <w:t>）</w:t>
                  </w:r>
                </w:p>
              </w:tc>
              <w:tc>
                <w:tcPr>
                  <w:tcW w:w="1283" w:type="dxa"/>
                  <w:noWrap w:val="0"/>
                  <w:vAlign w:val="center"/>
                </w:tcPr>
                <w:p w14:paraId="342024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1.5</w:t>
                  </w:r>
                </w:p>
              </w:tc>
              <w:tc>
                <w:tcPr>
                  <w:tcW w:w="945" w:type="dxa"/>
                  <w:noWrap w:val="0"/>
                  <w:vAlign w:val="center"/>
                </w:tcPr>
                <w:p w14:paraId="790A92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42</w:t>
                  </w:r>
                </w:p>
              </w:tc>
              <w:tc>
                <w:tcPr>
                  <w:tcW w:w="1012" w:type="dxa"/>
                  <w:noWrap w:val="0"/>
                  <w:vAlign w:val="center"/>
                </w:tcPr>
                <w:p w14:paraId="3D7439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40</w:t>
                  </w:r>
                </w:p>
              </w:tc>
            </w:tr>
            <w:tr w14:paraId="1C2726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67" w:type="dxa"/>
                  <w:noWrap w:val="0"/>
                  <w:vAlign w:val="center"/>
                </w:tcPr>
                <w:p w14:paraId="689A661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3</w:t>
                  </w:r>
                </w:p>
              </w:tc>
              <w:tc>
                <w:tcPr>
                  <w:tcW w:w="4313" w:type="dxa"/>
                  <w:noWrap w:val="0"/>
                  <w:vAlign w:val="center"/>
                </w:tcPr>
                <w:p w14:paraId="0D667B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rPr>
                    <w:t>边导线对地投影点</w:t>
                  </w:r>
                  <w:r>
                    <w:rPr>
                      <w:rFonts w:hint="default" w:ascii="Times New Roman" w:hAnsi="Times New Roman" w:eastAsia="宋体" w:cs="Times New Roman"/>
                      <w:color w:val="auto"/>
                      <w:sz w:val="21"/>
                      <w:szCs w:val="21"/>
                      <w:highlight w:val="none"/>
                      <w:lang w:eastAsia="zh-CN"/>
                    </w:rPr>
                    <w:t>北</w:t>
                  </w:r>
                  <w:r>
                    <w:rPr>
                      <w:rFonts w:hint="default" w:ascii="Times New Roman" w:hAnsi="Times New Roman" w:eastAsia="宋体" w:cs="Times New Roman"/>
                      <w:color w:val="auto"/>
                      <w:sz w:val="21"/>
                      <w:szCs w:val="21"/>
                    </w:rPr>
                    <w:t>5m处</w:t>
                  </w:r>
                </w:p>
              </w:tc>
              <w:tc>
                <w:tcPr>
                  <w:tcW w:w="1283" w:type="dxa"/>
                  <w:noWrap w:val="0"/>
                  <w:vAlign w:val="center"/>
                </w:tcPr>
                <w:p w14:paraId="36F9E7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1.5</w:t>
                  </w:r>
                </w:p>
              </w:tc>
              <w:tc>
                <w:tcPr>
                  <w:tcW w:w="945" w:type="dxa"/>
                  <w:noWrap w:val="0"/>
                  <w:vAlign w:val="center"/>
                </w:tcPr>
                <w:p w14:paraId="1299D4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42</w:t>
                  </w:r>
                </w:p>
              </w:tc>
              <w:tc>
                <w:tcPr>
                  <w:tcW w:w="1012" w:type="dxa"/>
                  <w:noWrap w:val="0"/>
                  <w:vAlign w:val="center"/>
                </w:tcPr>
                <w:p w14:paraId="545922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40</w:t>
                  </w:r>
                </w:p>
              </w:tc>
            </w:tr>
            <w:tr w14:paraId="5B8B65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67" w:type="dxa"/>
                  <w:noWrap w:val="0"/>
                  <w:vAlign w:val="center"/>
                </w:tcPr>
                <w:p w14:paraId="2FC592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4</w:t>
                  </w:r>
                </w:p>
              </w:tc>
              <w:tc>
                <w:tcPr>
                  <w:tcW w:w="4313" w:type="dxa"/>
                  <w:noWrap w:val="0"/>
                  <w:vAlign w:val="center"/>
                </w:tcPr>
                <w:p w14:paraId="1920FD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rPr>
                    <w:t>边导线对地投影点</w:t>
                  </w:r>
                  <w:r>
                    <w:rPr>
                      <w:rFonts w:hint="default" w:ascii="Times New Roman" w:hAnsi="Times New Roman" w:eastAsia="宋体" w:cs="Times New Roman"/>
                      <w:color w:val="auto"/>
                      <w:sz w:val="21"/>
                      <w:szCs w:val="21"/>
                      <w:highlight w:val="none"/>
                      <w:lang w:eastAsia="zh-CN"/>
                    </w:rPr>
                    <w:t>北</w:t>
                  </w:r>
                  <w:r>
                    <w:rPr>
                      <w:rFonts w:hint="default" w:ascii="Times New Roman" w:hAnsi="Times New Roman" w:eastAsia="宋体" w:cs="Times New Roman"/>
                      <w:color w:val="auto"/>
                      <w:sz w:val="21"/>
                      <w:szCs w:val="21"/>
                    </w:rPr>
                    <w:t>10m处</w:t>
                  </w:r>
                </w:p>
              </w:tc>
              <w:tc>
                <w:tcPr>
                  <w:tcW w:w="1283" w:type="dxa"/>
                  <w:noWrap w:val="0"/>
                  <w:vAlign w:val="center"/>
                </w:tcPr>
                <w:p w14:paraId="18610F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1.5</w:t>
                  </w:r>
                </w:p>
              </w:tc>
              <w:tc>
                <w:tcPr>
                  <w:tcW w:w="945" w:type="dxa"/>
                  <w:noWrap w:val="0"/>
                  <w:vAlign w:val="center"/>
                </w:tcPr>
                <w:p w14:paraId="125515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42</w:t>
                  </w:r>
                </w:p>
              </w:tc>
              <w:tc>
                <w:tcPr>
                  <w:tcW w:w="1012" w:type="dxa"/>
                  <w:noWrap w:val="0"/>
                  <w:vAlign w:val="center"/>
                </w:tcPr>
                <w:p w14:paraId="53D477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40</w:t>
                  </w:r>
                </w:p>
              </w:tc>
            </w:tr>
            <w:tr w14:paraId="5A4CE6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67" w:type="dxa"/>
                  <w:noWrap w:val="0"/>
                  <w:vAlign w:val="center"/>
                </w:tcPr>
                <w:p w14:paraId="0444D41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5</w:t>
                  </w:r>
                </w:p>
              </w:tc>
              <w:tc>
                <w:tcPr>
                  <w:tcW w:w="4313" w:type="dxa"/>
                  <w:noWrap w:val="0"/>
                  <w:vAlign w:val="center"/>
                </w:tcPr>
                <w:p w14:paraId="2C1D40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rPr>
                    <w:t>边导线对地投影点</w:t>
                  </w:r>
                  <w:r>
                    <w:rPr>
                      <w:rFonts w:hint="default" w:ascii="Times New Roman" w:hAnsi="Times New Roman" w:eastAsia="宋体" w:cs="Times New Roman"/>
                      <w:color w:val="auto"/>
                      <w:sz w:val="21"/>
                      <w:szCs w:val="21"/>
                      <w:highlight w:val="none"/>
                      <w:lang w:eastAsia="zh-CN"/>
                    </w:rPr>
                    <w:t>北</w:t>
                  </w:r>
                  <w:r>
                    <w:rPr>
                      <w:rFonts w:hint="default" w:ascii="Times New Roman" w:hAnsi="Times New Roman" w:eastAsia="宋体" w:cs="Times New Roman"/>
                      <w:color w:val="auto"/>
                      <w:sz w:val="21"/>
                      <w:szCs w:val="21"/>
                    </w:rPr>
                    <w:t>15m处</w:t>
                  </w:r>
                </w:p>
              </w:tc>
              <w:tc>
                <w:tcPr>
                  <w:tcW w:w="1283" w:type="dxa"/>
                  <w:noWrap w:val="0"/>
                  <w:vAlign w:val="center"/>
                </w:tcPr>
                <w:p w14:paraId="205043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1.5</w:t>
                  </w:r>
                </w:p>
              </w:tc>
              <w:tc>
                <w:tcPr>
                  <w:tcW w:w="945" w:type="dxa"/>
                  <w:noWrap w:val="0"/>
                  <w:vAlign w:val="center"/>
                </w:tcPr>
                <w:p w14:paraId="23E85C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42</w:t>
                  </w:r>
                </w:p>
              </w:tc>
              <w:tc>
                <w:tcPr>
                  <w:tcW w:w="1012" w:type="dxa"/>
                  <w:noWrap w:val="0"/>
                  <w:vAlign w:val="center"/>
                </w:tcPr>
                <w:p w14:paraId="5F989A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41</w:t>
                  </w:r>
                </w:p>
              </w:tc>
            </w:tr>
            <w:tr w14:paraId="7223F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67" w:type="dxa"/>
                  <w:noWrap w:val="0"/>
                  <w:vAlign w:val="center"/>
                </w:tcPr>
                <w:p w14:paraId="6644F27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6</w:t>
                  </w:r>
                </w:p>
              </w:tc>
              <w:tc>
                <w:tcPr>
                  <w:tcW w:w="4313" w:type="dxa"/>
                  <w:noWrap w:val="0"/>
                  <w:vAlign w:val="center"/>
                </w:tcPr>
                <w:p w14:paraId="1819A2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rPr>
                    <w:t>边导线对地投影点</w:t>
                  </w:r>
                  <w:r>
                    <w:rPr>
                      <w:rFonts w:hint="default" w:ascii="Times New Roman" w:hAnsi="Times New Roman" w:eastAsia="宋体" w:cs="Times New Roman"/>
                      <w:color w:val="auto"/>
                      <w:sz w:val="21"/>
                      <w:szCs w:val="21"/>
                      <w:highlight w:val="none"/>
                      <w:lang w:eastAsia="zh-CN"/>
                    </w:rPr>
                    <w:t>北</w:t>
                  </w:r>
                  <w:r>
                    <w:rPr>
                      <w:rFonts w:hint="default" w:ascii="Times New Roman" w:hAnsi="Times New Roman" w:eastAsia="宋体" w:cs="Times New Roman"/>
                      <w:color w:val="auto"/>
                      <w:sz w:val="21"/>
                      <w:szCs w:val="21"/>
                    </w:rPr>
                    <w:t>20m处</w:t>
                  </w:r>
                </w:p>
              </w:tc>
              <w:tc>
                <w:tcPr>
                  <w:tcW w:w="1283" w:type="dxa"/>
                  <w:noWrap w:val="0"/>
                  <w:vAlign w:val="center"/>
                </w:tcPr>
                <w:p w14:paraId="2E8217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1.5</w:t>
                  </w:r>
                </w:p>
              </w:tc>
              <w:tc>
                <w:tcPr>
                  <w:tcW w:w="945" w:type="dxa"/>
                  <w:noWrap w:val="0"/>
                  <w:vAlign w:val="center"/>
                </w:tcPr>
                <w:p w14:paraId="4BA98C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41</w:t>
                  </w:r>
                </w:p>
              </w:tc>
              <w:tc>
                <w:tcPr>
                  <w:tcW w:w="1012" w:type="dxa"/>
                  <w:noWrap w:val="0"/>
                  <w:vAlign w:val="center"/>
                </w:tcPr>
                <w:p w14:paraId="0D1F4F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41</w:t>
                  </w:r>
                </w:p>
              </w:tc>
            </w:tr>
            <w:tr w14:paraId="321AFC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67" w:type="dxa"/>
                  <w:noWrap w:val="0"/>
                  <w:vAlign w:val="center"/>
                </w:tcPr>
                <w:p w14:paraId="70D3FF6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7</w:t>
                  </w:r>
                </w:p>
              </w:tc>
              <w:tc>
                <w:tcPr>
                  <w:tcW w:w="4313" w:type="dxa"/>
                  <w:noWrap w:val="0"/>
                  <w:vAlign w:val="center"/>
                </w:tcPr>
                <w:p w14:paraId="17C7C3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rPr>
                    <w:t>边导线对地投影点</w:t>
                  </w:r>
                  <w:r>
                    <w:rPr>
                      <w:rFonts w:hint="default" w:ascii="Times New Roman" w:hAnsi="Times New Roman" w:eastAsia="宋体" w:cs="Times New Roman"/>
                      <w:color w:val="auto"/>
                      <w:sz w:val="21"/>
                      <w:szCs w:val="21"/>
                      <w:highlight w:val="none"/>
                      <w:lang w:eastAsia="zh-CN"/>
                    </w:rPr>
                    <w:t>北</w:t>
                  </w:r>
                  <w:r>
                    <w:rPr>
                      <w:rFonts w:hint="default" w:ascii="Times New Roman" w:hAnsi="Times New Roman" w:eastAsia="宋体" w:cs="Times New Roman"/>
                      <w:color w:val="auto"/>
                      <w:sz w:val="21"/>
                      <w:szCs w:val="21"/>
                    </w:rPr>
                    <w:t>25m处</w:t>
                  </w:r>
                </w:p>
              </w:tc>
              <w:tc>
                <w:tcPr>
                  <w:tcW w:w="1283" w:type="dxa"/>
                  <w:noWrap w:val="0"/>
                  <w:vAlign w:val="center"/>
                </w:tcPr>
                <w:p w14:paraId="12AB37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1.5</w:t>
                  </w:r>
                </w:p>
              </w:tc>
              <w:tc>
                <w:tcPr>
                  <w:tcW w:w="945" w:type="dxa"/>
                  <w:noWrap w:val="0"/>
                  <w:vAlign w:val="center"/>
                </w:tcPr>
                <w:p w14:paraId="227290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40</w:t>
                  </w:r>
                </w:p>
              </w:tc>
              <w:tc>
                <w:tcPr>
                  <w:tcW w:w="1012" w:type="dxa"/>
                  <w:noWrap w:val="0"/>
                  <w:vAlign w:val="center"/>
                </w:tcPr>
                <w:p w14:paraId="0FCE46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39</w:t>
                  </w:r>
                </w:p>
              </w:tc>
            </w:tr>
            <w:tr w14:paraId="757F6D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67" w:type="dxa"/>
                  <w:noWrap w:val="0"/>
                  <w:vAlign w:val="center"/>
                </w:tcPr>
                <w:p w14:paraId="054C348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8</w:t>
                  </w:r>
                </w:p>
              </w:tc>
              <w:tc>
                <w:tcPr>
                  <w:tcW w:w="4313" w:type="dxa"/>
                  <w:noWrap w:val="0"/>
                  <w:vAlign w:val="center"/>
                </w:tcPr>
                <w:p w14:paraId="5E9FF4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rPr>
                    <w:t>边导线对地投影点</w:t>
                  </w:r>
                  <w:r>
                    <w:rPr>
                      <w:rFonts w:hint="default" w:ascii="Times New Roman" w:hAnsi="Times New Roman" w:eastAsia="宋体" w:cs="Times New Roman"/>
                      <w:color w:val="auto"/>
                      <w:sz w:val="21"/>
                      <w:szCs w:val="21"/>
                      <w:highlight w:val="none"/>
                      <w:lang w:eastAsia="zh-CN"/>
                    </w:rPr>
                    <w:t>北</w:t>
                  </w:r>
                  <w:r>
                    <w:rPr>
                      <w:rFonts w:hint="default" w:ascii="Times New Roman" w:hAnsi="Times New Roman" w:eastAsia="宋体" w:cs="Times New Roman"/>
                      <w:color w:val="auto"/>
                      <w:sz w:val="21"/>
                      <w:szCs w:val="21"/>
                    </w:rPr>
                    <w:t>30m处</w:t>
                  </w:r>
                </w:p>
              </w:tc>
              <w:tc>
                <w:tcPr>
                  <w:tcW w:w="1283" w:type="dxa"/>
                  <w:noWrap w:val="0"/>
                  <w:vAlign w:val="center"/>
                </w:tcPr>
                <w:p w14:paraId="40A910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1.5</w:t>
                  </w:r>
                </w:p>
              </w:tc>
              <w:tc>
                <w:tcPr>
                  <w:tcW w:w="945" w:type="dxa"/>
                  <w:noWrap w:val="0"/>
                  <w:vAlign w:val="center"/>
                </w:tcPr>
                <w:p w14:paraId="21568F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40</w:t>
                  </w:r>
                </w:p>
              </w:tc>
              <w:tc>
                <w:tcPr>
                  <w:tcW w:w="1012" w:type="dxa"/>
                  <w:noWrap w:val="0"/>
                  <w:vAlign w:val="center"/>
                </w:tcPr>
                <w:p w14:paraId="636255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kern w:val="2"/>
                      <w:sz w:val="21"/>
                      <w:szCs w:val="21"/>
                      <w:lang w:val="en-US" w:eastAsia="zh-CN" w:bidi="ar-SA"/>
                    </w:rPr>
                    <w:t>39</w:t>
                  </w:r>
                </w:p>
              </w:tc>
            </w:tr>
          </w:tbl>
          <w:p w14:paraId="3E5EE0EE">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70" w:firstLineChars="196"/>
              <w:textAlignment w:val="auto"/>
              <w:rPr>
                <w:rFonts w:hint="default" w:ascii="Times New Roman" w:hAnsi="Times New Roman" w:cs="Times New Roman"/>
                <w:color w:val="auto"/>
                <w:sz w:val="24"/>
              </w:rPr>
            </w:pPr>
            <w:r>
              <w:rPr>
                <w:rFonts w:hint="default" w:ascii="Times New Roman" w:hAnsi="Times New Roman" w:cs="Times New Roman"/>
                <w:color w:val="auto"/>
                <w:sz w:val="24"/>
              </w:rPr>
              <w:t>由上表可以看出，类比线路</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线高</w:t>
            </w:r>
            <w:r>
              <w:rPr>
                <w:rFonts w:hint="default" w:ascii="Times New Roman" w:hAnsi="Times New Roman" w:cs="Times New Roman"/>
                <w:color w:val="auto"/>
                <w:sz w:val="24"/>
                <w:lang w:val="en-US" w:eastAsia="zh-CN"/>
              </w:rPr>
              <w:t>9.5</w:t>
            </w:r>
            <w:r>
              <w:rPr>
                <w:rFonts w:hint="default" w:ascii="Times New Roman" w:hAnsi="Times New Roman" w:cs="Times New Roman"/>
                <w:color w:val="auto"/>
                <w:sz w:val="24"/>
              </w:rPr>
              <w:t>m</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运行时产生的昼间噪声</w:t>
            </w:r>
            <w:r>
              <w:rPr>
                <w:rFonts w:hint="default" w:ascii="Times New Roman" w:hAnsi="Times New Roman" w:cs="Times New Roman"/>
                <w:color w:val="auto"/>
                <w:sz w:val="24"/>
                <w:lang w:eastAsia="zh-CN"/>
              </w:rPr>
              <w:t>值在</w:t>
            </w:r>
            <w:r>
              <w:rPr>
                <w:rFonts w:hint="default" w:ascii="Times New Roman" w:hAnsi="Times New Roman" w:cs="Times New Roman"/>
                <w:color w:val="auto"/>
                <w:sz w:val="24"/>
              </w:rPr>
              <w:t>4</w:t>
            </w:r>
            <w:r>
              <w:rPr>
                <w:rFonts w:hint="default" w:ascii="Times New Roman" w:hAnsi="Times New Roman" w:cs="Times New Roman"/>
                <w:color w:val="auto"/>
                <w:sz w:val="24"/>
                <w:lang w:val="en-US" w:eastAsia="zh-CN"/>
              </w:rPr>
              <w:t>0</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default" w:ascii="Times New Roman" w:hAnsi="Times New Roman" w:cs="Times New Roman"/>
                <w:color w:val="auto"/>
                <w:sz w:val="24"/>
              </w:rPr>
              <w:t>4</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dB</w:t>
            </w:r>
            <w:r>
              <w:rPr>
                <w:rFonts w:hint="eastAsia" w:cs="Times New Roman"/>
                <w:color w:val="auto"/>
                <w:sz w:val="24"/>
                <w:lang w:eastAsia="zh-CN"/>
              </w:rPr>
              <w:t>(A)</w:t>
            </w:r>
            <w:r>
              <w:rPr>
                <w:rFonts w:hint="default" w:ascii="Times New Roman" w:hAnsi="Times New Roman" w:cs="Times New Roman"/>
                <w:color w:val="auto"/>
                <w:sz w:val="24"/>
              </w:rPr>
              <w:t>之间，夜间噪声值在</w:t>
            </w:r>
            <w:r>
              <w:rPr>
                <w:rFonts w:hint="default" w:ascii="Times New Roman" w:hAnsi="Times New Roman" w:cs="Times New Roman"/>
                <w:color w:val="auto"/>
                <w:sz w:val="24"/>
                <w:lang w:val="en-US" w:eastAsia="zh-CN"/>
              </w:rPr>
              <w:t>39</w:t>
            </w:r>
            <w:r>
              <w:rPr>
                <w:rFonts w:hint="default" w:ascii="Times New Roman" w:hAnsi="Times New Roman" w:cs="Times New Roman"/>
                <w:color w:val="auto"/>
                <w:sz w:val="24"/>
              </w:rPr>
              <w:t>dB</w:t>
            </w:r>
            <w:r>
              <w:rPr>
                <w:rFonts w:hint="default" w:ascii="Times New Roman" w:hAnsi="Times New Roman" w:cs="Times New Roman"/>
                <w:color w:val="auto"/>
                <w:sz w:val="24"/>
                <w:lang w:eastAsia="zh-CN"/>
              </w:rPr>
              <w:t>(A)~</w:t>
            </w:r>
            <w:r>
              <w:rPr>
                <w:rFonts w:hint="default" w:ascii="Times New Roman" w:hAnsi="Times New Roman" w:cs="Times New Roman"/>
                <w:color w:val="auto"/>
                <w:sz w:val="24"/>
              </w:rPr>
              <w:t>4</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dB</w:t>
            </w:r>
            <w:r>
              <w:rPr>
                <w:rFonts w:hint="eastAsia" w:cs="Times New Roman"/>
                <w:color w:val="auto"/>
                <w:sz w:val="24"/>
                <w:lang w:eastAsia="zh-CN"/>
              </w:rPr>
              <w:t>(A)</w:t>
            </w:r>
            <w:r>
              <w:rPr>
                <w:rFonts w:hint="default" w:ascii="Times New Roman" w:hAnsi="Times New Roman" w:cs="Times New Roman"/>
                <w:color w:val="auto"/>
                <w:sz w:val="24"/>
              </w:rPr>
              <w:t>之间。</w:t>
            </w:r>
            <w:r>
              <w:rPr>
                <w:rFonts w:hint="default" w:ascii="Times New Roman" w:hAnsi="Times New Roman" w:cs="Times New Roman"/>
                <w:color w:val="auto"/>
                <w:sz w:val="24"/>
                <w:highlight w:val="none"/>
              </w:rPr>
              <w:t>由类比监测结果可知，类比</w:t>
            </w:r>
            <w:r>
              <w:rPr>
                <w:rFonts w:hint="default" w:ascii="Times New Roman" w:hAnsi="Times New Roman" w:cs="Times New Roman"/>
                <w:color w:val="auto"/>
                <w:sz w:val="24"/>
                <w:highlight w:val="none"/>
                <w:lang w:val="en-US" w:eastAsia="zh-CN"/>
              </w:rPr>
              <w:t>单</w:t>
            </w:r>
            <w:r>
              <w:rPr>
                <w:rFonts w:hint="default" w:ascii="Times New Roman" w:hAnsi="Times New Roman" w:cs="Times New Roman"/>
                <w:color w:val="auto"/>
                <w:sz w:val="24"/>
                <w:highlight w:val="none"/>
              </w:rPr>
              <w:t>回路输电线路产生的噪声能够满足《声环境质量标准》（GB3096-2008）中</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类标准要求（即昼间</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5</w:t>
            </w:r>
            <w:r>
              <w:rPr>
                <w:rFonts w:hint="eastAsia" w:cs="Times New Roman"/>
                <w:color w:val="auto"/>
                <w:sz w:val="24"/>
                <w:highlight w:val="none"/>
                <w:lang w:val="en-US" w:eastAsia="zh-CN"/>
              </w:rPr>
              <w:t>d</w:t>
            </w:r>
            <w:r>
              <w:rPr>
                <w:rFonts w:hint="default" w:ascii="Times New Roman" w:hAnsi="Times New Roman" w:cs="Times New Roman"/>
                <w:color w:val="auto"/>
                <w:sz w:val="24"/>
                <w:highlight w:val="none"/>
              </w:rPr>
              <w:t>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rPr>
              <w:t>、夜间</w:t>
            </w:r>
            <w:r>
              <w:rPr>
                <w:rFonts w:hint="eastAsia" w:cs="Times New Roman"/>
                <w:color w:val="auto"/>
                <w:sz w:val="24"/>
                <w:highlight w:val="none"/>
                <w:lang w:val="en-US" w:eastAsia="zh-CN"/>
              </w:rPr>
              <w:t>45</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rPr>
              <w:t>）。</w:t>
            </w:r>
          </w:p>
          <w:p w14:paraId="56D6CFBF">
            <w:pPr>
              <w:spacing w:line="360" w:lineRule="auto"/>
              <w:ind w:firstLine="470" w:firstLineChars="196"/>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由表4-1</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可以看出，</w:t>
            </w:r>
            <w:r>
              <w:rPr>
                <w:rFonts w:hint="default" w:ascii="Times New Roman" w:hAnsi="Times New Roman" w:cs="Times New Roman"/>
                <w:color w:val="auto"/>
                <w:sz w:val="24"/>
              </w:rPr>
              <w:t>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lang w:val="en-US" w:eastAsia="zh-CN"/>
              </w:rPr>
              <w:t>龙三风场</w:t>
            </w:r>
            <w:r>
              <w:rPr>
                <w:rFonts w:hint="default" w:ascii="Times New Roman" w:hAnsi="Times New Roman" w:cs="Times New Roman"/>
                <w:color w:val="auto"/>
                <w:sz w:val="24"/>
              </w:rPr>
              <w:t>线单回路段</w:t>
            </w:r>
            <w:r>
              <w:rPr>
                <w:rFonts w:hint="default" w:ascii="Times New Roman" w:hAnsi="Times New Roman" w:cs="Times New Roman"/>
                <w:color w:val="auto"/>
                <w:sz w:val="24"/>
                <w:lang w:val="en-US" w:eastAsia="zh-CN"/>
              </w:rPr>
              <w:t>107#~108#</w:t>
            </w:r>
            <w:r>
              <w:rPr>
                <w:rFonts w:hint="default" w:ascii="Times New Roman" w:hAnsi="Times New Roman" w:cs="Times New Roman"/>
                <w:color w:val="auto"/>
                <w:sz w:val="24"/>
              </w:rPr>
              <w:t>杆塔间</w:t>
            </w:r>
            <w:r>
              <w:rPr>
                <w:rFonts w:hint="default" w:ascii="Times New Roman" w:hAnsi="Times New Roman" w:cs="Times New Roman"/>
                <w:color w:val="auto"/>
                <w:sz w:val="24"/>
                <w:highlight w:val="none"/>
                <w:lang w:val="en-US" w:eastAsia="zh-CN"/>
              </w:rPr>
              <w:t>单回路段监测断面昼间噪声最大值为42dB</w:t>
            </w:r>
            <w:r>
              <w:rPr>
                <w:rFonts w:hint="eastAsia" w:cs="Times New Roman"/>
                <w:color w:val="auto"/>
                <w:sz w:val="24"/>
                <w:highlight w:val="none"/>
                <w:lang w:val="en-US" w:eastAsia="zh-CN"/>
              </w:rPr>
              <w:t>(A)</w:t>
            </w:r>
            <w:r>
              <w:rPr>
                <w:rFonts w:hint="default" w:ascii="Times New Roman" w:hAnsi="Times New Roman" w:cs="Times New Roman"/>
                <w:color w:val="auto"/>
                <w:sz w:val="24"/>
                <w:highlight w:val="none"/>
                <w:lang w:val="en-US" w:eastAsia="zh-CN"/>
              </w:rPr>
              <w:t>，夜间噪声最大值为41dB</w:t>
            </w:r>
            <w:r>
              <w:rPr>
                <w:rFonts w:hint="eastAsia" w:cs="Times New Roman"/>
                <w:color w:val="auto"/>
                <w:sz w:val="24"/>
                <w:highlight w:val="none"/>
                <w:lang w:val="en-US" w:eastAsia="zh-CN"/>
              </w:rPr>
              <w:t>(A)</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根据初步设计文件，</w:t>
            </w: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单回路段</w:t>
            </w:r>
            <w:r>
              <w:rPr>
                <w:rFonts w:hint="default" w:ascii="Times New Roman" w:hAnsi="Times New Roman" w:cs="Times New Roman"/>
                <w:color w:val="auto"/>
                <w:sz w:val="24"/>
                <w:highlight w:val="none"/>
              </w:rPr>
              <w:t>导线对地最低高度为</w:t>
            </w:r>
            <w:r>
              <w:rPr>
                <w:rFonts w:hint="eastAsia" w:cs="Times New Roman"/>
                <w:color w:val="auto"/>
                <w:sz w:val="24"/>
                <w:highlight w:val="none"/>
                <w:lang w:val="en-US" w:eastAsia="zh-CN"/>
              </w:rPr>
              <w:t>12.3</w:t>
            </w:r>
            <w:r>
              <w:rPr>
                <w:rFonts w:hint="default" w:ascii="Times New Roman" w:hAnsi="Times New Roman" w:cs="Times New Roman"/>
                <w:color w:val="auto"/>
                <w:sz w:val="24"/>
                <w:highlight w:val="none"/>
              </w:rPr>
              <w:t>m，类比线路导线对地高度为</w:t>
            </w:r>
            <w:r>
              <w:rPr>
                <w:rFonts w:hint="default" w:ascii="Times New Roman" w:hAnsi="Times New Roman" w:cs="Times New Roman"/>
                <w:color w:val="auto"/>
                <w:sz w:val="24"/>
                <w:highlight w:val="none"/>
                <w:lang w:val="en-US" w:eastAsia="zh-CN"/>
              </w:rPr>
              <w:t>9.5</w:t>
            </w:r>
            <w:r>
              <w:rPr>
                <w:rFonts w:hint="default" w:ascii="Times New Roman" w:hAnsi="Times New Roman" w:cs="Times New Roman"/>
                <w:color w:val="auto"/>
                <w:sz w:val="24"/>
                <w:highlight w:val="none"/>
              </w:rPr>
              <w:t>m，比本项目低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到地面的噪声比本项目大</w:t>
            </w:r>
            <w:r>
              <w:rPr>
                <w:rFonts w:hint="default" w:ascii="Times New Roman" w:hAnsi="Times New Roman" w:cs="Times New Roman"/>
                <w:color w:val="auto"/>
                <w:sz w:val="24"/>
                <w:highlight w:val="none"/>
              </w:rPr>
              <w:t>，在未扣除噪声背景值的情况下，监测值均满足</w:t>
            </w:r>
            <w:r>
              <w:rPr>
                <w:rFonts w:hint="default" w:ascii="Times New Roman" w:hAnsi="Times New Roman" w:cs="Times New Roman"/>
                <w:color w:val="auto"/>
                <w:sz w:val="24"/>
                <w:highlight w:val="none"/>
                <w:lang w:val="en-US" w:eastAsia="zh-CN"/>
              </w:rPr>
              <w:t>1类</w:t>
            </w:r>
            <w:r>
              <w:rPr>
                <w:rFonts w:hint="default" w:ascii="Times New Roman" w:hAnsi="Times New Roman" w:cs="Times New Roman"/>
                <w:color w:val="auto"/>
                <w:sz w:val="24"/>
                <w:highlight w:val="none"/>
              </w:rPr>
              <w:t>声环境功能区标准限值要求（即昼间</w:t>
            </w:r>
            <w:r>
              <w:rPr>
                <w:rFonts w:hint="default" w:ascii="Times New Roman" w:hAnsi="Times New Roman" w:cs="Times New Roman"/>
                <w:color w:val="auto"/>
                <w:sz w:val="24"/>
                <w:highlight w:val="none"/>
                <w:lang w:val="en-US" w:eastAsia="zh-CN"/>
              </w:rPr>
              <w:t>55</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rPr>
              <w:t>、夜间</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5dB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rPr>
              <w:t>）。由此可以类比，本项目</w:t>
            </w:r>
            <w:r>
              <w:rPr>
                <w:rFonts w:hint="default" w:ascii="Times New Roman" w:hAnsi="Times New Roman" w:cs="Times New Roman"/>
                <w:color w:val="auto"/>
                <w:sz w:val="24"/>
                <w:highlight w:val="none"/>
                <w:lang w:val="en-US" w:eastAsia="zh-CN"/>
              </w:rPr>
              <w:t>单回路段</w:t>
            </w:r>
            <w:r>
              <w:rPr>
                <w:rFonts w:hint="default" w:ascii="Times New Roman" w:hAnsi="Times New Roman" w:cs="Times New Roman"/>
                <w:color w:val="auto"/>
                <w:sz w:val="24"/>
                <w:highlight w:val="none"/>
              </w:rPr>
              <w:t>输电线路投运后产生的噪声贡献值也满足《声环境质量标准》（GB3096-2008）</w:t>
            </w:r>
            <w:r>
              <w:rPr>
                <w:rFonts w:hint="default" w:ascii="Times New Roman" w:hAnsi="Times New Roman" w:cs="Times New Roman"/>
                <w:color w:val="auto"/>
                <w:sz w:val="24"/>
                <w:highlight w:val="none"/>
                <w:lang w:val="en-US" w:eastAsia="zh-CN"/>
              </w:rPr>
              <w:t>中</w:t>
            </w:r>
            <w:r>
              <w:rPr>
                <w:rFonts w:hint="eastAsia" w:cs="Times New Roman"/>
                <w:color w:val="auto"/>
                <w:sz w:val="24"/>
                <w:highlight w:val="none"/>
                <w:lang w:val="en-US" w:eastAsia="zh-CN"/>
              </w:rPr>
              <w:t>相应声环境功能分区</w:t>
            </w:r>
            <w:r>
              <w:rPr>
                <w:rFonts w:hint="default" w:ascii="Times New Roman" w:hAnsi="Times New Roman" w:cs="Times New Roman"/>
                <w:color w:val="auto"/>
                <w:sz w:val="24"/>
                <w:highlight w:val="none"/>
              </w:rPr>
              <w:t>标准要求。</w:t>
            </w:r>
          </w:p>
          <w:p w14:paraId="7E7AE89B">
            <w:pPr>
              <w:spacing w:line="360" w:lineRule="auto"/>
              <w:ind w:firstLine="470" w:firstLineChars="196"/>
              <w:rPr>
                <w:rFonts w:hint="default" w:ascii="Times New Roman" w:hAnsi="Times New Roman" w:cs="Times New Roman"/>
                <w:b/>
                <w:bCs/>
                <w:color w:val="auto"/>
                <w:sz w:val="24"/>
                <w:highlight w:val="none"/>
              </w:rPr>
            </w:pPr>
            <w:r>
              <w:rPr>
                <w:rFonts w:hint="default" w:ascii="Times New Roman" w:hAnsi="Times New Roman" w:cs="Times New Roman"/>
                <w:color w:val="auto"/>
                <w:sz w:val="24"/>
                <w:highlight w:val="none"/>
              </w:rPr>
              <w:t>本次预测仅考虑了噪声几何发散衰减，因此本次评价的噪声预测值要</w:t>
            </w:r>
            <w:r>
              <w:rPr>
                <w:rFonts w:hint="default" w:ascii="Times New Roman" w:hAnsi="Times New Roman" w:cs="Times New Roman"/>
                <w:color w:val="auto"/>
                <w:sz w:val="24"/>
                <w:highlight w:val="none"/>
                <w:lang w:val="en-US" w:eastAsia="zh-CN"/>
              </w:rPr>
              <w:t>大</w:t>
            </w:r>
            <w:r>
              <w:rPr>
                <w:rFonts w:hint="default" w:ascii="Times New Roman" w:hAnsi="Times New Roman" w:cs="Times New Roman"/>
                <w:color w:val="auto"/>
                <w:sz w:val="24"/>
                <w:highlight w:val="none"/>
              </w:rPr>
              <w:t>于线路实际产生的噪声值，声环境影响预测与评价是正确的并且是合理的。本项目线路通过合理选择导线截面和导线对地高度，可降低可听噪声水平。</w:t>
            </w:r>
          </w:p>
          <w:p w14:paraId="094DD5AB">
            <w:pPr>
              <w:spacing w:line="360" w:lineRule="auto"/>
              <w:ind w:firstLine="472" w:firstLineChars="196"/>
              <w:rPr>
                <w:rFonts w:hint="default" w:ascii="Times New Roman" w:hAnsi="Times New Roman" w:cs="Times New Roman"/>
                <w:b/>
                <w:bCs/>
                <w:color w:val="auto"/>
                <w:sz w:val="24"/>
              </w:rPr>
            </w:pPr>
            <w:r>
              <w:rPr>
                <w:rFonts w:hint="default" w:ascii="Times New Roman" w:hAnsi="Times New Roman" w:cs="Times New Roman"/>
                <w:b/>
                <w:bCs/>
                <w:color w:val="auto"/>
                <w:sz w:val="24"/>
                <w:lang w:eastAsia="zh-CN"/>
              </w:rPr>
              <w:t>⑶</w:t>
            </w:r>
            <w:r>
              <w:rPr>
                <w:rFonts w:hint="default" w:ascii="Times New Roman" w:hAnsi="Times New Roman" w:cs="Times New Roman"/>
                <w:b/>
                <w:bCs/>
                <w:color w:val="auto"/>
                <w:sz w:val="24"/>
              </w:rPr>
              <w:t>本期</w:t>
            </w:r>
            <w:r>
              <w:rPr>
                <w:rFonts w:hint="default" w:ascii="Times New Roman" w:hAnsi="Times New Roman" w:cs="Times New Roman"/>
                <w:b/>
                <w:bCs/>
                <w:color w:val="auto"/>
                <w:sz w:val="24"/>
                <w:lang w:val="en-US" w:eastAsia="zh-CN"/>
              </w:rPr>
              <w:t>新建</w:t>
            </w:r>
            <w:r>
              <w:rPr>
                <w:rFonts w:hint="default" w:ascii="Times New Roman" w:hAnsi="Times New Roman" w:cs="Times New Roman"/>
                <w:b/>
                <w:bCs/>
                <w:color w:val="auto"/>
                <w:sz w:val="24"/>
              </w:rPr>
              <w:t>110</w:t>
            </w:r>
            <w:r>
              <w:rPr>
                <w:rFonts w:hint="default" w:ascii="Times New Roman" w:hAnsi="Times New Roman" w:cs="Times New Roman"/>
                <w:b/>
                <w:bCs/>
                <w:color w:val="auto"/>
                <w:sz w:val="24"/>
                <w:lang w:val="en-US" w:eastAsia="zh-CN"/>
              </w:rPr>
              <w:t>千伏</w:t>
            </w:r>
            <w:r>
              <w:rPr>
                <w:rFonts w:hint="default" w:ascii="Times New Roman" w:hAnsi="Times New Roman" w:cs="Times New Roman"/>
                <w:b/>
                <w:bCs/>
                <w:color w:val="auto"/>
                <w:sz w:val="24"/>
              </w:rPr>
              <w:t>双回路输电线路工程</w:t>
            </w:r>
          </w:p>
          <w:p w14:paraId="511CA596">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w:t>
            </w:r>
            <w:r>
              <w:rPr>
                <w:rFonts w:hint="default" w:ascii="Times New Roman" w:hAnsi="Times New Roman" w:eastAsia="宋体" w:cs="Times New Roman"/>
                <w:color w:val="auto"/>
                <w:sz w:val="24"/>
                <w:lang w:val="en-US" w:eastAsia="zh-CN"/>
              </w:rPr>
              <w:t>初步设计文件</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本项目</w:t>
            </w:r>
            <w:r>
              <w:rPr>
                <w:rFonts w:hint="default" w:ascii="Times New Roman" w:hAnsi="Times New Roman" w:cs="Times New Roman"/>
                <w:color w:val="auto"/>
                <w:sz w:val="24"/>
                <w:lang w:val="en-US" w:eastAsia="zh-CN"/>
              </w:rPr>
              <w:t>云雾山330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变电站门架出线处</w:t>
            </w:r>
            <w:r>
              <w:rPr>
                <w:rFonts w:hint="default" w:ascii="Times New Roman" w:hAnsi="Times New Roman" w:cs="Times New Roman"/>
                <w:color w:val="auto"/>
                <w:sz w:val="24"/>
                <w:lang w:val="en-US" w:eastAsia="zh-CN"/>
              </w:rPr>
              <w:t>第一基杆塔</w:t>
            </w:r>
            <w:r>
              <w:rPr>
                <w:rFonts w:hint="default" w:ascii="Times New Roman" w:hAnsi="Times New Roman" w:cs="Times New Roman"/>
                <w:color w:val="auto"/>
                <w:sz w:val="24"/>
              </w:rPr>
              <w:t>采用双回耐张塔</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本期单</w:t>
            </w:r>
            <w:r>
              <w:rPr>
                <w:rFonts w:hint="default" w:ascii="Times New Roman" w:hAnsi="Times New Roman" w:cs="Times New Roman"/>
                <w:color w:val="auto"/>
                <w:sz w:val="24"/>
                <w:lang w:val="en-US" w:eastAsia="zh-CN"/>
              </w:rPr>
              <w:t>侧</w:t>
            </w:r>
            <w:r>
              <w:rPr>
                <w:rFonts w:hint="default" w:ascii="Times New Roman" w:hAnsi="Times New Roman" w:cs="Times New Roman"/>
                <w:color w:val="auto"/>
                <w:sz w:val="24"/>
              </w:rPr>
              <w:t>架线</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按照最不利情况考虑，两侧均带电开展双回路输电线路噪声预测。</w:t>
            </w:r>
          </w:p>
          <w:p w14:paraId="56FEDB74">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①</w:t>
            </w:r>
            <w:r>
              <w:rPr>
                <w:rFonts w:hint="default" w:ascii="Times New Roman" w:hAnsi="Times New Roman" w:cs="Times New Roman"/>
                <w:color w:val="auto"/>
                <w:sz w:val="24"/>
              </w:rPr>
              <w:t>选择类比对象</w:t>
            </w:r>
          </w:p>
          <w:p w14:paraId="48E1A572">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本项目选取同规模已运行线路进行类比监测的方法来分析本项目110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双回路线路工程产生的噪声对周围环境的影响。类比监测数据引用《宁夏银川宝丰昱能110千伏供电工程竣工环境保护验收调查报告表》中宁夏盛世蓝天环保技术有限公司对</w:t>
            </w:r>
            <w:r>
              <w:rPr>
                <w:rFonts w:hint="default" w:ascii="Times New Roman" w:hAnsi="Times New Roman" w:cs="Times New Roman"/>
                <w:color w:val="auto"/>
                <w:kern w:val="0"/>
                <w:sz w:val="24"/>
              </w:rPr>
              <w:t>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kern w:val="0"/>
                <w:sz w:val="24"/>
              </w:rPr>
              <w:t>露昱甲乙双回路段</w:t>
            </w:r>
            <w:r>
              <w:rPr>
                <w:rFonts w:hint="default" w:ascii="Times New Roman" w:hAnsi="Times New Roman" w:cs="Times New Roman"/>
                <w:color w:val="auto"/>
                <w:sz w:val="24"/>
              </w:rPr>
              <w:t>（2#~3#杆塔间、线高20m、档距114m）的验收监测数据。</w:t>
            </w:r>
            <w:r>
              <w:rPr>
                <w:rFonts w:hint="default" w:ascii="Times New Roman" w:hAnsi="Times New Roman" w:cs="Times New Roman"/>
                <w:b/>
                <w:bCs/>
                <w:color w:val="auto"/>
                <w:sz w:val="24"/>
              </w:rPr>
              <w:t>详见附件</w:t>
            </w:r>
            <w:r>
              <w:rPr>
                <w:rFonts w:hint="eastAsia" w:cs="Times New Roman"/>
                <w:b/>
                <w:bCs/>
                <w:color w:val="auto"/>
                <w:sz w:val="24"/>
                <w:lang w:val="en-US" w:eastAsia="zh-CN"/>
              </w:rPr>
              <w:t>11</w:t>
            </w:r>
            <w:r>
              <w:rPr>
                <w:rFonts w:hint="default" w:ascii="Times New Roman" w:hAnsi="Times New Roman" w:cs="Times New Roman"/>
                <w:b/>
                <w:bCs/>
                <w:color w:val="auto"/>
                <w:sz w:val="24"/>
              </w:rPr>
              <w:t>。</w:t>
            </w:r>
          </w:p>
          <w:p w14:paraId="35B21015">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线路产生的噪声主要与线路电压等级、导线架设方式、导线排列方式等因素有关，根据表4-</w:t>
            </w:r>
            <w:r>
              <w:rPr>
                <w:rFonts w:hint="eastAsia" w:cs="Times New Roman"/>
                <w:color w:val="auto"/>
                <w:sz w:val="24"/>
                <w:lang w:val="en-US" w:eastAsia="zh-CN"/>
              </w:rPr>
              <w:t>13</w:t>
            </w:r>
            <w:r>
              <w:rPr>
                <w:rFonts w:hint="default" w:ascii="Times New Roman" w:hAnsi="Times New Roman" w:cs="Times New Roman"/>
                <w:color w:val="auto"/>
                <w:sz w:val="24"/>
              </w:rPr>
              <w:t>，选取与本项目110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双回路线路电压等级、导线架设方式、导线排列方式均相同的</w:t>
            </w:r>
            <w:r>
              <w:rPr>
                <w:rFonts w:hint="default" w:ascii="Times New Roman" w:hAnsi="Times New Roman" w:cs="Times New Roman"/>
                <w:color w:val="auto"/>
                <w:kern w:val="0"/>
                <w:sz w:val="24"/>
              </w:rPr>
              <w:t>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kern w:val="0"/>
                <w:sz w:val="24"/>
              </w:rPr>
              <w:t>露昱甲乙双回路段</w:t>
            </w:r>
            <w:r>
              <w:rPr>
                <w:rFonts w:hint="default" w:ascii="Times New Roman" w:hAnsi="Times New Roman" w:cs="Times New Roman"/>
                <w:color w:val="auto"/>
                <w:sz w:val="24"/>
              </w:rPr>
              <w:t>噪声类比监测预测。因此，类比线路的噪声监测结果能够较好</w:t>
            </w:r>
            <w:r>
              <w:rPr>
                <w:rFonts w:hint="default" w:ascii="Times New Roman" w:hAnsi="Times New Roman" w:cs="Times New Roman"/>
                <w:color w:val="auto"/>
                <w:sz w:val="24"/>
                <w:lang w:eastAsia="zh-CN"/>
              </w:rPr>
              <w:t>地反映</w:t>
            </w:r>
            <w:r>
              <w:rPr>
                <w:rFonts w:hint="default" w:ascii="Times New Roman" w:hAnsi="Times New Roman" w:cs="Times New Roman"/>
                <w:color w:val="auto"/>
                <w:sz w:val="24"/>
              </w:rPr>
              <w:t>本项目新建双回路线路运行后产生的噪声影响。</w:t>
            </w:r>
          </w:p>
          <w:p w14:paraId="7A2D63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表4-</w:t>
            </w:r>
            <w:r>
              <w:rPr>
                <w:rFonts w:hint="eastAsia" w:cs="Times New Roman"/>
                <w:b/>
                <w:bCs/>
                <w:color w:val="auto"/>
                <w:sz w:val="24"/>
                <w:lang w:val="en-US" w:eastAsia="zh-CN"/>
              </w:rPr>
              <w:t>13</w:t>
            </w:r>
            <w:r>
              <w:rPr>
                <w:rFonts w:hint="default" w:ascii="Times New Roman" w:hAnsi="Times New Roman" w:eastAsia="宋体" w:cs="Times New Roman"/>
                <w:b/>
                <w:bCs/>
                <w:color w:val="auto"/>
                <w:sz w:val="24"/>
              </w:rPr>
              <w:t xml:space="preserve">  110</w:t>
            </w:r>
            <w:r>
              <w:rPr>
                <w:rFonts w:hint="default" w:ascii="Times New Roman" w:hAnsi="Times New Roman" w:eastAsia="宋体" w:cs="Times New Roman"/>
                <w:b/>
                <w:bCs/>
                <w:color w:val="auto"/>
                <w:sz w:val="24"/>
                <w:lang w:val="en-US" w:eastAsia="zh-CN"/>
              </w:rPr>
              <w:t>千伏</w:t>
            </w:r>
            <w:r>
              <w:rPr>
                <w:rFonts w:hint="default" w:ascii="Times New Roman" w:hAnsi="Times New Roman" w:eastAsia="宋体" w:cs="Times New Roman"/>
                <w:b/>
                <w:bCs/>
                <w:color w:val="auto"/>
                <w:sz w:val="24"/>
              </w:rPr>
              <w:t>双回路架空线路类比情况一览表</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4"/>
              <w:gridCol w:w="3688"/>
              <w:gridCol w:w="3008"/>
            </w:tblGrid>
            <w:tr w14:paraId="5B8CCC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59" w:type="dxa"/>
                  <w:noWrap w:val="0"/>
                  <w:vAlign w:val="center"/>
                </w:tcPr>
                <w:p w14:paraId="6F4C28A7">
                  <w:pPr>
                    <w:pStyle w:val="75"/>
                    <w:spacing w:line="240" w:lineRule="atLeast"/>
                    <w:ind w:firstLine="0" w:firstLineChars="0"/>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
                      <w:color w:val="auto"/>
                      <w:sz w:val="21"/>
                      <w:szCs w:val="21"/>
                    </w:rPr>
                    <w:t>项目</w:t>
                  </w:r>
                </w:p>
              </w:tc>
              <w:tc>
                <w:tcPr>
                  <w:tcW w:w="3779" w:type="dxa"/>
                  <w:noWrap w:val="0"/>
                  <w:vAlign w:val="center"/>
                </w:tcPr>
                <w:p w14:paraId="400DD6E6">
                  <w:pPr>
                    <w:jc w:val="center"/>
                    <w:rPr>
                      <w:rFonts w:hint="default" w:ascii="Times New Roman" w:hAnsi="Times New Roman" w:cs="Times New Roman"/>
                      <w:bCs/>
                      <w:color w:val="auto"/>
                      <w:szCs w:val="21"/>
                    </w:rPr>
                  </w:pPr>
                  <w:r>
                    <w:rPr>
                      <w:rFonts w:hint="default" w:ascii="Times New Roman" w:hAnsi="Times New Roman" w:cs="Times New Roman"/>
                      <w:b/>
                      <w:color w:val="auto"/>
                      <w:szCs w:val="21"/>
                    </w:rPr>
                    <w:t>宁夏银川宝丰昱能110千伏供电工程中110</w:t>
                  </w:r>
                  <w:r>
                    <w:rPr>
                      <w:rFonts w:hint="default" w:ascii="Times New Roman" w:hAnsi="Times New Roman" w:cs="Times New Roman"/>
                      <w:b/>
                      <w:color w:val="auto"/>
                      <w:szCs w:val="21"/>
                      <w:lang w:val="en-US" w:eastAsia="zh-CN"/>
                    </w:rPr>
                    <w:t>千伏</w:t>
                  </w:r>
                  <w:r>
                    <w:rPr>
                      <w:rFonts w:hint="default" w:ascii="Times New Roman" w:hAnsi="Times New Roman" w:cs="Times New Roman"/>
                      <w:b/>
                      <w:color w:val="auto"/>
                      <w:szCs w:val="21"/>
                    </w:rPr>
                    <w:t>露昱甲乙双回路段2#~3#杆塔（类比线路）</w:t>
                  </w:r>
                </w:p>
              </w:tc>
              <w:tc>
                <w:tcPr>
                  <w:tcW w:w="3081" w:type="dxa"/>
                  <w:noWrap w:val="0"/>
                  <w:vAlign w:val="center"/>
                </w:tcPr>
                <w:p w14:paraId="5AB46780">
                  <w:pPr>
                    <w:pStyle w:val="75"/>
                    <w:spacing w:line="240" w:lineRule="atLeast"/>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color w:val="auto"/>
                      <w:sz w:val="21"/>
                      <w:szCs w:val="21"/>
                    </w:rPr>
                    <w:t>本项目线路</w:t>
                  </w:r>
                  <w:r>
                    <w:rPr>
                      <w:rFonts w:hint="default" w:ascii="Times New Roman" w:hAnsi="Times New Roman" w:eastAsia="宋体" w:cs="Times New Roman"/>
                      <w:b/>
                      <w:bCs/>
                      <w:color w:val="auto"/>
                      <w:sz w:val="21"/>
                      <w:szCs w:val="21"/>
                    </w:rPr>
                    <w:br w:type="textWrapping"/>
                  </w:r>
                  <w:r>
                    <w:rPr>
                      <w:rFonts w:hint="default" w:ascii="Times New Roman" w:hAnsi="Times New Roman" w:eastAsia="宋体" w:cs="Times New Roman"/>
                      <w:b/>
                      <w:bCs/>
                      <w:color w:val="auto"/>
                      <w:sz w:val="21"/>
                      <w:szCs w:val="21"/>
                    </w:rPr>
                    <w:t>（本期线路双回路段）</w:t>
                  </w:r>
                </w:p>
              </w:tc>
            </w:tr>
            <w:tr w14:paraId="77C69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59" w:type="dxa"/>
                  <w:noWrap w:val="0"/>
                  <w:vAlign w:val="center"/>
                </w:tcPr>
                <w:p w14:paraId="0DB94695">
                  <w:pPr>
                    <w:pStyle w:val="75"/>
                    <w:spacing w:line="240" w:lineRule="atLeast"/>
                    <w:ind w:firstLine="0" w:firstLineChars="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建设规模</w:t>
                  </w:r>
                </w:p>
              </w:tc>
              <w:tc>
                <w:tcPr>
                  <w:tcW w:w="3779" w:type="dxa"/>
                  <w:noWrap w:val="0"/>
                  <w:vAlign w:val="center"/>
                </w:tcPr>
                <w:p w14:paraId="4BA915AD">
                  <w:pPr>
                    <w:jc w:val="center"/>
                    <w:rPr>
                      <w:rFonts w:hint="default" w:ascii="Times New Roman" w:hAnsi="Times New Roman" w:cs="Times New Roman"/>
                      <w:color w:val="auto"/>
                    </w:rPr>
                  </w:pPr>
                  <w:r>
                    <w:rPr>
                      <w:rFonts w:hint="default" w:ascii="Times New Roman" w:hAnsi="Times New Roman" w:cs="Times New Roman"/>
                      <w:color w:val="auto"/>
                      <w:szCs w:val="21"/>
                    </w:rPr>
                    <w:t>110</w:t>
                  </w:r>
                  <w:r>
                    <w:rPr>
                      <w:rFonts w:hint="default" w:ascii="Times New Roman" w:hAnsi="Times New Roman" w:cs="Times New Roman"/>
                      <w:color w:val="auto"/>
                      <w:szCs w:val="21"/>
                      <w:lang w:val="en-US" w:eastAsia="zh-CN"/>
                    </w:rPr>
                    <w:t>千伏</w:t>
                  </w:r>
                  <w:r>
                    <w:rPr>
                      <w:rFonts w:hint="default" w:ascii="Times New Roman" w:hAnsi="Times New Roman" w:cs="Times New Roman"/>
                      <w:color w:val="auto"/>
                      <w:szCs w:val="21"/>
                    </w:rPr>
                    <w:t>输电线路</w:t>
                  </w:r>
                </w:p>
              </w:tc>
              <w:tc>
                <w:tcPr>
                  <w:tcW w:w="3081" w:type="dxa"/>
                  <w:noWrap w:val="0"/>
                  <w:vAlign w:val="center"/>
                </w:tcPr>
                <w:p w14:paraId="365EDFF7">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w:t>
                  </w:r>
                  <w:r>
                    <w:rPr>
                      <w:rFonts w:hint="default" w:ascii="Times New Roman" w:hAnsi="Times New Roman" w:eastAsia="宋体" w:cs="Times New Roman"/>
                      <w:color w:val="auto"/>
                      <w:sz w:val="21"/>
                      <w:szCs w:val="21"/>
                      <w:lang w:val="en-US" w:eastAsia="zh-CN"/>
                    </w:rPr>
                    <w:t>千伏</w:t>
                  </w:r>
                  <w:r>
                    <w:rPr>
                      <w:rFonts w:hint="default" w:ascii="Times New Roman" w:hAnsi="Times New Roman" w:eastAsia="宋体" w:cs="Times New Roman"/>
                      <w:color w:val="auto"/>
                      <w:sz w:val="21"/>
                      <w:szCs w:val="21"/>
                    </w:rPr>
                    <w:t>输电线路</w:t>
                  </w:r>
                </w:p>
              </w:tc>
            </w:tr>
            <w:tr w14:paraId="091B7D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59" w:type="dxa"/>
                  <w:noWrap w:val="0"/>
                  <w:vAlign w:val="center"/>
                </w:tcPr>
                <w:p w14:paraId="05D817C4">
                  <w:pPr>
                    <w:pStyle w:val="75"/>
                    <w:spacing w:line="240" w:lineRule="atLeast"/>
                    <w:ind w:firstLine="0" w:firstLineChars="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导线型号</w:t>
                  </w:r>
                </w:p>
              </w:tc>
              <w:tc>
                <w:tcPr>
                  <w:tcW w:w="3779" w:type="dxa"/>
                  <w:noWrap w:val="0"/>
                  <w:vAlign w:val="center"/>
                </w:tcPr>
                <w:p w14:paraId="58E3A652">
                  <w:pPr>
                    <w:jc w:val="center"/>
                    <w:rPr>
                      <w:rFonts w:hint="default" w:ascii="Times New Roman" w:hAnsi="Times New Roman" w:cs="Times New Roman"/>
                      <w:color w:val="auto"/>
                      <w:szCs w:val="21"/>
                    </w:rPr>
                  </w:pPr>
                  <w:r>
                    <w:rPr>
                      <w:rFonts w:hint="default" w:ascii="Times New Roman" w:hAnsi="Times New Roman" w:cs="Times New Roman"/>
                      <w:color w:val="auto"/>
                    </w:rPr>
                    <w:t>JL3/G1A-240/40</w:t>
                  </w:r>
                  <w:r>
                    <w:rPr>
                      <w:rFonts w:hint="default" w:ascii="Times New Roman" w:hAnsi="Times New Roman" w:cs="Times New Roman"/>
                      <w:color w:val="auto"/>
                      <w:szCs w:val="21"/>
                    </w:rPr>
                    <w:t>-26/7</w:t>
                  </w:r>
                </w:p>
              </w:tc>
              <w:tc>
                <w:tcPr>
                  <w:tcW w:w="3081" w:type="dxa"/>
                  <w:noWrap w:val="0"/>
                  <w:vAlign w:val="center"/>
                </w:tcPr>
                <w:p w14:paraId="0139BA7D">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JL</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/G1A-240/30-24/7</w:t>
                  </w:r>
                </w:p>
              </w:tc>
            </w:tr>
            <w:tr w14:paraId="36FA94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59" w:type="dxa"/>
                  <w:noWrap w:val="0"/>
                  <w:vAlign w:val="center"/>
                </w:tcPr>
                <w:p w14:paraId="6D84BC42">
                  <w:pPr>
                    <w:pStyle w:val="75"/>
                    <w:spacing w:line="240" w:lineRule="atLeast"/>
                    <w:ind w:firstLine="0" w:firstLineChars="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导线外径</w:t>
                  </w:r>
                </w:p>
              </w:tc>
              <w:tc>
                <w:tcPr>
                  <w:tcW w:w="3779" w:type="dxa"/>
                  <w:noWrap w:val="0"/>
                  <w:vAlign w:val="center"/>
                </w:tcPr>
                <w:p w14:paraId="177AC9B9">
                  <w:pPr>
                    <w:jc w:val="center"/>
                    <w:rPr>
                      <w:rFonts w:hint="default" w:ascii="Times New Roman" w:hAnsi="Times New Roman" w:cs="Times New Roman"/>
                      <w:color w:val="auto"/>
                      <w:szCs w:val="21"/>
                    </w:rPr>
                  </w:pPr>
                  <w:r>
                    <w:rPr>
                      <w:rFonts w:hint="default" w:ascii="Times New Roman" w:hAnsi="Times New Roman" w:cs="Times New Roman"/>
                      <w:color w:val="auto"/>
                      <w:szCs w:val="21"/>
                    </w:rPr>
                    <w:t>21.7mm</w:t>
                  </w:r>
                </w:p>
              </w:tc>
              <w:tc>
                <w:tcPr>
                  <w:tcW w:w="3081" w:type="dxa"/>
                  <w:noWrap w:val="0"/>
                  <w:vAlign w:val="center"/>
                </w:tcPr>
                <w:p w14:paraId="14D679FA">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21.6mm</w:t>
                  </w:r>
                </w:p>
              </w:tc>
            </w:tr>
            <w:tr w14:paraId="17DCC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59" w:type="dxa"/>
                  <w:noWrap w:val="0"/>
                  <w:vAlign w:val="center"/>
                </w:tcPr>
                <w:p w14:paraId="3CEE4901">
                  <w:pPr>
                    <w:pStyle w:val="75"/>
                    <w:spacing w:line="240" w:lineRule="atLeast"/>
                    <w:ind w:firstLine="0" w:firstLineChars="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电压等级</w:t>
                  </w:r>
                </w:p>
              </w:tc>
              <w:tc>
                <w:tcPr>
                  <w:tcW w:w="3779" w:type="dxa"/>
                  <w:noWrap w:val="0"/>
                  <w:vAlign w:val="center"/>
                </w:tcPr>
                <w:p w14:paraId="577990EC">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w:t>
                  </w:r>
                  <w:r>
                    <w:rPr>
                      <w:rFonts w:hint="default" w:ascii="Times New Roman" w:hAnsi="Times New Roman" w:eastAsia="宋体" w:cs="Times New Roman"/>
                      <w:color w:val="auto"/>
                      <w:sz w:val="21"/>
                      <w:szCs w:val="21"/>
                      <w:lang w:val="en-US" w:eastAsia="zh-CN"/>
                    </w:rPr>
                    <w:t>千伏</w:t>
                  </w:r>
                </w:p>
              </w:tc>
              <w:tc>
                <w:tcPr>
                  <w:tcW w:w="3081" w:type="dxa"/>
                  <w:noWrap w:val="0"/>
                  <w:vAlign w:val="center"/>
                </w:tcPr>
                <w:p w14:paraId="71C8B04B">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w:t>
                  </w:r>
                  <w:r>
                    <w:rPr>
                      <w:rFonts w:hint="default" w:ascii="Times New Roman" w:hAnsi="Times New Roman" w:eastAsia="宋体" w:cs="Times New Roman"/>
                      <w:color w:val="auto"/>
                      <w:sz w:val="21"/>
                      <w:szCs w:val="21"/>
                      <w:lang w:val="en-US" w:eastAsia="zh-CN"/>
                    </w:rPr>
                    <w:t>千伏</w:t>
                  </w:r>
                </w:p>
              </w:tc>
            </w:tr>
            <w:tr w14:paraId="01B900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59" w:type="dxa"/>
                  <w:noWrap w:val="0"/>
                  <w:vAlign w:val="center"/>
                </w:tcPr>
                <w:p w14:paraId="103B9EEF">
                  <w:pPr>
                    <w:pStyle w:val="75"/>
                    <w:spacing w:line="240" w:lineRule="atLeast"/>
                    <w:ind w:firstLine="0" w:firstLineChars="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架线型式</w:t>
                  </w:r>
                </w:p>
              </w:tc>
              <w:tc>
                <w:tcPr>
                  <w:tcW w:w="3779" w:type="dxa"/>
                  <w:noWrap w:val="0"/>
                  <w:vAlign w:val="center"/>
                </w:tcPr>
                <w:p w14:paraId="120E6FE8">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双回路</w:t>
                  </w:r>
                </w:p>
              </w:tc>
              <w:tc>
                <w:tcPr>
                  <w:tcW w:w="3081" w:type="dxa"/>
                  <w:noWrap w:val="0"/>
                  <w:vAlign w:val="center"/>
                </w:tcPr>
                <w:p w14:paraId="641C70F1">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双回路</w:t>
                  </w:r>
                </w:p>
              </w:tc>
            </w:tr>
            <w:tr w14:paraId="7D5AA1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59" w:type="dxa"/>
                  <w:noWrap w:val="0"/>
                  <w:vAlign w:val="center"/>
                </w:tcPr>
                <w:p w14:paraId="73342CFB">
                  <w:pPr>
                    <w:pStyle w:val="75"/>
                    <w:spacing w:line="240" w:lineRule="atLeast"/>
                    <w:ind w:firstLine="0" w:firstLineChars="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导线排列方式</w:t>
                  </w:r>
                </w:p>
              </w:tc>
              <w:tc>
                <w:tcPr>
                  <w:tcW w:w="3779" w:type="dxa"/>
                  <w:noWrap w:val="0"/>
                  <w:vAlign w:val="center"/>
                </w:tcPr>
                <w:p w14:paraId="29FB1D37">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垂直排列</w:t>
                  </w:r>
                </w:p>
              </w:tc>
              <w:tc>
                <w:tcPr>
                  <w:tcW w:w="3081" w:type="dxa"/>
                  <w:noWrap w:val="0"/>
                  <w:vAlign w:val="center"/>
                </w:tcPr>
                <w:p w14:paraId="6074946E">
                  <w:pPr>
                    <w:pStyle w:val="75"/>
                    <w:spacing w:line="240" w:lineRule="atLeast"/>
                    <w:ind w:firstLine="0" w:firstLineChars="0"/>
                    <w:jc w:val="center"/>
                    <w:textAlignment w:val="center"/>
                    <w:rPr>
                      <w:rFonts w:hint="default" w:ascii="Times New Roman" w:hAnsi="Times New Roman" w:cs="Times New Roman"/>
                      <w:color w:val="auto"/>
                    </w:rPr>
                  </w:pPr>
                  <w:r>
                    <w:rPr>
                      <w:rFonts w:hint="default" w:ascii="Times New Roman" w:hAnsi="Times New Roman" w:eastAsia="宋体" w:cs="Times New Roman"/>
                      <w:color w:val="auto"/>
                      <w:sz w:val="21"/>
                    </w:rPr>
                    <w:t>垂直排列</w:t>
                  </w:r>
                </w:p>
              </w:tc>
            </w:tr>
            <w:tr w14:paraId="2B8079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59" w:type="dxa"/>
                  <w:noWrap w:val="0"/>
                  <w:vAlign w:val="center"/>
                </w:tcPr>
                <w:p w14:paraId="39A28113">
                  <w:pPr>
                    <w:pStyle w:val="75"/>
                    <w:spacing w:line="240" w:lineRule="atLeast"/>
                    <w:ind w:firstLine="0" w:firstLineChars="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导线对地高度</w:t>
                  </w:r>
                </w:p>
              </w:tc>
              <w:tc>
                <w:tcPr>
                  <w:tcW w:w="3779" w:type="dxa"/>
                  <w:noWrap w:val="0"/>
                  <w:vAlign w:val="center"/>
                </w:tcPr>
                <w:p w14:paraId="4B7F4B18">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20m</w:t>
                  </w:r>
                </w:p>
              </w:tc>
              <w:tc>
                <w:tcPr>
                  <w:tcW w:w="3081" w:type="dxa"/>
                  <w:noWrap w:val="0"/>
                  <w:vAlign w:val="center"/>
                </w:tcPr>
                <w:p w14:paraId="3BD30FEF">
                  <w:pPr>
                    <w:pStyle w:val="75"/>
                    <w:spacing w:line="240" w:lineRule="atLeast"/>
                    <w:ind w:firstLine="0" w:firstLineChars="0"/>
                    <w:jc w:val="center"/>
                    <w:textAlignment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sz w:val="21"/>
                      <w:szCs w:val="21"/>
                      <w:highlight w:val="none"/>
                      <w:lang w:val="en-US" w:eastAsia="zh-CN"/>
                    </w:rPr>
                    <w:t>1</w:t>
                  </w:r>
                  <w:r>
                    <w:rPr>
                      <w:rFonts w:hint="eastAsia"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来源于设计文件</w:t>
                  </w:r>
                  <w:r>
                    <w:rPr>
                      <w:rFonts w:hint="default" w:ascii="Times New Roman" w:hAnsi="Times New Roman" w:eastAsia="宋体" w:cs="Times New Roman"/>
                      <w:color w:val="auto"/>
                      <w:sz w:val="21"/>
                      <w:szCs w:val="21"/>
                      <w:lang w:eastAsia="zh-CN"/>
                    </w:rPr>
                    <w:t>）</w:t>
                  </w:r>
                </w:p>
              </w:tc>
            </w:tr>
            <w:tr w14:paraId="696FD3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59" w:type="dxa"/>
                  <w:noWrap w:val="0"/>
                  <w:vAlign w:val="center"/>
                </w:tcPr>
                <w:p w14:paraId="4DE206F3">
                  <w:pPr>
                    <w:pStyle w:val="75"/>
                    <w:spacing w:line="240" w:lineRule="atLeast"/>
                    <w:ind w:firstLine="0" w:firstLineChars="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环境条件</w:t>
                  </w:r>
                </w:p>
              </w:tc>
              <w:tc>
                <w:tcPr>
                  <w:tcW w:w="3779" w:type="dxa"/>
                  <w:noWrap w:val="0"/>
                  <w:vAlign w:val="center"/>
                </w:tcPr>
                <w:p w14:paraId="4E5316D2">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银川苏银产业园范围内</w:t>
                  </w:r>
                </w:p>
              </w:tc>
              <w:tc>
                <w:tcPr>
                  <w:tcW w:w="3081" w:type="dxa"/>
                  <w:noWrap w:val="0"/>
                  <w:vAlign w:val="center"/>
                </w:tcPr>
                <w:p w14:paraId="72BB66E9">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宁夏回族自治区</w:t>
                  </w:r>
                  <w:r>
                    <w:rPr>
                      <w:rFonts w:hint="default" w:ascii="Times New Roman" w:hAnsi="Times New Roman" w:eastAsia="宋体" w:cs="Times New Roman"/>
                      <w:color w:val="auto"/>
                      <w:sz w:val="21"/>
                      <w:szCs w:val="21"/>
                      <w:lang w:val="en-US" w:eastAsia="zh-CN"/>
                    </w:rPr>
                    <w:t>固原市原州区、彭阳县境内，黄土河谷高阶地地貌、黄土塬梁地貌</w:t>
                  </w:r>
                </w:p>
              </w:tc>
            </w:tr>
            <w:tr w14:paraId="79DB9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59" w:type="dxa"/>
                  <w:noWrap w:val="0"/>
                  <w:vAlign w:val="center"/>
                </w:tcPr>
                <w:p w14:paraId="755047A6">
                  <w:pPr>
                    <w:pStyle w:val="75"/>
                    <w:spacing w:line="240" w:lineRule="atLeast"/>
                    <w:ind w:firstLine="0" w:firstLineChars="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运行工况</w:t>
                  </w:r>
                </w:p>
              </w:tc>
              <w:tc>
                <w:tcPr>
                  <w:tcW w:w="3779" w:type="dxa"/>
                  <w:noWrap w:val="0"/>
                  <w:vAlign w:val="center"/>
                </w:tcPr>
                <w:p w14:paraId="4D072663">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正常运行</w:t>
                  </w:r>
                </w:p>
              </w:tc>
              <w:tc>
                <w:tcPr>
                  <w:tcW w:w="3081" w:type="dxa"/>
                  <w:noWrap w:val="0"/>
                  <w:vAlign w:val="center"/>
                </w:tcPr>
                <w:p w14:paraId="4DA0B99D">
                  <w:pPr>
                    <w:pStyle w:val="75"/>
                    <w:spacing w:line="240" w:lineRule="atLeast"/>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14:paraId="045FF6E7">
            <w:pPr>
              <w:adjustRightInd w:val="0"/>
              <w:snapToGrid w:val="0"/>
              <w:spacing w:before="120" w:beforeLines="50"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②类比监测单位</w:t>
            </w:r>
          </w:p>
          <w:p w14:paraId="0C0A27A7">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宁夏盛世蓝天环保技术有限公司</w:t>
            </w:r>
          </w:p>
          <w:p w14:paraId="2BB61247">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③类比监测项目</w:t>
            </w:r>
          </w:p>
          <w:p w14:paraId="2D088235">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噪声</w:t>
            </w:r>
          </w:p>
          <w:p w14:paraId="6F919954">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④类比监测方法</w:t>
            </w:r>
          </w:p>
          <w:p w14:paraId="34D241C6">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按</w:t>
            </w:r>
            <w:r>
              <w:rPr>
                <w:rFonts w:hint="default" w:ascii="Times New Roman" w:hAnsi="Times New Roman" w:cs="Times New Roman"/>
                <w:color w:val="auto"/>
                <w:sz w:val="24"/>
                <w:highlight w:val="none"/>
              </w:rPr>
              <w:t>《工业企业厂界环境噪声排放标准》</w:t>
            </w:r>
            <w:r>
              <w:rPr>
                <w:rFonts w:hint="default" w:ascii="Times New Roman" w:hAnsi="Times New Roman" w:cs="Times New Roman"/>
                <w:color w:val="auto"/>
                <w:sz w:val="24"/>
                <w:highlight w:val="none"/>
                <w:lang w:eastAsia="zh-CN"/>
              </w:rPr>
              <w:t>（GB12348-2008）</w:t>
            </w:r>
            <w:r>
              <w:rPr>
                <w:rFonts w:hint="default" w:ascii="Times New Roman" w:hAnsi="Times New Roman" w:cs="Times New Roman"/>
                <w:color w:val="auto"/>
                <w:sz w:val="24"/>
              </w:rPr>
              <w:t>进行监测。采用类比分析方法评价架空线路运行后产生的噪声对周围环境的影响。</w:t>
            </w:r>
          </w:p>
          <w:p w14:paraId="56B70796">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⑤类比监测仪器</w:t>
            </w:r>
          </w:p>
          <w:p w14:paraId="2E5F6B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黑体" w:cs="Times New Roman"/>
                <w:b/>
                <w:color w:val="auto"/>
                <w:sz w:val="24"/>
              </w:rPr>
            </w:pPr>
            <w:r>
              <w:rPr>
                <w:rFonts w:hint="default" w:ascii="Times New Roman" w:hAnsi="Times New Roman" w:eastAsia="宋体" w:cs="Times New Roman"/>
                <w:b/>
                <w:bCs/>
                <w:color w:val="auto"/>
                <w:sz w:val="24"/>
              </w:rPr>
              <w:t>表4-</w:t>
            </w:r>
            <w:r>
              <w:rPr>
                <w:rFonts w:hint="eastAsia" w:cs="Times New Roman"/>
                <w:b/>
                <w:bCs/>
                <w:color w:val="auto"/>
                <w:sz w:val="24"/>
                <w:lang w:val="en-US" w:eastAsia="zh-CN"/>
              </w:rPr>
              <w:t>14</w:t>
            </w:r>
            <w:r>
              <w:rPr>
                <w:rFonts w:hint="default" w:ascii="Times New Roman" w:hAnsi="Times New Roman" w:eastAsia="宋体" w:cs="Times New Roman"/>
                <w:b/>
                <w:bCs/>
                <w:color w:val="auto"/>
                <w:sz w:val="24"/>
              </w:rPr>
              <w:t xml:space="preserve">    监测使用的仪器</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6"/>
              <w:gridCol w:w="1131"/>
              <w:gridCol w:w="1251"/>
              <w:gridCol w:w="4102"/>
            </w:tblGrid>
            <w:tr w14:paraId="4F434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71" w:type="dxa"/>
                  <w:noWrap w:val="0"/>
                  <w:vAlign w:val="center"/>
                </w:tcPr>
                <w:p w14:paraId="23292FCD">
                  <w:pPr>
                    <w:jc w:val="center"/>
                    <w:rPr>
                      <w:rFonts w:hint="default" w:ascii="Times New Roman" w:hAnsi="Times New Roman" w:cs="Times New Roman"/>
                      <w:b/>
                      <w:bCs/>
                      <w:color w:val="auto"/>
                    </w:rPr>
                  </w:pPr>
                  <w:r>
                    <w:rPr>
                      <w:rFonts w:hint="default" w:ascii="Times New Roman" w:hAnsi="Times New Roman" w:cs="Times New Roman"/>
                      <w:b/>
                      <w:bCs/>
                      <w:color w:val="auto"/>
                    </w:rPr>
                    <w:t>仪器名称及型号</w:t>
                  </w:r>
                </w:p>
              </w:tc>
              <w:tc>
                <w:tcPr>
                  <w:tcW w:w="1152" w:type="dxa"/>
                  <w:noWrap w:val="0"/>
                  <w:vAlign w:val="center"/>
                </w:tcPr>
                <w:p w14:paraId="73CD1745">
                  <w:pPr>
                    <w:jc w:val="center"/>
                    <w:rPr>
                      <w:rFonts w:hint="default" w:ascii="Times New Roman" w:hAnsi="Times New Roman" w:cs="Times New Roman"/>
                      <w:b/>
                      <w:bCs/>
                      <w:color w:val="auto"/>
                    </w:rPr>
                  </w:pPr>
                  <w:r>
                    <w:rPr>
                      <w:rFonts w:hint="default" w:ascii="Times New Roman" w:hAnsi="Times New Roman" w:cs="Times New Roman"/>
                      <w:b/>
                      <w:bCs/>
                      <w:color w:val="auto"/>
                    </w:rPr>
                    <w:t>测量范围</w:t>
                  </w:r>
                </w:p>
              </w:tc>
              <w:tc>
                <w:tcPr>
                  <w:tcW w:w="1275" w:type="dxa"/>
                  <w:noWrap w:val="0"/>
                  <w:vAlign w:val="center"/>
                </w:tcPr>
                <w:p w14:paraId="2094ED0A">
                  <w:pPr>
                    <w:jc w:val="center"/>
                    <w:rPr>
                      <w:rFonts w:hint="default" w:ascii="Times New Roman" w:hAnsi="Times New Roman" w:cs="Times New Roman"/>
                      <w:b/>
                      <w:bCs/>
                      <w:color w:val="auto"/>
                    </w:rPr>
                  </w:pPr>
                  <w:r>
                    <w:rPr>
                      <w:rFonts w:hint="default" w:ascii="Times New Roman" w:hAnsi="Times New Roman" w:cs="Times New Roman"/>
                      <w:b/>
                      <w:bCs/>
                      <w:color w:val="auto"/>
                    </w:rPr>
                    <w:t>生产厂家</w:t>
                  </w:r>
                </w:p>
              </w:tc>
              <w:tc>
                <w:tcPr>
                  <w:tcW w:w="4193" w:type="dxa"/>
                  <w:noWrap w:val="0"/>
                  <w:vAlign w:val="center"/>
                </w:tcPr>
                <w:p w14:paraId="3A04C4F8">
                  <w:pPr>
                    <w:jc w:val="center"/>
                    <w:rPr>
                      <w:rFonts w:hint="default" w:ascii="Times New Roman" w:hAnsi="Times New Roman" w:cs="Times New Roman"/>
                      <w:b/>
                      <w:bCs/>
                      <w:color w:val="auto"/>
                    </w:rPr>
                  </w:pPr>
                  <w:r>
                    <w:rPr>
                      <w:rFonts w:hint="default" w:ascii="Times New Roman" w:hAnsi="Times New Roman" w:cs="Times New Roman"/>
                      <w:b/>
                      <w:bCs/>
                      <w:color w:val="auto"/>
                    </w:rPr>
                    <w:t>检测（校准）证书编号</w:t>
                  </w:r>
                </w:p>
              </w:tc>
            </w:tr>
            <w:tr w14:paraId="54DE15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71" w:type="dxa"/>
                  <w:noWrap w:val="0"/>
                  <w:vAlign w:val="center"/>
                </w:tcPr>
                <w:p w14:paraId="7500B002">
                  <w:pPr>
                    <w:jc w:val="center"/>
                    <w:rPr>
                      <w:rFonts w:hint="default" w:ascii="Times New Roman" w:hAnsi="Times New Roman" w:cs="Times New Roman"/>
                      <w:color w:val="auto"/>
                    </w:rPr>
                  </w:pPr>
                  <w:r>
                    <w:rPr>
                      <w:rFonts w:hint="default" w:ascii="Times New Roman" w:hAnsi="Times New Roman" w:cs="Times New Roman"/>
                      <w:color w:val="auto"/>
                    </w:rPr>
                    <w:t>AWA5688多功能声级计</w:t>
                  </w:r>
                </w:p>
              </w:tc>
              <w:tc>
                <w:tcPr>
                  <w:tcW w:w="1152" w:type="dxa"/>
                  <w:noWrap w:val="0"/>
                  <w:vAlign w:val="center"/>
                </w:tcPr>
                <w:p w14:paraId="6B3F8554">
                  <w:pPr>
                    <w:jc w:val="center"/>
                    <w:rPr>
                      <w:rFonts w:hint="default" w:ascii="Times New Roman" w:hAnsi="Times New Roman" w:cs="Times New Roman"/>
                      <w:color w:val="auto"/>
                    </w:rPr>
                  </w:pPr>
                  <w:r>
                    <w:rPr>
                      <w:rFonts w:hint="default" w:ascii="Times New Roman" w:hAnsi="Times New Roman" w:cs="Times New Roman"/>
                      <w:color w:val="auto"/>
                    </w:rPr>
                    <w:t>30dB~105dB</w:t>
                  </w:r>
                </w:p>
              </w:tc>
              <w:tc>
                <w:tcPr>
                  <w:tcW w:w="1275" w:type="dxa"/>
                  <w:noWrap w:val="0"/>
                  <w:vAlign w:val="center"/>
                </w:tcPr>
                <w:p w14:paraId="1F05C85C">
                  <w:pPr>
                    <w:jc w:val="center"/>
                    <w:rPr>
                      <w:rFonts w:hint="default" w:ascii="Times New Roman" w:hAnsi="Times New Roman" w:cs="Times New Roman"/>
                      <w:color w:val="auto"/>
                    </w:rPr>
                  </w:pPr>
                  <w:r>
                    <w:rPr>
                      <w:rFonts w:hint="default" w:ascii="Times New Roman" w:hAnsi="Times New Roman" w:cs="Times New Roman"/>
                      <w:color w:val="auto"/>
                    </w:rPr>
                    <w:t>杭州爱华仪器有限公司</w:t>
                  </w:r>
                </w:p>
              </w:tc>
              <w:tc>
                <w:tcPr>
                  <w:tcW w:w="4193" w:type="dxa"/>
                  <w:noWrap w:val="0"/>
                  <w:vAlign w:val="center"/>
                </w:tcPr>
                <w:p w14:paraId="2ECAEFA5">
                  <w:pPr>
                    <w:jc w:val="left"/>
                    <w:rPr>
                      <w:rFonts w:hint="default" w:ascii="Times New Roman" w:hAnsi="Times New Roman" w:cs="Times New Roman"/>
                      <w:color w:val="auto"/>
                    </w:rPr>
                  </w:pPr>
                  <w:r>
                    <w:rPr>
                      <w:rFonts w:hint="default" w:ascii="Times New Roman" w:hAnsi="Times New Roman" w:cs="Times New Roman"/>
                      <w:color w:val="auto"/>
                    </w:rPr>
                    <w:t>出厂编号：10329747</w:t>
                  </w:r>
                </w:p>
                <w:p w14:paraId="4112146F">
                  <w:pPr>
                    <w:jc w:val="left"/>
                    <w:rPr>
                      <w:rFonts w:hint="default" w:ascii="Times New Roman" w:hAnsi="Times New Roman" w:cs="Times New Roman"/>
                      <w:color w:val="auto"/>
                    </w:rPr>
                  </w:pPr>
                  <w:r>
                    <w:rPr>
                      <w:rFonts w:hint="default" w:ascii="Times New Roman" w:hAnsi="Times New Roman" w:cs="Times New Roman"/>
                      <w:color w:val="auto"/>
                    </w:rPr>
                    <w:t>设备编号：LT-03</w:t>
                  </w:r>
                </w:p>
                <w:p w14:paraId="24DEE133">
                  <w:pPr>
                    <w:jc w:val="left"/>
                    <w:rPr>
                      <w:rFonts w:hint="default" w:ascii="Times New Roman" w:hAnsi="Times New Roman" w:cs="Times New Roman"/>
                      <w:color w:val="auto"/>
                    </w:rPr>
                  </w:pPr>
                  <w:r>
                    <w:rPr>
                      <w:rFonts w:hint="default" w:ascii="Times New Roman" w:hAnsi="Times New Roman" w:cs="Times New Roman"/>
                      <w:color w:val="auto"/>
                    </w:rPr>
                    <w:t>检定单位：宁夏计量质量检验检测研究院</w:t>
                  </w:r>
                </w:p>
                <w:p w14:paraId="7B64DAED">
                  <w:pPr>
                    <w:jc w:val="left"/>
                    <w:rPr>
                      <w:rFonts w:hint="default" w:ascii="Times New Roman" w:hAnsi="Times New Roman" w:cs="Times New Roman"/>
                      <w:color w:val="auto"/>
                    </w:rPr>
                  </w:pPr>
                  <w:r>
                    <w:rPr>
                      <w:rFonts w:hint="default" w:ascii="Times New Roman" w:hAnsi="Times New Roman" w:cs="Times New Roman"/>
                      <w:color w:val="auto"/>
                    </w:rPr>
                    <w:t>检定证书号：23005290-001</w:t>
                  </w:r>
                </w:p>
                <w:p w14:paraId="13F8633D">
                  <w:pPr>
                    <w:jc w:val="left"/>
                    <w:rPr>
                      <w:rFonts w:hint="default" w:ascii="Times New Roman" w:hAnsi="Times New Roman" w:cs="Times New Roman"/>
                      <w:color w:val="auto"/>
                    </w:rPr>
                  </w:pPr>
                  <w:r>
                    <w:rPr>
                      <w:rFonts w:hint="default" w:ascii="Times New Roman" w:hAnsi="Times New Roman" w:cs="Times New Roman"/>
                      <w:color w:val="auto"/>
                    </w:rPr>
                    <w:t>有效期：2023.3.28-2024.3.27</w:t>
                  </w:r>
                </w:p>
              </w:tc>
            </w:tr>
            <w:tr w14:paraId="29F7F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71" w:type="dxa"/>
                  <w:noWrap w:val="0"/>
                  <w:vAlign w:val="center"/>
                </w:tcPr>
                <w:p w14:paraId="0BF0F37F">
                  <w:pPr>
                    <w:jc w:val="center"/>
                    <w:rPr>
                      <w:rFonts w:hint="default" w:ascii="Times New Roman" w:hAnsi="Times New Roman" w:cs="Times New Roman"/>
                      <w:color w:val="auto"/>
                    </w:rPr>
                  </w:pPr>
                  <w:r>
                    <w:rPr>
                      <w:rFonts w:hint="default" w:ascii="Times New Roman" w:hAnsi="Times New Roman" w:cs="Times New Roman"/>
                      <w:color w:val="auto"/>
                    </w:rPr>
                    <w:t>AWA6221A声校准器</w:t>
                  </w:r>
                </w:p>
              </w:tc>
              <w:tc>
                <w:tcPr>
                  <w:tcW w:w="1152" w:type="dxa"/>
                  <w:noWrap w:val="0"/>
                  <w:vAlign w:val="center"/>
                </w:tcPr>
                <w:p w14:paraId="0EFC47E6">
                  <w:pPr>
                    <w:jc w:val="center"/>
                    <w:rPr>
                      <w:rFonts w:hint="default" w:ascii="Times New Roman" w:hAnsi="Times New Roman" w:cs="Times New Roman"/>
                      <w:color w:val="auto"/>
                    </w:rPr>
                  </w:pPr>
                  <w:r>
                    <w:rPr>
                      <w:rFonts w:hint="default" w:ascii="Times New Roman" w:hAnsi="Times New Roman" w:cs="Times New Roman"/>
                      <w:color w:val="auto"/>
                    </w:rPr>
                    <w:t>标准声压级94.0dB</w:t>
                  </w:r>
                </w:p>
              </w:tc>
              <w:tc>
                <w:tcPr>
                  <w:tcW w:w="1275" w:type="dxa"/>
                  <w:noWrap w:val="0"/>
                  <w:vAlign w:val="center"/>
                </w:tcPr>
                <w:p w14:paraId="477B4B6B">
                  <w:pPr>
                    <w:jc w:val="center"/>
                    <w:rPr>
                      <w:rFonts w:hint="default" w:ascii="Times New Roman" w:hAnsi="Times New Roman" w:cs="Times New Roman"/>
                      <w:color w:val="auto"/>
                    </w:rPr>
                  </w:pPr>
                  <w:r>
                    <w:rPr>
                      <w:rFonts w:hint="default" w:ascii="Times New Roman" w:hAnsi="Times New Roman" w:cs="Times New Roman"/>
                      <w:color w:val="auto"/>
                    </w:rPr>
                    <w:t>杭州爱华仪器有限公司</w:t>
                  </w:r>
                </w:p>
              </w:tc>
              <w:tc>
                <w:tcPr>
                  <w:tcW w:w="4193" w:type="dxa"/>
                  <w:noWrap w:val="0"/>
                  <w:vAlign w:val="center"/>
                </w:tcPr>
                <w:p w14:paraId="604267E5">
                  <w:pPr>
                    <w:jc w:val="left"/>
                    <w:rPr>
                      <w:rFonts w:hint="default" w:ascii="Times New Roman" w:hAnsi="Times New Roman" w:cs="Times New Roman"/>
                      <w:color w:val="auto"/>
                    </w:rPr>
                  </w:pPr>
                  <w:r>
                    <w:rPr>
                      <w:rFonts w:hint="default" w:ascii="Times New Roman" w:hAnsi="Times New Roman" w:cs="Times New Roman"/>
                      <w:color w:val="auto"/>
                    </w:rPr>
                    <w:t>出厂编号：1007026</w:t>
                  </w:r>
                </w:p>
                <w:p w14:paraId="0B0EF23D">
                  <w:pPr>
                    <w:jc w:val="left"/>
                    <w:rPr>
                      <w:rFonts w:hint="default" w:ascii="Times New Roman" w:hAnsi="Times New Roman" w:cs="Times New Roman"/>
                      <w:color w:val="auto"/>
                    </w:rPr>
                  </w:pPr>
                  <w:r>
                    <w:rPr>
                      <w:rFonts w:hint="default" w:ascii="Times New Roman" w:hAnsi="Times New Roman" w:cs="Times New Roman"/>
                      <w:color w:val="auto"/>
                    </w:rPr>
                    <w:t>设备编号：LT-03-1</w:t>
                  </w:r>
                </w:p>
                <w:p w14:paraId="1C6DAF4E">
                  <w:pPr>
                    <w:jc w:val="left"/>
                    <w:rPr>
                      <w:rFonts w:hint="default" w:ascii="Times New Roman" w:hAnsi="Times New Roman" w:cs="Times New Roman"/>
                      <w:color w:val="auto"/>
                    </w:rPr>
                  </w:pPr>
                  <w:r>
                    <w:rPr>
                      <w:rFonts w:hint="default" w:ascii="Times New Roman" w:hAnsi="Times New Roman" w:cs="Times New Roman"/>
                      <w:color w:val="auto"/>
                    </w:rPr>
                    <w:t>检定单位：深圳天溯计量检测股份有限公司</w:t>
                  </w:r>
                </w:p>
                <w:p w14:paraId="4B3920FA">
                  <w:pPr>
                    <w:jc w:val="left"/>
                    <w:rPr>
                      <w:rFonts w:hint="default" w:ascii="Times New Roman" w:hAnsi="Times New Roman" w:cs="Times New Roman"/>
                      <w:color w:val="auto"/>
                    </w:rPr>
                  </w:pPr>
                  <w:r>
                    <w:rPr>
                      <w:rFonts w:hint="default" w:ascii="Times New Roman" w:hAnsi="Times New Roman" w:cs="Times New Roman"/>
                      <w:color w:val="auto"/>
                    </w:rPr>
                    <w:t>检定证书号：Z20237-C321272</w:t>
                  </w:r>
                </w:p>
                <w:p w14:paraId="51394B13">
                  <w:pPr>
                    <w:jc w:val="left"/>
                    <w:rPr>
                      <w:rFonts w:hint="default" w:ascii="Times New Roman" w:hAnsi="Times New Roman" w:cs="Times New Roman"/>
                      <w:color w:val="auto"/>
                    </w:rPr>
                  </w:pPr>
                  <w:r>
                    <w:rPr>
                      <w:rFonts w:hint="default" w:ascii="Times New Roman" w:hAnsi="Times New Roman" w:cs="Times New Roman"/>
                      <w:color w:val="auto"/>
                    </w:rPr>
                    <w:t>有效期：2023.3.23-2024.3.22</w:t>
                  </w:r>
                </w:p>
              </w:tc>
            </w:tr>
          </w:tbl>
          <w:p w14:paraId="03B6D240">
            <w:pPr>
              <w:adjustRightInd w:val="0"/>
              <w:snapToGrid w:val="0"/>
              <w:spacing w:before="120" w:beforeLines="50"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⑥类比监测</w:t>
            </w:r>
            <w:r>
              <w:rPr>
                <w:rFonts w:hint="eastAsia" w:cs="Times New Roman"/>
                <w:color w:val="auto"/>
                <w:sz w:val="24"/>
                <w:lang w:val="en-US" w:eastAsia="zh-CN"/>
              </w:rPr>
              <w:t>环境</w:t>
            </w:r>
            <w:r>
              <w:rPr>
                <w:rFonts w:hint="default" w:ascii="Times New Roman" w:hAnsi="Times New Roman" w:cs="Times New Roman"/>
                <w:color w:val="auto"/>
                <w:sz w:val="24"/>
              </w:rPr>
              <w:t>条件</w:t>
            </w:r>
          </w:p>
          <w:p w14:paraId="3F1855CE">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类比监测时间：2023年8月20日</w:t>
            </w:r>
          </w:p>
          <w:p w14:paraId="3DE95CC4">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监测环境</w:t>
            </w:r>
            <w:r>
              <w:rPr>
                <w:rFonts w:hint="default" w:ascii="Times New Roman" w:hAnsi="Times New Roman" w:cs="Times New Roman"/>
                <w:color w:val="auto"/>
                <w:kern w:val="0"/>
                <w:sz w:val="24"/>
              </w:rPr>
              <w:t>条件：</w:t>
            </w:r>
            <w:r>
              <w:rPr>
                <w:rFonts w:hint="default" w:ascii="Times New Roman" w:hAnsi="Times New Roman" w:cs="Times New Roman"/>
                <w:color w:val="auto"/>
                <w:sz w:val="24"/>
              </w:rPr>
              <w:t>昼间天气晴，温度26.2-31.8℃，湿度</w:t>
            </w:r>
            <w:r>
              <w:rPr>
                <w:rFonts w:hint="default" w:ascii="Times New Roman" w:hAnsi="Times New Roman" w:cs="Times New Roman"/>
                <w:color w:val="auto"/>
                <w:sz w:val="24"/>
                <w:lang w:eastAsia="zh-CN"/>
              </w:rPr>
              <w:t>38.7%</w:t>
            </w:r>
            <w:r>
              <w:rPr>
                <w:rFonts w:hint="eastAsia" w:cs="Times New Roman"/>
                <w:color w:val="auto"/>
                <w:sz w:val="24"/>
                <w:lang w:val="en-US" w:eastAsia="zh-CN"/>
              </w:rPr>
              <w:t>-</w:t>
            </w:r>
            <w:r>
              <w:rPr>
                <w:rFonts w:hint="default" w:ascii="Times New Roman" w:hAnsi="Times New Roman" w:cs="Times New Roman"/>
                <w:color w:val="auto"/>
                <w:sz w:val="24"/>
                <w:lang w:eastAsia="zh-CN"/>
              </w:rPr>
              <w:t>40.2%</w:t>
            </w:r>
            <w:r>
              <w:rPr>
                <w:rFonts w:hint="default" w:ascii="Times New Roman" w:hAnsi="Times New Roman" w:cs="Times New Roman"/>
                <w:color w:val="auto"/>
                <w:sz w:val="24"/>
              </w:rPr>
              <w:t>，风速静风，大气压848.5-852.6hPa；</w:t>
            </w:r>
          </w:p>
          <w:p w14:paraId="7DCFAF92">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夜间天气晴，温度21.5-25.0℃，湿度</w:t>
            </w:r>
            <w:r>
              <w:rPr>
                <w:rFonts w:hint="default" w:ascii="Times New Roman" w:hAnsi="Times New Roman" w:cs="Times New Roman"/>
                <w:color w:val="auto"/>
                <w:sz w:val="24"/>
                <w:lang w:eastAsia="zh-CN"/>
              </w:rPr>
              <w:t>36.5</w:t>
            </w:r>
            <w:r>
              <w:rPr>
                <w:rFonts w:hint="eastAsia" w:cs="Times New Roman"/>
                <w:color w:val="auto"/>
                <w:sz w:val="24"/>
                <w:lang w:val="en-US" w:eastAsia="zh-CN"/>
              </w:rPr>
              <w:t>-</w:t>
            </w:r>
            <w:r>
              <w:rPr>
                <w:rFonts w:hint="default" w:ascii="Times New Roman" w:hAnsi="Times New Roman" w:cs="Times New Roman"/>
                <w:color w:val="auto"/>
                <w:sz w:val="24"/>
                <w:lang w:eastAsia="zh-CN"/>
              </w:rPr>
              <w:t>31.6%</w:t>
            </w:r>
            <w:r>
              <w:rPr>
                <w:rFonts w:hint="default" w:ascii="Times New Roman" w:hAnsi="Times New Roman" w:cs="Times New Roman"/>
                <w:color w:val="auto"/>
                <w:sz w:val="24"/>
              </w:rPr>
              <w:t>，风速0-1.5m/s，大气压851.3-853.0hPa。</w:t>
            </w:r>
          </w:p>
          <w:p w14:paraId="630A3E7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⑦类比监测点位</w:t>
            </w:r>
          </w:p>
          <w:p w14:paraId="79561AF8">
            <w:pPr>
              <w:spacing w:line="360" w:lineRule="auto"/>
              <w:ind w:firstLine="465"/>
              <w:rPr>
                <w:rFonts w:hint="default" w:ascii="Times New Roman" w:hAnsi="Times New Roman" w:cs="Times New Roman"/>
                <w:color w:val="auto"/>
                <w:sz w:val="24"/>
              </w:rPr>
            </w:pPr>
            <w:r>
              <w:rPr>
                <w:rFonts w:hint="default" w:ascii="Times New Roman" w:hAnsi="Times New Roman" w:cs="Times New Roman"/>
                <w:color w:val="auto"/>
                <w:sz w:val="24"/>
                <w:szCs w:val="24"/>
                <w:lang w:val="en-US" w:eastAsia="zh-CN"/>
              </w:rPr>
              <w:t>以弧垂最低位置处</w:t>
            </w:r>
            <w:r>
              <w:rPr>
                <w:rFonts w:hint="default" w:ascii="Times New Roman" w:hAnsi="Times New Roman" w:cs="Times New Roman"/>
                <w:color w:val="auto"/>
                <w:sz w:val="24"/>
                <w:szCs w:val="24"/>
                <w:lang w:eastAsia="zh-CN"/>
              </w:rPr>
              <w:t>档距对应两杆塔中央连线对地</w:t>
            </w:r>
            <w:r>
              <w:rPr>
                <w:rFonts w:hint="default" w:ascii="Times New Roman" w:hAnsi="Times New Roman" w:cs="Times New Roman"/>
                <w:color w:val="auto"/>
                <w:sz w:val="24"/>
                <w:szCs w:val="24"/>
                <w:lang w:val="en-US" w:eastAsia="zh-CN"/>
              </w:rPr>
              <w:t>为起点</w:t>
            </w:r>
            <w:r>
              <w:rPr>
                <w:rFonts w:hint="default" w:ascii="Times New Roman" w:hAnsi="Times New Roman" w:cs="Times New Roman"/>
                <w:color w:val="auto"/>
                <w:sz w:val="24"/>
                <w:szCs w:val="24"/>
              </w:rPr>
              <w:t>，沿</w:t>
            </w:r>
            <w:r>
              <w:rPr>
                <w:rFonts w:hint="default" w:ascii="Times New Roman" w:hAnsi="Times New Roman" w:cs="Times New Roman"/>
                <w:color w:val="auto"/>
                <w:sz w:val="24"/>
                <w:szCs w:val="24"/>
                <w:lang w:eastAsia="zh-CN"/>
              </w:rPr>
              <w:t>垂直于线路方向向</w:t>
            </w:r>
            <w:r>
              <w:rPr>
                <w:rFonts w:hint="default" w:ascii="Times New Roman" w:hAnsi="Times New Roman" w:cs="Times New Roman"/>
                <w:color w:val="auto"/>
                <w:sz w:val="24"/>
                <w:szCs w:val="24"/>
                <w:lang w:val="en-US" w:eastAsia="zh-CN"/>
              </w:rPr>
              <w:t>南</w:t>
            </w:r>
            <w:r>
              <w:rPr>
                <w:rFonts w:hint="default" w:ascii="Times New Roman" w:hAnsi="Times New Roman" w:cs="Times New Roman"/>
                <w:color w:val="auto"/>
                <w:sz w:val="24"/>
                <w:szCs w:val="24"/>
                <w:lang w:eastAsia="zh-CN"/>
              </w:rPr>
              <w:t>侧</w:t>
            </w:r>
            <w:r>
              <w:rPr>
                <w:rFonts w:hint="default" w:ascii="Times New Roman" w:hAnsi="Times New Roman" w:cs="Times New Roman"/>
                <w:color w:val="auto"/>
                <w:sz w:val="24"/>
                <w:szCs w:val="24"/>
              </w:rPr>
              <w:t>进行，</w:t>
            </w:r>
            <w:r>
              <w:rPr>
                <w:rFonts w:hint="default" w:ascii="Times New Roman" w:hAnsi="Times New Roman" w:cs="Times New Roman"/>
                <w:color w:val="auto"/>
                <w:sz w:val="24"/>
              </w:rPr>
              <w:t>监测间距为5m，顺序测至档距对应两杆塔中央连线对地投影点</w:t>
            </w:r>
            <w:r>
              <w:rPr>
                <w:rFonts w:hint="default" w:ascii="Times New Roman" w:hAnsi="Times New Roman" w:cs="Times New Roman"/>
                <w:color w:val="auto"/>
                <w:sz w:val="24"/>
                <w:lang w:val="en-US" w:eastAsia="zh-CN"/>
              </w:rPr>
              <w:t>南</w:t>
            </w:r>
            <w:r>
              <w:rPr>
                <w:rFonts w:hint="default" w:ascii="Times New Roman" w:hAnsi="Times New Roman" w:cs="Times New Roman"/>
                <w:color w:val="auto"/>
                <w:sz w:val="24"/>
              </w:rPr>
              <w:t>30m处为止，分别测量地面1.5m高度处的等效连续A声级。</w:t>
            </w:r>
          </w:p>
          <w:p w14:paraId="7B6D1AE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宁夏银川宝丰昱能110千伏供电工程中110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露昱甲乙双回路段2#~3#杆塔间噪声监测断面见图4-2。</w:t>
            </w:r>
          </w:p>
          <w:p w14:paraId="75BAC13B">
            <w:pPr>
              <w:pStyle w:val="19"/>
              <w:jc w:val="center"/>
              <w:rPr>
                <w:rFonts w:hint="default" w:ascii="Times New Roman" w:hAnsi="Times New Roman" w:eastAsia="黑体" w:cs="Times New Roman"/>
                <w:b/>
                <w:color w:val="auto"/>
                <w:sz w:val="24"/>
              </w:rPr>
            </w:pPr>
            <w:r>
              <w:rPr>
                <w:rFonts w:hint="default" w:ascii="Times New Roman" w:hAnsi="Times New Roman" w:cs="Times New Roman"/>
                <w:color w:val="auto"/>
                <w:sz w:val="24"/>
              </w:rPr>
              <w:object>
                <v:shape id="_x0000_i1030" o:spt="75" alt="" type="#_x0000_t75" style="height:116.75pt;width:246.15pt;" o:ole="t" filled="f" o:preferrelative="t" stroked="f" coordsize="21600,21600">
                  <v:path/>
                  <v:fill on="f" focussize="0,0"/>
                  <v:stroke on="f"/>
                  <v:imagedata r:id="rId59" o:title=""/>
                  <o:lock v:ext="edit" aspectratio="f"/>
                  <w10:wrap type="none"/>
                  <w10:anchorlock/>
                </v:shape>
                <o:OLEObject Type="Embed" ProgID="Visio.Drawing.11" ShapeID="_x0000_i1030" DrawAspect="Content" ObjectID="_1468075730" r:id="rId58">
                  <o:LockedField>false</o:LockedField>
                </o:OLEObject>
              </w:object>
            </w:r>
          </w:p>
          <w:p w14:paraId="652AA5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图4-2  类比线路噪声衰减监测断面图</w:t>
            </w:r>
          </w:p>
          <w:p w14:paraId="39B7E3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rPr>
            </w:pPr>
          </w:p>
          <w:p w14:paraId="61726215">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⑧类比监测工况</w:t>
            </w:r>
          </w:p>
          <w:p w14:paraId="75B15FAA">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cs="Times New Roman"/>
                <w:color w:val="auto"/>
                <w:sz w:val="24"/>
              </w:rPr>
              <w:t>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露昱甲乙双回路</w:t>
            </w:r>
            <w:r>
              <w:rPr>
                <w:rFonts w:hint="default" w:ascii="Times New Roman" w:hAnsi="Times New Roman" w:eastAsia="宋体" w:cs="Times New Roman"/>
                <w:color w:val="auto"/>
                <w:sz w:val="24"/>
              </w:rPr>
              <w:t>监测期间运行工况见表4-</w:t>
            </w:r>
            <w:r>
              <w:rPr>
                <w:rFonts w:hint="eastAsia" w:cs="Times New Roman"/>
                <w:color w:val="auto"/>
                <w:sz w:val="24"/>
                <w:lang w:val="en-US" w:eastAsia="zh-CN"/>
              </w:rPr>
              <w:t>15</w:t>
            </w:r>
            <w:r>
              <w:rPr>
                <w:rFonts w:hint="default" w:ascii="Times New Roman" w:hAnsi="Times New Roman" w:eastAsia="宋体" w:cs="Times New Roman"/>
                <w:color w:val="auto"/>
                <w:sz w:val="24"/>
              </w:rPr>
              <w:t>。</w:t>
            </w:r>
          </w:p>
          <w:p w14:paraId="3C50B4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表4-</w:t>
            </w:r>
            <w:r>
              <w:rPr>
                <w:rFonts w:hint="eastAsia" w:cs="Times New Roman"/>
                <w:b/>
                <w:bCs/>
                <w:color w:val="auto"/>
                <w:sz w:val="24"/>
                <w:lang w:val="en-US" w:eastAsia="zh-CN"/>
              </w:rPr>
              <w:t>15</w:t>
            </w:r>
            <w:r>
              <w:rPr>
                <w:rFonts w:hint="default" w:ascii="Times New Roman" w:hAnsi="Times New Roman" w:eastAsia="宋体" w:cs="Times New Roman"/>
                <w:b/>
                <w:bCs/>
                <w:color w:val="auto"/>
                <w:sz w:val="24"/>
              </w:rPr>
              <w:t xml:space="preserve">  类比</w:t>
            </w:r>
            <w:r>
              <w:rPr>
                <w:rFonts w:hint="eastAsia" w:cs="Times New Roman"/>
                <w:b/>
                <w:bCs/>
                <w:color w:val="auto"/>
                <w:sz w:val="24"/>
                <w:lang w:val="en-US" w:eastAsia="zh-CN"/>
              </w:rPr>
              <w:t>双回路架空</w:t>
            </w:r>
            <w:r>
              <w:rPr>
                <w:rFonts w:hint="default" w:ascii="Times New Roman" w:hAnsi="Times New Roman" w:eastAsia="宋体" w:cs="Times New Roman"/>
                <w:b/>
                <w:bCs/>
                <w:color w:val="auto"/>
                <w:sz w:val="24"/>
              </w:rPr>
              <w:t>线路监测期间运行工况一览表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59"/>
              <w:gridCol w:w="1350"/>
              <w:gridCol w:w="1155"/>
              <w:gridCol w:w="1785"/>
              <w:gridCol w:w="1927"/>
            </w:tblGrid>
            <w:tr w14:paraId="041A54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88" w:type="pct"/>
                  <w:noWrap w:val="0"/>
                  <w:vAlign w:val="center"/>
                </w:tcPr>
                <w:p w14:paraId="2480FD55">
                  <w:pPr>
                    <w:widowControl w:val="0"/>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名称</w:t>
                  </w:r>
                </w:p>
              </w:tc>
              <w:tc>
                <w:tcPr>
                  <w:tcW w:w="805" w:type="pct"/>
                  <w:noWrap w:val="0"/>
                  <w:vAlign w:val="center"/>
                </w:tcPr>
                <w:p w14:paraId="3D180E05">
                  <w:pPr>
                    <w:widowControl w:val="0"/>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电压（kV）</w:t>
                  </w:r>
                </w:p>
              </w:tc>
              <w:tc>
                <w:tcPr>
                  <w:tcW w:w="689" w:type="pct"/>
                  <w:noWrap w:val="0"/>
                  <w:vAlign w:val="center"/>
                </w:tcPr>
                <w:p w14:paraId="0D008AFA">
                  <w:pPr>
                    <w:widowControl w:val="0"/>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电流(A)</w:t>
                  </w:r>
                </w:p>
              </w:tc>
              <w:tc>
                <w:tcPr>
                  <w:tcW w:w="1065" w:type="pct"/>
                  <w:noWrap w:val="0"/>
                  <w:vAlign w:val="center"/>
                </w:tcPr>
                <w:p w14:paraId="155F1D05">
                  <w:pPr>
                    <w:widowControl w:val="0"/>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有功功率（MV）</w:t>
                  </w:r>
                </w:p>
              </w:tc>
              <w:tc>
                <w:tcPr>
                  <w:tcW w:w="1150" w:type="pct"/>
                  <w:noWrap w:val="0"/>
                  <w:vAlign w:val="center"/>
                </w:tcPr>
                <w:p w14:paraId="69528D21">
                  <w:pPr>
                    <w:widowControl w:val="0"/>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无功功率（MVar）</w:t>
                  </w:r>
                </w:p>
              </w:tc>
            </w:tr>
            <w:tr w14:paraId="0E2B3C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88" w:type="pct"/>
                  <w:noWrap w:val="0"/>
                  <w:vAlign w:val="center"/>
                </w:tcPr>
                <w:p w14:paraId="3DF220D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110千伏露昱</w:t>
                  </w:r>
                  <w:r>
                    <w:rPr>
                      <w:rFonts w:hint="eastAsia" w:ascii="Times New Roman" w:hAnsi="Times New Roman" w:eastAsia="宋体" w:cs="Times New Roman"/>
                      <w:color w:val="auto"/>
                      <w:sz w:val="21"/>
                      <w:szCs w:val="21"/>
                      <w:highlight w:val="none"/>
                      <w:lang w:val="en-US" w:eastAsia="zh-CN"/>
                    </w:rPr>
                    <w:t>甲</w:t>
                  </w:r>
                  <w:r>
                    <w:rPr>
                      <w:rFonts w:hint="default" w:ascii="Times New Roman" w:hAnsi="Times New Roman" w:eastAsia="宋体" w:cs="Times New Roman"/>
                      <w:color w:val="auto"/>
                      <w:sz w:val="21"/>
                      <w:szCs w:val="21"/>
                      <w:highlight w:val="none"/>
                      <w:lang w:val="en-US" w:eastAsia="zh-CN"/>
                    </w:rPr>
                    <w:t>线</w:t>
                  </w:r>
                </w:p>
              </w:tc>
              <w:tc>
                <w:tcPr>
                  <w:tcW w:w="805" w:type="pct"/>
                  <w:noWrap w:val="0"/>
                  <w:vAlign w:val="center"/>
                </w:tcPr>
                <w:p w14:paraId="0A4BF40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4"/>
                      <w:sz w:val="21"/>
                      <w:szCs w:val="21"/>
                      <w:highlight w:val="none"/>
                      <w:lang w:val="en-US" w:eastAsia="zh-CN" w:bidi="ar-SA"/>
                    </w:rPr>
                    <w:t>114.5</w:t>
                  </w:r>
                  <w:r>
                    <w:rPr>
                      <w:rFonts w:hint="eastAsia" w:cs="Times New Roman"/>
                      <w:color w:val="auto"/>
                      <w:kern w:val="24"/>
                      <w:sz w:val="21"/>
                      <w:szCs w:val="21"/>
                      <w:highlight w:val="none"/>
                      <w:lang w:val="en-US" w:eastAsia="zh-CN" w:bidi="ar-SA"/>
                    </w:rPr>
                    <w:t>~117.8</w:t>
                  </w:r>
                </w:p>
              </w:tc>
              <w:tc>
                <w:tcPr>
                  <w:tcW w:w="689" w:type="pct"/>
                  <w:noWrap w:val="0"/>
                  <w:vAlign w:val="center"/>
                </w:tcPr>
                <w:p w14:paraId="4340A76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4"/>
                      <w:sz w:val="21"/>
                      <w:szCs w:val="21"/>
                      <w:highlight w:val="none"/>
                      <w:lang w:val="en-US" w:eastAsia="zh-CN" w:bidi="ar-SA"/>
                    </w:rPr>
                    <w:t>6.4</w:t>
                  </w:r>
                  <w:r>
                    <w:rPr>
                      <w:rFonts w:hint="eastAsia" w:cs="Times New Roman"/>
                      <w:color w:val="auto"/>
                      <w:kern w:val="24"/>
                      <w:sz w:val="21"/>
                      <w:szCs w:val="21"/>
                      <w:highlight w:val="none"/>
                      <w:lang w:val="en-US" w:eastAsia="zh-CN" w:bidi="ar-SA"/>
                    </w:rPr>
                    <w:t>~7.5</w:t>
                  </w:r>
                </w:p>
              </w:tc>
              <w:tc>
                <w:tcPr>
                  <w:tcW w:w="1065" w:type="pct"/>
                  <w:noWrap w:val="0"/>
                  <w:vAlign w:val="center"/>
                </w:tcPr>
                <w:p w14:paraId="62683B9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4"/>
                      <w:sz w:val="21"/>
                      <w:szCs w:val="21"/>
                      <w:highlight w:val="none"/>
                      <w:lang w:val="en-US" w:eastAsia="zh-CN" w:bidi="ar-SA"/>
                    </w:rPr>
                    <w:t>0.1</w:t>
                  </w:r>
                  <w:r>
                    <w:rPr>
                      <w:rFonts w:hint="eastAsia" w:cs="Times New Roman"/>
                      <w:color w:val="auto"/>
                      <w:kern w:val="24"/>
                      <w:sz w:val="21"/>
                      <w:szCs w:val="21"/>
                      <w:highlight w:val="none"/>
                      <w:lang w:val="en-US" w:eastAsia="zh-CN" w:bidi="ar-SA"/>
                    </w:rPr>
                    <w:t>~1.35</w:t>
                  </w:r>
                </w:p>
              </w:tc>
              <w:tc>
                <w:tcPr>
                  <w:tcW w:w="1150" w:type="pct"/>
                  <w:noWrap w:val="0"/>
                  <w:vAlign w:val="center"/>
                </w:tcPr>
                <w:p w14:paraId="3D852A6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4"/>
                      <w:sz w:val="21"/>
                      <w:szCs w:val="21"/>
                      <w:highlight w:val="none"/>
                      <w:lang w:val="en-US" w:eastAsia="zh-CN" w:bidi="ar-SA"/>
                    </w:rPr>
                    <w:t>-1.3</w:t>
                  </w:r>
                  <w:r>
                    <w:rPr>
                      <w:rFonts w:hint="eastAsia" w:cs="Times New Roman"/>
                      <w:color w:val="auto"/>
                      <w:kern w:val="24"/>
                      <w:sz w:val="21"/>
                      <w:szCs w:val="21"/>
                      <w:highlight w:val="none"/>
                      <w:lang w:val="en-US" w:eastAsia="zh-CN" w:bidi="ar-SA"/>
                    </w:rPr>
                    <w:t>~2.6</w:t>
                  </w:r>
                </w:p>
              </w:tc>
            </w:tr>
            <w:tr w14:paraId="100F9C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88" w:type="pct"/>
                  <w:noWrap w:val="0"/>
                  <w:vAlign w:val="center"/>
                </w:tcPr>
                <w:p w14:paraId="00C0702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110千伏露昱</w:t>
                  </w:r>
                  <w:r>
                    <w:rPr>
                      <w:rFonts w:hint="eastAsia" w:ascii="Times New Roman" w:hAnsi="Times New Roman" w:eastAsia="宋体" w:cs="Times New Roman"/>
                      <w:color w:val="auto"/>
                      <w:sz w:val="21"/>
                      <w:szCs w:val="21"/>
                      <w:highlight w:val="none"/>
                      <w:lang w:val="en-US" w:eastAsia="zh-CN"/>
                    </w:rPr>
                    <w:t>乙</w:t>
                  </w:r>
                  <w:r>
                    <w:rPr>
                      <w:rFonts w:hint="default" w:ascii="Times New Roman" w:hAnsi="Times New Roman" w:eastAsia="宋体" w:cs="Times New Roman"/>
                      <w:color w:val="auto"/>
                      <w:sz w:val="21"/>
                      <w:szCs w:val="21"/>
                      <w:highlight w:val="none"/>
                      <w:lang w:val="en-US" w:eastAsia="zh-CN"/>
                    </w:rPr>
                    <w:t>线</w:t>
                  </w:r>
                </w:p>
              </w:tc>
              <w:tc>
                <w:tcPr>
                  <w:tcW w:w="805" w:type="pct"/>
                  <w:noWrap w:val="0"/>
                  <w:vAlign w:val="center"/>
                </w:tcPr>
                <w:p w14:paraId="59D077E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4"/>
                      <w:sz w:val="21"/>
                      <w:szCs w:val="21"/>
                      <w:highlight w:val="none"/>
                      <w:lang w:val="en-US" w:eastAsia="zh-CN" w:bidi="ar-SA"/>
                    </w:rPr>
                    <w:t>114.5</w:t>
                  </w:r>
                  <w:r>
                    <w:rPr>
                      <w:rFonts w:hint="eastAsia" w:cs="Times New Roman"/>
                      <w:color w:val="auto"/>
                      <w:kern w:val="24"/>
                      <w:sz w:val="21"/>
                      <w:szCs w:val="21"/>
                      <w:highlight w:val="none"/>
                      <w:lang w:val="en-US" w:eastAsia="zh-CN" w:bidi="ar-SA"/>
                    </w:rPr>
                    <w:t>~125.1</w:t>
                  </w:r>
                </w:p>
              </w:tc>
              <w:tc>
                <w:tcPr>
                  <w:tcW w:w="689" w:type="pct"/>
                  <w:noWrap w:val="0"/>
                  <w:vAlign w:val="center"/>
                </w:tcPr>
                <w:p w14:paraId="44E94A1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4"/>
                      <w:sz w:val="21"/>
                      <w:szCs w:val="21"/>
                      <w:highlight w:val="none"/>
                      <w:lang w:val="en-US" w:eastAsia="zh-CN" w:bidi="ar-SA"/>
                    </w:rPr>
                    <w:t>6.2</w:t>
                  </w:r>
                  <w:r>
                    <w:rPr>
                      <w:rFonts w:hint="eastAsia" w:cs="Times New Roman"/>
                      <w:color w:val="auto"/>
                      <w:kern w:val="24"/>
                      <w:sz w:val="21"/>
                      <w:szCs w:val="21"/>
                      <w:highlight w:val="none"/>
                      <w:lang w:val="en-US" w:eastAsia="zh-CN" w:bidi="ar-SA"/>
                    </w:rPr>
                    <w:t>~8.3</w:t>
                  </w:r>
                </w:p>
              </w:tc>
              <w:tc>
                <w:tcPr>
                  <w:tcW w:w="1065" w:type="pct"/>
                  <w:noWrap w:val="0"/>
                  <w:vAlign w:val="center"/>
                </w:tcPr>
                <w:p w14:paraId="029ED223">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4"/>
                      <w:sz w:val="21"/>
                      <w:szCs w:val="21"/>
                      <w:highlight w:val="none"/>
                      <w:lang w:val="en-US" w:eastAsia="zh-CN" w:bidi="ar-SA"/>
                    </w:rPr>
                    <w:t>0.1</w:t>
                  </w:r>
                  <w:r>
                    <w:rPr>
                      <w:rFonts w:hint="eastAsia" w:cs="Times New Roman"/>
                      <w:color w:val="auto"/>
                      <w:kern w:val="24"/>
                      <w:sz w:val="21"/>
                      <w:szCs w:val="21"/>
                      <w:highlight w:val="none"/>
                      <w:lang w:val="en-US" w:eastAsia="zh-CN" w:bidi="ar-SA"/>
                    </w:rPr>
                    <w:t>~1.29</w:t>
                  </w:r>
                </w:p>
              </w:tc>
              <w:tc>
                <w:tcPr>
                  <w:tcW w:w="1150" w:type="pct"/>
                  <w:noWrap w:val="0"/>
                  <w:vAlign w:val="center"/>
                </w:tcPr>
                <w:p w14:paraId="5FDC1AA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4"/>
                      <w:sz w:val="21"/>
                      <w:szCs w:val="21"/>
                      <w:highlight w:val="none"/>
                      <w:lang w:val="en-US" w:eastAsia="zh-CN" w:bidi="ar-SA"/>
                    </w:rPr>
                    <w:t>-1.3</w:t>
                  </w:r>
                  <w:r>
                    <w:rPr>
                      <w:rFonts w:hint="eastAsia" w:cs="Times New Roman"/>
                      <w:color w:val="auto"/>
                      <w:kern w:val="24"/>
                      <w:sz w:val="21"/>
                      <w:szCs w:val="21"/>
                      <w:highlight w:val="none"/>
                      <w:lang w:val="en-US" w:eastAsia="zh-CN" w:bidi="ar-SA"/>
                    </w:rPr>
                    <w:t>~3.7</w:t>
                  </w:r>
                </w:p>
              </w:tc>
            </w:tr>
          </w:tbl>
          <w:p w14:paraId="58329215">
            <w:pPr>
              <w:adjustRightInd w:val="0"/>
              <w:snapToGrid w:val="0"/>
              <w:spacing w:before="120" w:beforeLines="50" w:line="360" w:lineRule="auto"/>
              <w:ind w:firstLine="480" w:firstLineChars="200"/>
              <w:rPr>
                <w:rFonts w:hint="default" w:ascii="Times New Roman" w:hAnsi="Times New Roman" w:cs="Times New Roman"/>
                <w:color w:val="auto"/>
                <w:sz w:val="24"/>
              </w:rPr>
            </w:pPr>
            <w:r>
              <w:rPr>
                <w:rFonts w:hint="eastAsia" w:cs="Times New Roman"/>
                <w:color w:val="auto"/>
                <w:sz w:val="24"/>
                <w:lang w:eastAsia="zh-CN"/>
              </w:rPr>
              <w:t>⑨</w:t>
            </w:r>
            <w:r>
              <w:rPr>
                <w:rFonts w:hint="default" w:ascii="Times New Roman" w:hAnsi="Times New Roman" w:cs="Times New Roman"/>
                <w:color w:val="auto"/>
                <w:sz w:val="24"/>
              </w:rPr>
              <w:t>类比监测结果</w:t>
            </w:r>
          </w:p>
          <w:p w14:paraId="4CE0CE2F">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露昱甲乙双回路段2#~3#杆塔间运行产生的噪声源强见表4-</w:t>
            </w:r>
            <w:r>
              <w:rPr>
                <w:rFonts w:hint="eastAsia" w:cs="Times New Roman"/>
                <w:color w:val="auto"/>
                <w:sz w:val="24"/>
                <w:lang w:val="en-US" w:eastAsia="zh-CN"/>
              </w:rPr>
              <w:t>16</w:t>
            </w:r>
            <w:r>
              <w:rPr>
                <w:rFonts w:hint="default" w:ascii="Times New Roman" w:hAnsi="Times New Roman" w:cs="Times New Roman"/>
                <w:color w:val="auto"/>
                <w:sz w:val="24"/>
              </w:rPr>
              <w:t>。</w:t>
            </w:r>
          </w:p>
          <w:p w14:paraId="139C6E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表4-</w:t>
            </w:r>
            <w:r>
              <w:rPr>
                <w:rFonts w:hint="eastAsia" w:cs="Times New Roman"/>
                <w:b/>
                <w:bCs/>
                <w:color w:val="auto"/>
                <w:sz w:val="24"/>
                <w:lang w:val="en-US" w:eastAsia="zh-CN"/>
              </w:rPr>
              <w:t>16</w:t>
            </w:r>
            <w:r>
              <w:rPr>
                <w:rFonts w:hint="default" w:ascii="Times New Roman" w:hAnsi="Times New Roman" w:eastAsia="宋体" w:cs="Times New Roman"/>
                <w:b/>
                <w:bCs/>
                <w:color w:val="auto"/>
                <w:sz w:val="24"/>
              </w:rPr>
              <w:t xml:space="preserve">  类比双回路架空线路产生的噪声源强值</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6"/>
              <w:gridCol w:w="4105"/>
              <w:gridCol w:w="1118"/>
              <w:gridCol w:w="1173"/>
              <w:gridCol w:w="1188"/>
            </w:tblGrid>
            <w:tr w14:paraId="1C6018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0"/>
                  <w:vAlign w:val="center"/>
                </w:tcPr>
                <w:p w14:paraId="5BA33146">
                  <w:pPr>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4105" w:type="dxa"/>
                  <w:noWrap w:val="0"/>
                  <w:vAlign w:val="center"/>
                </w:tcPr>
                <w:p w14:paraId="0F1D9A08">
                  <w:pPr>
                    <w:jc w:val="center"/>
                    <w:rPr>
                      <w:rFonts w:hint="default" w:ascii="Times New Roman" w:hAnsi="Times New Roman" w:cs="Times New Roman"/>
                      <w:b/>
                      <w:bCs/>
                      <w:color w:val="auto"/>
                    </w:rPr>
                  </w:pPr>
                  <w:r>
                    <w:rPr>
                      <w:rFonts w:hint="default" w:ascii="Times New Roman" w:hAnsi="Times New Roman" w:cs="Times New Roman"/>
                      <w:b/>
                      <w:bCs/>
                      <w:color w:val="auto"/>
                    </w:rPr>
                    <w:t>点位描述</w:t>
                  </w:r>
                </w:p>
              </w:tc>
              <w:tc>
                <w:tcPr>
                  <w:tcW w:w="1118" w:type="dxa"/>
                  <w:noWrap w:val="0"/>
                  <w:vAlign w:val="center"/>
                </w:tcPr>
                <w:p w14:paraId="17DF5BE7">
                  <w:pPr>
                    <w:jc w:val="center"/>
                    <w:rPr>
                      <w:rFonts w:hint="default" w:ascii="Times New Roman" w:hAnsi="Times New Roman" w:cs="Times New Roman"/>
                      <w:b/>
                      <w:bCs/>
                      <w:color w:val="auto"/>
                    </w:rPr>
                  </w:pPr>
                  <w:r>
                    <w:rPr>
                      <w:rFonts w:hint="default" w:ascii="Times New Roman" w:hAnsi="Times New Roman" w:cs="Times New Roman"/>
                      <w:b/>
                      <w:bCs/>
                      <w:color w:val="auto"/>
                    </w:rPr>
                    <w:t>测量高度</w:t>
                  </w:r>
                </w:p>
                <w:p w14:paraId="0AE31DD7">
                  <w:pPr>
                    <w:jc w:val="center"/>
                    <w:rPr>
                      <w:rFonts w:hint="default" w:ascii="Times New Roman" w:hAnsi="Times New Roman" w:cs="Times New Roman"/>
                      <w:b/>
                      <w:bCs/>
                      <w:color w:val="auto"/>
                    </w:rPr>
                  </w:pPr>
                  <w:r>
                    <w:rPr>
                      <w:rFonts w:hint="default" w:ascii="Times New Roman" w:hAnsi="Times New Roman" w:cs="Times New Roman"/>
                      <w:b/>
                      <w:bCs/>
                      <w:color w:val="auto"/>
                    </w:rPr>
                    <w:t>（m）</w:t>
                  </w:r>
                </w:p>
              </w:tc>
              <w:tc>
                <w:tcPr>
                  <w:tcW w:w="1173" w:type="dxa"/>
                  <w:noWrap w:val="0"/>
                  <w:vAlign w:val="center"/>
                </w:tcPr>
                <w:p w14:paraId="56C138E8">
                  <w:pPr>
                    <w:jc w:val="center"/>
                    <w:rPr>
                      <w:rFonts w:hint="default" w:ascii="Times New Roman" w:hAnsi="Times New Roman" w:cs="Times New Roman"/>
                      <w:b/>
                      <w:bCs/>
                      <w:color w:val="auto"/>
                    </w:rPr>
                  </w:pPr>
                  <w:r>
                    <w:rPr>
                      <w:rFonts w:hint="default" w:ascii="Times New Roman" w:hAnsi="Times New Roman" w:cs="Times New Roman"/>
                      <w:b/>
                      <w:bCs/>
                      <w:color w:val="auto"/>
                    </w:rPr>
                    <w:t>昼间</w:t>
                  </w:r>
                </w:p>
                <w:p w14:paraId="4E436AAA">
                  <w:pPr>
                    <w:jc w:val="center"/>
                    <w:rPr>
                      <w:rFonts w:hint="default" w:ascii="Times New Roman" w:hAnsi="Times New Roman" w:cs="Times New Roman"/>
                      <w:b/>
                      <w:bCs/>
                      <w:color w:val="auto"/>
                    </w:rPr>
                  </w:pPr>
                  <w:r>
                    <w:rPr>
                      <w:rFonts w:hint="default" w:ascii="Times New Roman" w:hAnsi="Times New Roman" w:cs="Times New Roman"/>
                      <w:b/>
                      <w:bCs/>
                      <w:color w:val="auto"/>
                    </w:rPr>
                    <w:t>（dB</w:t>
                  </w:r>
                  <w:r>
                    <w:rPr>
                      <w:rFonts w:hint="default" w:ascii="Times New Roman" w:hAnsi="Times New Roman" w:cs="Times New Roman"/>
                      <w:b/>
                      <w:bCs/>
                      <w:color w:val="auto"/>
                      <w:lang w:eastAsia="zh-CN"/>
                    </w:rPr>
                    <w:t>(A)</w:t>
                  </w:r>
                  <w:r>
                    <w:rPr>
                      <w:rFonts w:hint="default" w:ascii="Times New Roman" w:hAnsi="Times New Roman" w:cs="Times New Roman"/>
                      <w:b/>
                      <w:bCs/>
                      <w:color w:val="auto"/>
                    </w:rPr>
                    <w:t>）</w:t>
                  </w:r>
                </w:p>
              </w:tc>
              <w:tc>
                <w:tcPr>
                  <w:tcW w:w="1188" w:type="dxa"/>
                  <w:noWrap w:val="0"/>
                  <w:vAlign w:val="center"/>
                </w:tcPr>
                <w:p w14:paraId="6999C384">
                  <w:pPr>
                    <w:jc w:val="center"/>
                    <w:rPr>
                      <w:rFonts w:hint="default" w:ascii="Times New Roman" w:hAnsi="Times New Roman" w:cs="Times New Roman"/>
                      <w:b/>
                      <w:bCs/>
                      <w:color w:val="auto"/>
                    </w:rPr>
                  </w:pPr>
                  <w:r>
                    <w:rPr>
                      <w:rFonts w:hint="default" w:ascii="Times New Roman" w:hAnsi="Times New Roman" w:cs="Times New Roman"/>
                      <w:b/>
                      <w:bCs/>
                      <w:color w:val="auto"/>
                    </w:rPr>
                    <w:t>夜间</w:t>
                  </w:r>
                </w:p>
                <w:p w14:paraId="71C923B5">
                  <w:pPr>
                    <w:jc w:val="center"/>
                    <w:rPr>
                      <w:rFonts w:hint="default" w:ascii="Times New Roman" w:hAnsi="Times New Roman" w:cs="Times New Roman"/>
                      <w:b/>
                      <w:bCs/>
                      <w:color w:val="auto"/>
                    </w:rPr>
                  </w:pPr>
                  <w:r>
                    <w:rPr>
                      <w:rFonts w:hint="default" w:ascii="Times New Roman" w:hAnsi="Times New Roman" w:cs="Times New Roman"/>
                      <w:b/>
                      <w:bCs/>
                      <w:color w:val="auto"/>
                    </w:rPr>
                    <w:t>（dB</w:t>
                  </w:r>
                  <w:r>
                    <w:rPr>
                      <w:rFonts w:hint="default" w:ascii="Times New Roman" w:hAnsi="Times New Roman" w:cs="Times New Roman"/>
                      <w:b/>
                      <w:bCs/>
                      <w:color w:val="auto"/>
                      <w:lang w:eastAsia="zh-CN"/>
                    </w:rPr>
                    <w:t>(A)</w:t>
                  </w:r>
                  <w:r>
                    <w:rPr>
                      <w:rFonts w:hint="default" w:ascii="Times New Roman" w:hAnsi="Times New Roman" w:cs="Times New Roman"/>
                      <w:b/>
                      <w:bCs/>
                      <w:color w:val="auto"/>
                    </w:rPr>
                    <w:t>）</w:t>
                  </w:r>
                </w:p>
              </w:tc>
            </w:tr>
            <w:tr w14:paraId="2027A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0"/>
                  <w:vAlign w:val="center"/>
                </w:tcPr>
                <w:p w14:paraId="4F6A4651">
                  <w:pPr>
                    <w:jc w:val="center"/>
                    <w:rPr>
                      <w:rFonts w:hint="eastAsia" w:ascii="Times New Roman" w:hAnsi="Times New Roman" w:eastAsia="宋体" w:cs="Times New Roman"/>
                      <w:color w:val="auto"/>
                      <w:lang w:val="en-US" w:eastAsia="zh-CN"/>
                    </w:rPr>
                  </w:pPr>
                  <w:r>
                    <w:rPr>
                      <w:rFonts w:hint="eastAsia" w:cs="Times New Roman"/>
                      <w:color w:val="auto"/>
                      <w:lang w:val="en-US" w:eastAsia="zh-CN"/>
                    </w:rPr>
                    <w:t>1</w:t>
                  </w:r>
                </w:p>
              </w:tc>
              <w:tc>
                <w:tcPr>
                  <w:tcW w:w="4105" w:type="dxa"/>
                  <w:noWrap w:val="0"/>
                  <w:vAlign w:val="center"/>
                </w:tcPr>
                <w:p w14:paraId="1EE23011">
                  <w:pPr>
                    <w:jc w:val="center"/>
                    <w:rPr>
                      <w:rFonts w:hint="default" w:ascii="Times New Roman" w:hAnsi="Times New Roman" w:cs="Times New Roman"/>
                      <w:color w:val="auto"/>
                    </w:rPr>
                  </w:pPr>
                  <w:r>
                    <w:rPr>
                      <w:rFonts w:hint="default" w:ascii="Times New Roman" w:hAnsi="Times New Roman" w:cs="Times New Roman"/>
                      <w:color w:val="auto"/>
                    </w:rPr>
                    <w:t>导线弧垂最大处档距对应两杆塔中央连线对地投影点0m</w:t>
                  </w:r>
                </w:p>
              </w:tc>
              <w:tc>
                <w:tcPr>
                  <w:tcW w:w="1118" w:type="dxa"/>
                  <w:noWrap w:val="0"/>
                  <w:vAlign w:val="center"/>
                </w:tcPr>
                <w:p w14:paraId="74C69BBE">
                  <w:pPr>
                    <w:jc w:val="center"/>
                    <w:rPr>
                      <w:rFonts w:hint="default" w:ascii="Times New Roman" w:hAnsi="Times New Roman" w:eastAsia="宋体" w:cs="Times New Roman"/>
                      <w:color w:val="auto"/>
                      <w:lang w:val="en-US" w:eastAsia="zh-CN"/>
                    </w:rPr>
                  </w:pPr>
                  <w:r>
                    <w:rPr>
                      <w:rFonts w:hint="eastAsia" w:cs="Times New Roman"/>
                      <w:color w:val="auto"/>
                      <w:lang w:val="en-US" w:eastAsia="zh-CN"/>
                    </w:rPr>
                    <w:t>1.5</w:t>
                  </w:r>
                </w:p>
              </w:tc>
              <w:tc>
                <w:tcPr>
                  <w:tcW w:w="1173" w:type="dxa"/>
                  <w:noWrap w:val="0"/>
                  <w:vAlign w:val="center"/>
                </w:tcPr>
                <w:p w14:paraId="66FBAA95">
                  <w:pPr>
                    <w:jc w:val="center"/>
                    <w:rPr>
                      <w:rFonts w:hint="default" w:ascii="Times New Roman" w:hAnsi="Times New Roman" w:eastAsia="宋体" w:cs="Times New Roman"/>
                      <w:color w:val="auto"/>
                      <w:lang w:val="en-US" w:eastAsia="zh-CN"/>
                    </w:rPr>
                  </w:pPr>
                  <w:r>
                    <w:rPr>
                      <w:rFonts w:hint="eastAsia" w:cs="Times New Roman"/>
                      <w:color w:val="auto"/>
                      <w:lang w:val="en-US" w:eastAsia="zh-CN"/>
                    </w:rPr>
                    <w:t>44</w:t>
                  </w:r>
                </w:p>
              </w:tc>
              <w:tc>
                <w:tcPr>
                  <w:tcW w:w="1188" w:type="dxa"/>
                  <w:noWrap w:val="0"/>
                  <w:vAlign w:val="center"/>
                </w:tcPr>
                <w:p w14:paraId="44D68498">
                  <w:pPr>
                    <w:jc w:val="center"/>
                    <w:rPr>
                      <w:rFonts w:hint="default" w:ascii="Times New Roman" w:hAnsi="Times New Roman" w:eastAsia="宋体" w:cs="Times New Roman"/>
                      <w:color w:val="auto"/>
                      <w:lang w:val="en-US" w:eastAsia="zh-CN"/>
                    </w:rPr>
                  </w:pPr>
                  <w:r>
                    <w:rPr>
                      <w:rFonts w:hint="eastAsia" w:cs="Times New Roman"/>
                      <w:color w:val="auto"/>
                      <w:lang w:val="en-US" w:eastAsia="zh-CN"/>
                    </w:rPr>
                    <w:t>41</w:t>
                  </w:r>
                </w:p>
              </w:tc>
            </w:tr>
            <w:tr w14:paraId="38A945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0"/>
                  <w:vAlign w:val="center"/>
                </w:tcPr>
                <w:p w14:paraId="02FAFB5B">
                  <w:pPr>
                    <w:jc w:val="center"/>
                    <w:rPr>
                      <w:rFonts w:hint="eastAsia" w:ascii="Times New Roman" w:hAnsi="Times New Roman" w:eastAsia="宋体" w:cs="Times New Roman"/>
                      <w:color w:val="auto"/>
                      <w:lang w:eastAsia="zh-CN"/>
                    </w:rPr>
                  </w:pPr>
                  <w:r>
                    <w:rPr>
                      <w:rFonts w:hint="eastAsia" w:cs="Times New Roman"/>
                      <w:color w:val="auto"/>
                      <w:lang w:val="en-US" w:eastAsia="zh-CN"/>
                    </w:rPr>
                    <w:t>2</w:t>
                  </w:r>
                </w:p>
              </w:tc>
              <w:tc>
                <w:tcPr>
                  <w:tcW w:w="4105" w:type="dxa"/>
                  <w:noWrap w:val="0"/>
                  <w:vAlign w:val="center"/>
                </w:tcPr>
                <w:p w14:paraId="3CC15EF8">
                  <w:pPr>
                    <w:jc w:val="center"/>
                    <w:rPr>
                      <w:rFonts w:hint="default" w:ascii="Times New Roman" w:hAnsi="Times New Roman" w:cs="Times New Roman"/>
                      <w:color w:val="auto"/>
                    </w:rPr>
                  </w:pPr>
                  <w:r>
                    <w:rPr>
                      <w:rFonts w:hint="default" w:ascii="Times New Roman" w:hAnsi="Times New Roman" w:cs="Times New Roman"/>
                      <w:color w:val="auto"/>
                    </w:rPr>
                    <w:t>导线弧垂最大处档距对应两杆塔中央连线对地投影点</w:t>
                  </w:r>
                  <w:r>
                    <w:rPr>
                      <w:rFonts w:hint="eastAsia" w:cs="Times New Roman"/>
                      <w:color w:val="auto"/>
                      <w:lang w:eastAsia="zh-CN"/>
                    </w:rPr>
                    <w:t>南侧3m（</w:t>
                  </w:r>
                  <w:r>
                    <w:rPr>
                      <w:rFonts w:hint="default" w:ascii="Times New Roman" w:hAnsi="Times New Roman" w:cs="Times New Roman"/>
                      <w:color w:val="auto"/>
                    </w:rPr>
                    <w:t>线路边导线对地投影点0m</w:t>
                  </w:r>
                  <w:r>
                    <w:rPr>
                      <w:rFonts w:hint="eastAsia" w:cs="Times New Roman"/>
                      <w:color w:val="auto"/>
                      <w:lang w:eastAsia="zh-CN"/>
                    </w:rPr>
                    <w:t>）</w:t>
                  </w:r>
                </w:p>
              </w:tc>
              <w:tc>
                <w:tcPr>
                  <w:tcW w:w="1118" w:type="dxa"/>
                  <w:noWrap w:val="0"/>
                  <w:vAlign w:val="center"/>
                </w:tcPr>
                <w:p w14:paraId="22252AA7">
                  <w:pPr>
                    <w:jc w:val="center"/>
                    <w:rPr>
                      <w:rFonts w:hint="default" w:ascii="Times New Roman" w:hAnsi="Times New Roman" w:cs="Times New Roman"/>
                      <w:color w:val="auto"/>
                    </w:rPr>
                  </w:pPr>
                  <w:r>
                    <w:rPr>
                      <w:rFonts w:hint="default" w:ascii="Times New Roman" w:hAnsi="Times New Roman" w:cs="Times New Roman"/>
                      <w:color w:val="auto"/>
                    </w:rPr>
                    <w:t>1.5</w:t>
                  </w:r>
                </w:p>
              </w:tc>
              <w:tc>
                <w:tcPr>
                  <w:tcW w:w="1173" w:type="dxa"/>
                  <w:noWrap w:val="0"/>
                  <w:vAlign w:val="center"/>
                </w:tcPr>
                <w:p w14:paraId="421097D5">
                  <w:pPr>
                    <w:jc w:val="center"/>
                    <w:rPr>
                      <w:rFonts w:hint="default" w:ascii="Times New Roman" w:hAnsi="Times New Roman" w:cs="Times New Roman"/>
                      <w:color w:val="auto"/>
                    </w:rPr>
                  </w:pPr>
                  <w:r>
                    <w:rPr>
                      <w:rFonts w:hint="default" w:ascii="Times New Roman" w:hAnsi="Times New Roman" w:cs="Times New Roman"/>
                      <w:color w:val="auto"/>
                    </w:rPr>
                    <w:t>44</w:t>
                  </w:r>
                </w:p>
              </w:tc>
              <w:tc>
                <w:tcPr>
                  <w:tcW w:w="1188" w:type="dxa"/>
                  <w:noWrap w:val="0"/>
                  <w:vAlign w:val="center"/>
                </w:tcPr>
                <w:p w14:paraId="1D81EB21">
                  <w:pPr>
                    <w:jc w:val="center"/>
                    <w:rPr>
                      <w:rFonts w:hint="default" w:ascii="Times New Roman" w:hAnsi="Times New Roman" w:cs="Times New Roman"/>
                      <w:color w:val="auto"/>
                    </w:rPr>
                  </w:pPr>
                  <w:r>
                    <w:rPr>
                      <w:rFonts w:hint="default" w:ascii="Times New Roman" w:hAnsi="Times New Roman" w:cs="Times New Roman"/>
                      <w:color w:val="auto"/>
                    </w:rPr>
                    <w:t>42</w:t>
                  </w:r>
                </w:p>
              </w:tc>
            </w:tr>
            <w:tr w14:paraId="6E38D8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0"/>
                  <w:vAlign w:val="center"/>
                </w:tcPr>
                <w:p w14:paraId="56B08290">
                  <w:pPr>
                    <w:jc w:val="center"/>
                    <w:rPr>
                      <w:rFonts w:hint="eastAsia" w:ascii="Times New Roman" w:hAnsi="Times New Roman" w:eastAsia="宋体" w:cs="Times New Roman"/>
                      <w:color w:val="auto"/>
                      <w:lang w:eastAsia="zh-CN"/>
                    </w:rPr>
                  </w:pPr>
                  <w:r>
                    <w:rPr>
                      <w:rFonts w:hint="eastAsia" w:cs="Times New Roman"/>
                      <w:color w:val="auto"/>
                      <w:lang w:val="en-US" w:eastAsia="zh-CN"/>
                    </w:rPr>
                    <w:t>3</w:t>
                  </w:r>
                </w:p>
              </w:tc>
              <w:tc>
                <w:tcPr>
                  <w:tcW w:w="4105" w:type="dxa"/>
                  <w:noWrap w:val="0"/>
                  <w:vAlign w:val="center"/>
                </w:tcPr>
                <w:p w14:paraId="409254D0">
                  <w:pPr>
                    <w:jc w:val="center"/>
                    <w:rPr>
                      <w:rFonts w:hint="eastAsia" w:ascii="Times New Roman" w:hAnsi="Times New Roman" w:eastAsia="宋体" w:cs="Times New Roman"/>
                      <w:color w:val="auto"/>
                      <w:lang w:eastAsia="zh-CN"/>
                    </w:rPr>
                  </w:pPr>
                  <w:r>
                    <w:rPr>
                      <w:rFonts w:hint="default" w:ascii="Times New Roman" w:hAnsi="Times New Roman" w:cs="Times New Roman"/>
                      <w:color w:val="auto"/>
                    </w:rPr>
                    <w:t>导线弧垂最大处线路边导线对地投影点南5m</w:t>
                  </w:r>
                </w:p>
              </w:tc>
              <w:tc>
                <w:tcPr>
                  <w:tcW w:w="1118" w:type="dxa"/>
                  <w:noWrap w:val="0"/>
                  <w:vAlign w:val="center"/>
                </w:tcPr>
                <w:p w14:paraId="5F7142F9">
                  <w:pPr>
                    <w:jc w:val="center"/>
                    <w:rPr>
                      <w:rFonts w:hint="default" w:ascii="Times New Roman" w:hAnsi="Times New Roman" w:cs="Times New Roman"/>
                      <w:color w:val="auto"/>
                    </w:rPr>
                  </w:pPr>
                  <w:r>
                    <w:rPr>
                      <w:rFonts w:hint="default" w:ascii="Times New Roman" w:hAnsi="Times New Roman" w:cs="Times New Roman"/>
                      <w:color w:val="auto"/>
                    </w:rPr>
                    <w:t>1.5</w:t>
                  </w:r>
                </w:p>
              </w:tc>
              <w:tc>
                <w:tcPr>
                  <w:tcW w:w="1173" w:type="dxa"/>
                  <w:noWrap w:val="0"/>
                  <w:vAlign w:val="center"/>
                </w:tcPr>
                <w:p w14:paraId="5B86FB12">
                  <w:pPr>
                    <w:jc w:val="center"/>
                    <w:rPr>
                      <w:rFonts w:hint="default" w:ascii="Times New Roman" w:hAnsi="Times New Roman" w:cs="Times New Roman"/>
                      <w:color w:val="auto"/>
                    </w:rPr>
                  </w:pPr>
                  <w:r>
                    <w:rPr>
                      <w:rFonts w:hint="default" w:ascii="Times New Roman" w:hAnsi="Times New Roman" w:cs="Times New Roman"/>
                      <w:color w:val="auto"/>
                    </w:rPr>
                    <w:t>44</w:t>
                  </w:r>
                </w:p>
              </w:tc>
              <w:tc>
                <w:tcPr>
                  <w:tcW w:w="1188" w:type="dxa"/>
                  <w:noWrap w:val="0"/>
                  <w:vAlign w:val="center"/>
                </w:tcPr>
                <w:p w14:paraId="050AF63D">
                  <w:pPr>
                    <w:jc w:val="center"/>
                    <w:rPr>
                      <w:rFonts w:hint="default" w:ascii="Times New Roman" w:hAnsi="Times New Roman" w:cs="Times New Roman"/>
                      <w:color w:val="auto"/>
                    </w:rPr>
                  </w:pPr>
                  <w:r>
                    <w:rPr>
                      <w:rFonts w:hint="default" w:ascii="Times New Roman" w:hAnsi="Times New Roman" w:cs="Times New Roman"/>
                      <w:color w:val="auto"/>
                    </w:rPr>
                    <w:t>41</w:t>
                  </w:r>
                </w:p>
              </w:tc>
            </w:tr>
            <w:tr w14:paraId="6B4A1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0"/>
                  <w:vAlign w:val="center"/>
                </w:tcPr>
                <w:p w14:paraId="7E0FEAAE">
                  <w:pPr>
                    <w:jc w:val="center"/>
                    <w:rPr>
                      <w:rFonts w:hint="eastAsia" w:ascii="Times New Roman" w:hAnsi="Times New Roman" w:eastAsia="宋体" w:cs="Times New Roman"/>
                      <w:color w:val="auto"/>
                      <w:lang w:eastAsia="zh-CN"/>
                    </w:rPr>
                  </w:pPr>
                  <w:r>
                    <w:rPr>
                      <w:rFonts w:hint="eastAsia" w:cs="Times New Roman"/>
                      <w:color w:val="auto"/>
                      <w:lang w:val="en-US" w:eastAsia="zh-CN"/>
                    </w:rPr>
                    <w:t>4</w:t>
                  </w:r>
                </w:p>
              </w:tc>
              <w:tc>
                <w:tcPr>
                  <w:tcW w:w="4105" w:type="dxa"/>
                  <w:noWrap w:val="0"/>
                  <w:vAlign w:val="center"/>
                </w:tcPr>
                <w:p w14:paraId="420D3CAB">
                  <w:pPr>
                    <w:jc w:val="center"/>
                    <w:rPr>
                      <w:rFonts w:hint="default" w:ascii="Times New Roman" w:hAnsi="Times New Roman" w:cs="Times New Roman"/>
                      <w:color w:val="auto"/>
                    </w:rPr>
                  </w:pPr>
                  <w:r>
                    <w:rPr>
                      <w:rFonts w:hint="default" w:ascii="Times New Roman" w:hAnsi="Times New Roman" w:cs="Times New Roman"/>
                      <w:color w:val="auto"/>
                    </w:rPr>
                    <w:t>导线弧垂最大处线路边导线对地投影点南10m</w:t>
                  </w:r>
                </w:p>
              </w:tc>
              <w:tc>
                <w:tcPr>
                  <w:tcW w:w="1118" w:type="dxa"/>
                  <w:noWrap w:val="0"/>
                  <w:vAlign w:val="center"/>
                </w:tcPr>
                <w:p w14:paraId="24A0EC19">
                  <w:pPr>
                    <w:jc w:val="center"/>
                    <w:rPr>
                      <w:rFonts w:hint="default" w:ascii="Times New Roman" w:hAnsi="Times New Roman" w:cs="Times New Roman"/>
                      <w:color w:val="auto"/>
                    </w:rPr>
                  </w:pPr>
                  <w:r>
                    <w:rPr>
                      <w:rFonts w:hint="default" w:ascii="Times New Roman" w:hAnsi="Times New Roman" w:cs="Times New Roman"/>
                      <w:color w:val="auto"/>
                    </w:rPr>
                    <w:t>1.5</w:t>
                  </w:r>
                </w:p>
              </w:tc>
              <w:tc>
                <w:tcPr>
                  <w:tcW w:w="1173" w:type="dxa"/>
                  <w:noWrap w:val="0"/>
                  <w:vAlign w:val="center"/>
                </w:tcPr>
                <w:p w14:paraId="7907ED8D">
                  <w:pPr>
                    <w:jc w:val="center"/>
                    <w:rPr>
                      <w:rFonts w:hint="default" w:ascii="Times New Roman" w:hAnsi="Times New Roman" w:cs="Times New Roman"/>
                      <w:color w:val="auto"/>
                    </w:rPr>
                  </w:pPr>
                  <w:r>
                    <w:rPr>
                      <w:rFonts w:hint="default" w:ascii="Times New Roman" w:hAnsi="Times New Roman" w:cs="Times New Roman"/>
                      <w:color w:val="auto"/>
                    </w:rPr>
                    <w:t>45</w:t>
                  </w:r>
                </w:p>
              </w:tc>
              <w:tc>
                <w:tcPr>
                  <w:tcW w:w="1188" w:type="dxa"/>
                  <w:noWrap w:val="0"/>
                  <w:vAlign w:val="center"/>
                </w:tcPr>
                <w:p w14:paraId="19707D70">
                  <w:pPr>
                    <w:jc w:val="center"/>
                    <w:rPr>
                      <w:rFonts w:hint="default" w:ascii="Times New Roman" w:hAnsi="Times New Roman" w:cs="Times New Roman"/>
                      <w:color w:val="auto"/>
                    </w:rPr>
                  </w:pPr>
                  <w:r>
                    <w:rPr>
                      <w:rFonts w:hint="default" w:ascii="Times New Roman" w:hAnsi="Times New Roman" w:cs="Times New Roman"/>
                      <w:color w:val="auto"/>
                    </w:rPr>
                    <w:t>42</w:t>
                  </w:r>
                </w:p>
              </w:tc>
            </w:tr>
            <w:tr w14:paraId="573DA6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shd w:val="clear" w:color="auto" w:fill="auto"/>
                  <w:noWrap w:val="0"/>
                  <w:vAlign w:val="center"/>
                </w:tcPr>
                <w:p w14:paraId="09C50D00">
                  <w:pPr>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5</w:t>
                  </w:r>
                </w:p>
              </w:tc>
              <w:tc>
                <w:tcPr>
                  <w:tcW w:w="4105" w:type="dxa"/>
                  <w:noWrap w:val="0"/>
                  <w:vAlign w:val="center"/>
                </w:tcPr>
                <w:p w14:paraId="0E437086">
                  <w:pPr>
                    <w:jc w:val="center"/>
                    <w:rPr>
                      <w:rFonts w:hint="default" w:ascii="Times New Roman" w:hAnsi="Times New Roman" w:cs="Times New Roman"/>
                      <w:color w:val="auto"/>
                    </w:rPr>
                  </w:pPr>
                  <w:r>
                    <w:rPr>
                      <w:rFonts w:hint="default" w:ascii="Times New Roman" w:hAnsi="Times New Roman" w:cs="Times New Roman"/>
                      <w:color w:val="auto"/>
                    </w:rPr>
                    <w:t>导线弧垂最大处线路边导线对地投影点南15m</w:t>
                  </w:r>
                </w:p>
              </w:tc>
              <w:tc>
                <w:tcPr>
                  <w:tcW w:w="1118" w:type="dxa"/>
                  <w:noWrap w:val="0"/>
                  <w:vAlign w:val="center"/>
                </w:tcPr>
                <w:p w14:paraId="3BFC227A">
                  <w:pPr>
                    <w:jc w:val="center"/>
                    <w:rPr>
                      <w:rFonts w:hint="default" w:ascii="Times New Roman" w:hAnsi="Times New Roman" w:cs="Times New Roman"/>
                      <w:color w:val="auto"/>
                    </w:rPr>
                  </w:pPr>
                  <w:r>
                    <w:rPr>
                      <w:rFonts w:hint="default" w:ascii="Times New Roman" w:hAnsi="Times New Roman" w:cs="Times New Roman"/>
                      <w:color w:val="auto"/>
                    </w:rPr>
                    <w:t>1.5</w:t>
                  </w:r>
                </w:p>
              </w:tc>
              <w:tc>
                <w:tcPr>
                  <w:tcW w:w="1173" w:type="dxa"/>
                  <w:noWrap w:val="0"/>
                  <w:vAlign w:val="center"/>
                </w:tcPr>
                <w:p w14:paraId="7812BD3D">
                  <w:pPr>
                    <w:jc w:val="center"/>
                    <w:rPr>
                      <w:rFonts w:hint="default" w:ascii="Times New Roman" w:hAnsi="Times New Roman" w:cs="Times New Roman"/>
                      <w:color w:val="auto"/>
                    </w:rPr>
                  </w:pPr>
                  <w:r>
                    <w:rPr>
                      <w:rFonts w:hint="default" w:ascii="Times New Roman" w:hAnsi="Times New Roman" w:cs="Times New Roman"/>
                      <w:color w:val="auto"/>
                    </w:rPr>
                    <w:t>44</w:t>
                  </w:r>
                </w:p>
              </w:tc>
              <w:tc>
                <w:tcPr>
                  <w:tcW w:w="1188" w:type="dxa"/>
                  <w:noWrap w:val="0"/>
                  <w:vAlign w:val="center"/>
                </w:tcPr>
                <w:p w14:paraId="36AB48B4">
                  <w:pPr>
                    <w:jc w:val="center"/>
                    <w:rPr>
                      <w:rFonts w:hint="default" w:ascii="Times New Roman" w:hAnsi="Times New Roman" w:cs="Times New Roman"/>
                      <w:color w:val="auto"/>
                    </w:rPr>
                  </w:pPr>
                  <w:r>
                    <w:rPr>
                      <w:rFonts w:hint="default" w:ascii="Times New Roman" w:hAnsi="Times New Roman" w:cs="Times New Roman"/>
                      <w:color w:val="auto"/>
                    </w:rPr>
                    <w:t>41</w:t>
                  </w:r>
                </w:p>
              </w:tc>
            </w:tr>
            <w:tr w14:paraId="1CE7CE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shd w:val="clear" w:color="auto" w:fill="auto"/>
                  <w:noWrap w:val="0"/>
                  <w:vAlign w:val="center"/>
                </w:tcPr>
                <w:p w14:paraId="144987DD">
                  <w:pPr>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6</w:t>
                  </w:r>
                </w:p>
              </w:tc>
              <w:tc>
                <w:tcPr>
                  <w:tcW w:w="4105" w:type="dxa"/>
                  <w:noWrap w:val="0"/>
                  <w:vAlign w:val="center"/>
                </w:tcPr>
                <w:p w14:paraId="6F6F19DF">
                  <w:pPr>
                    <w:jc w:val="center"/>
                    <w:rPr>
                      <w:rFonts w:hint="default" w:ascii="Times New Roman" w:hAnsi="Times New Roman" w:cs="Times New Roman"/>
                      <w:color w:val="auto"/>
                    </w:rPr>
                  </w:pPr>
                  <w:r>
                    <w:rPr>
                      <w:rFonts w:hint="default" w:ascii="Times New Roman" w:hAnsi="Times New Roman" w:cs="Times New Roman"/>
                      <w:color w:val="auto"/>
                    </w:rPr>
                    <w:t>导线弧垂最大处线路边导线对地投影点南20m</w:t>
                  </w:r>
                </w:p>
              </w:tc>
              <w:tc>
                <w:tcPr>
                  <w:tcW w:w="1118" w:type="dxa"/>
                  <w:noWrap w:val="0"/>
                  <w:vAlign w:val="center"/>
                </w:tcPr>
                <w:p w14:paraId="18369CDA">
                  <w:pPr>
                    <w:jc w:val="center"/>
                    <w:rPr>
                      <w:rFonts w:hint="default" w:ascii="Times New Roman" w:hAnsi="Times New Roman" w:cs="Times New Roman"/>
                      <w:color w:val="auto"/>
                    </w:rPr>
                  </w:pPr>
                  <w:r>
                    <w:rPr>
                      <w:rFonts w:hint="default" w:ascii="Times New Roman" w:hAnsi="Times New Roman" w:cs="Times New Roman"/>
                      <w:color w:val="auto"/>
                    </w:rPr>
                    <w:t>1.5</w:t>
                  </w:r>
                </w:p>
              </w:tc>
              <w:tc>
                <w:tcPr>
                  <w:tcW w:w="1173" w:type="dxa"/>
                  <w:noWrap w:val="0"/>
                  <w:vAlign w:val="center"/>
                </w:tcPr>
                <w:p w14:paraId="517D688E">
                  <w:pPr>
                    <w:jc w:val="center"/>
                    <w:rPr>
                      <w:rFonts w:hint="default" w:ascii="Times New Roman" w:hAnsi="Times New Roman" w:cs="Times New Roman"/>
                      <w:color w:val="auto"/>
                    </w:rPr>
                  </w:pPr>
                  <w:r>
                    <w:rPr>
                      <w:rFonts w:hint="default" w:ascii="Times New Roman" w:hAnsi="Times New Roman" w:cs="Times New Roman"/>
                      <w:color w:val="auto"/>
                    </w:rPr>
                    <w:t>43</w:t>
                  </w:r>
                </w:p>
              </w:tc>
              <w:tc>
                <w:tcPr>
                  <w:tcW w:w="1188" w:type="dxa"/>
                  <w:noWrap w:val="0"/>
                  <w:vAlign w:val="center"/>
                </w:tcPr>
                <w:p w14:paraId="5BF80369">
                  <w:pPr>
                    <w:jc w:val="center"/>
                    <w:rPr>
                      <w:rFonts w:hint="default" w:ascii="Times New Roman" w:hAnsi="Times New Roman" w:cs="Times New Roman"/>
                      <w:color w:val="auto"/>
                    </w:rPr>
                  </w:pPr>
                  <w:r>
                    <w:rPr>
                      <w:rFonts w:hint="default" w:ascii="Times New Roman" w:hAnsi="Times New Roman" w:cs="Times New Roman"/>
                      <w:color w:val="auto"/>
                    </w:rPr>
                    <w:t>40</w:t>
                  </w:r>
                </w:p>
              </w:tc>
            </w:tr>
            <w:tr w14:paraId="64C70B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shd w:val="clear" w:color="auto" w:fill="auto"/>
                  <w:noWrap w:val="0"/>
                  <w:vAlign w:val="center"/>
                </w:tcPr>
                <w:p w14:paraId="50960D33">
                  <w:pPr>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7</w:t>
                  </w:r>
                </w:p>
              </w:tc>
              <w:tc>
                <w:tcPr>
                  <w:tcW w:w="4105" w:type="dxa"/>
                  <w:noWrap w:val="0"/>
                  <w:vAlign w:val="center"/>
                </w:tcPr>
                <w:p w14:paraId="67356D33">
                  <w:pPr>
                    <w:jc w:val="center"/>
                    <w:rPr>
                      <w:rFonts w:hint="default" w:ascii="Times New Roman" w:hAnsi="Times New Roman" w:cs="Times New Roman"/>
                      <w:color w:val="auto"/>
                    </w:rPr>
                  </w:pPr>
                  <w:r>
                    <w:rPr>
                      <w:rFonts w:hint="default" w:ascii="Times New Roman" w:hAnsi="Times New Roman" w:cs="Times New Roman"/>
                      <w:color w:val="auto"/>
                    </w:rPr>
                    <w:t>导线弧垂最大处线路边导线对地投影点南25m</w:t>
                  </w:r>
                </w:p>
              </w:tc>
              <w:tc>
                <w:tcPr>
                  <w:tcW w:w="1118" w:type="dxa"/>
                  <w:noWrap w:val="0"/>
                  <w:vAlign w:val="center"/>
                </w:tcPr>
                <w:p w14:paraId="0BF8F07B">
                  <w:pPr>
                    <w:jc w:val="center"/>
                    <w:rPr>
                      <w:rFonts w:hint="default" w:ascii="Times New Roman" w:hAnsi="Times New Roman" w:cs="Times New Roman"/>
                      <w:color w:val="auto"/>
                    </w:rPr>
                  </w:pPr>
                  <w:r>
                    <w:rPr>
                      <w:rFonts w:hint="default" w:ascii="Times New Roman" w:hAnsi="Times New Roman" w:cs="Times New Roman"/>
                      <w:color w:val="auto"/>
                    </w:rPr>
                    <w:t>1.5</w:t>
                  </w:r>
                </w:p>
              </w:tc>
              <w:tc>
                <w:tcPr>
                  <w:tcW w:w="1173" w:type="dxa"/>
                  <w:noWrap w:val="0"/>
                  <w:vAlign w:val="center"/>
                </w:tcPr>
                <w:p w14:paraId="0A90C19A">
                  <w:pPr>
                    <w:jc w:val="center"/>
                    <w:rPr>
                      <w:rFonts w:hint="default" w:ascii="Times New Roman" w:hAnsi="Times New Roman" w:cs="Times New Roman"/>
                      <w:color w:val="auto"/>
                    </w:rPr>
                  </w:pPr>
                  <w:r>
                    <w:rPr>
                      <w:rFonts w:hint="default" w:ascii="Times New Roman" w:hAnsi="Times New Roman" w:cs="Times New Roman"/>
                      <w:color w:val="auto"/>
                    </w:rPr>
                    <w:t>43</w:t>
                  </w:r>
                </w:p>
              </w:tc>
              <w:tc>
                <w:tcPr>
                  <w:tcW w:w="1188" w:type="dxa"/>
                  <w:noWrap w:val="0"/>
                  <w:vAlign w:val="center"/>
                </w:tcPr>
                <w:p w14:paraId="3C02328D">
                  <w:pPr>
                    <w:jc w:val="center"/>
                    <w:rPr>
                      <w:rFonts w:hint="default" w:ascii="Times New Roman" w:hAnsi="Times New Roman" w:cs="Times New Roman"/>
                      <w:color w:val="auto"/>
                    </w:rPr>
                  </w:pPr>
                  <w:r>
                    <w:rPr>
                      <w:rFonts w:hint="default" w:ascii="Times New Roman" w:hAnsi="Times New Roman" w:cs="Times New Roman"/>
                      <w:color w:val="auto"/>
                    </w:rPr>
                    <w:t>40</w:t>
                  </w:r>
                </w:p>
              </w:tc>
            </w:tr>
            <w:tr w14:paraId="39824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0"/>
                  <w:vAlign w:val="center"/>
                </w:tcPr>
                <w:p w14:paraId="097C9809">
                  <w:pPr>
                    <w:jc w:val="center"/>
                    <w:rPr>
                      <w:rFonts w:hint="eastAsia" w:ascii="Times New Roman" w:hAnsi="Times New Roman" w:eastAsia="宋体" w:cs="Times New Roman"/>
                      <w:color w:val="auto"/>
                      <w:lang w:val="en-US" w:eastAsia="zh-CN"/>
                    </w:rPr>
                  </w:pPr>
                  <w:r>
                    <w:rPr>
                      <w:rFonts w:hint="eastAsia" w:cs="Times New Roman"/>
                      <w:color w:val="auto"/>
                      <w:lang w:val="en-US" w:eastAsia="zh-CN"/>
                    </w:rPr>
                    <w:t>8</w:t>
                  </w:r>
                </w:p>
              </w:tc>
              <w:tc>
                <w:tcPr>
                  <w:tcW w:w="4105" w:type="dxa"/>
                  <w:noWrap w:val="0"/>
                  <w:vAlign w:val="center"/>
                </w:tcPr>
                <w:p w14:paraId="26AB7F07">
                  <w:pPr>
                    <w:jc w:val="center"/>
                    <w:rPr>
                      <w:rFonts w:hint="default" w:ascii="Times New Roman" w:hAnsi="Times New Roman" w:cs="Times New Roman"/>
                      <w:color w:val="auto"/>
                    </w:rPr>
                  </w:pPr>
                  <w:r>
                    <w:rPr>
                      <w:rFonts w:hint="default" w:ascii="Times New Roman" w:hAnsi="Times New Roman" w:cs="Times New Roman"/>
                      <w:color w:val="auto"/>
                    </w:rPr>
                    <w:t>导线弧垂最大处线路边导线对地投影点南30m</w:t>
                  </w:r>
                </w:p>
              </w:tc>
              <w:tc>
                <w:tcPr>
                  <w:tcW w:w="1118" w:type="dxa"/>
                  <w:noWrap w:val="0"/>
                  <w:vAlign w:val="center"/>
                </w:tcPr>
                <w:p w14:paraId="08BEDE36">
                  <w:pPr>
                    <w:jc w:val="center"/>
                    <w:rPr>
                      <w:rFonts w:hint="default" w:ascii="Times New Roman" w:hAnsi="Times New Roman" w:cs="Times New Roman"/>
                      <w:color w:val="auto"/>
                    </w:rPr>
                  </w:pPr>
                  <w:r>
                    <w:rPr>
                      <w:rFonts w:hint="default" w:ascii="Times New Roman" w:hAnsi="Times New Roman" w:cs="Times New Roman"/>
                      <w:color w:val="auto"/>
                    </w:rPr>
                    <w:t>1.5</w:t>
                  </w:r>
                </w:p>
              </w:tc>
              <w:tc>
                <w:tcPr>
                  <w:tcW w:w="1173" w:type="dxa"/>
                  <w:noWrap w:val="0"/>
                  <w:vAlign w:val="center"/>
                </w:tcPr>
                <w:p w14:paraId="3AFEF75E">
                  <w:pPr>
                    <w:jc w:val="center"/>
                    <w:rPr>
                      <w:rFonts w:hint="default" w:ascii="Times New Roman" w:hAnsi="Times New Roman" w:cs="Times New Roman"/>
                      <w:color w:val="auto"/>
                    </w:rPr>
                  </w:pPr>
                  <w:r>
                    <w:rPr>
                      <w:rFonts w:hint="default" w:ascii="Times New Roman" w:hAnsi="Times New Roman" w:cs="Times New Roman"/>
                      <w:color w:val="auto"/>
                    </w:rPr>
                    <w:t>42</w:t>
                  </w:r>
                </w:p>
              </w:tc>
              <w:tc>
                <w:tcPr>
                  <w:tcW w:w="1188" w:type="dxa"/>
                  <w:noWrap w:val="0"/>
                  <w:vAlign w:val="center"/>
                </w:tcPr>
                <w:p w14:paraId="6754CF8B">
                  <w:pPr>
                    <w:jc w:val="center"/>
                    <w:rPr>
                      <w:rFonts w:hint="default" w:ascii="Times New Roman" w:hAnsi="Times New Roman" w:cs="Times New Roman"/>
                      <w:color w:val="auto"/>
                    </w:rPr>
                  </w:pPr>
                  <w:r>
                    <w:rPr>
                      <w:rFonts w:hint="default" w:ascii="Times New Roman" w:hAnsi="Times New Roman" w:cs="Times New Roman"/>
                      <w:color w:val="auto"/>
                    </w:rPr>
                    <w:t>39</w:t>
                  </w:r>
                </w:p>
              </w:tc>
            </w:tr>
          </w:tbl>
          <w:p w14:paraId="56D61F0F">
            <w:pPr>
              <w:adjustRightInd w:val="0"/>
              <w:snapToGrid w:val="0"/>
              <w:spacing w:before="120" w:beforeLines="50" w:line="360" w:lineRule="auto"/>
              <w:ind w:firstLine="470" w:firstLineChars="196"/>
              <w:rPr>
                <w:rFonts w:hint="default" w:ascii="Times New Roman" w:hAnsi="Times New Roman" w:cs="Times New Roman"/>
                <w:color w:val="auto"/>
                <w:sz w:val="24"/>
              </w:rPr>
            </w:pPr>
            <w:r>
              <w:rPr>
                <w:rFonts w:hint="default" w:ascii="Times New Roman" w:hAnsi="Times New Roman" w:cs="Times New Roman"/>
                <w:color w:val="auto"/>
                <w:sz w:val="24"/>
              </w:rPr>
              <w:t>由上表可以看出，110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露昱甲乙双回路段杆塔间（线高20m）运行时产生的昼间噪声值</w:t>
            </w:r>
            <w:r>
              <w:rPr>
                <w:rFonts w:hint="default" w:ascii="Times New Roman" w:hAnsi="Times New Roman" w:cs="Times New Roman"/>
                <w:color w:val="auto"/>
                <w:sz w:val="24"/>
                <w:lang w:val="en-US" w:eastAsia="zh-CN"/>
              </w:rPr>
              <w:t>在</w:t>
            </w:r>
            <w:r>
              <w:rPr>
                <w:rFonts w:hint="default" w:ascii="Times New Roman" w:hAnsi="Times New Roman" w:cs="Times New Roman"/>
                <w:color w:val="auto"/>
                <w:sz w:val="24"/>
              </w:rPr>
              <w:t>42~45dB</w:t>
            </w:r>
            <w:r>
              <w:rPr>
                <w:rFonts w:hint="eastAsia" w:cs="Times New Roman"/>
                <w:color w:val="auto"/>
                <w:sz w:val="24"/>
                <w:lang w:eastAsia="zh-CN"/>
              </w:rPr>
              <w:t>(A)</w:t>
            </w:r>
            <w:r>
              <w:rPr>
                <w:rFonts w:hint="default" w:ascii="Times New Roman" w:hAnsi="Times New Roman" w:cs="Times New Roman"/>
                <w:color w:val="auto"/>
                <w:sz w:val="24"/>
                <w:lang w:val="en-US" w:eastAsia="zh-CN"/>
              </w:rPr>
              <w:t>之间</w:t>
            </w:r>
            <w:r>
              <w:rPr>
                <w:rFonts w:hint="default" w:ascii="Times New Roman" w:hAnsi="Times New Roman" w:cs="Times New Roman"/>
                <w:color w:val="auto"/>
                <w:sz w:val="24"/>
              </w:rPr>
              <w:t>，夜间噪声值</w:t>
            </w:r>
            <w:r>
              <w:rPr>
                <w:rFonts w:hint="default" w:ascii="Times New Roman" w:hAnsi="Times New Roman" w:cs="Times New Roman"/>
                <w:color w:val="auto"/>
                <w:sz w:val="24"/>
                <w:lang w:val="en-US" w:eastAsia="zh-CN"/>
              </w:rPr>
              <w:t>在</w:t>
            </w:r>
            <w:r>
              <w:rPr>
                <w:rFonts w:hint="default" w:ascii="Times New Roman" w:hAnsi="Times New Roman" w:cs="Times New Roman"/>
                <w:color w:val="auto"/>
                <w:sz w:val="24"/>
              </w:rPr>
              <w:t>39~42dB</w:t>
            </w:r>
            <w:r>
              <w:rPr>
                <w:rFonts w:hint="eastAsia" w:cs="Times New Roman"/>
                <w:color w:val="auto"/>
                <w:sz w:val="24"/>
                <w:lang w:eastAsia="zh-CN"/>
              </w:rPr>
              <w:t>(A)</w:t>
            </w:r>
            <w:r>
              <w:rPr>
                <w:rFonts w:hint="default" w:ascii="Times New Roman" w:hAnsi="Times New Roman" w:cs="Times New Roman"/>
                <w:color w:val="auto"/>
                <w:sz w:val="24"/>
                <w:lang w:val="en-US" w:eastAsia="zh-CN"/>
              </w:rPr>
              <w:t>之间</w:t>
            </w:r>
            <w:r>
              <w:rPr>
                <w:rFonts w:hint="default" w:ascii="Times New Roman" w:hAnsi="Times New Roman" w:cs="Times New Roman"/>
                <w:color w:val="auto"/>
                <w:sz w:val="24"/>
              </w:rPr>
              <w:t>。由类比监测结果可知，类比双回路输电线路产生的噪声能够满足《声环境质量标准》（GB3096-2008）中1类标准要求（即昼间55B</w:t>
            </w:r>
            <w:r>
              <w:rPr>
                <w:rFonts w:hint="eastAsia" w:cs="Times New Roman"/>
                <w:color w:val="auto"/>
                <w:sz w:val="24"/>
                <w:lang w:eastAsia="zh-CN"/>
              </w:rPr>
              <w:t>(A)</w:t>
            </w:r>
            <w:r>
              <w:rPr>
                <w:rFonts w:hint="default" w:ascii="Times New Roman" w:hAnsi="Times New Roman" w:cs="Times New Roman"/>
                <w:color w:val="auto"/>
                <w:sz w:val="24"/>
              </w:rPr>
              <w:t>、夜间45dB</w:t>
            </w:r>
            <w:r>
              <w:rPr>
                <w:rFonts w:hint="eastAsia" w:cs="Times New Roman"/>
                <w:color w:val="auto"/>
                <w:sz w:val="24"/>
                <w:lang w:eastAsia="zh-CN"/>
              </w:rPr>
              <w:t>(A)</w:t>
            </w:r>
            <w:r>
              <w:rPr>
                <w:rFonts w:hint="default" w:ascii="Times New Roman" w:hAnsi="Times New Roman" w:cs="Times New Roman"/>
                <w:color w:val="auto"/>
                <w:sz w:val="24"/>
              </w:rPr>
              <w:t>）。</w:t>
            </w:r>
          </w:p>
          <w:p w14:paraId="45499584">
            <w:pPr>
              <w:adjustRightInd w:val="0"/>
              <w:snapToGrid w:val="0"/>
              <w:spacing w:line="360" w:lineRule="auto"/>
              <w:ind w:firstLine="470" w:firstLineChars="196"/>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⑩</w:t>
            </w:r>
            <w:r>
              <w:rPr>
                <w:rFonts w:hint="default" w:ascii="Times New Roman" w:hAnsi="Times New Roman" w:cs="Times New Roman"/>
                <w:color w:val="auto"/>
                <w:sz w:val="24"/>
                <w:highlight w:val="none"/>
              </w:rPr>
              <w:t>噪声预测分析</w:t>
            </w:r>
          </w:p>
          <w:p w14:paraId="0468CF5F">
            <w:pPr>
              <w:spacing w:line="360" w:lineRule="auto"/>
              <w:ind w:firstLine="470" w:firstLineChars="196"/>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根据无限长线声源的几何发散衰减</w:t>
            </w:r>
            <w:r>
              <w:rPr>
                <w:rFonts w:hint="default" w:ascii="Times New Roman" w:hAnsi="Times New Roman" w:cs="Times New Roman"/>
                <w:color w:val="auto"/>
                <w:sz w:val="24"/>
                <w:highlight w:val="none"/>
                <w:lang w:val="en-US" w:eastAsia="zh-CN"/>
              </w:rPr>
              <w:t>计算</w:t>
            </w:r>
            <w:r>
              <w:rPr>
                <w:rFonts w:hint="default" w:ascii="Times New Roman" w:hAnsi="Times New Roman" w:cs="Times New Roman"/>
                <w:color w:val="auto"/>
                <w:sz w:val="24"/>
                <w:highlight w:val="none"/>
              </w:rPr>
              <w:t>公式，</w:t>
            </w:r>
            <w:r>
              <w:rPr>
                <w:rFonts w:hint="default" w:ascii="Times New Roman" w:hAnsi="Times New Roman" w:cs="Times New Roman"/>
                <w:color w:val="auto"/>
                <w:position w:val="-32"/>
                <w:sz w:val="24"/>
                <w:highlight w:val="none"/>
              </w:rPr>
              <w:object>
                <v:shape id="_x0000_i1031" o:spt="75" type="#_x0000_t75" style="height:38pt;width:123pt;" o:ole="t" filled="f" o:preferrelative="t" stroked="f" coordsize="21600,21600">
                  <v:path/>
                  <v:fill on="f" focussize="0,0"/>
                  <v:stroke on="f"/>
                  <v:imagedata r:id="rId61" o:title=""/>
                  <o:lock v:ext="edit" aspectratio="t"/>
                  <w10:wrap type="none"/>
                  <w10:anchorlock/>
                </v:shape>
                <o:OLEObject Type="Embed" ProgID="Equation.KSEE3" ShapeID="_x0000_i1031" DrawAspect="Content" ObjectID="_1468075731" r:id="rId60">
                  <o:LockedField>false</o:LockedField>
                </o:OLEObject>
              </w:objec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本次评价</w:t>
            </w:r>
            <w:r>
              <w:rPr>
                <w:rFonts w:hint="default" w:ascii="Times New Roman" w:hAnsi="Times New Roman" w:cs="Times New Roman"/>
                <w:color w:val="auto"/>
                <w:sz w:val="24"/>
                <w:highlight w:val="none"/>
                <w:lang w:val="en-US" w:eastAsia="zh-CN"/>
              </w:rPr>
              <w:t>以环境影响最不利原则，选取类比线路现状监测最大值（未扣除区域背景值）作为</w:t>
            </w:r>
            <w:r>
              <w:rPr>
                <w:rFonts w:hint="default" w:ascii="Times New Roman" w:hAnsi="Times New Roman" w:cs="Times New Roman"/>
                <w:color w:val="auto"/>
                <w:sz w:val="24"/>
                <w:highlight w:val="none"/>
              </w:rPr>
              <w:t>贡献值</w:t>
            </w:r>
            <w:r>
              <w:rPr>
                <w:rFonts w:hint="default" w:ascii="Times New Roman" w:hAnsi="Times New Roman" w:cs="Times New Roman"/>
                <w:color w:val="auto"/>
                <w:sz w:val="24"/>
                <w:highlight w:val="none"/>
                <w:lang w:val="en-US" w:eastAsia="zh-CN"/>
              </w:rPr>
              <w:t>进行</w:t>
            </w:r>
            <w:r>
              <w:rPr>
                <w:rFonts w:hint="default" w:ascii="Times New Roman" w:hAnsi="Times New Roman" w:cs="Times New Roman"/>
                <w:color w:val="auto"/>
                <w:sz w:val="24"/>
                <w:highlight w:val="none"/>
              </w:rPr>
              <w:t>评价</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即</w:t>
            </w:r>
            <w:r>
              <w:rPr>
                <w:rFonts w:hint="default" w:ascii="Times New Roman" w:hAnsi="Times New Roman" w:cs="Times New Roman"/>
                <w:color w:val="auto"/>
                <w:sz w:val="24"/>
                <w:highlight w:val="none"/>
                <w:lang w:val="en-US" w:eastAsia="zh-CN"/>
              </w:rPr>
              <w:t>昼间</w:t>
            </w:r>
            <w:r>
              <w:rPr>
                <w:rFonts w:hint="default" w:ascii="Times New Roman" w:hAnsi="Times New Roman" w:cs="Times New Roman"/>
                <w:color w:val="auto"/>
                <w:sz w:val="24"/>
                <w:highlight w:val="none"/>
              </w:rPr>
              <w:t>Lp</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r</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为4</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lang w:val="en-US" w:eastAsia="zh-CN"/>
              </w:rPr>
              <w:t>夜间</w:t>
            </w:r>
            <w:r>
              <w:rPr>
                <w:rFonts w:hint="default" w:ascii="Times New Roman" w:hAnsi="Times New Roman" w:cs="Times New Roman"/>
                <w:color w:val="auto"/>
                <w:sz w:val="24"/>
                <w:highlight w:val="none"/>
              </w:rPr>
              <w:t>Lp</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r</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为4</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rPr>
              <w:t>，参数r为</w:t>
            </w:r>
            <w:r>
              <w:rPr>
                <w:rFonts w:hint="default" w:ascii="Times New Roman" w:hAnsi="Times New Roman" w:cs="Times New Roman"/>
                <w:color w:val="auto"/>
                <w:sz w:val="24"/>
                <w:highlight w:val="none"/>
                <w:lang w:val="en-US" w:eastAsia="zh-CN"/>
              </w:rPr>
              <w:t>18.5</w:t>
            </w:r>
            <w:r>
              <w:rPr>
                <w:rFonts w:hint="default" w:ascii="Times New Roman" w:hAnsi="Times New Roman" w:cs="Times New Roman"/>
                <w:color w:val="auto"/>
                <w:sz w:val="24"/>
                <w:highlight w:val="none"/>
              </w:rPr>
              <w:t>m，r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为</w:t>
            </w:r>
            <w:r>
              <w:rPr>
                <w:rFonts w:hint="default" w:ascii="Times New Roman" w:hAnsi="Times New Roman" w:cs="Times New Roman"/>
                <w:color w:val="auto"/>
                <w:sz w:val="24"/>
                <w:highlight w:val="none"/>
                <w:lang w:val="en-US" w:eastAsia="zh-CN"/>
              </w:rPr>
              <w:t>1</w:t>
            </w:r>
            <w:r>
              <w:rPr>
                <w:rFonts w:hint="eastAsia" w:cs="Times New Roman"/>
                <w:color w:val="auto"/>
                <w:sz w:val="24"/>
                <w:highlight w:val="none"/>
                <w:lang w:val="en-US" w:eastAsia="zh-CN"/>
              </w:rPr>
              <w:t>3.5</w:t>
            </w:r>
            <w:r>
              <w:rPr>
                <w:rFonts w:hint="default" w:ascii="Times New Roman" w:hAnsi="Times New Roman" w:cs="Times New Roman"/>
                <w:color w:val="auto"/>
                <w:sz w:val="24"/>
                <w:highlight w:val="none"/>
              </w:rPr>
              <w:t>m，可得出</w:t>
            </w:r>
            <w:r>
              <w:rPr>
                <w:rFonts w:hint="eastAsia" w:cs="Times New Roman"/>
                <w:color w:val="auto"/>
                <w:sz w:val="24"/>
                <w:highlight w:val="none"/>
                <w:lang w:val="en-US" w:eastAsia="zh-CN"/>
              </w:rPr>
              <w:t>双</w:t>
            </w:r>
            <w:r>
              <w:rPr>
                <w:rFonts w:hint="default" w:ascii="Times New Roman" w:hAnsi="Times New Roman" w:cs="Times New Roman"/>
                <w:color w:val="auto"/>
                <w:sz w:val="24"/>
                <w:highlight w:val="none"/>
              </w:rPr>
              <w:t>回路线路导线对地高度为</w:t>
            </w:r>
            <w:r>
              <w:rPr>
                <w:rFonts w:hint="default" w:ascii="Times New Roman" w:hAnsi="Times New Roman" w:cs="Times New Roman"/>
                <w:color w:val="auto"/>
                <w:sz w:val="24"/>
                <w:highlight w:val="none"/>
                <w:lang w:val="en-US" w:eastAsia="zh-CN"/>
              </w:rPr>
              <w:t>1</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rPr>
              <w:t>m时，线下噪声</w:t>
            </w:r>
            <w:r>
              <w:rPr>
                <w:rFonts w:hint="default" w:ascii="Times New Roman" w:hAnsi="Times New Roman" w:cs="Times New Roman"/>
                <w:color w:val="auto"/>
                <w:sz w:val="24"/>
                <w:highlight w:val="none"/>
                <w:lang w:val="en-US" w:eastAsia="zh-CN"/>
              </w:rPr>
              <w:t>昼间</w:t>
            </w:r>
            <w:r>
              <w:rPr>
                <w:rFonts w:hint="default" w:ascii="Times New Roman" w:hAnsi="Times New Roman" w:cs="Times New Roman"/>
                <w:color w:val="auto"/>
                <w:sz w:val="24"/>
                <w:highlight w:val="none"/>
              </w:rPr>
              <w:t>贡献值为4</w:t>
            </w:r>
            <w:r>
              <w:rPr>
                <w:rFonts w:hint="default" w:ascii="Times New Roman" w:hAnsi="Times New Roman" w:cs="Times New Roman"/>
                <w:color w:val="auto"/>
                <w:sz w:val="24"/>
                <w:highlight w:val="none"/>
                <w:lang w:val="en-US" w:eastAsia="zh-CN"/>
              </w:rPr>
              <w:t>6.</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lang w:val="en-US" w:eastAsia="zh-CN"/>
              </w:rPr>
              <w:t>夜间</w:t>
            </w:r>
            <w:r>
              <w:rPr>
                <w:rFonts w:hint="default" w:ascii="Times New Roman" w:hAnsi="Times New Roman" w:cs="Times New Roman"/>
                <w:color w:val="auto"/>
                <w:sz w:val="24"/>
                <w:highlight w:val="none"/>
              </w:rPr>
              <w:t>贡献值为4</w:t>
            </w:r>
            <w:r>
              <w:rPr>
                <w:rFonts w:hint="default" w:ascii="Times New Roman" w:hAnsi="Times New Roman" w:cs="Times New Roman"/>
                <w:color w:val="auto"/>
                <w:sz w:val="24"/>
                <w:highlight w:val="none"/>
                <w:lang w:val="en-US" w:eastAsia="zh-CN"/>
              </w:rPr>
              <w:t>3.</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rPr>
              <w:t>。由此可知，本项目</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0千伏</w:t>
            </w:r>
            <w:r>
              <w:rPr>
                <w:rFonts w:hint="eastAsia" w:cs="Times New Roman"/>
                <w:color w:val="auto"/>
                <w:sz w:val="24"/>
                <w:highlight w:val="none"/>
                <w:lang w:val="en-US" w:eastAsia="zh-CN"/>
              </w:rPr>
              <w:t>双</w:t>
            </w:r>
            <w:r>
              <w:rPr>
                <w:rFonts w:hint="default" w:ascii="Times New Roman" w:hAnsi="Times New Roman" w:cs="Times New Roman"/>
                <w:color w:val="auto"/>
                <w:sz w:val="24"/>
                <w:highlight w:val="none"/>
              </w:rPr>
              <w:t>回路段导线弧垂最低位置处对地高度为</w:t>
            </w:r>
            <w:r>
              <w:rPr>
                <w:rFonts w:hint="default" w:ascii="Times New Roman" w:hAnsi="Times New Roman" w:cs="Times New Roman"/>
                <w:color w:val="auto"/>
                <w:sz w:val="24"/>
                <w:highlight w:val="none"/>
                <w:lang w:val="en-US" w:eastAsia="zh-CN"/>
              </w:rPr>
              <w:t>1</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rPr>
              <w:t>m时，线路噪声贡献值可满足《声环境质量标准》（GB3096-2008）中</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类声环境功能区标准</w:t>
            </w:r>
            <w:r>
              <w:rPr>
                <w:rFonts w:hint="eastAsia" w:cs="Times New Roman"/>
                <w:color w:val="auto"/>
                <w:sz w:val="24"/>
                <w:highlight w:val="none"/>
                <w:lang w:val="en-US" w:eastAsia="zh-CN"/>
              </w:rPr>
              <w:t>限值</w:t>
            </w:r>
            <w:r>
              <w:rPr>
                <w:rFonts w:hint="default" w:ascii="Times New Roman" w:hAnsi="Times New Roman" w:cs="Times New Roman"/>
                <w:color w:val="auto"/>
                <w:sz w:val="24"/>
                <w:highlight w:val="none"/>
              </w:rPr>
              <w:t>要求（即昼间</w:t>
            </w:r>
            <w:r>
              <w:rPr>
                <w:rFonts w:hint="default" w:ascii="Times New Roman" w:hAnsi="Times New Roman" w:cs="Times New Roman"/>
                <w:color w:val="auto"/>
                <w:sz w:val="24"/>
                <w:highlight w:val="none"/>
                <w:lang w:val="en-US" w:eastAsia="zh-CN"/>
              </w:rPr>
              <w:t>55</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rPr>
              <w:t>、夜间</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5dB</w:t>
            </w:r>
            <w:r>
              <w:rPr>
                <w:rFonts w:hint="default" w:ascii="Times New Roman" w:hAnsi="Times New Roman" w:cs="Times New Roman"/>
                <w:color w:val="auto"/>
                <w:sz w:val="24"/>
                <w:highlight w:val="none"/>
                <w:lang w:eastAsia="zh-CN"/>
              </w:rPr>
              <w:t>(A)</w:t>
            </w:r>
            <w:r>
              <w:rPr>
                <w:rFonts w:hint="default" w:ascii="Times New Roman" w:hAnsi="Times New Roman" w:cs="Times New Roman"/>
                <w:color w:val="auto"/>
                <w:sz w:val="24"/>
                <w:highlight w:val="none"/>
              </w:rPr>
              <w:t>）。由此可以类比，本项目</w:t>
            </w:r>
            <w:r>
              <w:rPr>
                <w:rFonts w:hint="eastAsia" w:cs="Times New Roman"/>
                <w:color w:val="auto"/>
                <w:sz w:val="24"/>
                <w:highlight w:val="none"/>
                <w:lang w:val="en-US" w:eastAsia="zh-CN"/>
              </w:rPr>
              <w:t>双</w:t>
            </w:r>
            <w:r>
              <w:rPr>
                <w:rFonts w:hint="default" w:ascii="Times New Roman" w:hAnsi="Times New Roman" w:cs="Times New Roman"/>
                <w:color w:val="auto"/>
                <w:sz w:val="24"/>
                <w:highlight w:val="none"/>
                <w:lang w:val="en-US" w:eastAsia="zh-CN"/>
              </w:rPr>
              <w:t>回路段</w:t>
            </w:r>
            <w:r>
              <w:rPr>
                <w:rFonts w:hint="default" w:ascii="Times New Roman" w:hAnsi="Times New Roman" w:cs="Times New Roman"/>
                <w:color w:val="auto"/>
                <w:sz w:val="24"/>
                <w:highlight w:val="none"/>
              </w:rPr>
              <w:t>输电线路投运后产生的噪声贡献值也满足《声环境质量标准》（GB3096-2008）</w:t>
            </w:r>
            <w:r>
              <w:rPr>
                <w:rFonts w:hint="default" w:ascii="Times New Roman" w:hAnsi="Times New Roman" w:cs="Times New Roman"/>
                <w:color w:val="auto"/>
                <w:sz w:val="24"/>
                <w:highlight w:val="none"/>
                <w:lang w:val="en-US" w:eastAsia="zh-CN"/>
              </w:rPr>
              <w:t>中</w:t>
            </w:r>
            <w:r>
              <w:rPr>
                <w:rFonts w:hint="eastAsia" w:cs="Times New Roman"/>
                <w:color w:val="auto"/>
                <w:sz w:val="24"/>
                <w:highlight w:val="none"/>
                <w:lang w:val="en-US" w:eastAsia="zh-CN"/>
              </w:rPr>
              <w:t>相应声环境功能分区</w:t>
            </w:r>
            <w:r>
              <w:rPr>
                <w:rFonts w:hint="default" w:ascii="Times New Roman" w:hAnsi="Times New Roman" w:cs="Times New Roman"/>
                <w:color w:val="auto"/>
                <w:sz w:val="24"/>
                <w:highlight w:val="none"/>
              </w:rPr>
              <w:t>标准要求。</w:t>
            </w:r>
          </w:p>
          <w:p w14:paraId="4444A5D4">
            <w:pPr>
              <w:spacing w:line="360" w:lineRule="auto"/>
              <w:ind w:firstLine="470" w:firstLineChars="196"/>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本次预测仅考虑了噪声几何发散衰减，因此本次评价的噪声预测值要</w:t>
            </w:r>
            <w:r>
              <w:rPr>
                <w:rFonts w:hint="default" w:ascii="Times New Roman" w:hAnsi="Times New Roman" w:cs="Times New Roman"/>
                <w:color w:val="auto"/>
                <w:sz w:val="24"/>
                <w:highlight w:val="none"/>
                <w:lang w:val="en-US" w:eastAsia="zh-CN"/>
              </w:rPr>
              <w:t>大</w:t>
            </w:r>
            <w:r>
              <w:rPr>
                <w:rFonts w:hint="default" w:ascii="Times New Roman" w:hAnsi="Times New Roman" w:cs="Times New Roman"/>
                <w:color w:val="auto"/>
                <w:sz w:val="24"/>
                <w:highlight w:val="none"/>
              </w:rPr>
              <w:t>于线路实际产生的噪声值，声环境影响预测与评价是正确的并且是合理的。本项目线路通过合理选择导线截面和导线对地高度，可降低可听噪声水平。</w:t>
            </w:r>
          </w:p>
          <w:p w14:paraId="642F3000">
            <w:pPr>
              <w:keepNext w:val="0"/>
              <w:keepLines w:val="0"/>
              <w:pageBreakBefore w:val="0"/>
              <w:kinsoku/>
              <w:wordWrap/>
              <w:overflowPunct/>
              <w:topLinePunct w:val="0"/>
              <w:bidi w:val="0"/>
              <w:adjustRightInd/>
              <w:snapToGrid/>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eastAsia="zh-CN"/>
              </w:rPr>
              <w:t>⑷</w:t>
            </w:r>
            <w:r>
              <w:rPr>
                <w:rFonts w:hint="default" w:ascii="Times New Roman" w:hAnsi="Times New Roman" w:eastAsia="宋体" w:cs="Times New Roman"/>
                <w:b/>
                <w:bCs/>
                <w:color w:val="auto"/>
                <w:sz w:val="24"/>
                <w:highlight w:val="none"/>
                <w:lang w:val="en-US" w:eastAsia="zh-CN"/>
              </w:rPr>
              <w:t>输电线路声敏感目标噪声预测结果</w:t>
            </w:r>
          </w:p>
          <w:p w14:paraId="6E0FDCDA">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本次进行环境敏感目标声环境影响评价时，以声环境敏感目标所受的噪声贡献值与背景噪声值叠加后的预测值作为评价量，本项目110</w:t>
            </w:r>
            <w:r>
              <w:rPr>
                <w:rFonts w:hint="default" w:ascii="Times New Roman" w:hAnsi="Times New Roman" w:cs="Times New Roman"/>
                <w:color w:val="auto"/>
                <w:sz w:val="24"/>
                <w:szCs w:val="24"/>
                <w:lang w:val="en-US" w:eastAsia="zh-CN"/>
              </w:rPr>
              <w:t>千伏</w:t>
            </w:r>
            <w:r>
              <w:rPr>
                <w:rFonts w:hint="default" w:ascii="Times New Roman" w:hAnsi="Times New Roman" w:eastAsia="宋体" w:cs="Times New Roman"/>
                <w:color w:val="auto"/>
                <w:kern w:val="2"/>
                <w:sz w:val="24"/>
                <w:szCs w:val="24"/>
                <w:highlight w:val="none"/>
                <w:lang w:val="en-US" w:eastAsia="zh-CN" w:bidi="ar-SA"/>
              </w:rPr>
              <w:t>架空线路单回路段建成运行后对环境敏感目标处噪声预测结果见表4-</w:t>
            </w:r>
            <w:r>
              <w:rPr>
                <w:rFonts w:hint="eastAsia" w:cs="Times New Roman"/>
                <w:color w:val="auto"/>
                <w:kern w:val="2"/>
                <w:sz w:val="24"/>
                <w:szCs w:val="24"/>
                <w:highlight w:val="none"/>
                <w:lang w:val="en-US" w:eastAsia="zh-CN" w:bidi="ar-SA"/>
              </w:rPr>
              <w:t>17</w:t>
            </w:r>
            <w:r>
              <w:rPr>
                <w:rFonts w:hint="default" w:ascii="Times New Roman" w:hAnsi="Times New Roman" w:eastAsia="宋体" w:cs="Times New Roman"/>
                <w:color w:val="auto"/>
                <w:kern w:val="2"/>
                <w:sz w:val="24"/>
                <w:szCs w:val="24"/>
                <w:highlight w:val="none"/>
                <w:lang w:val="en-US" w:eastAsia="zh-CN" w:bidi="ar-SA"/>
              </w:rPr>
              <w:t>。</w:t>
            </w:r>
          </w:p>
          <w:p w14:paraId="5F88C061">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color w:val="auto"/>
                <w:sz w:val="24"/>
                <w:szCs w:val="24"/>
                <w:highlight w:val="none"/>
              </w:rPr>
            </w:pPr>
          </w:p>
          <w:p w14:paraId="52C2107A">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color w:val="auto"/>
                <w:sz w:val="24"/>
                <w:szCs w:val="24"/>
                <w:highlight w:val="none"/>
              </w:rPr>
            </w:pPr>
          </w:p>
          <w:p w14:paraId="11D1E737">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color w:val="auto"/>
                <w:sz w:val="24"/>
                <w:szCs w:val="24"/>
                <w:highlight w:val="none"/>
              </w:rPr>
            </w:pPr>
          </w:p>
          <w:p w14:paraId="60496D1C">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color w:val="auto"/>
                <w:sz w:val="24"/>
                <w:szCs w:val="24"/>
                <w:highlight w:val="none"/>
              </w:rPr>
            </w:pPr>
          </w:p>
          <w:p w14:paraId="4C2E39B7">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rPr>
              <w:t>-</w:t>
            </w:r>
            <w:r>
              <w:rPr>
                <w:rFonts w:hint="eastAsia" w:cs="Times New Roman"/>
                <w:b/>
                <w:color w:val="auto"/>
                <w:sz w:val="24"/>
                <w:szCs w:val="24"/>
                <w:highlight w:val="none"/>
                <w:lang w:val="en-US" w:eastAsia="zh-CN"/>
              </w:rPr>
              <w:t>17</w:t>
            </w:r>
            <w:r>
              <w:rPr>
                <w:rFonts w:hint="default" w:ascii="Times New Roman" w:hAnsi="Times New Roman" w:eastAsia="宋体" w:cs="Times New Roman"/>
                <w:b/>
                <w:color w:val="auto"/>
                <w:sz w:val="24"/>
                <w:szCs w:val="24"/>
                <w:highlight w:val="none"/>
              </w:rPr>
              <w:t xml:space="preserve"> </w:t>
            </w:r>
            <w:r>
              <w:rPr>
                <w:rFonts w:hint="default" w:ascii="Times New Roman" w:hAnsi="Times New Roman" w:eastAsia="宋体" w:cs="Times New Roman"/>
                <w:b/>
                <w:color w:val="auto"/>
                <w:sz w:val="24"/>
                <w:szCs w:val="24"/>
                <w:highlight w:val="none"/>
                <w:lang w:val="en-US" w:eastAsia="zh-CN"/>
              </w:rPr>
              <w:t xml:space="preserve"> </w:t>
            </w:r>
            <w:r>
              <w:rPr>
                <w:rFonts w:hint="default" w:ascii="Times New Roman" w:hAnsi="Times New Roman" w:eastAsia="宋体" w:cs="Times New Roman"/>
                <w:b/>
                <w:color w:val="auto"/>
                <w:sz w:val="24"/>
                <w:szCs w:val="24"/>
                <w:highlight w:val="none"/>
              </w:rPr>
              <w:t xml:space="preserve"> </w:t>
            </w:r>
            <w:r>
              <w:rPr>
                <w:rFonts w:hint="default" w:ascii="Times New Roman" w:hAnsi="Times New Roman" w:eastAsia="宋体" w:cs="Times New Roman"/>
                <w:b/>
                <w:color w:val="auto"/>
                <w:sz w:val="24"/>
                <w:szCs w:val="24"/>
                <w:highlight w:val="none"/>
                <w:lang w:eastAsia="zh-CN"/>
              </w:rPr>
              <w:t>声环境敏感目标处</w:t>
            </w:r>
            <w:r>
              <w:rPr>
                <w:rFonts w:hint="default" w:ascii="Times New Roman" w:hAnsi="Times New Roman" w:eastAsia="宋体" w:cs="Times New Roman"/>
                <w:b/>
                <w:color w:val="auto"/>
                <w:sz w:val="24"/>
                <w:szCs w:val="24"/>
                <w:highlight w:val="none"/>
              </w:rPr>
              <w:t>噪声预测结果</w:t>
            </w:r>
            <w:r>
              <w:rPr>
                <w:rFonts w:hint="default" w:ascii="Times New Roman" w:hAnsi="Times New Roman" w:eastAsia="宋体" w:cs="Times New Roman"/>
                <w:b/>
                <w:color w:val="auto"/>
                <w:sz w:val="24"/>
                <w:szCs w:val="24"/>
                <w:highlight w:val="none"/>
                <w:lang w:val="en-US" w:eastAsia="zh-CN"/>
              </w:rPr>
              <w:t xml:space="preserve">   单位：</w:t>
            </w:r>
            <w:r>
              <w:rPr>
                <w:rFonts w:hint="default" w:ascii="Times New Roman" w:hAnsi="Times New Roman" w:eastAsia="宋体" w:cs="Times New Roman"/>
                <w:b/>
                <w:color w:val="auto"/>
                <w:sz w:val="24"/>
                <w:szCs w:val="24"/>
                <w:highlight w:val="none"/>
              </w:rPr>
              <w:t>dB(A)</w:t>
            </w:r>
            <w:r>
              <w:rPr>
                <w:rFonts w:hint="default" w:ascii="Times New Roman" w:hAnsi="Times New Roman" w:eastAsia="宋体" w:cs="Times New Roman"/>
                <w:b/>
                <w:color w:val="auto"/>
                <w:sz w:val="24"/>
                <w:szCs w:val="24"/>
                <w:highlight w:val="none"/>
                <w:lang w:eastAsia="zh-CN"/>
              </w:rPr>
              <w:t>）</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0"/>
              <w:gridCol w:w="1611"/>
              <w:gridCol w:w="745"/>
              <w:gridCol w:w="653"/>
              <w:gridCol w:w="618"/>
              <w:gridCol w:w="688"/>
              <w:gridCol w:w="671"/>
              <w:gridCol w:w="758"/>
              <w:gridCol w:w="653"/>
              <w:gridCol w:w="653"/>
              <w:gridCol w:w="650"/>
            </w:tblGrid>
            <w:tr w14:paraId="5335A5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0" w:hRule="atLeast"/>
                <w:jc w:val="center"/>
              </w:trPr>
              <w:tc>
                <w:tcPr>
                  <w:tcW w:w="316" w:type="pct"/>
                  <w:vMerge w:val="restart"/>
                  <w:tcBorders>
                    <w:tl2br w:val="nil"/>
                    <w:tr2bl w:val="nil"/>
                  </w:tcBorders>
                  <w:noWrap w:val="0"/>
                  <w:vAlign w:val="center"/>
                </w:tcPr>
                <w:p w14:paraId="6A4DB5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979" w:type="pct"/>
                  <w:vMerge w:val="restart"/>
                  <w:tcBorders>
                    <w:tl2br w:val="nil"/>
                    <w:tr2bl w:val="nil"/>
                  </w:tcBorders>
                  <w:noWrap w:val="0"/>
                  <w:vAlign w:val="center"/>
                </w:tcPr>
                <w:p w14:paraId="42626848">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环境敏</w:t>
                  </w:r>
                </w:p>
                <w:p w14:paraId="563892F7">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感目标</w:t>
                  </w:r>
                </w:p>
              </w:tc>
              <w:tc>
                <w:tcPr>
                  <w:tcW w:w="453" w:type="pct"/>
                  <w:vMerge w:val="restart"/>
                  <w:tcBorders>
                    <w:tl2br w:val="nil"/>
                    <w:tr2bl w:val="nil"/>
                  </w:tcBorders>
                  <w:noWrap w:val="0"/>
                  <w:vAlign w:val="center"/>
                </w:tcPr>
                <w:p w14:paraId="31DFD12C">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导线对地最低高度</w:t>
                  </w:r>
                </w:p>
              </w:tc>
              <w:tc>
                <w:tcPr>
                  <w:tcW w:w="773" w:type="pct"/>
                  <w:gridSpan w:val="2"/>
                  <w:tcBorders>
                    <w:tl2br w:val="nil"/>
                    <w:tr2bl w:val="nil"/>
                  </w:tcBorders>
                  <w:noWrap w:val="0"/>
                  <w:vAlign w:val="center"/>
                </w:tcPr>
                <w:p w14:paraId="7AF5B1A4">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lang w:val="en-US" w:eastAsia="zh-CN"/>
                    </w:rPr>
                    <w:t>贡献值</w:t>
                  </w:r>
                </w:p>
              </w:tc>
              <w:tc>
                <w:tcPr>
                  <w:tcW w:w="826" w:type="pct"/>
                  <w:gridSpan w:val="2"/>
                  <w:tcBorders>
                    <w:tl2br w:val="nil"/>
                    <w:tr2bl w:val="nil"/>
                  </w:tcBorders>
                  <w:noWrap w:val="0"/>
                  <w:vAlign w:val="center"/>
                </w:tcPr>
                <w:p w14:paraId="25F6D150">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背景值</w:t>
                  </w:r>
                </w:p>
              </w:tc>
              <w:tc>
                <w:tcPr>
                  <w:tcW w:w="858" w:type="pct"/>
                  <w:gridSpan w:val="2"/>
                  <w:tcBorders>
                    <w:tl2br w:val="nil"/>
                    <w:tr2bl w:val="nil"/>
                  </w:tcBorders>
                  <w:noWrap w:val="0"/>
                  <w:vAlign w:val="center"/>
                </w:tcPr>
                <w:p w14:paraId="0AE62A44">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预测值</w:t>
                  </w:r>
                </w:p>
              </w:tc>
              <w:tc>
                <w:tcPr>
                  <w:tcW w:w="792" w:type="pct"/>
                  <w:gridSpan w:val="2"/>
                  <w:tcBorders>
                    <w:tl2br w:val="nil"/>
                    <w:tr2bl w:val="nil"/>
                  </w:tcBorders>
                  <w:noWrap w:val="0"/>
                  <w:vAlign w:val="center"/>
                </w:tcPr>
                <w:p w14:paraId="1E424F57">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标准值</w:t>
                  </w:r>
                </w:p>
              </w:tc>
            </w:tr>
            <w:tr w14:paraId="01C776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6" w:type="pct"/>
                  <w:vMerge w:val="continue"/>
                  <w:tcBorders>
                    <w:tl2br w:val="nil"/>
                    <w:tr2bl w:val="nil"/>
                  </w:tcBorders>
                  <w:noWrap w:val="0"/>
                  <w:vAlign w:val="center"/>
                </w:tcPr>
                <w:p w14:paraId="776F4D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p>
              </w:tc>
              <w:tc>
                <w:tcPr>
                  <w:tcW w:w="979" w:type="pct"/>
                  <w:vMerge w:val="continue"/>
                  <w:tcBorders>
                    <w:tl2br w:val="nil"/>
                    <w:tr2bl w:val="nil"/>
                  </w:tcBorders>
                  <w:noWrap w:val="0"/>
                  <w:vAlign w:val="center"/>
                </w:tcPr>
                <w:p w14:paraId="7FA08B87">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p>
              </w:tc>
              <w:tc>
                <w:tcPr>
                  <w:tcW w:w="453" w:type="pct"/>
                  <w:vMerge w:val="continue"/>
                  <w:tcBorders>
                    <w:tl2br w:val="nil"/>
                    <w:tr2bl w:val="nil"/>
                  </w:tcBorders>
                  <w:noWrap w:val="0"/>
                  <w:vAlign w:val="center"/>
                </w:tcPr>
                <w:p w14:paraId="5460FBA8">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p>
              </w:tc>
              <w:tc>
                <w:tcPr>
                  <w:tcW w:w="397" w:type="pct"/>
                  <w:tcBorders>
                    <w:tl2br w:val="nil"/>
                    <w:tr2bl w:val="nil"/>
                  </w:tcBorders>
                  <w:noWrap w:val="0"/>
                  <w:vAlign w:val="center"/>
                </w:tcPr>
                <w:p w14:paraId="4C197821">
                  <w:pPr>
                    <w:keepNext w:val="0"/>
                    <w:keepLines w:val="0"/>
                    <w:pageBreakBefore w:val="0"/>
                    <w:widowControl w:val="0"/>
                    <w:kinsoku/>
                    <w:wordWrap/>
                    <w:overflowPunct/>
                    <w:topLinePunct w:val="0"/>
                    <w:autoSpaceDE/>
                    <w:autoSpaceDN/>
                    <w:bidi w:val="0"/>
                    <w:adjustRightInd w:val="0"/>
                    <w:snapToGrid w:val="0"/>
                    <w:spacing w:line="240" w:lineRule="exact"/>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w:t>
                  </w:r>
                </w:p>
                <w:p w14:paraId="10726B79">
                  <w:pPr>
                    <w:keepNext w:val="0"/>
                    <w:keepLines w:val="0"/>
                    <w:pageBreakBefore w:val="0"/>
                    <w:widowControl w:val="0"/>
                    <w:kinsoku/>
                    <w:wordWrap/>
                    <w:overflowPunct/>
                    <w:topLinePunct w:val="0"/>
                    <w:autoSpaceDE/>
                    <w:autoSpaceDN/>
                    <w:bidi w:val="0"/>
                    <w:adjustRightInd w:val="0"/>
                    <w:snapToGrid w:val="0"/>
                    <w:spacing w:line="240" w:lineRule="exact"/>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间</w:t>
                  </w:r>
                </w:p>
              </w:tc>
              <w:tc>
                <w:tcPr>
                  <w:tcW w:w="375" w:type="pct"/>
                  <w:tcBorders>
                    <w:tl2br w:val="nil"/>
                    <w:tr2bl w:val="nil"/>
                  </w:tcBorders>
                  <w:noWrap w:val="0"/>
                  <w:vAlign w:val="center"/>
                </w:tcPr>
                <w:p w14:paraId="6E16EBEE">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w:t>
                  </w:r>
                </w:p>
                <w:p w14:paraId="2AA5806B">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间</w:t>
                  </w:r>
                </w:p>
              </w:tc>
              <w:tc>
                <w:tcPr>
                  <w:tcW w:w="418" w:type="pct"/>
                  <w:tcBorders>
                    <w:tl2br w:val="nil"/>
                    <w:tr2bl w:val="nil"/>
                  </w:tcBorders>
                  <w:noWrap w:val="0"/>
                  <w:vAlign w:val="center"/>
                </w:tcPr>
                <w:p w14:paraId="5E84E563">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w:t>
                  </w:r>
                </w:p>
                <w:p w14:paraId="56AD98A3">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间</w:t>
                  </w:r>
                </w:p>
              </w:tc>
              <w:tc>
                <w:tcPr>
                  <w:tcW w:w="408" w:type="pct"/>
                  <w:tcBorders>
                    <w:tl2br w:val="nil"/>
                    <w:tr2bl w:val="nil"/>
                  </w:tcBorders>
                  <w:noWrap w:val="0"/>
                  <w:vAlign w:val="center"/>
                </w:tcPr>
                <w:p w14:paraId="235878F8">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w:t>
                  </w:r>
                </w:p>
                <w:p w14:paraId="24729712">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间</w:t>
                  </w:r>
                </w:p>
              </w:tc>
              <w:tc>
                <w:tcPr>
                  <w:tcW w:w="461" w:type="pct"/>
                  <w:tcBorders>
                    <w:tl2br w:val="nil"/>
                    <w:tr2bl w:val="nil"/>
                  </w:tcBorders>
                  <w:noWrap w:val="0"/>
                  <w:vAlign w:val="center"/>
                </w:tcPr>
                <w:p w14:paraId="547FB831">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w:t>
                  </w:r>
                </w:p>
                <w:p w14:paraId="2A6CAB9A">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间</w:t>
                  </w:r>
                </w:p>
              </w:tc>
              <w:tc>
                <w:tcPr>
                  <w:tcW w:w="397" w:type="pct"/>
                  <w:tcBorders>
                    <w:tl2br w:val="nil"/>
                    <w:tr2bl w:val="nil"/>
                  </w:tcBorders>
                  <w:noWrap w:val="0"/>
                  <w:vAlign w:val="center"/>
                </w:tcPr>
                <w:p w14:paraId="69C270F7">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w:t>
                  </w:r>
                </w:p>
                <w:p w14:paraId="4AE085C4">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间</w:t>
                  </w:r>
                </w:p>
              </w:tc>
              <w:tc>
                <w:tcPr>
                  <w:tcW w:w="397" w:type="pct"/>
                  <w:tcBorders>
                    <w:tl2br w:val="nil"/>
                    <w:tr2bl w:val="nil"/>
                  </w:tcBorders>
                  <w:noWrap w:val="0"/>
                  <w:vAlign w:val="center"/>
                </w:tcPr>
                <w:p w14:paraId="60FCB13C">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w:t>
                  </w:r>
                </w:p>
                <w:p w14:paraId="54A3C1A4">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间</w:t>
                  </w:r>
                </w:p>
              </w:tc>
              <w:tc>
                <w:tcPr>
                  <w:tcW w:w="395" w:type="pct"/>
                  <w:tcBorders>
                    <w:tl2br w:val="nil"/>
                    <w:tr2bl w:val="nil"/>
                  </w:tcBorders>
                  <w:noWrap w:val="0"/>
                  <w:vAlign w:val="center"/>
                </w:tcPr>
                <w:p w14:paraId="5E2417C4">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w:t>
                  </w:r>
                </w:p>
                <w:p w14:paraId="0D72CC9F">
                  <w:pPr>
                    <w:spacing w:line="240" w:lineRule="exact"/>
                    <w:ind w:left="105" w:leftChars="0" w:hanging="105" w:hangingChars="5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间</w:t>
                  </w:r>
                </w:p>
              </w:tc>
            </w:tr>
            <w:tr w14:paraId="431D6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6" w:type="pct"/>
                  <w:tcBorders>
                    <w:tl2br w:val="nil"/>
                    <w:tr2bl w:val="nil"/>
                  </w:tcBorders>
                  <w:noWrap w:val="0"/>
                  <w:vAlign w:val="center"/>
                </w:tcPr>
                <w:p w14:paraId="0C29D3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1611" w:type="dxa"/>
                  <w:tcBorders>
                    <w:tl2br w:val="nil"/>
                    <w:tr2bl w:val="nil"/>
                  </w:tcBorders>
                  <w:noWrap w:val="0"/>
                  <w:vAlign w:val="center"/>
                </w:tcPr>
                <w:p w14:paraId="6AA7F8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单回架空输电线路G5#~6#杆塔间线路边导线东南侧</w:t>
                  </w:r>
                  <w:r>
                    <w:rPr>
                      <w:rFonts w:hint="eastAsia" w:cs="Times New Roman"/>
                      <w:b w:val="0"/>
                      <w:bCs w:val="0"/>
                      <w:color w:val="auto"/>
                      <w:sz w:val="21"/>
                      <w:szCs w:val="21"/>
                      <w:highlight w:val="none"/>
                      <w:lang w:val="en-US" w:eastAsia="zh-CN"/>
                    </w:rPr>
                    <w:t>23m</w:t>
                  </w:r>
                  <w:r>
                    <w:rPr>
                      <w:rFonts w:hint="default" w:ascii="Times New Roman" w:hAnsi="Times New Roman" w:eastAsia="宋体" w:cs="Times New Roman"/>
                      <w:snapToGrid w:val="0"/>
                      <w:color w:val="auto"/>
                      <w:kern w:val="0"/>
                      <w:sz w:val="21"/>
                      <w:szCs w:val="21"/>
                      <w:lang w:val="en-US" w:eastAsia="zh-CN" w:bidi="ar-SA"/>
                    </w:rPr>
                    <w:t>马占材宅</w:t>
                  </w:r>
                </w:p>
              </w:tc>
              <w:tc>
                <w:tcPr>
                  <w:tcW w:w="453" w:type="pct"/>
                  <w:tcBorders>
                    <w:tl2br w:val="nil"/>
                    <w:tr2bl w:val="nil"/>
                  </w:tcBorders>
                  <w:noWrap w:val="0"/>
                  <w:vAlign w:val="center"/>
                </w:tcPr>
                <w:p w14:paraId="693AF9C3">
                  <w:pPr>
                    <w:keepNext w:val="0"/>
                    <w:keepLines w:val="0"/>
                    <w:widowControl/>
                    <w:suppressLineNumbers w:val="0"/>
                    <w:jc w:val="center"/>
                    <w:rPr>
                      <w:rFonts w:hint="default" w:ascii="Times New Roman" w:hAnsi="Times New Roman" w:eastAsia="宋体" w:cs="Times New Roman"/>
                      <w:b w:val="0"/>
                      <w:bCs w:val="0"/>
                      <w:color w:val="auto"/>
                      <w:kern w:val="0"/>
                      <w:sz w:val="20"/>
                      <w:szCs w:val="20"/>
                      <w:highlight w:val="none"/>
                      <w:lang w:val="en-US" w:eastAsia="zh-CN" w:bidi="ar"/>
                    </w:rPr>
                  </w:pPr>
                  <w:r>
                    <w:rPr>
                      <w:rFonts w:hint="eastAsia" w:cs="Times New Roman"/>
                      <w:b w:val="0"/>
                      <w:bCs w:val="0"/>
                      <w:color w:val="auto"/>
                      <w:kern w:val="0"/>
                      <w:sz w:val="20"/>
                      <w:szCs w:val="20"/>
                      <w:highlight w:val="none"/>
                      <w:lang w:val="en-US" w:eastAsia="zh-CN" w:bidi="ar"/>
                    </w:rPr>
                    <w:t>22.6</w:t>
                  </w:r>
                  <w:r>
                    <w:rPr>
                      <w:rFonts w:hint="default" w:ascii="Times New Roman" w:hAnsi="Times New Roman" w:eastAsia="宋体" w:cs="Times New Roman"/>
                      <w:b w:val="0"/>
                      <w:bCs w:val="0"/>
                      <w:color w:val="auto"/>
                      <w:kern w:val="0"/>
                      <w:sz w:val="20"/>
                      <w:szCs w:val="20"/>
                      <w:highlight w:val="none"/>
                      <w:lang w:val="en-US" w:eastAsia="zh-CN" w:bidi="ar"/>
                    </w:rPr>
                    <w:t>m</w:t>
                  </w:r>
                </w:p>
              </w:tc>
              <w:tc>
                <w:tcPr>
                  <w:tcW w:w="397" w:type="pct"/>
                  <w:tcBorders>
                    <w:tl2br w:val="nil"/>
                    <w:tr2bl w:val="nil"/>
                  </w:tcBorders>
                  <w:noWrap w:val="0"/>
                  <w:vAlign w:val="center"/>
                </w:tcPr>
                <w:p w14:paraId="7959C0D5">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6</w:t>
                  </w:r>
                </w:p>
              </w:tc>
              <w:tc>
                <w:tcPr>
                  <w:tcW w:w="375" w:type="pct"/>
                  <w:tcBorders>
                    <w:tl2br w:val="nil"/>
                    <w:tr2bl w:val="nil"/>
                  </w:tcBorders>
                  <w:noWrap w:val="0"/>
                  <w:vAlign w:val="center"/>
                </w:tcPr>
                <w:p w14:paraId="76C9ECA7">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43</w:t>
                  </w:r>
                </w:p>
              </w:tc>
              <w:tc>
                <w:tcPr>
                  <w:tcW w:w="418" w:type="pct"/>
                  <w:tcBorders>
                    <w:tl2br w:val="nil"/>
                    <w:tr2bl w:val="nil"/>
                  </w:tcBorders>
                  <w:noWrap w:val="0"/>
                  <w:vAlign w:val="center"/>
                </w:tcPr>
                <w:p w14:paraId="560122C1">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42</w:t>
                  </w:r>
                </w:p>
              </w:tc>
              <w:tc>
                <w:tcPr>
                  <w:tcW w:w="408" w:type="pct"/>
                  <w:tcBorders>
                    <w:tl2br w:val="nil"/>
                    <w:tr2bl w:val="nil"/>
                  </w:tcBorders>
                  <w:noWrap w:val="0"/>
                  <w:vAlign w:val="center"/>
                </w:tcPr>
                <w:p w14:paraId="5D0ECDBC">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39</w:t>
                  </w:r>
                </w:p>
              </w:tc>
              <w:tc>
                <w:tcPr>
                  <w:tcW w:w="461" w:type="pct"/>
                  <w:tcBorders>
                    <w:tl2br w:val="nil"/>
                    <w:tr2bl w:val="nil"/>
                  </w:tcBorders>
                  <w:noWrap w:val="0"/>
                  <w:vAlign w:val="center"/>
                </w:tcPr>
                <w:p w14:paraId="2B8A3CAE">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7</w:t>
                  </w:r>
                </w:p>
              </w:tc>
              <w:tc>
                <w:tcPr>
                  <w:tcW w:w="397" w:type="pct"/>
                  <w:tcBorders>
                    <w:tl2br w:val="nil"/>
                    <w:tr2bl w:val="nil"/>
                  </w:tcBorders>
                  <w:noWrap w:val="0"/>
                  <w:vAlign w:val="center"/>
                </w:tcPr>
                <w:p w14:paraId="32C65DA5">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4</w:t>
                  </w:r>
                </w:p>
              </w:tc>
              <w:tc>
                <w:tcPr>
                  <w:tcW w:w="397" w:type="pct"/>
                  <w:tcBorders>
                    <w:tl2br w:val="nil"/>
                    <w:tr2bl w:val="nil"/>
                  </w:tcBorders>
                  <w:noWrap w:val="0"/>
                  <w:vAlign w:val="center"/>
                </w:tcPr>
                <w:p w14:paraId="0F7ACEBE">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55</w:t>
                  </w:r>
                </w:p>
              </w:tc>
              <w:tc>
                <w:tcPr>
                  <w:tcW w:w="395" w:type="pct"/>
                  <w:tcBorders>
                    <w:tl2br w:val="nil"/>
                    <w:tr2bl w:val="nil"/>
                  </w:tcBorders>
                  <w:noWrap w:val="0"/>
                  <w:vAlign w:val="center"/>
                </w:tcPr>
                <w:p w14:paraId="35D4E60D">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45</w:t>
                  </w:r>
                </w:p>
              </w:tc>
            </w:tr>
            <w:tr w14:paraId="10D6D2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6" w:type="pct"/>
                  <w:tcBorders>
                    <w:tl2br w:val="nil"/>
                    <w:tr2bl w:val="nil"/>
                  </w:tcBorders>
                  <w:noWrap w:val="0"/>
                  <w:vAlign w:val="center"/>
                </w:tcPr>
                <w:p w14:paraId="28C1B9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1611" w:type="dxa"/>
                  <w:tcBorders>
                    <w:tl2br w:val="nil"/>
                    <w:tr2bl w:val="nil"/>
                  </w:tcBorders>
                  <w:noWrap w:val="0"/>
                  <w:vAlign w:val="center"/>
                </w:tcPr>
                <w:p w14:paraId="2D1C15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单回架空输电线路G8#~9#杆塔间线路边导线西北侧</w:t>
                  </w:r>
                  <w:r>
                    <w:rPr>
                      <w:rFonts w:hint="eastAsia" w:cs="Times New Roman"/>
                      <w:b w:val="0"/>
                      <w:bCs w:val="0"/>
                      <w:color w:val="auto"/>
                      <w:sz w:val="21"/>
                      <w:szCs w:val="21"/>
                      <w:highlight w:val="none"/>
                      <w:lang w:val="en-US" w:eastAsia="zh-CN"/>
                    </w:rPr>
                    <w:t>32.5m</w:t>
                  </w:r>
                  <w:r>
                    <w:rPr>
                      <w:rFonts w:hint="default" w:ascii="Times New Roman" w:hAnsi="Times New Roman" w:eastAsia="宋体" w:cs="Times New Roman"/>
                      <w:snapToGrid w:val="0"/>
                      <w:color w:val="auto"/>
                      <w:kern w:val="0"/>
                      <w:sz w:val="21"/>
                      <w:szCs w:val="21"/>
                      <w:lang w:val="en-US" w:eastAsia="zh-CN" w:bidi="ar-SA"/>
                    </w:rPr>
                    <w:t>张建礼宅</w:t>
                  </w:r>
                </w:p>
              </w:tc>
              <w:tc>
                <w:tcPr>
                  <w:tcW w:w="453" w:type="pct"/>
                  <w:tcBorders>
                    <w:tl2br w:val="nil"/>
                    <w:tr2bl w:val="nil"/>
                  </w:tcBorders>
                  <w:noWrap w:val="0"/>
                  <w:vAlign w:val="center"/>
                </w:tcPr>
                <w:p w14:paraId="024E8781">
                  <w:pPr>
                    <w:keepNext w:val="0"/>
                    <w:keepLines w:val="0"/>
                    <w:widowControl/>
                    <w:suppressLineNumbers w:val="0"/>
                    <w:jc w:val="center"/>
                    <w:rPr>
                      <w:rFonts w:hint="default" w:ascii="Times New Roman" w:hAnsi="Times New Roman" w:eastAsia="宋体" w:cs="Times New Roman"/>
                      <w:b w:val="0"/>
                      <w:bCs w:val="0"/>
                      <w:color w:val="auto"/>
                      <w:kern w:val="0"/>
                      <w:sz w:val="20"/>
                      <w:szCs w:val="20"/>
                      <w:highlight w:val="none"/>
                      <w:lang w:val="en-US" w:eastAsia="zh-CN" w:bidi="ar"/>
                    </w:rPr>
                  </w:pPr>
                  <w:r>
                    <w:rPr>
                      <w:rFonts w:hint="default" w:ascii="Times New Roman" w:hAnsi="Times New Roman" w:eastAsia="宋体" w:cs="Times New Roman"/>
                      <w:b w:val="0"/>
                      <w:bCs w:val="0"/>
                      <w:color w:val="auto"/>
                      <w:kern w:val="0"/>
                      <w:sz w:val="20"/>
                      <w:szCs w:val="20"/>
                      <w:highlight w:val="none"/>
                      <w:lang w:val="en-US" w:eastAsia="zh-CN" w:bidi="ar"/>
                    </w:rPr>
                    <w:t>25.</w:t>
                  </w:r>
                  <w:r>
                    <w:rPr>
                      <w:rFonts w:hint="eastAsia" w:cs="Times New Roman"/>
                      <w:b w:val="0"/>
                      <w:bCs w:val="0"/>
                      <w:color w:val="auto"/>
                      <w:kern w:val="0"/>
                      <w:sz w:val="20"/>
                      <w:szCs w:val="20"/>
                      <w:highlight w:val="none"/>
                      <w:lang w:val="en-US" w:eastAsia="zh-CN" w:bidi="ar"/>
                    </w:rPr>
                    <w:t>1</w:t>
                  </w:r>
                  <w:r>
                    <w:rPr>
                      <w:rFonts w:hint="default" w:ascii="Times New Roman" w:hAnsi="Times New Roman" w:eastAsia="宋体" w:cs="Times New Roman"/>
                      <w:b w:val="0"/>
                      <w:bCs w:val="0"/>
                      <w:color w:val="auto"/>
                      <w:kern w:val="0"/>
                      <w:sz w:val="20"/>
                      <w:szCs w:val="20"/>
                      <w:highlight w:val="none"/>
                      <w:lang w:val="en-US" w:eastAsia="zh-CN" w:bidi="ar"/>
                    </w:rPr>
                    <w:t>m</w:t>
                  </w:r>
                </w:p>
              </w:tc>
              <w:tc>
                <w:tcPr>
                  <w:tcW w:w="397" w:type="pct"/>
                  <w:tcBorders>
                    <w:tl2br w:val="nil"/>
                    <w:tr2bl w:val="nil"/>
                  </w:tcBorders>
                  <w:noWrap w:val="0"/>
                  <w:vAlign w:val="center"/>
                </w:tcPr>
                <w:p w14:paraId="0712D60A">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5</w:t>
                  </w:r>
                </w:p>
              </w:tc>
              <w:tc>
                <w:tcPr>
                  <w:tcW w:w="375" w:type="pct"/>
                  <w:tcBorders>
                    <w:tl2br w:val="nil"/>
                    <w:tr2bl w:val="nil"/>
                  </w:tcBorders>
                  <w:noWrap w:val="0"/>
                  <w:vAlign w:val="center"/>
                </w:tcPr>
                <w:p w14:paraId="5EBD4988">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2</w:t>
                  </w:r>
                </w:p>
              </w:tc>
              <w:tc>
                <w:tcPr>
                  <w:tcW w:w="418" w:type="pct"/>
                  <w:tcBorders>
                    <w:tl2br w:val="nil"/>
                    <w:tr2bl w:val="nil"/>
                  </w:tcBorders>
                  <w:noWrap w:val="0"/>
                  <w:vAlign w:val="center"/>
                </w:tcPr>
                <w:p w14:paraId="12DD4EC3">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43</w:t>
                  </w:r>
                </w:p>
              </w:tc>
              <w:tc>
                <w:tcPr>
                  <w:tcW w:w="408" w:type="pct"/>
                  <w:tcBorders>
                    <w:tl2br w:val="nil"/>
                    <w:tr2bl w:val="nil"/>
                  </w:tcBorders>
                  <w:noWrap w:val="0"/>
                  <w:vAlign w:val="center"/>
                </w:tcPr>
                <w:p w14:paraId="0C49D96A">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39</w:t>
                  </w:r>
                </w:p>
              </w:tc>
              <w:tc>
                <w:tcPr>
                  <w:tcW w:w="461" w:type="pct"/>
                  <w:tcBorders>
                    <w:tl2br w:val="nil"/>
                    <w:tr2bl w:val="nil"/>
                  </w:tcBorders>
                  <w:noWrap w:val="0"/>
                  <w:vAlign w:val="center"/>
                </w:tcPr>
                <w:p w14:paraId="19BC5FC4">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7</w:t>
                  </w:r>
                </w:p>
              </w:tc>
              <w:tc>
                <w:tcPr>
                  <w:tcW w:w="397" w:type="pct"/>
                  <w:tcBorders>
                    <w:tl2br w:val="nil"/>
                    <w:tr2bl w:val="nil"/>
                  </w:tcBorders>
                  <w:noWrap w:val="0"/>
                  <w:vAlign w:val="center"/>
                </w:tcPr>
                <w:p w14:paraId="1AACD529">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4</w:t>
                  </w:r>
                </w:p>
              </w:tc>
              <w:tc>
                <w:tcPr>
                  <w:tcW w:w="397" w:type="pct"/>
                  <w:tcBorders>
                    <w:tl2br w:val="nil"/>
                    <w:tr2bl w:val="nil"/>
                  </w:tcBorders>
                  <w:noWrap w:val="0"/>
                  <w:vAlign w:val="center"/>
                </w:tcPr>
                <w:p w14:paraId="06237A05">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55</w:t>
                  </w:r>
                </w:p>
              </w:tc>
              <w:tc>
                <w:tcPr>
                  <w:tcW w:w="395" w:type="pct"/>
                  <w:tcBorders>
                    <w:tl2br w:val="nil"/>
                    <w:tr2bl w:val="nil"/>
                  </w:tcBorders>
                  <w:noWrap w:val="0"/>
                  <w:vAlign w:val="center"/>
                </w:tcPr>
                <w:p w14:paraId="489C8356">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45</w:t>
                  </w:r>
                </w:p>
              </w:tc>
            </w:tr>
            <w:tr w14:paraId="23231B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6" w:type="pct"/>
                  <w:tcBorders>
                    <w:tl2br w:val="nil"/>
                    <w:tr2bl w:val="nil"/>
                  </w:tcBorders>
                  <w:noWrap w:val="0"/>
                  <w:vAlign w:val="center"/>
                </w:tcPr>
                <w:p w14:paraId="13DFD8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c>
                <w:tcPr>
                  <w:tcW w:w="1611" w:type="dxa"/>
                  <w:tcBorders>
                    <w:tl2br w:val="nil"/>
                    <w:tr2bl w:val="nil"/>
                  </w:tcBorders>
                  <w:noWrap w:val="0"/>
                  <w:vAlign w:val="center"/>
                </w:tcPr>
                <w:p w14:paraId="1CD148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单回架空输电线路G19#~20#杆塔间线路边导线东南侧</w:t>
                  </w:r>
                  <w:r>
                    <w:rPr>
                      <w:rFonts w:hint="eastAsia" w:cs="Times New Roman"/>
                      <w:b w:val="0"/>
                      <w:bCs w:val="0"/>
                      <w:color w:val="auto"/>
                      <w:sz w:val="21"/>
                      <w:szCs w:val="21"/>
                      <w:highlight w:val="none"/>
                      <w:lang w:val="en-US" w:eastAsia="zh-CN"/>
                    </w:rPr>
                    <w:t>40m</w:t>
                  </w:r>
                  <w:r>
                    <w:rPr>
                      <w:rFonts w:hint="default" w:ascii="Times New Roman" w:hAnsi="Times New Roman" w:eastAsia="宋体" w:cs="Times New Roman"/>
                      <w:snapToGrid w:val="0"/>
                      <w:color w:val="auto"/>
                      <w:kern w:val="0"/>
                      <w:sz w:val="21"/>
                      <w:szCs w:val="21"/>
                      <w:lang w:val="en-US" w:eastAsia="zh-CN" w:bidi="ar-SA"/>
                    </w:rPr>
                    <w:t>王新贵宅</w:t>
                  </w:r>
                </w:p>
              </w:tc>
              <w:tc>
                <w:tcPr>
                  <w:tcW w:w="453" w:type="pct"/>
                  <w:tcBorders>
                    <w:tl2br w:val="nil"/>
                    <w:tr2bl w:val="nil"/>
                  </w:tcBorders>
                  <w:noWrap w:val="0"/>
                  <w:vAlign w:val="center"/>
                </w:tcPr>
                <w:p w14:paraId="20BD268F">
                  <w:pPr>
                    <w:keepNext w:val="0"/>
                    <w:keepLines w:val="0"/>
                    <w:widowControl/>
                    <w:suppressLineNumbers w:val="0"/>
                    <w:jc w:val="center"/>
                    <w:rPr>
                      <w:rFonts w:hint="default" w:ascii="Times New Roman" w:hAnsi="Times New Roman" w:eastAsia="宋体" w:cs="Times New Roman"/>
                      <w:b w:val="0"/>
                      <w:bCs w:val="0"/>
                      <w:color w:val="auto"/>
                      <w:kern w:val="0"/>
                      <w:sz w:val="20"/>
                      <w:szCs w:val="20"/>
                      <w:highlight w:val="none"/>
                      <w:lang w:val="en-US" w:eastAsia="zh-CN" w:bidi="ar"/>
                    </w:rPr>
                  </w:pPr>
                  <w:r>
                    <w:rPr>
                      <w:rFonts w:hint="eastAsia" w:cs="Times New Roman"/>
                      <w:b w:val="0"/>
                      <w:bCs w:val="0"/>
                      <w:color w:val="auto"/>
                      <w:kern w:val="0"/>
                      <w:sz w:val="20"/>
                      <w:szCs w:val="20"/>
                      <w:highlight w:val="none"/>
                      <w:lang w:val="en-US" w:eastAsia="zh-CN" w:bidi="ar"/>
                    </w:rPr>
                    <w:t>22.9</w:t>
                  </w:r>
                  <w:r>
                    <w:rPr>
                      <w:rFonts w:hint="default" w:ascii="Times New Roman" w:hAnsi="Times New Roman" w:eastAsia="宋体" w:cs="Times New Roman"/>
                      <w:b w:val="0"/>
                      <w:bCs w:val="0"/>
                      <w:color w:val="auto"/>
                      <w:kern w:val="0"/>
                      <w:sz w:val="20"/>
                      <w:szCs w:val="20"/>
                      <w:highlight w:val="none"/>
                      <w:lang w:val="en-US" w:eastAsia="zh-CN" w:bidi="ar"/>
                    </w:rPr>
                    <w:t>m</w:t>
                  </w:r>
                </w:p>
              </w:tc>
              <w:tc>
                <w:tcPr>
                  <w:tcW w:w="397" w:type="pct"/>
                  <w:tcBorders>
                    <w:tl2br w:val="nil"/>
                    <w:tr2bl w:val="nil"/>
                  </w:tcBorders>
                  <w:noWrap w:val="0"/>
                  <w:vAlign w:val="center"/>
                </w:tcPr>
                <w:p w14:paraId="098A02BE">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4</w:t>
                  </w:r>
                </w:p>
              </w:tc>
              <w:tc>
                <w:tcPr>
                  <w:tcW w:w="375" w:type="pct"/>
                  <w:tcBorders>
                    <w:tl2br w:val="nil"/>
                    <w:tr2bl w:val="nil"/>
                  </w:tcBorders>
                  <w:noWrap w:val="0"/>
                  <w:vAlign w:val="center"/>
                </w:tcPr>
                <w:p w14:paraId="7545148A">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1</w:t>
                  </w:r>
                </w:p>
              </w:tc>
              <w:tc>
                <w:tcPr>
                  <w:tcW w:w="418" w:type="pct"/>
                  <w:tcBorders>
                    <w:tl2br w:val="nil"/>
                    <w:tr2bl w:val="nil"/>
                  </w:tcBorders>
                  <w:noWrap w:val="0"/>
                  <w:vAlign w:val="center"/>
                </w:tcPr>
                <w:p w14:paraId="756FCD9A">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42</w:t>
                  </w:r>
                </w:p>
              </w:tc>
              <w:tc>
                <w:tcPr>
                  <w:tcW w:w="408" w:type="pct"/>
                  <w:tcBorders>
                    <w:tl2br w:val="nil"/>
                    <w:tr2bl w:val="nil"/>
                  </w:tcBorders>
                  <w:noWrap w:val="0"/>
                  <w:vAlign w:val="center"/>
                </w:tcPr>
                <w:p w14:paraId="5BDD87B3">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40</w:t>
                  </w:r>
                </w:p>
              </w:tc>
              <w:tc>
                <w:tcPr>
                  <w:tcW w:w="461" w:type="pct"/>
                  <w:tcBorders>
                    <w:tl2br w:val="nil"/>
                    <w:tr2bl w:val="nil"/>
                  </w:tcBorders>
                  <w:noWrap w:val="0"/>
                  <w:vAlign w:val="center"/>
                </w:tcPr>
                <w:p w14:paraId="4EBCDBC7">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6</w:t>
                  </w:r>
                </w:p>
              </w:tc>
              <w:tc>
                <w:tcPr>
                  <w:tcW w:w="397" w:type="pct"/>
                  <w:tcBorders>
                    <w:tl2br w:val="nil"/>
                    <w:tr2bl w:val="nil"/>
                  </w:tcBorders>
                  <w:noWrap w:val="0"/>
                  <w:vAlign w:val="center"/>
                </w:tcPr>
                <w:p w14:paraId="628273F1">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4</w:t>
                  </w:r>
                </w:p>
              </w:tc>
              <w:tc>
                <w:tcPr>
                  <w:tcW w:w="397" w:type="pct"/>
                  <w:tcBorders>
                    <w:tl2br w:val="nil"/>
                    <w:tr2bl w:val="nil"/>
                  </w:tcBorders>
                  <w:noWrap w:val="0"/>
                  <w:vAlign w:val="center"/>
                </w:tcPr>
                <w:p w14:paraId="0F46C385">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55</w:t>
                  </w:r>
                </w:p>
              </w:tc>
              <w:tc>
                <w:tcPr>
                  <w:tcW w:w="395" w:type="pct"/>
                  <w:tcBorders>
                    <w:tl2br w:val="nil"/>
                    <w:tr2bl w:val="nil"/>
                  </w:tcBorders>
                  <w:noWrap w:val="0"/>
                  <w:vAlign w:val="center"/>
                </w:tcPr>
                <w:p w14:paraId="37302D88">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45</w:t>
                  </w:r>
                </w:p>
              </w:tc>
            </w:tr>
            <w:tr w14:paraId="493A35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6" w:type="pct"/>
                  <w:tcBorders>
                    <w:tl2br w:val="nil"/>
                    <w:tr2bl w:val="nil"/>
                  </w:tcBorders>
                  <w:noWrap w:val="0"/>
                  <w:vAlign w:val="center"/>
                </w:tcPr>
                <w:p w14:paraId="794442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1611" w:type="dxa"/>
                  <w:tcBorders>
                    <w:tl2br w:val="nil"/>
                    <w:tr2bl w:val="nil"/>
                  </w:tcBorders>
                  <w:noWrap w:val="0"/>
                  <w:vAlign w:val="center"/>
                </w:tcPr>
                <w:p w14:paraId="728DD7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单回架空输电线路46#~G47#杆塔间线路边导线西北侧</w:t>
                  </w:r>
                  <w:r>
                    <w:rPr>
                      <w:rFonts w:hint="eastAsia" w:cs="Times New Roman"/>
                      <w:b w:val="0"/>
                      <w:bCs w:val="0"/>
                      <w:color w:val="auto"/>
                      <w:sz w:val="21"/>
                      <w:szCs w:val="21"/>
                      <w:highlight w:val="none"/>
                      <w:lang w:val="en-US" w:eastAsia="zh-CN"/>
                    </w:rPr>
                    <w:t>33m</w:t>
                  </w:r>
                  <w:r>
                    <w:rPr>
                      <w:rFonts w:hint="default" w:ascii="Times New Roman" w:hAnsi="Times New Roman" w:eastAsia="宋体" w:cs="Times New Roman"/>
                      <w:snapToGrid w:val="0"/>
                      <w:color w:val="auto"/>
                      <w:kern w:val="0"/>
                      <w:sz w:val="21"/>
                      <w:szCs w:val="21"/>
                      <w:lang w:val="en-US" w:eastAsia="zh-CN" w:bidi="ar-SA"/>
                    </w:rPr>
                    <w:t>孙强宅</w:t>
                  </w:r>
                </w:p>
              </w:tc>
              <w:tc>
                <w:tcPr>
                  <w:tcW w:w="453" w:type="pct"/>
                  <w:tcBorders>
                    <w:tl2br w:val="nil"/>
                    <w:tr2bl w:val="nil"/>
                  </w:tcBorders>
                  <w:noWrap w:val="0"/>
                  <w:vAlign w:val="center"/>
                </w:tcPr>
                <w:p w14:paraId="771370BF">
                  <w:pPr>
                    <w:keepNext w:val="0"/>
                    <w:keepLines w:val="0"/>
                    <w:widowControl/>
                    <w:suppressLineNumbers w:val="0"/>
                    <w:jc w:val="center"/>
                    <w:rPr>
                      <w:rFonts w:hint="default" w:ascii="Times New Roman" w:hAnsi="Times New Roman" w:eastAsia="宋体" w:cs="Times New Roman"/>
                      <w:b w:val="0"/>
                      <w:bCs w:val="0"/>
                      <w:color w:val="auto"/>
                      <w:kern w:val="0"/>
                      <w:sz w:val="20"/>
                      <w:szCs w:val="20"/>
                      <w:highlight w:val="none"/>
                      <w:lang w:val="en-US" w:eastAsia="zh-CN" w:bidi="ar"/>
                    </w:rPr>
                  </w:pPr>
                  <w:r>
                    <w:rPr>
                      <w:rFonts w:hint="eastAsia" w:cs="Times New Roman"/>
                      <w:b w:val="0"/>
                      <w:bCs w:val="0"/>
                      <w:color w:val="auto"/>
                      <w:kern w:val="0"/>
                      <w:sz w:val="20"/>
                      <w:szCs w:val="20"/>
                      <w:highlight w:val="none"/>
                      <w:lang w:val="en-US" w:eastAsia="zh-CN" w:bidi="ar"/>
                    </w:rPr>
                    <w:t>30.4</w:t>
                  </w:r>
                  <w:r>
                    <w:rPr>
                      <w:rFonts w:hint="default" w:ascii="Times New Roman" w:hAnsi="Times New Roman" w:eastAsia="宋体" w:cs="Times New Roman"/>
                      <w:b w:val="0"/>
                      <w:bCs w:val="0"/>
                      <w:color w:val="auto"/>
                      <w:kern w:val="0"/>
                      <w:sz w:val="20"/>
                      <w:szCs w:val="20"/>
                      <w:highlight w:val="none"/>
                      <w:lang w:val="en-US" w:eastAsia="zh-CN" w:bidi="ar"/>
                    </w:rPr>
                    <w:t>m</w:t>
                  </w:r>
                </w:p>
              </w:tc>
              <w:tc>
                <w:tcPr>
                  <w:tcW w:w="397" w:type="pct"/>
                  <w:tcBorders>
                    <w:tl2br w:val="nil"/>
                    <w:tr2bl w:val="nil"/>
                  </w:tcBorders>
                  <w:noWrap w:val="0"/>
                  <w:vAlign w:val="center"/>
                </w:tcPr>
                <w:p w14:paraId="77045166">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6</w:t>
                  </w:r>
                </w:p>
              </w:tc>
              <w:tc>
                <w:tcPr>
                  <w:tcW w:w="375" w:type="pct"/>
                  <w:tcBorders>
                    <w:tl2br w:val="nil"/>
                    <w:tr2bl w:val="nil"/>
                  </w:tcBorders>
                  <w:noWrap w:val="0"/>
                  <w:vAlign w:val="center"/>
                </w:tcPr>
                <w:p w14:paraId="5CC9A959">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3</w:t>
                  </w:r>
                </w:p>
              </w:tc>
              <w:tc>
                <w:tcPr>
                  <w:tcW w:w="418" w:type="pct"/>
                  <w:tcBorders>
                    <w:tl2br w:val="nil"/>
                    <w:tr2bl w:val="nil"/>
                  </w:tcBorders>
                  <w:noWrap w:val="0"/>
                  <w:vAlign w:val="center"/>
                </w:tcPr>
                <w:p w14:paraId="782B8F7E">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44</w:t>
                  </w:r>
                </w:p>
              </w:tc>
              <w:tc>
                <w:tcPr>
                  <w:tcW w:w="408" w:type="pct"/>
                  <w:tcBorders>
                    <w:tl2br w:val="nil"/>
                    <w:tr2bl w:val="nil"/>
                  </w:tcBorders>
                  <w:noWrap w:val="0"/>
                  <w:vAlign w:val="center"/>
                </w:tcPr>
                <w:p w14:paraId="0DC852E0">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41</w:t>
                  </w:r>
                </w:p>
              </w:tc>
              <w:tc>
                <w:tcPr>
                  <w:tcW w:w="461" w:type="pct"/>
                  <w:tcBorders>
                    <w:tl2br w:val="nil"/>
                    <w:tr2bl w:val="nil"/>
                  </w:tcBorders>
                  <w:noWrap w:val="0"/>
                  <w:vAlign w:val="center"/>
                </w:tcPr>
                <w:p w14:paraId="2B91BED9">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8</w:t>
                  </w:r>
                </w:p>
              </w:tc>
              <w:tc>
                <w:tcPr>
                  <w:tcW w:w="397" w:type="pct"/>
                  <w:tcBorders>
                    <w:tl2br w:val="nil"/>
                    <w:tr2bl w:val="nil"/>
                  </w:tcBorders>
                  <w:noWrap w:val="0"/>
                  <w:vAlign w:val="center"/>
                </w:tcPr>
                <w:p w14:paraId="0A236ABD">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5</w:t>
                  </w:r>
                </w:p>
              </w:tc>
              <w:tc>
                <w:tcPr>
                  <w:tcW w:w="397" w:type="pct"/>
                  <w:tcBorders>
                    <w:tl2br w:val="nil"/>
                    <w:tr2bl w:val="nil"/>
                  </w:tcBorders>
                  <w:noWrap w:val="0"/>
                  <w:vAlign w:val="center"/>
                </w:tcPr>
                <w:p w14:paraId="72BB05A8">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55</w:t>
                  </w:r>
                </w:p>
              </w:tc>
              <w:tc>
                <w:tcPr>
                  <w:tcW w:w="395" w:type="pct"/>
                  <w:tcBorders>
                    <w:tl2br w:val="nil"/>
                    <w:tr2bl w:val="nil"/>
                  </w:tcBorders>
                  <w:noWrap w:val="0"/>
                  <w:vAlign w:val="center"/>
                </w:tcPr>
                <w:p w14:paraId="2FAB6901">
                  <w:pPr>
                    <w:spacing w:line="240" w:lineRule="exact"/>
                    <w:ind w:left="105" w:leftChars="0" w:hanging="105" w:hanging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45</w:t>
                  </w:r>
                </w:p>
              </w:tc>
            </w:tr>
            <w:tr w14:paraId="0A9F0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gridSpan w:val="11"/>
                  <w:tcBorders>
                    <w:tl2br w:val="nil"/>
                    <w:tr2bl w:val="nil"/>
                  </w:tcBorders>
                  <w:noWrap w:val="0"/>
                  <w:vAlign w:val="center"/>
                </w:tcPr>
                <w:p w14:paraId="1DC05312">
                  <w:pPr>
                    <w:keepNext w:val="0"/>
                    <w:keepLines w:val="0"/>
                    <w:pageBreakBefore w:val="0"/>
                    <w:widowControl w:val="0"/>
                    <w:kinsoku/>
                    <w:wordWrap/>
                    <w:overflowPunct/>
                    <w:topLinePunct w:val="0"/>
                    <w:autoSpaceDE/>
                    <w:autoSpaceDN/>
                    <w:bidi w:val="0"/>
                    <w:adjustRightInd w:val="0"/>
                    <w:snapToGrid w:val="0"/>
                    <w:spacing w:line="240" w:lineRule="auto"/>
                    <w:ind w:left="105" w:leftChars="0" w:hanging="105" w:hangingChars="5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*导线对地最低高度来源于固原龙源电力勘测设计咨询有限公司提供的初步设计文件。</w:t>
                  </w:r>
                </w:p>
              </w:tc>
            </w:tr>
          </w:tbl>
          <w:p w14:paraId="711AE39F">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highlight w:val="yellow"/>
                <w:lang w:eastAsia="zh-CN"/>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输电线路</w:t>
            </w:r>
            <w:r>
              <w:rPr>
                <w:rFonts w:hint="default" w:ascii="Times New Roman" w:hAnsi="Times New Roman" w:eastAsia="宋体" w:cs="Times New Roman"/>
                <w:color w:val="auto"/>
                <w:sz w:val="24"/>
                <w:szCs w:val="24"/>
                <w:highlight w:val="none"/>
              </w:rPr>
              <w:t>声环境敏感目标处的</w:t>
            </w:r>
            <w:r>
              <w:rPr>
                <w:rFonts w:hint="default" w:ascii="Times New Roman" w:hAnsi="Times New Roman" w:eastAsia="宋体" w:cs="Times New Roman"/>
                <w:color w:val="auto"/>
                <w:sz w:val="24"/>
                <w:szCs w:val="24"/>
                <w:highlight w:val="none"/>
                <w:lang w:eastAsia="zh-CN"/>
              </w:rPr>
              <w:t>昼间</w:t>
            </w:r>
            <w:r>
              <w:rPr>
                <w:rFonts w:hint="default" w:ascii="Times New Roman" w:hAnsi="Times New Roman" w:eastAsia="宋体" w:cs="Times New Roman"/>
                <w:color w:val="auto"/>
                <w:sz w:val="24"/>
                <w:szCs w:val="24"/>
                <w:highlight w:val="none"/>
              </w:rPr>
              <w:t>噪声预测</w:t>
            </w:r>
            <w:r>
              <w:rPr>
                <w:rFonts w:hint="default" w:ascii="Times New Roman" w:hAnsi="Times New Roman" w:eastAsia="宋体" w:cs="Times New Roman"/>
                <w:color w:val="auto"/>
                <w:sz w:val="24"/>
                <w:szCs w:val="24"/>
                <w:highlight w:val="none"/>
                <w:lang w:val="en-US" w:eastAsia="zh-CN"/>
              </w:rPr>
              <w:t>最大</w:t>
            </w:r>
            <w:r>
              <w:rPr>
                <w:rFonts w:hint="default" w:ascii="Times New Roman" w:hAnsi="Times New Roman" w:eastAsia="宋体" w:cs="Times New Roman"/>
                <w:color w:val="auto"/>
                <w:sz w:val="24"/>
                <w:szCs w:val="24"/>
                <w:highlight w:val="none"/>
              </w:rPr>
              <w:t>值</w:t>
            </w:r>
            <w:r>
              <w:rPr>
                <w:rFonts w:hint="default" w:ascii="Times New Roman" w:hAnsi="Times New Roman" w:eastAsia="宋体" w:cs="Times New Roman"/>
                <w:color w:val="auto"/>
                <w:sz w:val="24"/>
                <w:szCs w:val="24"/>
                <w:highlight w:val="none"/>
                <w:lang w:val="en-US" w:eastAsia="zh-CN"/>
              </w:rPr>
              <w:t>为48.0</w:t>
            </w:r>
            <w:r>
              <w:rPr>
                <w:rFonts w:hint="default" w:ascii="Times New Roman" w:hAnsi="Times New Roman" w:eastAsia="宋体" w:cs="Times New Roman"/>
                <w:color w:val="auto"/>
                <w:sz w:val="24"/>
                <w:szCs w:val="24"/>
                <w:highlight w:val="none"/>
              </w:rPr>
              <w:t>dB(A)、夜间噪声预测</w:t>
            </w:r>
            <w:r>
              <w:rPr>
                <w:rFonts w:hint="default" w:ascii="Times New Roman" w:hAnsi="Times New Roman" w:eastAsia="宋体" w:cs="Times New Roman"/>
                <w:color w:val="auto"/>
                <w:sz w:val="24"/>
                <w:szCs w:val="24"/>
                <w:highlight w:val="none"/>
                <w:lang w:val="en-US" w:eastAsia="zh-CN"/>
              </w:rPr>
              <w:t>最大</w:t>
            </w:r>
            <w:r>
              <w:rPr>
                <w:rFonts w:hint="default" w:ascii="Times New Roman" w:hAnsi="Times New Roman" w:eastAsia="宋体" w:cs="Times New Roman"/>
                <w:color w:val="auto"/>
                <w:sz w:val="24"/>
                <w:szCs w:val="24"/>
                <w:highlight w:val="none"/>
              </w:rPr>
              <w:t>值</w:t>
            </w:r>
            <w:r>
              <w:rPr>
                <w:rFonts w:hint="default" w:ascii="Times New Roman" w:hAnsi="Times New Roman" w:cs="Times New Roman"/>
                <w:color w:val="auto"/>
                <w:sz w:val="24"/>
                <w:szCs w:val="24"/>
                <w:highlight w:val="none"/>
                <w:lang w:val="en-US" w:eastAsia="zh-CN"/>
              </w:rPr>
              <w:t>为</w:t>
            </w:r>
            <w:r>
              <w:rPr>
                <w:rFonts w:hint="default" w:ascii="Times New Roman" w:hAnsi="Times New Roman" w:eastAsia="宋体" w:cs="Times New Roman"/>
                <w:color w:val="auto"/>
                <w:sz w:val="24"/>
                <w:szCs w:val="24"/>
                <w:highlight w:val="none"/>
                <w:lang w:val="en-US" w:eastAsia="zh-CN"/>
              </w:rPr>
              <w:t>45.0</w:t>
            </w:r>
            <w:r>
              <w:rPr>
                <w:rFonts w:hint="default" w:ascii="Times New Roman" w:hAnsi="Times New Roman" w:eastAsia="宋体" w:cs="Times New Roman"/>
                <w:color w:val="auto"/>
                <w:sz w:val="24"/>
                <w:szCs w:val="24"/>
                <w:highlight w:val="none"/>
              </w:rPr>
              <w:t>dB(A)，均低于《声环境质量标准》（GB3096-2008）中的</w:t>
            </w:r>
            <w:r>
              <w:rPr>
                <w:rFonts w:hint="default"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类标准</w:t>
            </w:r>
            <w:r>
              <w:rPr>
                <w:rFonts w:hint="default" w:ascii="Times New Roman" w:hAnsi="Times New Roman" w:eastAsia="宋体" w:cs="Times New Roman"/>
                <w:color w:val="auto"/>
                <w:sz w:val="24"/>
                <w:szCs w:val="24"/>
                <w:highlight w:val="none"/>
                <w:lang w:val="en-US" w:eastAsia="zh-CN"/>
              </w:rPr>
              <w:t>限值要求（</w:t>
            </w:r>
            <w:r>
              <w:rPr>
                <w:rFonts w:hint="default" w:ascii="Times New Roman" w:hAnsi="Times New Roman" w:cs="Times New Roman"/>
                <w:color w:val="auto"/>
                <w:sz w:val="24"/>
              </w:rPr>
              <w:t>即昼间55B</w:t>
            </w:r>
            <w:r>
              <w:rPr>
                <w:rFonts w:hint="eastAsia" w:cs="Times New Roman"/>
                <w:color w:val="auto"/>
                <w:sz w:val="24"/>
                <w:lang w:eastAsia="zh-CN"/>
              </w:rPr>
              <w:t>(A)</w:t>
            </w:r>
            <w:r>
              <w:rPr>
                <w:rFonts w:hint="default" w:ascii="Times New Roman" w:hAnsi="Times New Roman" w:cs="Times New Roman"/>
                <w:color w:val="auto"/>
                <w:sz w:val="24"/>
              </w:rPr>
              <w:t>、夜间45dB</w:t>
            </w:r>
            <w:r>
              <w:rPr>
                <w:rFonts w:hint="eastAsia" w:cs="Times New Roman"/>
                <w:color w:val="auto"/>
                <w:sz w:val="24"/>
                <w:lang w:eastAsia="zh-CN"/>
              </w:rPr>
              <w:t>(A)</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w:t>
            </w:r>
          </w:p>
          <w:p w14:paraId="1A833F88">
            <w:pPr>
              <w:spacing w:line="360" w:lineRule="auto"/>
              <w:ind w:firstLine="480" w:firstLineChars="200"/>
              <w:rPr>
                <w:rFonts w:hint="default" w:ascii="Times New Roman" w:hAnsi="Times New Roman" w:eastAsia="宋体" w:cs="Times New Roman"/>
                <w:color w:val="auto"/>
                <w:lang w:eastAsia="zh-CN"/>
              </w:rPr>
            </w:pPr>
            <w:r>
              <w:rPr>
                <w:rFonts w:hint="default" w:ascii="Times New Roman" w:hAnsi="Times New Roman" w:cs="Times New Roman"/>
                <w:color w:val="auto"/>
                <w:sz w:val="24"/>
                <w:highlight w:val="none"/>
              </w:rPr>
              <w:t>本次预测仅考虑了噪声距离衰减，因此本次评价的噪声预测值要大于线路实际产生的噪声值</w:t>
            </w:r>
            <w:r>
              <w:rPr>
                <w:rFonts w:hint="default" w:ascii="Times New Roman" w:hAnsi="Times New Roman" w:cs="Times New Roman"/>
                <w:color w:val="auto"/>
                <w:sz w:val="24"/>
                <w:highlight w:val="none"/>
                <w:lang w:eastAsia="zh-CN"/>
              </w:rPr>
              <w:t>。</w:t>
            </w:r>
          </w:p>
          <w:p w14:paraId="36F93BC6">
            <w:pPr>
              <w:spacing w:line="360" w:lineRule="auto"/>
              <w:ind w:firstLine="472" w:firstLineChars="196"/>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地表水环境影响分析</w:t>
            </w:r>
          </w:p>
          <w:p w14:paraId="05F760B5">
            <w:pPr>
              <w:spacing w:line="360" w:lineRule="auto"/>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运营期间隔扩建工程不新增工作人员，不新增生活污水；</w:t>
            </w:r>
            <w:r>
              <w:rPr>
                <w:rFonts w:hint="default" w:ascii="Times New Roman" w:hAnsi="Times New Roman" w:cs="Times New Roman"/>
                <w:color w:val="auto"/>
                <w:sz w:val="24"/>
                <w:highlight w:val="none"/>
              </w:rPr>
              <w:t>输电线路运行期不产生废水，因此不会对地表水环境产生影响。</w:t>
            </w:r>
          </w:p>
          <w:p w14:paraId="43C7A6F6">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4.</w:t>
            </w:r>
            <w:r>
              <w:rPr>
                <w:rFonts w:hint="default" w:ascii="Times New Roman" w:hAnsi="Times New Roman" w:cs="Times New Roman"/>
                <w:b/>
                <w:bCs/>
                <w:color w:val="auto"/>
                <w:sz w:val="24"/>
                <w:highlight w:val="none"/>
              </w:rPr>
              <w:t>固体废物影响分析</w:t>
            </w:r>
          </w:p>
          <w:p w14:paraId="08692291">
            <w:pPr>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运营期间隔扩建工程不新增工作人员，不新增生活垃圾；</w:t>
            </w:r>
            <w:r>
              <w:rPr>
                <w:rFonts w:hint="default" w:ascii="Times New Roman" w:hAnsi="Times New Roman" w:cs="Times New Roman"/>
                <w:color w:val="auto"/>
                <w:sz w:val="24"/>
                <w:highlight w:val="none"/>
              </w:rPr>
              <w:t>输电线路在运行期间只定期进行巡视和检修</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巡检人员所产生的垃圾很少，且严格要求其随身带走，不在当地遗留，因此不会产生固体废物影响。</w:t>
            </w:r>
            <w:r>
              <w:rPr>
                <w:rFonts w:hint="default" w:ascii="Times New Roman" w:hAnsi="Times New Roman" w:cs="Times New Roman"/>
                <w:color w:val="auto"/>
                <w:sz w:val="24"/>
                <w:highlight w:val="none"/>
              </w:rPr>
              <w:br w:type="textWrapping"/>
            </w:r>
            <w:r>
              <w:rPr>
                <w:rFonts w:hint="default" w:ascii="Times New Roman" w:hAnsi="Times New Roman" w:cs="Times New Roman"/>
                <w:color w:val="auto"/>
                <w:sz w:val="24"/>
                <w:highlight w:val="none"/>
                <w:lang w:val="en-US" w:eastAsia="zh-CN"/>
              </w:rPr>
              <w:t xml:space="preserve">    </w:t>
            </w:r>
            <w:r>
              <w:rPr>
                <w:rFonts w:hint="default" w:ascii="Times New Roman" w:hAnsi="Times New Roman" w:eastAsia="宋体" w:cs="Times New Roman"/>
                <w:b/>
                <w:bCs/>
                <w:color w:val="auto"/>
                <w:sz w:val="24"/>
                <w:highlight w:val="none"/>
                <w:lang w:val="en-US" w:eastAsia="zh-CN"/>
              </w:rPr>
              <w:t>5.生态环境影响分析</w:t>
            </w:r>
          </w:p>
          <w:p w14:paraId="32212AE1">
            <w:pPr>
              <w:adjustRightInd w:val="0"/>
              <w:snapToGrid w:val="0"/>
              <w:spacing w:line="360" w:lineRule="auto"/>
              <w:ind w:firstLine="480" w:firstLineChars="200"/>
              <w:rPr>
                <w:rFonts w:hint="default" w:ascii="Times New Roman" w:hAnsi="Times New Roman" w:cs="Times New Roman"/>
                <w:color w:val="auto"/>
                <w:sz w:val="10"/>
                <w:szCs w:val="10"/>
                <w:highlight w:val="none"/>
              </w:rPr>
            </w:pPr>
            <w:r>
              <w:rPr>
                <w:rFonts w:hint="default" w:ascii="Times New Roman" w:hAnsi="Times New Roman" w:cs="Times New Roman"/>
                <w:color w:val="auto"/>
                <w:sz w:val="24"/>
                <w:szCs w:val="24"/>
                <w:highlight w:val="none"/>
                <w:lang w:val="en-US" w:eastAsia="zh-CN"/>
              </w:rPr>
              <w:t>由于施工结束后，项目临时占地均会进行植被恢复，故在施工期损失生物物种量会有所补偿。输电线路主要为塔基占地，运行期不会阻隔动物正常活动。</w:t>
            </w:r>
            <w:r>
              <w:rPr>
                <w:rFonts w:hint="default" w:ascii="Times New Roman" w:hAnsi="Times New Roman" w:eastAsia="宋体" w:cs="Times New Roman"/>
                <w:color w:val="auto"/>
                <w:sz w:val="24"/>
                <w:highlight w:val="none"/>
              </w:rPr>
              <w:t>运营期</w:t>
            </w:r>
            <w:r>
              <w:rPr>
                <w:rFonts w:hint="default" w:ascii="Times New Roman" w:hAnsi="Times New Roman" w:cs="Times New Roman"/>
                <w:color w:val="auto"/>
                <w:sz w:val="24"/>
                <w:highlight w:val="none"/>
              </w:rPr>
              <w:t>线路巡检人员</w:t>
            </w:r>
            <w:r>
              <w:rPr>
                <w:rFonts w:hint="default" w:ascii="Times New Roman" w:hAnsi="Times New Roman" w:cs="Times New Roman"/>
                <w:color w:val="auto"/>
                <w:sz w:val="24"/>
                <w:highlight w:val="none"/>
                <w:lang w:eastAsia="zh-CN"/>
              </w:rPr>
              <w:t>按固定线路巡检</w:t>
            </w:r>
            <w:r>
              <w:rPr>
                <w:rFonts w:hint="default" w:ascii="Times New Roman" w:hAnsi="Times New Roman" w:cs="Times New Roman"/>
                <w:color w:val="auto"/>
                <w:sz w:val="24"/>
                <w:highlight w:val="none"/>
              </w:rPr>
              <w:t>，定期对沿线生态保护和防护措施进行检查，跟踪生态保护与恢复效果</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szCs w:val="24"/>
                <w:highlight w:val="none"/>
                <w:lang w:val="en-US" w:eastAsia="zh-CN"/>
              </w:rPr>
              <w:t>因此，运行期随着临时占地的逐步恢复，运行期对生态环境的影响很小。</w:t>
            </w:r>
          </w:p>
        </w:tc>
      </w:tr>
      <w:tr w14:paraId="31068D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9" w:type="dxa"/>
            <w:tcBorders>
              <w:tl2br w:val="nil"/>
              <w:tr2bl w:val="nil"/>
            </w:tcBorders>
            <w:noWrap w:val="0"/>
            <w:vAlign w:val="center"/>
          </w:tcPr>
          <w:p w14:paraId="7078B5F0">
            <w:pPr>
              <w:pStyle w:val="29"/>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bCs/>
                <w:color w:val="auto"/>
                <w:kern w:val="2"/>
                <w:highlight w:val="none"/>
              </w:rPr>
              <w:t>选址选线环境合理性分析</w:t>
            </w:r>
          </w:p>
        </w:tc>
        <w:tc>
          <w:tcPr>
            <w:tcW w:w="8595" w:type="dxa"/>
            <w:tcBorders>
              <w:tl2br w:val="nil"/>
              <w:tr2bl w:val="nil"/>
            </w:tcBorders>
            <w:noWrap w:val="0"/>
            <w:vAlign w:val="top"/>
          </w:tcPr>
          <w:p w14:paraId="5ECD663D">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本</w:t>
            </w:r>
            <w:r>
              <w:rPr>
                <w:rFonts w:hint="default" w:ascii="Times New Roman" w:hAnsi="Times New Roman" w:cs="Times New Roman"/>
                <w:color w:val="auto"/>
                <w:sz w:val="24"/>
                <w:highlight w:val="none"/>
              </w:rPr>
              <w:t>项目新建</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val="en-US" w:eastAsia="zh-CN"/>
              </w:rPr>
              <w:t>千伏</w:t>
            </w:r>
            <w:r>
              <w:rPr>
                <w:rFonts w:hint="default" w:ascii="Times New Roman" w:hAnsi="Times New Roman" w:eastAsia="宋体" w:cs="Times New Roman"/>
                <w:color w:val="auto"/>
                <w:sz w:val="24"/>
                <w:highlight w:val="none"/>
              </w:rPr>
              <w:t>线路长</w:t>
            </w:r>
            <w:r>
              <w:rPr>
                <w:rFonts w:hint="default" w:ascii="Times New Roman" w:hAnsi="Times New Roman" w:eastAsia="宋体" w:cs="Times New Roman"/>
                <w:color w:val="auto"/>
                <w:sz w:val="24"/>
                <w:highlight w:val="none"/>
                <w:lang w:val="en-US" w:eastAsia="zh-CN"/>
              </w:rPr>
              <w:t>24.2</w:t>
            </w:r>
            <w:r>
              <w:rPr>
                <w:rFonts w:hint="default" w:ascii="Times New Roman" w:hAnsi="Times New Roman" w:eastAsia="宋体" w:cs="Times New Roman"/>
                <w:color w:val="auto"/>
                <w:sz w:val="24"/>
                <w:highlight w:val="none"/>
                <w:lang w:eastAsia="zh-CN"/>
              </w:rPr>
              <w:t>km</w:t>
            </w:r>
            <w:r>
              <w:rPr>
                <w:rFonts w:hint="default" w:ascii="Times New Roman" w:hAnsi="Times New Roman" w:cs="Times New Roman"/>
                <w:color w:val="auto"/>
                <w:sz w:val="24"/>
                <w:highlight w:val="none"/>
              </w:rPr>
              <w:t>，位于</w:t>
            </w:r>
            <w:r>
              <w:rPr>
                <w:rFonts w:hint="default" w:ascii="Times New Roman" w:hAnsi="Times New Roman" w:cs="Times New Roman"/>
                <w:color w:val="auto"/>
                <w:sz w:val="24"/>
                <w:highlight w:val="none"/>
                <w:lang w:eastAsia="zh-CN"/>
              </w:rPr>
              <w:t>宁夏回族自治区固原市原州区、彭阳县</w:t>
            </w:r>
            <w:r>
              <w:rPr>
                <w:rFonts w:hint="default" w:ascii="Times New Roman" w:hAnsi="Times New Roman" w:cs="Times New Roman"/>
                <w:color w:val="auto"/>
                <w:sz w:val="24"/>
                <w:highlight w:val="none"/>
              </w:rPr>
              <w:t>，线路路径方案经比选论证后确定方案</w:t>
            </w:r>
            <w:r>
              <w:rPr>
                <w:rFonts w:hint="default" w:ascii="Times New Roman" w:hAnsi="Times New Roman" w:cs="Times New Roman"/>
                <w:color w:val="auto"/>
                <w:sz w:val="24"/>
                <w:highlight w:val="none"/>
                <w:lang w:val="en-US" w:eastAsia="zh-CN"/>
              </w:rPr>
              <w:t>一</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推荐方案</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，线路路径选择及设计已取得沿线</w:t>
            </w:r>
            <w:r>
              <w:rPr>
                <w:rFonts w:hint="default" w:ascii="Times New Roman" w:hAnsi="Times New Roman" w:cs="Times New Roman"/>
                <w:color w:val="auto"/>
                <w:sz w:val="24"/>
                <w:highlight w:val="none"/>
                <w:lang w:val="en-US" w:eastAsia="zh-CN"/>
              </w:rPr>
              <w:t>有关政府</w:t>
            </w:r>
            <w:r>
              <w:rPr>
                <w:rFonts w:hint="default" w:ascii="Times New Roman" w:hAnsi="Times New Roman" w:cs="Times New Roman"/>
                <w:color w:val="auto"/>
                <w:sz w:val="24"/>
                <w:highlight w:val="none"/>
              </w:rPr>
              <w:t>部门的意见</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原则同意方案</w:t>
            </w:r>
            <w:r>
              <w:rPr>
                <w:rFonts w:hint="default" w:ascii="Times New Roman" w:hAnsi="Times New Roman" w:cs="Times New Roman"/>
                <w:color w:val="auto"/>
                <w:sz w:val="24"/>
                <w:highlight w:val="none"/>
                <w:lang w:val="en-US" w:eastAsia="zh-CN"/>
              </w:rPr>
              <w:t>一</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推荐方案</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的路径</w:t>
            </w:r>
            <w:r>
              <w:rPr>
                <w:rFonts w:hint="default" w:ascii="Times New Roman" w:hAnsi="Times New Roman" w:cs="Times New Roman"/>
                <w:color w:val="auto"/>
                <w:sz w:val="24"/>
                <w:highlight w:val="none"/>
                <w:lang w:eastAsia="zh-CN"/>
              </w:rPr>
              <w:t>。</w:t>
            </w:r>
          </w:p>
          <w:p w14:paraId="28EBBEEB">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lang w:val="en-US" w:eastAsia="zh-CN"/>
              </w:rPr>
              <w:t>除云雾山330千伏变电站出线第一基采用双回路铁塔，其余均采用单回路架设，</w:t>
            </w:r>
            <w:r>
              <w:rPr>
                <w:rFonts w:hint="default" w:ascii="Times New Roman" w:hAnsi="Times New Roman" w:cs="Times New Roman"/>
                <w:color w:val="auto"/>
                <w:sz w:val="24"/>
                <w:highlight w:val="none"/>
                <w:lang w:val="en-US" w:eastAsia="zh-CN"/>
              </w:rPr>
              <w:t>同塔双回架设线路长1×0.050km，单侧挂线，另一侧预留</w:t>
            </w:r>
            <w:r>
              <w:rPr>
                <w:rFonts w:hint="default" w:ascii="Times New Roman" w:hAnsi="Times New Roman" w:cs="Times New Roman"/>
                <w:color w:val="auto"/>
                <w:sz w:val="24"/>
                <w:szCs w:val="24"/>
                <w:highlight w:val="none"/>
                <w:lang w:val="en-US" w:eastAsia="zh-CN"/>
              </w:rPr>
              <w:t>，双回路段无路径比选方案，路径唯一。</w:t>
            </w:r>
          </w:p>
          <w:p w14:paraId="69C35147">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80" w:firstLineChars="20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本项目</w:t>
            </w:r>
            <w:r>
              <w:rPr>
                <w:rFonts w:hint="default" w:ascii="Times New Roman" w:hAnsi="Times New Roman" w:eastAsia="宋体" w:cs="Times New Roman"/>
                <w:snapToGrid w:val="0"/>
                <w:color w:val="auto"/>
                <w:kern w:val="0"/>
                <w:sz w:val="24"/>
                <w:highlight w:val="none"/>
                <w:lang w:val="en-US" w:eastAsia="zh-CN"/>
              </w:rPr>
              <w:t>不涉及饮用水水源保护区、饮用水取水口，涉水的自然保护区、风景名胜区，重要湿地、重点保护与珍稀水生生物的栖息地、重要水生生物的自然产卵场及索饵场、越冬场和洄游通道，天然渔场等渔业水体，以及水产种质资源保护区等</w:t>
            </w:r>
            <w:r>
              <w:rPr>
                <w:rFonts w:hint="default" w:ascii="Times New Roman" w:hAnsi="Times New Roman" w:cs="Times New Roman"/>
                <w:snapToGrid w:val="0"/>
                <w:color w:val="auto"/>
                <w:kern w:val="0"/>
                <w:sz w:val="24"/>
                <w:highlight w:val="none"/>
                <w:lang w:val="en-US" w:eastAsia="zh-CN"/>
              </w:rPr>
              <w:t>水环境保护目标</w:t>
            </w:r>
            <w:r>
              <w:rPr>
                <w:rFonts w:hint="default" w:ascii="Times New Roman" w:hAnsi="Times New Roman" w:eastAsia="宋体" w:cs="Times New Roman"/>
                <w:color w:val="auto"/>
                <w:sz w:val="24"/>
                <w:szCs w:val="24"/>
                <w:highlight w:val="none"/>
                <w:lang w:eastAsia="zh-CN"/>
              </w:rPr>
              <w:t>。</w:t>
            </w:r>
          </w:p>
          <w:p w14:paraId="07421298">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2"/>
                <w:szCs w:val="28"/>
                <w:highlight w:val="none"/>
                <w:lang w:val="en-US" w:eastAsia="zh-CN"/>
              </w:rPr>
            </w:pPr>
            <w:r>
              <w:rPr>
                <w:rFonts w:hint="default" w:ascii="Times New Roman" w:hAnsi="Times New Roman" w:cs="Times New Roman"/>
                <w:color w:val="auto"/>
                <w:sz w:val="24"/>
                <w:highlight w:val="none"/>
                <w:lang w:val="en-US" w:eastAsia="zh-CN"/>
              </w:rPr>
              <w:t>云雾山330千伏变电站</w:t>
            </w:r>
            <w:r>
              <w:rPr>
                <w:rFonts w:hint="eastAsia" w:cs="Times New Roman"/>
                <w:color w:val="auto"/>
                <w:sz w:val="24"/>
                <w:highlight w:val="none"/>
                <w:lang w:val="en-US" w:eastAsia="zh-CN"/>
              </w:rPr>
              <w:t>间隔扩建工程和</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val="en-US" w:eastAsia="zh-CN"/>
              </w:rPr>
              <w:t>千伏输电线路</w:t>
            </w:r>
            <w:r>
              <w:rPr>
                <w:rFonts w:hint="eastAsia" w:cs="Times New Roman"/>
                <w:color w:val="auto"/>
                <w:sz w:val="24"/>
                <w:highlight w:val="none"/>
                <w:lang w:val="en-US" w:eastAsia="zh-CN"/>
              </w:rPr>
              <w:t>工程</w:t>
            </w:r>
            <w:r>
              <w:rPr>
                <w:rFonts w:hint="default" w:ascii="Times New Roman" w:hAnsi="Times New Roman" w:cs="Times New Roman"/>
                <w:color w:val="auto"/>
                <w:sz w:val="24"/>
                <w:highlight w:val="none"/>
                <w:lang w:val="en-US" w:eastAsia="zh-CN"/>
              </w:rPr>
              <w:t>生态影响</w:t>
            </w:r>
            <w:r>
              <w:rPr>
                <w:rFonts w:hint="default" w:ascii="Times New Roman" w:hAnsi="Times New Roman" w:cs="Times New Roman"/>
                <w:bCs/>
                <w:color w:val="auto"/>
                <w:sz w:val="24"/>
                <w:highlight w:val="none"/>
              </w:rPr>
              <w:t>评价范围内不涉及</w:t>
            </w:r>
            <w:r>
              <w:rPr>
                <w:rFonts w:hint="default" w:ascii="Times New Roman" w:hAnsi="Times New Roman" w:cs="Times New Roman"/>
                <w:snapToGrid w:val="0"/>
                <w:color w:val="auto"/>
                <w:kern w:val="0"/>
                <w:sz w:val="24"/>
                <w:highlight w:val="none"/>
                <w:lang w:val="en-US" w:eastAsia="zh-CN"/>
              </w:rPr>
              <w:t>国家公园、</w:t>
            </w:r>
            <w:r>
              <w:rPr>
                <w:rFonts w:hint="default" w:ascii="Times New Roman" w:hAnsi="Times New Roman" w:cs="Times New Roman"/>
                <w:snapToGrid w:val="0"/>
                <w:color w:val="auto"/>
                <w:kern w:val="0"/>
                <w:sz w:val="24"/>
                <w:highlight w:val="none"/>
              </w:rPr>
              <w:t>自然保护区</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lang w:val="en-US" w:eastAsia="zh-CN"/>
              </w:rPr>
              <w:t>自然公园等自然保护地、世界自然遗产等生态敏感</w:t>
            </w:r>
            <w:r>
              <w:rPr>
                <w:rFonts w:hint="default" w:ascii="Times New Roman" w:hAnsi="Times New Roman" w:cs="Times New Roman"/>
                <w:snapToGrid w:val="0"/>
                <w:color w:val="auto"/>
                <w:kern w:val="0"/>
                <w:sz w:val="24"/>
                <w:highlight w:val="none"/>
              </w:rPr>
              <w:t>区</w:t>
            </w:r>
            <w:r>
              <w:rPr>
                <w:rFonts w:hint="default" w:ascii="Times New Roman" w:hAnsi="Times New Roman" w:cs="Times New Roman"/>
                <w:snapToGrid w:val="0"/>
                <w:color w:val="auto"/>
                <w:kern w:val="0"/>
                <w:sz w:val="24"/>
                <w:highlight w:val="none"/>
                <w:lang w:val="en-US" w:eastAsia="zh-CN"/>
              </w:rPr>
              <w:t>域，也</w:t>
            </w:r>
            <w:r>
              <w:rPr>
                <w:rFonts w:hint="default" w:ascii="Times New Roman" w:hAnsi="Times New Roman" w:cs="Times New Roman"/>
                <w:snapToGrid w:val="0"/>
                <w:color w:val="auto"/>
                <w:kern w:val="0"/>
                <w:sz w:val="24"/>
                <w:highlight w:val="none"/>
              </w:rPr>
              <w:t>不涉及重要物种的天然集中分布区、栖息地</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rPr>
              <w:t>重要水生生物的产卵场、索饵场、越冬场和洄游通道</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rPr>
              <w:t>迁徙鸟类的重要繁殖地、停歇地、越冬地以及野生动物迁徙通道等</w:t>
            </w:r>
            <w:r>
              <w:rPr>
                <w:rFonts w:hint="default" w:ascii="Times New Roman" w:hAnsi="Times New Roman" w:cs="Times New Roman"/>
                <w:snapToGrid w:val="0"/>
                <w:color w:val="auto"/>
                <w:kern w:val="0"/>
                <w:sz w:val="24"/>
                <w:highlight w:val="none"/>
                <w:lang w:val="en-US" w:eastAsia="zh-CN"/>
              </w:rPr>
              <w:t>重要生境，不涉及</w:t>
            </w:r>
            <w:r>
              <w:rPr>
                <w:rFonts w:hint="default" w:ascii="Times New Roman" w:hAnsi="Times New Roman" w:cs="Times New Roman"/>
                <w:snapToGrid w:val="0"/>
                <w:color w:val="auto"/>
                <w:kern w:val="0"/>
                <w:sz w:val="24"/>
                <w:highlight w:val="none"/>
              </w:rPr>
              <w:t>重要物种以及其他需要保护的物种、种群、生物群落及生态空间等生态保护目标</w:t>
            </w:r>
            <w:r>
              <w:rPr>
                <w:rFonts w:hint="eastAsia" w:cs="Times New Roman"/>
                <w:snapToGrid w:val="0"/>
                <w:color w:val="auto"/>
                <w:kern w:val="0"/>
                <w:sz w:val="24"/>
                <w:highlight w:val="none"/>
                <w:lang w:eastAsia="zh-CN"/>
              </w:rPr>
              <w:t>。</w:t>
            </w:r>
            <w:r>
              <w:rPr>
                <w:rFonts w:hint="default" w:ascii="Times New Roman" w:hAnsi="Times New Roman" w:cs="Times New Roman"/>
                <w:color w:val="auto"/>
                <w:sz w:val="24"/>
                <w:highlight w:val="none"/>
                <w:lang w:val="en-US" w:eastAsia="zh-CN"/>
              </w:rPr>
              <w:t>云雾山330千伏变电站</w:t>
            </w:r>
            <w:r>
              <w:rPr>
                <w:rFonts w:hint="eastAsia" w:cs="Times New Roman"/>
                <w:color w:val="auto"/>
                <w:sz w:val="24"/>
                <w:highlight w:val="none"/>
                <w:lang w:val="en-US" w:eastAsia="zh-CN"/>
              </w:rPr>
              <w:t>间隔扩建工程生态影响评价范围内涉及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color w:val="auto"/>
                <w:sz w:val="24"/>
                <w:highlight w:val="none"/>
                <w:lang w:val="en-US" w:eastAsia="zh-CN"/>
              </w:rPr>
              <w:t>，但本次间隔扩建工程仅为站内施工，不在站外设置永久或临时占地，因此对站外</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bCs/>
                <w:color w:val="auto"/>
                <w:sz w:val="24"/>
                <w:szCs w:val="24"/>
                <w:highlight w:val="none"/>
                <w:lang w:val="en-US" w:eastAsia="zh-CN"/>
              </w:rPr>
              <w:t>影响轻微；</w:t>
            </w:r>
            <w:r>
              <w:rPr>
                <w:rFonts w:hint="default" w:ascii="Times New Roman" w:hAnsi="Times New Roman" w:eastAsia="宋体" w:cs="Times New Roman"/>
                <w:color w:val="auto"/>
                <w:sz w:val="24"/>
                <w:szCs w:val="24"/>
                <w:highlight w:val="none"/>
                <w:lang w:val="en-US" w:eastAsia="zh-CN"/>
              </w:rPr>
              <w:t>输电线路穿越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bCs/>
                <w:color w:val="auto"/>
                <w:sz w:val="24"/>
                <w:szCs w:val="24"/>
                <w:highlight w:val="none"/>
                <w:lang w:val="en-US" w:eastAsia="zh-CN"/>
              </w:rPr>
              <w:t>10.514</w:t>
            </w:r>
            <w:r>
              <w:rPr>
                <w:rFonts w:hint="default" w:ascii="Times New Roman" w:hAnsi="Times New Roman" w:cs="Times New Roman"/>
                <w:bCs/>
                <w:color w:val="auto"/>
                <w:sz w:val="24"/>
                <w:szCs w:val="24"/>
                <w:highlight w:val="none"/>
                <w:lang w:val="en-US" w:eastAsia="zh-CN"/>
              </w:rPr>
              <w:t>km，</w:t>
            </w:r>
            <w:r>
              <w:rPr>
                <w:rFonts w:hint="default" w:ascii="Times New Roman" w:hAnsi="Times New Roman" w:cs="Times New Roman"/>
                <w:color w:val="auto"/>
                <w:sz w:val="24"/>
                <w:szCs w:val="24"/>
                <w:highlight w:val="none"/>
                <w:lang w:val="en-US" w:eastAsia="zh-CN"/>
              </w:rPr>
              <w:t>红线内立塔3</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基，在红线内总占地面积3.1696hm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vertAlign w:val="baseline"/>
                <w:lang w:val="en-US" w:eastAsia="zh-CN"/>
              </w:rPr>
              <w:t>，由于输电线路属于线性基础设施，属于仅允许对生态功能不造成破坏的9大类有限人为活动中的第6种情形：“必须且无法避让、符合县级以上国土空间规划的线性基础设施建设、防洪和供水设施建设与运行维护”，已于202</w:t>
            </w:r>
            <w:r>
              <w:rPr>
                <w:rFonts w:hint="eastAsia" w:cs="Times New Roman"/>
                <w:color w:val="auto"/>
                <w:sz w:val="24"/>
                <w:szCs w:val="24"/>
                <w:highlight w:val="none"/>
                <w:vertAlign w:val="baseline"/>
                <w:lang w:val="en-US" w:eastAsia="zh-CN"/>
              </w:rPr>
              <w:t>6</w:t>
            </w:r>
            <w:r>
              <w:rPr>
                <w:rFonts w:hint="default" w:ascii="Times New Roman" w:hAnsi="Times New Roman" w:cs="Times New Roman"/>
                <w:color w:val="auto"/>
                <w:sz w:val="24"/>
                <w:szCs w:val="24"/>
                <w:highlight w:val="none"/>
                <w:vertAlign w:val="baseline"/>
                <w:lang w:val="en-US" w:eastAsia="zh-CN"/>
              </w:rPr>
              <w:t>年</w:t>
            </w:r>
            <w:r>
              <w:rPr>
                <w:rFonts w:hint="eastAsia" w:cs="Times New Roman"/>
                <w:color w:val="auto"/>
                <w:sz w:val="24"/>
                <w:szCs w:val="24"/>
                <w:highlight w:val="none"/>
                <w:vertAlign w:val="baseline"/>
                <w:lang w:val="en-US" w:eastAsia="zh-CN"/>
              </w:rPr>
              <w:t>X</w:t>
            </w:r>
            <w:r>
              <w:rPr>
                <w:rFonts w:hint="default" w:ascii="Times New Roman" w:hAnsi="Times New Roman" w:cs="Times New Roman"/>
                <w:color w:val="auto"/>
                <w:sz w:val="24"/>
                <w:szCs w:val="24"/>
                <w:highlight w:val="none"/>
                <w:vertAlign w:val="baseline"/>
                <w:lang w:val="en-US" w:eastAsia="zh-CN"/>
              </w:rPr>
              <w:t>月</w:t>
            </w:r>
            <w:r>
              <w:rPr>
                <w:rFonts w:hint="eastAsia" w:cs="Times New Roman"/>
                <w:color w:val="auto"/>
                <w:sz w:val="24"/>
                <w:szCs w:val="24"/>
                <w:highlight w:val="none"/>
                <w:vertAlign w:val="baseline"/>
                <w:lang w:val="en-US" w:eastAsia="zh-CN"/>
              </w:rPr>
              <w:t>X</w:t>
            </w:r>
            <w:r>
              <w:rPr>
                <w:rFonts w:hint="default" w:ascii="Times New Roman" w:hAnsi="Times New Roman" w:cs="Times New Roman"/>
                <w:color w:val="auto"/>
                <w:sz w:val="24"/>
                <w:szCs w:val="24"/>
                <w:highlight w:val="none"/>
                <w:vertAlign w:val="baseline"/>
                <w:lang w:val="en-US" w:eastAsia="zh-CN"/>
              </w:rPr>
              <w:t>日取得固原市人民政府关于认定宁夏固原华电彭阳200兆瓦风电项目110千伏送出工程临时用地符合生态保护红线内允许有限人为活动的意见。</w:t>
            </w:r>
          </w:p>
          <w:p w14:paraId="4835494A">
            <w:pPr>
              <w:autoSpaceDE w:val="0"/>
              <w:autoSpaceDN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cs="Times New Roman"/>
                <w:color w:val="auto"/>
                <w:sz w:val="24"/>
                <w:highlight w:val="none"/>
              </w:rPr>
              <w:t>线路优化设计，架空</w:t>
            </w:r>
            <w:r>
              <w:rPr>
                <w:rFonts w:hint="default" w:ascii="Times New Roman" w:hAnsi="Times New Roman" w:cs="Times New Roman"/>
                <w:color w:val="auto"/>
                <w:sz w:val="24"/>
                <w:highlight w:val="none"/>
                <w:lang w:val="en-US" w:eastAsia="zh-CN"/>
              </w:rPr>
              <w:t>线路沿规划的云雾山变-王洼变规划线路内侧建设，减少新开辟走廊，采用同塔双回路单侧挂线和</w:t>
            </w:r>
            <w:r>
              <w:rPr>
                <w:rFonts w:hint="default" w:ascii="Times New Roman" w:hAnsi="Times New Roman" w:cs="Times New Roman"/>
                <w:color w:val="auto"/>
                <w:sz w:val="24"/>
                <w:highlight w:val="none"/>
              </w:rPr>
              <w:t>单回路</w:t>
            </w:r>
            <w:r>
              <w:rPr>
                <w:rFonts w:hint="default" w:ascii="Times New Roman" w:hAnsi="Times New Roman" w:cs="Times New Roman"/>
                <w:color w:val="auto"/>
                <w:sz w:val="24"/>
                <w:highlight w:val="none"/>
                <w:lang w:val="en-US" w:eastAsia="zh-CN"/>
              </w:rPr>
              <w:t>杆塔</w:t>
            </w:r>
            <w:r>
              <w:rPr>
                <w:rFonts w:hint="default" w:ascii="Times New Roman" w:hAnsi="Times New Roman" w:cs="Times New Roman"/>
                <w:color w:val="auto"/>
                <w:sz w:val="24"/>
                <w:highlight w:val="none"/>
              </w:rPr>
              <w:t>架设</w:t>
            </w:r>
            <w:r>
              <w:rPr>
                <w:rFonts w:hint="default" w:ascii="Times New Roman" w:hAnsi="Times New Roman" w:cs="Times New Roman"/>
                <w:color w:val="auto"/>
                <w:sz w:val="24"/>
                <w:highlight w:val="none"/>
                <w:lang w:val="en-US" w:eastAsia="zh-CN"/>
              </w:rPr>
              <w:t>两种型式</w:t>
            </w:r>
            <w:r>
              <w:rPr>
                <w:rFonts w:hint="default" w:ascii="Times New Roman" w:hAnsi="Times New Roman" w:cs="Times New Roman"/>
                <w:color w:val="auto"/>
                <w:sz w:val="24"/>
                <w:highlight w:val="none"/>
              </w:rPr>
              <w:t>，塔基</w:t>
            </w:r>
            <w:r>
              <w:rPr>
                <w:rFonts w:hint="default" w:ascii="Times New Roman" w:hAnsi="Times New Roman" w:cs="Times New Roman"/>
                <w:bCs/>
                <w:color w:val="auto"/>
                <w:sz w:val="24"/>
                <w:highlight w:val="none"/>
              </w:rPr>
              <w:t>采用</w:t>
            </w:r>
            <w:r>
              <w:rPr>
                <w:rFonts w:hint="default" w:ascii="Times New Roman" w:hAnsi="Times New Roman" w:cs="Times New Roman"/>
                <w:bCs/>
                <w:color w:val="auto"/>
                <w:sz w:val="24"/>
                <w:szCs w:val="24"/>
                <w:highlight w:val="none"/>
                <w:lang w:val="en-US" w:eastAsia="zh-CN"/>
              </w:rPr>
              <w:t>挖孔桩基础进行</w:t>
            </w:r>
            <w:r>
              <w:rPr>
                <w:rFonts w:hint="default" w:ascii="Times New Roman" w:hAnsi="Times New Roman" w:cs="Times New Roman"/>
                <w:bCs/>
                <w:color w:val="auto"/>
                <w:sz w:val="24"/>
                <w:highlight w:val="none"/>
              </w:rPr>
              <w:t>施工，</w:t>
            </w:r>
            <w:r>
              <w:rPr>
                <w:rFonts w:hint="default" w:ascii="Times New Roman" w:hAnsi="Times New Roman" w:cs="Times New Roman"/>
                <w:color w:val="auto"/>
                <w:sz w:val="24"/>
                <w:highlight w:val="none"/>
              </w:rPr>
              <w:t>减少土地占用</w:t>
            </w:r>
            <w:r>
              <w:rPr>
                <w:rFonts w:hint="default" w:ascii="Times New Roman" w:hAnsi="Times New Roman" w:cs="Times New Roman"/>
                <w:color w:val="auto"/>
                <w:sz w:val="24"/>
                <w:highlight w:val="none"/>
                <w:lang w:val="en-US" w:eastAsia="zh-CN"/>
              </w:rPr>
              <w:t>和</w:t>
            </w:r>
            <w:r>
              <w:rPr>
                <w:rFonts w:hint="default" w:ascii="Times New Roman" w:hAnsi="Times New Roman" w:cs="Times New Roman"/>
                <w:color w:val="auto"/>
                <w:sz w:val="24"/>
                <w:highlight w:val="none"/>
              </w:rPr>
              <w:t>土石方产生量，土壤扰动相对较小。</w:t>
            </w:r>
            <w:r>
              <w:rPr>
                <w:rFonts w:hint="default" w:ascii="Times New Roman" w:hAnsi="Times New Roman" w:cs="Times New Roman"/>
                <w:color w:val="auto"/>
                <w:sz w:val="24"/>
                <w:highlight w:val="none"/>
                <w:lang w:val="en-US" w:eastAsia="zh-CN"/>
              </w:rPr>
              <w:t>根据</w:t>
            </w:r>
            <w:r>
              <w:rPr>
                <w:rFonts w:hint="default" w:ascii="Times New Roman" w:hAnsi="Times New Roman" w:cs="Times New Roman"/>
                <w:color w:val="auto"/>
                <w:sz w:val="24"/>
                <w:highlight w:val="none"/>
              </w:rPr>
              <w:t>现状监测可知，本项目声环境、电磁环境均</w:t>
            </w:r>
            <w:r>
              <w:rPr>
                <w:rFonts w:hint="default" w:ascii="Times New Roman" w:hAnsi="Times New Roman" w:cs="Times New Roman"/>
                <w:bCs/>
                <w:color w:val="auto"/>
                <w:sz w:val="24"/>
                <w:highlight w:val="none"/>
              </w:rPr>
              <w:t>满足相应标准要求</w:t>
            </w:r>
            <w:r>
              <w:rPr>
                <w:rFonts w:hint="default" w:ascii="Times New Roman" w:hAnsi="Times New Roman" w:cs="Times New Roman"/>
                <w:bCs/>
                <w:color w:val="auto"/>
                <w:sz w:val="24"/>
                <w:highlight w:val="none"/>
                <w:lang w:eastAsia="zh-CN"/>
              </w:rPr>
              <w:t>，</w:t>
            </w:r>
            <w:r>
              <w:rPr>
                <w:rFonts w:hint="default" w:ascii="Times New Roman" w:hAnsi="Times New Roman" w:cs="Times New Roman"/>
                <w:color w:val="auto"/>
                <w:sz w:val="24"/>
                <w:highlight w:val="none"/>
              </w:rPr>
              <w:t>运行期无</w:t>
            </w:r>
            <w:r>
              <w:rPr>
                <w:rFonts w:hint="default" w:ascii="Times New Roman" w:hAnsi="Times New Roman" w:cs="Times New Roman"/>
                <w:color w:val="auto"/>
                <w:sz w:val="24"/>
                <w:highlight w:val="none"/>
                <w:lang w:val="en-US" w:eastAsia="zh-CN"/>
              </w:rPr>
              <w:t>扬尘</w:t>
            </w:r>
            <w:r>
              <w:rPr>
                <w:rFonts w:hint="default" w:ascii="Times New Roman" w:hAnsi="Times New Roman" w:cs="Times New Roman"/>
                <w:color w:val="auto"/>
                <w:sz w:val="24"/>
                <w:highlight w:val="none"/>
              </w:rPr>
              <w:t>、废水、固体废物产生</w:t>
            </w:r>
            <w:r>
              <w:rPr>
                <w:rFonts w:hint="default" w:ascii="Times New Roman" w:hAnsi="Times New Roman" w:cs="Times New Roman"/>
                <w:color w:val="auto"/>
                <w:sz w:val="24"/>
                <w:highlight w:val="none"/>
                <w:lang w:eastAsia="zh-CN"/>
              </w:rPr>
              <w:t>，对</w:t>
            </w:r>
            <w:r>
              <w:rPr>
                <w:rFonts w:hint="default" w:ascii="Times New Roman" w:hAnsi="Times New Roman" w:cs="Times New Roman"/>
                <w:color w:val="auto"/>
                <w:sz w:val="24"/>
                <w:highlight w:val="none"/>
              </w:rPr>
              <w:t>电磁和噪声影响均能实现达标排放，对环境影响较小。</w:t>
            </w:r>
          </w:p>
          <w:p w14:paraId="4267A971">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本工程与《输变电建设项目环境保护技术要求》</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HJ1113-2020</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的符合性见表</w:t>
            </w:r>
            <w:r>
              <w:rPr>
                <w:rFonts w:hint="default" w:ascii="Times New Roman" w:hAnsi="Times New Roman" w:cs="Times New Roman"/>
                <w:bCs/>
                <w:color w:val="auto"/>
                <w:sz w:val="24"/>
                <w:highlight w:val="none"/>
                <w:lang w:val="en-US" w:eastAsia="zh-CN"/>
              </w:rPr>
              <w:t>4-</w:t>
            </w:r>
            <w:r>
              <w:rPr>
                <w:rFonts w:hint="eastAsia" w:cs="Times New Roman"/>
                <w:bCs/>
                <w:color w:val="auto"/>
                <w:sz w:val="24"/>
                <w:highlight w:val="none"/>
                <w:lang w:val="en-US" w:eastAsia="zh-CN"/>
              </w:rPr>
              <w:t>18</w:t>
            </w:r>
            <w:r>
              <w:rPr>
                <w:rFonts w:hint="default" w:ascii="Times New Roman" w:hAnsi="Times New Roman" w:cs="Times New Roman"/>
                <w:bCs/>
                <w:color w:val="auto"/>
                <w:sz w:val="24"/>
                <w:highlight w:val="none"/>
              </w:rPr>
              <w:t>。</w:t>
            </w:r>
          </w:p>
          <w:p w14:paraId="276FC3CE">
            <w:pPr>
              <w:spacing w:line="240" w:lineRule="auto"/>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表</w:t>
            </w:r>
            <w:r>
              <w:rPr>
                <w:rFonts w:hint="default" w:ascii="Times New Roman" w:hAnsi="Times New Roman" w:cs="Times New Roman"/>
                <w:b/>
                <w:bCs/>
                <w:color w:val="auto"/>
                <w:sz w:val="24"/>
                <w:highlight w:val="none"/>
                <w:lang w:val="en-US" w:eastAsia="zh-CN"/>
              </w:rPr>
              <w:t>4-</w:t>
            </w:r>
            <w:r>
              <w:rPr>
                <w:rFonts w:hint="eastAsia" w:cs="Times New Roman"/>
                <w:b/>
                <w:bCs/>
                <w:color w:val="auto"/>
                <w:sz w:val="24"/>
                <w:highlight w:val="none"/>
                <w:lang w:val="en-US" w:eastAsia="zh-CN"/>
              </w:rPr>
              <w:t>18</w:t>
            </w:r>
            <w:r>
              <w:rPr>
                <w:rFonts w:hint="default" w:ascii="Times New Roman" w:hAnsi="Times New Roman" w:cs="Times New Roman"/>
                <w:b/>
                <w:bCs/>
                <w:color w:val="auto"/>
                <w:sz w:val="24"/>
                <w:highlight w:val="none"/>
                <w:lang w:val="en-US" w:eastAsia="zh-CN"/>
              </w:rPr>
              <w:t xml:space="preserve">  </w:t>
            </w:r>
            <w:r>
              <w:rPr>
                <w:rFonts w:hint="default" w:ascii="Times New Roman" w:hAnsi="Times New Roman" w:cs="Times New Roman"/>
                <w:b/>
                <w:bCs/>
                <w:color w:val="auto"/>
                <w:sz w:val="24"/>
                <w:highlight w:val="none"/>
              </w:rPr>
              <w:t>与《输变电建设项目环境保护技术要求》符合性分析一览表</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3"/>
              <w:gridCol w:w="676"/>
              <w:gridCol w:w="2599"/>
              <w:gridCol w:w="3405"/>
              <w:gridCol w:w="867"/>
            </w:tblGrid>
            <w:tr w14:paraId="609D80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6D5925BE">
                  <w:pPr>
                    <w:pStyle w:val="70"/>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676" w:type="dxa"/>
                  <w:noWrap w:val="0"/>
                  <w:vAlign w:val="center"/>
                </w:tcPr>
                <w:p w14:paraId="71BCB0F2">
                  <w:pPr>
                    <w:pStyle w:val="70"/>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2599" w:type="dxa"/>
                  <w:noWrap w:val="0"/>
                  <w:vAlign w:val="center"/>
                </w:tcPr>
                <w:p w14:paraId="5E14D7C7">
                  <w:pPr>
                    <w:pStyle w:val="70"/>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技术要求</w:t>
                  </w:r>
                </w:p>
              </w:tc>
              <w:tc>
                <w:tcPr>
                  <w:tcW w:w="3405" w:type="dxa"/>
                  <w:noWrap w:val="0"/>
                  <w:vAlign w:val="center"/>
                </w:tcPr>
                <w:p w14:paraId="60576A66">
                  <w:pPr>
                    <w:pStyle w:val="70"/>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本项目情况</w:t>
                  </w:r>
                </w:p>
              </w:tc>
              <w:tc>
                <w:tcPr>
                  <w:tcW w:w="867" w:type="dxa"/>
                  <w:noWrap w:val="0"/>
                  <w:vAlign w:val="center"/>
                </w:tcPr>
                <w:p w14:paraId="2F6E7358">
                  <w:pPr>
                    <w:pStyle w:val="70"/>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相符性</w:t>
                  </w:r>
                </w:p>
              </w:tc>
            </w:tr>
            <w:tr w14:paraId="181098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73" w:type="dxa"/>
                  <w:noWrap w:val="0"/>
                  <w:vAlign w:val="center"/>
                </w:tcPr>
                <w:p w14:paraId="3B22EBCB">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76" w:type="dxa"/>
                  <w:vMerge w:val="restart"/>
                  <w:noWrap w:val="0"/>
                  <w:vAlign w:val="center"/>
                </w:tcPr>
                <w:p w14:paraId="333B773C">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选址选线 </w:t>
                  </w:r>
                </w:p>
              </w:tc>
              <w:tc>
                <w:tcPr>
                  <w:tcW w:w="2599" w:type="dxa"/>
                  <w:noWrap w:val="0"/>
                  <w:vAlign w:val="center"/>
                </w:tcPr>
                <w:p w14:paraId="1BDF175D">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输变电建设项目选址选线</w:t>
                  </w:r>
                  <w:r>
                    <w:rPr>
                      <w:rFonts w:hint="default" w:ascii="Times New Roman" w:hAnsi="Times New Roman" w:cs="Times New Roman"/>
                      <w:color w:val="auto"/>
                      <w:sz w:val="21"/>
                      <w:szCs w:val="21"/>
                      <w:highlight w:val="none"/>
                    </w:rPr>
                    <w:cr/>
                  </w:r>
                  <w:r>
                    <w:rPr>
                      <w:rFonts w:hint="default" w:ascii="Times New Roman" w:hAnsi="Times New Roman" w:cs="Times New Roman"/>
                      <w:color w:val="auto"/>
                      <w:sz w:val="21"/>
                      <w:szCs w:val="21"/>
                      <w:highlight w:val="none"/>
                    </w:rPr>
                    <w:t>符合生态保护红线管控要求，避让自然保护区、饮用水水源保护区等环境敏感区。</w:t>
                  </w:r>
                </w:p>
              </w:tc>
              <w:tc>
                <w:tcPr>
                  <w:tcW w:w="3405" w:type="dxa"/>
                  <w:noWrap w:val="0"/>
                  <w:vAlign w:val="center"/>
                </w:tcPr>
                <w:p w14:paraId="4BD28A56">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本</w:t>
                  </w:r>
                  <w:r>
                    <w:rPr>
                      <w:rFonts w:hint="default" w:ascii="Times New Roman" w:hAnsi="Times New Roman" w:cs="Times New Roman"/>
                      <w:color w:val="auto"/>
                      <w:sz w:val="21"/>
                      <w:szCs w:val="21"/>
                      <w:highlight w:val="none"/>
                      <w:lang w:val="en-US" w:eastAsia="zh-CN"/>
                    </w:rPr>
                    <w:t>项目云雾山330千伏变电站间隔扩建工程生态影响评价范围内涉及东南黄土高原丘陵水土保持生态保护红线，但本次间隔扩建工程仅为站内施工，不在站外设置永久或临时占地，因此对站外东南黄土高原丘陵水土保持生态保护红线影响轻微，运行期不会对周围地表水、地下水、土壤等环境产生影响。110千伏</w:t>
                  </w:r>
                  <w:r>
                    <w:rPr>
                      <w:rFonts w:hint="default" w:ascii="Times New Roman" w:hAnsi="Times New Roman" w:eastAsia="宋体" w:cs="Times New Roman"/>
                      <w:color w:val="auto"/>
                      <w:sz w:val="21"/>
                      <w:szCs w:val="21"/>
                      <w:highlight w:val="none"/>
                      <w:lang w:val="en-US" w:eastAsia="zh-CN"/>
                    </w:rPr>
                    <w:t>输电线路穿越</w:t>
                  </w:r>
                  <w:r>
                    <w:rPr>
                      <w:rFonts w:hint="default" w:ascii="Times New Roman" w:hAnsi="Times New Roman" w:cs="Times New Roman"/>
                      <w:bCs/>
                      <w:color w:val="auto"/>
                      <w:sz w:val="21"/>
                      <w:szCs w:val="21"/>
                      <w:highlight w:val="none"/>
                      <w:lang w:val="en-US" w:eastAsia="zh-CN"/>
                    </w:rPr>
                    <w:t>东南黄土高原丘陵水土保持生态保护红线</w:t>
                  </w:r>
                  <w:r>
                    <w:rPr>
                      <w:rFonts w:hint="eastAsia" w:cs="Times New Roman"/>
                      <w:bCs/>
                      <w:color w:val="auto"/>
                      <w:sz w:val="21"/>
                      <w:szCs w:val="21"/>
                      <w:highlight w:val="none"/>
                      <w:lang w:val="en-US" w:eastAsia="zh-CN"/>
                    </w:rPr>
                    <w:t>10.514</w:t>
                  </w:r>
                  <w:r>
                    <w:rPr>
                      <w:rFonts w:hint="default" w:ascii="Times New Roman" w:hAnsi="Times New Roman" w:cs="Times New Roman"/>
                      <w:bCs/>
                      <w:color w:val="auto"/>
                      <w:sz w:val="21"/>
                      <w:szCs w:val="21"/>
                      <w:highlight w:val="none"/>
                      <w:lang w:val="en-US" w:eastAsia="zh-CN"/>
                    </w:rPr>
                    <w:t>km，</w:t>
                  </w:r>
                  <w:r>
                    <w:rPr>
                      <w:rFonts w:hint="default" w:ascii="Times New Roman" w:hAnsi="Times New Roman" w:cs="Times New Roman"/>
                      <w:color w:val="auto"/>
                      <w:sz w:val="21"/>
                      <w:szCs w:val="21"/>
                      <w:highlight w:val="none"/>
                      <w:lang w:val="en-US" w:eastAsia="zh-CN"/>
                    </w:rPr>
                    <w:t>红线内立塔3</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基，在红线内总占地面积3.1696hm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vertAlign w:val="baseline"/>
                      <w:lang w:val="en-US" w:eastAsia="zh-CN"/>
                    </w:rPr>
                    <w:t>，由于输电线路属于线性基础设施，属于仅允许对生态功能不造成破坏的9大类有限人为活动中的第6种情形：“必须且无法避让、符合县级以上国土空间规划的线性基础设施建设、防洪和供水设施建设与运行维护”，已于202</w:t>
                  </w:r>
                  <w:r>
                    <w:rPr>
                      <w:rFonts w:hint="eastAsia" w:cs="Times New Roman"/>
                      <w:color w:val="auto"/>
                      <w:sz w:val="21"/>
                      <w:szCs w:val="21"/>
                      <w:highlight w:val="none"/>
                      <w:vertAlign w:val="baseline"/>
                      <w:lang w:val="en-US" w:eastAsia="zh-CN"/>
                    </w:rPr>
                    <w:t>6</w:t>
                  </w:r>
                  <w:r>
                    <w:rPr>
                      <w:rFonts w:hint="default" w:ascii="Times New Roman" w:hAnsi="Times New Roman" w:cs="Times New Roman"/>
                      <w:color w:val="auto"/>
                      <w:sz w:val="21"/>
                      <w:szCs w:val="21"/>
                      <w:highlight w:val="none"/>
                      <w:vertAlign w:val="baseline"/>
                      <w:lang w:val="en-US" w:eastAsia="zh-CN"/>
                    </w:rPr>
                    <w:t>年</w:t>
                  </w:r>
                  <w:r>
                    <w:rPr>
                      <w:rFonts w:hint="eastAsia" w:cs="Times New Roman"/>
                      <w:color w:val="auto"/>
                      <w:sz w:val="21"/>
                      <w:szCs w:val="21"/>
                      <w:highlight w:val="none"/>
                      <w:vertAlign w:val="baseline"/>
                      <w:lang w:val="en-US" w:eastAsia="zh-CN"/>
                    </w:rPr>
                    <w:t>X</w:t>
                  </w:r>
                  <w:r>
                    <w:rPr>
                      <w:rFonts w:hint="default" w:ascii="Times New Roman" w:hAnsi="Times New Roman" w:cs="Times New Roman"/>
                      <w:color w:val="auto"/>
                      <w:sz w:val="21"/>
                      <w:szCs w:val="21"/>
                      <w:highlight w:val="none"/>
                      <w:vertAlign w:val="baseline"/>
                      <w:lang w:val="en-US" w:eastAsia="zh-CN"/>
                    </w:rPr>
                    <w:t>月</w:t>
                  </w:r>
                  <w:r>
                    <w:rPr>
                      <w:rFonts w:hint="eastAsia" w:cs="Times New Roman"/>
                      <w:color w:val="auto"/>
                      <w:sz w:val="21"/>
                      <w:szCs w:val="21"/>
                      <w:highlight w:val="none"/>
                      <w:vertAlign w:val="baseline"/>
                      <w:lang w:val="en-US" w:eastAsia="zh-CN"/>
                    </w:rPr>
                    <w:t>X</w:t>
                  </w:r>
                  <w:r>
                    <w:rPr>
                      <w:rFonts w:hint="default" w:ascii="Times New Roman" w:hAnsi="Times New Roman" w:cs="Times New Roman"/>
                      <w:color w:val="auto"/>
                      <w:sz w:val="21"/>
                      <w:szCs w:val="21"/>
                      <w:highlight w:val="none"/>
                      <w:vertAlign w:val="baseline"/>
                      <w:lang w:val="en-US" w:eastAsia="zh-CN"/>
                    </w:rPr>
                    <w:t>日取得固原市人民政府关于认定宁夏固原华电彭阳200兆瓦风电项目110千伏送出工程临时用地符合生态保护红线内允许有限人为活动的意见。</w:t>
                  </w:r>
                </w:p>
                <w:p w14:paraId="77B1209C">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本项目110千伏输电线路不涉及</w:t>
                  </w:r>
                  <w:r>
                    <w:rPr>
                      <w:rFonts w:hint="default" w:ascii="Times New Roman" w:hAnsi="Times New Roman" w:cs="Times New Roman"/>
                      <w:color w:val="auto"/>
                      <w:sz w:val="21"/>
                      <w:szCs w:val="21"/>
                      <w:highlight w:val="none"/>
                    </w:rPr>
                    <w:t>自然保护区、饮用水水源保护区等环境敏感区</w:t>
                  </w:r>
                  <w:r>
                    <w:rPr>
                      <w:rFonts w:hint="default" w:ascii="Times New Roman" w:hAnsi="Times New Roman" w:cs="Times New Roman"/>
                      <w:color w:val="auto"/>
                      <w:sz w:val="21"/>
                      <w:szCs w:val="21"/>
                      <w:highlight w:val="none"/>
                      <w:lang w:eastAsia="zh-CN"/>
                    </w:rPr>
                    <w:t>。</w:t>
                  </w:r>
                </w:p>
              </w:tc>
              <w:tc>
                <w:tcPr>
                  <w:tcW w:w="867" w:type="dxa"/>
                  <w:noWrap w:val="0"/>
                  <w:vAlign w:val="center"/>
                </w:tcPr>
                <w:p w14:paraId="0DB3B479">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B8A4B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17383D3F">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676" w:type="dxa"/>
                  <w:vMerge w:val="continue"/>
                  <w:noWrap w:val="0"/>
                  <w:vAlign w:val="center"/>
                </w:tcPr>
                <w:p w14:paraId="589345F7">
                  <w:pPr>
                    <w:pStyle w:val="70"/>
                    <w:adjustRightInd w:val="0"/>
                    <w:spacing w:line="240" w:lineRule="auto"/>
                    <w:jc w:val="center"/>
                    <w:rPr>
                      <w:rFonts w:hint="default" w:ascii="Times New Roman" w:hAnsi="Times New Roman" w:cs="Times New Roman"/>
                      <w:color w:val="auto"/>
                      <w:sz w:val="21"/>
                      <w:szCs w:val="21"/>
                      <w:highlight w:val="none"/>
                    </w:rPr>
                  </w:pPr>
                </w:p>
              </w:tc>
              <w:tc>
                <w:tcPr>
                  <w:tcW w:w="2599" w:type="dxa"/>
                  <w:noWrap w:val="0"/>
                  <w:vAlign w:val="center"/>
                </w:tcPr>
                <w:p w14:paraId="473B3A5C">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同一走廊内的多回输电线路，宜采取同塔多回架设、并行架设等形式，减少新开辟走廊，优化线路走廊间距，降低环境影响。</w:t>
                  </w:r>
                </w:p>
              </w:tc>
              <w:tc>
                <w:tcPr>
                  <w:tcW w:w="3405" w:type="dxa"/>
                  <w:noWrap w:val="0"/>
                  <w:vAlign w:val="center"/>
                </w:tcPr>
                <w:p w14:paraId="4F552E4F">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本项目线路路径沿</w:t>
                  </w:r>
                  <w:r>
                    <w:rPr>
                      <w:rFonts w:hint="default" w:ascii="Times New Roman" w:hAnsi="Times New Roman" w:eastAsia="宋体" w:cs="Times New Roman"/>
                      <w:color w:val="auto"/>
                      <w:sz w:val="21"/>
                      <w:szCs w:val="21"/>
                      <w:highlight w:val="none"/>
                      <w:lang w:val="en-US" w:eastAsia="zh-CN"/>
                    </w:rPr>
                    <w:t>规划的云雾山变-王洼变规划线路内侧建设</w:t>
                  </w:r>
                  <w:r>
                    <w:rPr>
                      <w:rFonts w:hint="default" w:ascii="Times New Roman" w:hAnsi="Times New Roman" w:cs="Times New Roman"/>
                      <w:color w:val="auto"/>
                      <w:sz w:val="21"/>
                      <w:szCs w:val="21"/>
                      <w:highlight w:val="none"/>
                      <w:lang w:val="en-US" w:eastAsia="zh-CN"/>
                    </w:rPr>
                    <w:t>，减少新开辟走廊，减少对生态环境的影响</w:t>
                  </w:r>
                  <w:r>
                    <w:rPr>
                      <w:rFonts w:hint="default" w:ascii="Times New Roman" w:hAnsi="Times New Roman" w:cs="Times New Roman"/>
                      <w:color w:val="auto"/>
                      <w:sz w:val="21"/>
                      <w:szCs w:val="21"/>
                      <w:highlight w:val="none"/>
                    </w:rPr>
                    <w:t>。</w:t>
                  </w:r>
                </w:p>
              </w:tc>
              <w:tc>
                <w:tcPr>
                  <w:tcW w:w="867" w:type="dxa"/>
                  <w:noWrap w:val="0"/>
                  <w:vAlign w:val="center"/>
                </w:tcPr>
                <w:p w14:paraId="68B46C8D">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EB2F9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1366F2FE">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676" w:type="dxa"/>
                  <w:vMerge w:val="continue"/>
                  <w:noWrap w:val="0"/>
                  <w:vAlign w:val="center"/>
                </w:tcPr>
                <w:p w14:paraId="14494A36">
                  <w:pPr>
                    <w:pStyle w:val="70"/>
                    <w:adjustRightInd w:val="0"/>
                    <w:spacing w:line="240" w:lineRule="auto"/>
                    <w:jc w:val="center"/>
                    <w:rPr>
                      <w:rFonts w:hint="default" w:ascii="Times New Roman" w:hAnsi="Times New Roman" w:cs="Times New Roman"/>
                      <w:color w:val="auto"/>
                      <w:sz w:val="21"/>
                      <w:szCs w:val="21"/>
                      <w:highlight w:val="none"/>
                    </w:rPr>
                  </w:pPr>
                </w:p>
              </w:tc>
              <w:tc>
                <w:tcPr>
                  <w:tcW w:w="2599" w:type="dxa"/>
                  <w:noWrap w:val="0"/>
                  <w:vAlign w:val="center"/>
                </w:tcPr>
                <w:p w14:paraId="1783376D">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输电线路宜避让集中林区，以减少林木砍伐，保护生态环境。</w:t>
                  </w:r>
                </w:p>
              </w:tc>
              <w:tc>
                <w:tcPr>
                  <w:tcW w:w="3405" w:type="dxa"/>
                  <w:noWrap w:val="0"/>
                  <w:vAlign w:val="center"/>
                </w:tcPr>
                <w:p w14:paraId="3563947C">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本项目塔基占地不涉及</w:t>
                  </w:r>
                  <w:r>
                    <w:rPr>
                      <w:rFonts w:hint="default" w:ascii="Times New Roman" w:hAnsi="Times New Roman" w:cs="Times New Roman"/>
                      <w:color w:val="auto"/>
                      <w:sz w:val="21"/>
                      <w:szCs w:val="21"/>
                      <w:highlight w:val="none"/>
                      <w:lang w:val="en-US" w:eastAsia="zh-CN"/>
                    </w:rPr>
                    <w:t>集中</w:t>
                  </w:r>
                  <w:r>
                    <w:rPr>
                      <w:rFonts w:hint="default" w:ascii="Times New Roman" w:hAnsi="Times New Roman" w:cs="Times New Roman"/>
                      <w:color w:val="auto"/>
                      <w:sz w:val="21"/>
                      <w:szCs w:val="21"/>
                      <w:highlight w:val="none"/>
                    </w:rPr>
                    <w:t>林带，</w:t>
                  </w:r>
                  <w:r>
                    <w:rPr>
                      <w:rFonts w:hint="default" w:ascii="Times New Roman" w:hAnsi="Times New Roman" w:eastAsia="宋体" w:cs="Times New Roman"/>
                      <w:color w:val="auto"/>
                      <w:sz w:val="21"/>
                      <w:szCs w:val="21"/>
                      <w:highlight w:val="none"/>
                      <w:lang w:val="en-US" w:eastAsia="zh-CN"/>
                    </w:rPr>
                    <w:t>线路经过林地区域加大线路档距，减少林地的占用，采用高跨的方式通过，线路走廊下不涉及林木砍伐，保护生态环境。对于农村道路和田间两旁绿化带的树木，输电线路采取高跨方式穿越，必要时进行树木的削尖处理。</w:t>
                  </w:r>
                </w:p>
              </w:tc>
              <w:tc>
                <w:tcPr>
                  <w:tcW w:w="867" w:type="dxa"/>
                  <w:noWrap w:val="0"/>
                  <w:vAlign w:val="center"/>
                </w:tcPr>
                <w:p w14:paraId="1A34DC34">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89124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31802F12">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676" w:type="dxa"/>
                  <w:vMerge w:val="restart"/>
                  <w:noWrap w:val="0"/>
                  <w:vAlign w:val="center"/>
                </w:tcPr>
                <w:p w14:paraId="5C669031">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设计</w:t>
                  </w:r>
                </w:p>
              </w:tc>
              <w:tc>
                <w:tcPr>
                  <w:tcW w:w="2599" w:type="dxa"/>
                  <w:noWrap w:val="0"/>
                  <w:vAlign w:val="center"/>
                </w:tcPr>
                <w:p w14:paraId="3EA9D278">
                  <w:pPr>
                    <w:pStyle w:val="70"/>
                    <w:adjustRightInd w:val="0"/>
                    <w:spacing w:line="240" w:lineRule="auto"/>
                    <w:jc w:val="both"/>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电磁环境保护：</w:t>
                  </w:r>
                </w:p>
                <w:p w14:paraId="6BC328E9">
                  <w:pPr>
                    <w:pStyle w:val="70"/>
                    <w:adjustRightInd w:val="0"/>
                    <w:spacing w:line="240" w:lineRule="auto"/>
                    <w:jc w:val="both"/>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输电线路设计应因地制宜选择线路型式、架设高度、杆塔塔型、导线参数、相序布置等，减少电磁环境影响。</w:t>
                  </w:r>
                </w:p>
                <w:p w14:paraId="114DE4A9">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架空输电线路经过电磁环境敏感目标时，应采取避让或增加导线对地高度等措施，减少电磁环境影响。</w:t>
                  </w:r>
                </w:p>
              </w:tc>
              <w:tc>
                <w:tcPr>
                  <w:tcW w:w="3405" w:type="dxa"/>
                  <w:noWrap w:val="0"/>
                  <w:vAlign w:val="center"/>
                </w:tcPr>
                <w:p w14:paraId="637D20E1">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本项目新建铁塔</w:t>
                  </w:r>
                  <w:r>
                    <w:rPr>
                      <w:rFonts w:hint="eastAsia" w:ascii="Times New Roman" w:hAnsi="Times New Roman" w:cs="Times New Roman"/>
                      <w:color w:val="auto"/>
                      <w:sz w:val="21"/>
                      <w:szCs w:val="21"/>
                      <w:highlight w:val="none"/>
                      <w:lang w:val="en-US" w:eastAsia="zh-CN"/>
                    </w:rPr>
                    <w:t>86</w:t>
                  </w:r>
                  <w:r>
                    <w:rPr>
                      <w:rFonts w:hint="default" w:ascii="Times New Roman" w:hAnsi="Times New Roman" w:cs="Times New Roman"/>
                      <w:color w:val="auto"/>
                      <w:sz w:val="21"/>
                      <w:szCs w:val="21"/>
                      <w:highlight w:val="none"/>
                    </w:rPr>
                    <w:t>基</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选择合适的塔型</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导线</w:t>
                  </w:r>
                  <w:r>
                    <w:rPr>
                      <w:rFonts w:hint="default" w:ascii="Times New Roman" w:hAnsi="Times New Roman" w:cs="Times New Roman"/>
                      <w:color w:val="auto"/>
                      <w:sz w:val="21"/>
                      <w:szCs w:val="21"/>
                      <w:highlight w:val="none"/>
                      <w:lang w:val="en-US" w:eastAsia="zh-CN"/>
                    </w:rPr>
                    <w:t>弧垂最低高度为</w:t>
                  </w:r>
                  <w:r>
                    <w:rPr>
                      <w:rFonts w:hint="eastAsia" w:ascii="Times New Roman" w:hAnsi="Times New Roman" w:cs="Times New Roman"/>
                      <w:color w:val="auto"/>
                      <w:sz w:val="21"/>
                      <w:szCs w:val="21"/>
                      <w:highlight w:val="none"/>
                      <w:lang w:val="en-US" w:eastAsia="zh-CN"/>
                    </w:rPr>
                    <w:t>12.3</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满足</w:t>
                  </w:r>
                  <w:r>
                    <w:rPr>
                      <w:rFonts w:hint="default" w:ascii="Times New Roman" w:hAnsi="Times New Roman" w:cs="Times New Roman"/>
                      <w:color w:val="auto"/>
                      <w:sz w:val="21"/>
                      <w:szCs w:val="21"/>
                      <w:highlight w:val="none"/>
                    </w:rPr>
                    <w:t>经过非居民区对地高度不低于6.</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的限值要求</w:t>
                  </w:r>
                  <w:r>
                    <w:rPr>
                      <w:rFonts w:hint="default" w:ascii="Times New Roman" w:hAnsi="Times New Roman" w:cs="Times New Roman"/>
                      <w:color w:val="auto"/>
                      <w:sz w:val="21"/>
                      <w:szCs w:val="21"/>
                      <w:highlight w:val="none"/>
                    </w:rPr>
                    <w:t>；经过居民区等环境敏感目标处对地高度不低于7.</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的要求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尽量减少电磁环境影响。</w:t>
                  </w:r>
                </w:p>
              </w:tc>
              <w:tc>
                <w:tcPr>
                  <w:tcW w:w="867" w:type="dxa"/>
                  <w:noWrap w:val="0"/>
                  <w:vAlign w:val="center"/>
                </w:tcPr>
                <w:p w14:paraId="68AF93E9">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AE0C4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02552FE5">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676" w:type="dxa"/>
                  <w:vMerge w:val="continue"/>
                  <w:noWrap w:val="0"/>
                  <w:vAlign w:val="center"/>
                </w:tcPr>
                <w:p w14:paraId="19B2FB8C">
                  <w:pPr>
                    <w:pStyle w:val="70"/>
                    <w:adjustRightInd w:val="0"/>
                    <w:spacing w:line="240" w:lineRule="auto"/>
                    <w:jc w:val="center"/>
                    <w:rPr>
                      <w:rFonts w:hint="default" w:ascii="Times New Roman" w:hAnsi="Times New Roman" w:cs="Times New Roman"/>
                      <w:color w:val="auto"/>
                      <w:sz w:val="21"/>
                      <w:szCs w:val="21"/>
                      <w:highlight w:val="none"/>
                    </w:rPr>
                  </w:pPr>
                </w:p>
              </w:tc>
              <w:tc>
                <w:tcPr>
                  <w:tcW w:w="2599" w:type="dxa"/>
                  <w:noWrap w:val="0"/>
                  <w:vAlign w:val="center"/>
                </w:tcPr>
                <w:p w14:paraId="239250A8">
                  <w:pPr>
                    <w:pStyle w:val="70"/>
                    <w:adjustRightInd w:val="0"/>
                    <w:spacing w:line="240" w:lineRule="auto"/>
                    <w:jc w:val="both"/>
                    <w:rPr>
                      <w:rFonts w:hint="default" w:ascii="Times New Roman" w:hAnsi="Times New Roman" w:cs="Times New Roman"/>
                      <w:color w:val="auto"/>
                      <w:kern w:val="0"/>
                      <w:sz w:val="21"/>
                      <w:szCs w:val="21"/>
                      <w:highlight w:val="none"/>
                    </w:rPr>
                  </w:pPr>
                  <w:r>
                    <w:rPr>
                      <w:rFonts w:hint="default" w:ascii="Times New Roman" w:hAnsi="Times New Roman" w:cs="Times New Roman"/>
                      <w:b/>
                      <w:color w:val="auto"/>
                      <w:kern w:val="0"/>
                      <w:sz w:val="21"/>
                      <w:szCs w:val="21"/>
                      <w:highlight w:val="none"/>
                    </w:rPr>
                    <w:t>生态环境保护：</w:t>
                  </w:r>
                  <w:r>
                    <w:rPr>
                      <w:rFonts w:hint="default" w:ascii="Times New Roman" w:hAnsi="Times New Roman" w:cs="Times New Roman"/>
                      <w:color w:val="auto"/>
                      <w:kern w:val="0"/>
                      <w:sz w:val="21"/>
                      <w:szCs w:val="21"/>
                      <w:highlight w:val="none"/>
                    </w:rPr>
                    <w:t>输变电建设项目在设计过程中应按照避让、减缓、恢复的次序提出生态影响防护与恢复的措施。</w:t>
                  </w:r>
                </w:p>
                <w:p w14:paraId="6FD5CB34">
                  <w:pPr>
                    <w:pStyle w:val="70"/>
                    <w:adjustRightInd w:val="0"/>
                    <w:spacing w:line="240" w:lineRule="auto"/>
                    <w:jc w:val="both"/>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输电线路应因地制宜合理选择塔基基础，在山丘区应采用全方位长短腿与不等高基础设计，以减少土石方开挖。输电线路无法避让集中林区时，应采取控制导线高度设计，以减少林木砍伐，保护生态环境。</w:t>
                  </w:r>
                </w:p>
                <w:p w14:paraId="7723B45B">
                  <w:pPr>
                    <w:pStyle w:val="70"/>
                    <w:adjustRightInd w:val="0"/>
                    <w:spacing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输变电建设项目临时占地，应因地制宜进行土地功能恢复设计。</w:t>
                  </w:r>
                </w:p>
              </w:tc>
              <w:tc>
                <w:tcPr>
                  <w:tcW w:w="3405" w:type="dxa"/>
                  <w:noWrap w:val="0"/>
                  <w:vAlign w:val="center"/>
                </w:tcPr>
                <w:p w14:paraId="08E9429B">
                  <w:pPr>
                    <w:pStyle w:val="70"/>
                    <w:adjustRightInd w:val="0"/>
                    <w:spacing w:line="240" w:lineRule="auto"/>
                    <w:jc w:val="both"/>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本项目输电线路选</w:t>
                  </w:r>
                  <w:r>
                    <w:rPr>
                      <w:rFonts w:hint="default" w:ascii="Times New Roman" w:hAnsi="Times New Roman" w:cs="Times New Roman"/>
                      <w:color w:val="auto"/>
                      <w:sz w:val="21"/>
                      <w:szCs w:val="21"/>
                      <w:highlight w:val="none"/>
                      <w:lang w:eastAsia="zh-CN"/>
                    </w:rPr>
                    <w:t>线</w:t>
                  </w:r>
                  <w:r>
                    <w:rPr>
                      <w:rFonts w:hint="default" w:ascii="Times New Roman" w:hAnsi="Times New Roman" w:cs="Times New Roman"/>
                      <w:color w:val="auto"/>
                      <w:kern w:val="0"/>
                      <w:sz w:val="21"/>
                      <w:szCs w:val="21"/>
                      <w:highlight w:val="none"/>
                    </w:rPr>
                    <w:t>按照避让、减缓、恢复的次序提出生态影响防护与恢复的措施</w:t>
                  </w:r>
                  <w:r>
                    <w:rPr>
                      <w:rFonts w:hint="default" w:ascii="Times New Roman" w:hAnsi="Times New Roman" w:cs="Times New Roman"/>
                      <w:color w:val="auto"/>
                      <w:sz w:val="21"/>
                      <w:szCs w:val="21"/>
                      <w:highlight w:val="none"/>
                    </w:rPr>
                    <w:t>，因地制宜</w:t>
                  </w:r>
                  <w:r>
                    <w:rPr>
                      <w:rFonts w:hint="default" w:ascii="Times New Roman" w:hAnsi="Times New Roman" w:cs="Times New Roman"/>
                      <w:color w:val="auto"/>
                      <w:kern w:val="0"/>
                      <w:sz w:val="21"/>
                      <w:szCs w:val="21"/>
                      <w:highlight w:val="none"/>
                    </w:rPr>
                    <w:t>。</w:t>
                  </w:r>
                </w:p>
                <w:p w14:paraId="3A3D0D30">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输电线路</w:t>
                  </w:r>
                  <w:r>
                    <w:rPr>
                      <w:rFonts w:hint="default" w:ascii="Times New Roman" w:hAnsi="Times New Roman" w:cs="Times New Roman"/>
                      <w:color w:val="auto"/>
                      <w:sz w:val="21"/>
                      <w:szCs w:val="21"/>
                      <w:highlight w:val="none"/>
                      <w:lang w:eastAsia="zh-CN"/>
                    </w:rPr>
                    <w:t>塔基</w:t>
                  </w:r>
                  <w:r>
                    <w:rPr>
                      <w:rFonts w:hint="default" w:ascii="Times New Roman" w:hAnsi="Times New Roman" w:cs="Times New Roman"/>
                      <w:bCs/>
                      <w:color w:val="auto"/>
                      <w:sz w:val="21"/>
                      <w:szCs w:val="21"/>
                      <w:highlight w:val="none"/>
                    </w:rPr>
                    <w:t>采用</w:t>
                  </w:r>
                  <w:r>
                    <w:rPr>
                      <w:rFonts w:hint="eastAsia" w:ascii="Times New Roman" w:hAnsi="Times New Roman" w:cs="Times New Roman"/>
                      <w:bCs/>
                      <w:color w:val="auto"/>
                      <w:sz w:val="21"/>
                      <w:szCs w:val="21"/>
                      <w:highlight w:val="none"/>
                      <w:lang w:val="en-US" w:eastAsia="zh-CN"/>
                    </w:rPr>
                    <w:t>挖孔桩基础</w:t>
                  </w:r>
                  <w:r>
                    <w:rPr>
                      <w:rFonts w:hint="default" w:ascii="Times New Roman" w:hAnsi="Times New Roman" w:cs="Times New Roman"/>
                      <w:bCs/>
                      <w:color w:val="auto"/>
                      <w:sz w:val="21"/>
                      <w:szCs w:val="21"/>
                      <w:highlight w:val="none"/>
                      <w:lang w:val="en-US" w:eastAsia="zh-CN"/>
                    </w:rPr>
                    <w:t>进行</w:t>
                  </w:r>
                  <w:r>
                    <w:rPr>
                      <w:rFonts w:hint="default" w:ascii="Times New Roman" w:hAnsi="Times New Roman" w:cs="Times New Roman"/>
                      <w:bCs/>
                      <w:color w:val="auto"/>
                      <w:sz w:val="21"/>
                      <w:szCs w:val="21"/>
                      <w:highlight w:val="none"/>
                    </w:rPr>
                    <w:t>施工，</w:t>
                  </w:r>
                  <w:r>
                    <w:rPr>
                      <w:rFonts w:hint="default" w:ascii="Times New Roman" w:hAnsi="Times New Roman" w:cs="Times New Roman"/>
                      <w:bCs/>
                      <w:color w:val="auto"/>
                      <w:sz w:val="21"/>
                      <w:szCs w:val="21"/>
                      <w:highlight w:val="none"/>
                      <w:lang w:val="en-US" w:eastAsia="zh-CN"/>
                    </w:rPr>
                    <w:t>在地形起伏较大的山地区域尽可能采用高低腿型式基础，</w:t>
                  </w:r>
                  <w:r>
                    <w:rPr>
                      <w:rFonts w:hint="default" w:ascii="Times New Roman" w:hAnsi="Times New Roman" w:cs="Times New Roman"/>
                      <w:color w:val="auto"/>
                      <w:sz w:val="21"/>
                      <w:szCs w:val="21"/>
                      <w:highlight w:val="none"/>
                    </w:rPr>
                    <w:t>尽量减少占地，</w:t>
                  </w:r>
                  <w:r>
                    <w:rPr>
                      <w:rFonts w:hint="default" w:ascii="Times New Roman" w:hAnsi="Times New Roman" w:cs="Times New Roman"/>
                      <w:color w:val="auto"/>
                      <w:sz w:val="21"/>
                      <w:szCs w:val="21"/>
                      <w:highlight w:val="none"/>
                      <w:lang w:val="en-US" w:eastAsia="zh-CN"/>
                    </w:rPr>
                    <w:t>减少植被破坏，</w:t>
                  </w:r>
                  <w:r>
                    <w:rPr>
                      <w:rFonts w:hint="default" w:ascii="Times New Roman" w:hAnsi="Times New Roman" w:eastAsia="宋体" w:cs="Times New Roman"/>
                      <w:color w:val="auto"/>
                      <w:sz w:val="21"/>
                      <w:szCs w:val="21"/>
                      <w:highlight w:val="none"/>
                      <w:lang w:val="en-US" w:eastAsia="zh-CN"/>
                    </w:rPr>
                    <w:t>线路经过林地区域加大线路档距，减少林地的占用，采用高跨的方式通过，线路走廊下不涉及林木砍伐，保护生态环境</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于农村道路和田间两旁绿化带的树木，输电线路采取高跨方式穿越，必要时进行树木的削尖处理。</w:t>
                  </w:r>
                  <w:r>
                    <w:rPr>
                      <w:rFonts w:hint="default" w:ascii="Times New Roman" w:hAnsi="Times New Roman" w:cs="Times New Roman"/>
                      <w:color w:val="auto"/>
                      <w:sz w:val="21"/>
                      <w:szCs w:val="21"/>
                      <w:highlight w:val="none"/>
                    </w:rPr>
                    <w:t>输电线路建成后，临时占地恢复原有使用功能。</w:t>
                  </w:r>
                </w:p>
              </w:tc>
              <w:tc>
                <w:tcPr>
                  <w:tcW w:w="867" w:type="dxa"/>
                  <w:noWrap w:val="0"/>
                  <w:vAlign w:val="center"/>
                </w:tcPr>
                <w:p w14:paraId="70A615C6">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6F460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5EF9E50C">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676" w:type="dxa"/>
                  <w:vMerge w:val="restart"/>
                  <w:noWrap w:val="0"/>
                  <w:vAlign w:val="center"/>
                </w:tcPr>
                <w:p w14:paraId="483240D8">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施工</w:t>
                  </w:r>
                </w:p>
              </w:tc>
              <w:tc>
                <w:tcPr>
                  <w:tcW w:w="2599" w:type="dxa"/>
                  <w:noWrap w:val="0"/>
                  <w:vAlign w:val="center"/>
                </w:tcPr>
                <w:p w14:paraId="01EC3A16">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b/>
                      <w:color w:val="auto"/>
                      <w:kern w:val="0"/>
                      <w:szCs w:val="21"/>
                      <w:highlight w:val="none"/>
                    </w:rPr>
                    <w:t>生态环境保护：</w:t>
                  </w:r>
                  <w:r>
                    <w:rPr>
                      <w:rFonts w:hint="default" w:ascii="Times New Roman" w:hAnsi="Times New Roman" w:cs="Times New Roman"/>
                      <w:color w:val="auto"/>
                      <w:kern w:val="0"/>
                      <w:szCs w:val="21"/>
                      <w:highlight w:val="none"/>
                    </w:rPr>
                    <w:t>输变电建设项目施工期临时用地应永临结合，优先利用荒地、劣地。</w:t>
                  </w:r>
                </w:p>
                <w:p w14:paraId="6B211ECA">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输变电建设项目施工占用耕地、园地、林地和草地，应做好表土剥离、分类存放和回填利用。施工临时道路应尽可能利用机耕路、林区小路等现有道路，新建道路应严格控制道路宽度，以减少临时工程对生态环境的影响。</w:t>
                  </w:r>
                </w:p>
                <w:p w14:paraId="05A27CBB">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施工现场使用带油料的机械器具，应采取措施防止油料跑、冒、滴、漏，防止对土壤和水体造成污染。</w:t>
                  </w:r>
                </w:p>
                <w:p w14:paraId="2887D790">
                  <w:pPr>
                    <w:autoSpaceDE w:val="0"/>
                    <w:autoSpaceDN w:val="0"/>
                    <w:adjustRightInd w:val="0"/>
                    <w:snapToGrid w:val="0"/>
                    <w:jc w:val="both"/>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施工结束后，应及时清理施工现场，因地制宜进行土地功能恢复。</w:t>
                  </w:r>
                </w:p>
              </w:tc>
              <w:tc>
                <w:tcPr>
                  <w:tcW w:w="3405" w:type="dxa"/>
                  <w:noWrap w:val="0"/>
                  <w:vAlign w:val="center"/>
                </w:tcPr>
                <w:p w14:paraId="3B34A95F">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项目施工营地租用民房，减少施工临时占地，塔基施工场地以单个塔基为单位零星布置在塔基区附近，做到永临结合。</w:t>
                  </w:r>
                </w:p>
                <w:p w14:paraId="3877D74A">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输电线路</w:t>
                  </w:r>
                  <w:r>
                    <w:rPr>
                      <w:rFonts w:hint="default" w:ascii="Times New Roman" w:hAnsi="Times New Roman" w:cs="Times New Roman"/>
                      <w:color w:val="auto"/>
                      <w:sz w:val="21"/>
                      <w:szCs w:val="21"/>
                      <w:highlight w:val="none"/>
                    </w:rPr>
                    <w:t>塔基不可避免</w:t>
                  </w:r>
                  <w:r>
                    <w:rPr>
                      <w:rFonts w:hint="default" w:ascii="Times New Roman" w:hAnsi="Times New Roman" w:cs="Times New Roman"/>
                      <w:color w:val="auto"/>
                      <w:sz w:val="21"/>
                      <w:szCs w:val="21"/>
                      <w:highlight w:val="none"/>
                      <w:lang w:eastAsia="zh-CN"/>
                    </w:rPr>
                    <w:t>地</w:t>
                  </w:r>
                  <w:r>
                    <w:rPr>
                      <w:rFonts w:hint="default" w:ascii="Times New Roman" w:hAnsi="Times New Roman" w:cs="Times New Roman"/>
                      <w:color w:val="auto"/>
                      <w:sz w:val="21"/>
                      <w:szCs w:val="21"/>
                      <w:highlight w:val="none"/>
                    </w:rPr>
                    <w:t>占用了耕地、园地、林地和草地，施工期塔基施工</w:t>
                  </w:r>
                  <w:r>
                    <w:rPr>
                      <w:rFonts w:hint="default" w:ascii="Times New Roman" w:hAnsi="Times New Roman" w:cs="Times New Roman"/>
                      <w:color w:val="auto"/>
                      <w:sz w:val="21"/>
                      <w:szCs w:val="21"/>
                      <w:highlight w:val="none"/>
                      <w:lang w:val="en-US" w:eastAsia="zh-CN"/>
                    </w:rPr>
                    <w:t>作业时</w:t>
                  </w:r>
                  <w:r>
                    <w:rPr>
                      <w:rFonts w:hint="default" w:ascii="Times New Roman" w:hAnsi="Times New Roman" w:cs="Times New Roman"/>
                      <w:color w:val="auto"/>
                      <w:sz w:val="21"/>
                      <w:szCs w:val="21"/>
                      <w:highlight w:val="none"/>
                    </w:rPr>
                    <w:t>做好表土剥离，分层存放</w:t>
                  </w:r>
                  <w:r>
                    <w:rPr>
                      <w:rFonts w:hint="default" w:ascii="Times New Roman" w:hAnsi="Times New Roman" w:cs="Times New Roman"/>
                      <w:color w:val="auto"/>
                      <w:sz w:val="21"/>
                      <w:szCs w:val="21"/>
                      <w:highlight w:val="none"/>
                      <w:lang w:eastAsia="zh-CN"/>
                    </w:rPr>
                    <w:t>、按顺序回填</w:t>
                  </w:r>
                  <w:r>
                    <w:rPr>
                      <w:rFonts w:hint="default" w:ascii="Times New Roman" w:hAnsi="Times New Roman" w:cs="Times New Roman"/>
                      <w:color w:val="auto"/>
                      <w:sz w:val="21"/>
                      <w:szCs w:val="21"/>
                      <w:highlight w:val="none"/>
                    </w:rPr>
                    <w:t>，用于塔基培土及</w:t>
                  </w:r>
                  <w:r>
                    <w:rPr>
                      <w:rFonts w:hint="default" w:ascii="Times New Roman" w:hAnsi="Times New Roman" w:cs="Times New Roman"/>
                      <w:color w:val="auto"/>
                      <w:sz w:val="21"/>
                      <w:szCs w:val="21"/>
                      <w:highlight w:val="none"/>
                      <w:lang w:eastAsia="zh-CN"/>
                    </w:rPr>
                    <w:t>周围</w:t>
                  </w:r>
                  <w:r>
                    <w:rPr>
                      <w:rFonts w:hint="default" w:ascii="Times New Roman" w:hAnsi="Times New Roman" w:cs="Times New Roman"/>
                      <w:color w:val="auto"/>
                      <w:sz w:val="21"/>
                      <w:szCs w:val="21"/>
                      <w:highlight w:val="none"/>
                    </w:rPr>
                    <w:t>土地平整恢复。</w:t>
                  </w:r>
                </w:p>
                <w:p w14:paraId="1B3BF9C5">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施</w:t>
                  </w:r>
                  <w:r>
                    <w:rPr>
                      <w:rFonts w:hint="default" w:ascii="Times New Roman" w:hAnsi="Times New Roman" w:cs="Times New Roman"/>
                      <w:color w:val="auto"/>
                      <w:kern w:val="0"/>
                      <w:szCs w:val="21"/>
                      <w:highlight w:val="none"/>
                    </w:rPr>
                    <w:t>工进场尽量利用周边现有道路，新建临时进场道路严格控制道路宽度为3.5m，减少占地，施工结束后恢复原有使用功能。</w:t>
                  </w:r>
                </w:p>
                <w:p w14:paraId="528B8F75">
                  <w:pPr>
                    <w:autoSpaceDE w:val="0"/>
                    <w:autoSpaceDN w:val="0"/>
                    <w:adjustRightInd w:val="0"/>
                    <w:snapToGrid w:val="0"/>
                    <w:jc w:val="both"/>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施工采用的车辆定期检修和保养，</w:t>
                  </w:r>
                  <w:r>
                    <w:rPr>
                      <w:rFonts w:hint="default" w:ascii="Times New Roman" w:hAnsi="Times New Roman" w:cs="Times New Roman"/>
                      <w:color w:val="auto"/>
                      <w:highlight w:val="none"/>
                      <w:lang w:val="en-US" w:eastAsia="zh-CN"/>
                    </w:rPr>
                    <w:t>在经过</w:t>
                  </w:r>
                  <w:r>
                    <w:rPr>
                      <w:rFonts w:hint="default" w:ascii="Times New Roman" w:hAnsi="Times New Roman" w:cs="Times New Roman"/>
                      <w:color w:val="auto"/>
                      <w:sz w:val="21"/>
                      <w:szCs w:val="21"/>
                      <w:highlight w:val="none"/>
                    </w:rPr>
                    <w:t>耕地、园地、林地和草地</w:t>
                  </w:r>
                  <w:r>
                    <w:rPr>
                      <w:rFonts w:hint="default" w:ascii="Times New Roman" w:hAnsi="Times New Roman" w:cs="Times New Roman"/>
                      <w:color w:val="auto"/>
                      <w:sz w:val="21"/>
                      <w:szCs w:val="21"/>
                      <w:highlight w:val="none"/>
                      <w:lang w:val="en-US" w:eastAsia="zh-CN"/>
                    </w:rPr>
                    <w:t>等</w:t>
                  </w:r>
                  <w:r>
                    <w:rPr>
                      <w:rFonts w:hint="default" w:ascii="Times New Roman" w:hAnsi="Times New Roman" w:cs="Times New Roman"/>
                      <w:color w:val="auto"/>
                      <w:highlight w:val="none"/>
                      <w:lang w:val="en-US" w:eastAsia="zh-CN"/>
                    </w:rPr>
                    <w:t>地区铺设地表隔离设施，</w:t>
                  </w:r>
                  <w:r>
                    <w:rPr>
                      <w:rFonts w:hint="default" w:ascii="Times New Roman" w:hAnsi="Times New Roman" w:cs="Times New Roman"/>
                      <w:color w:val="auto"/>
                      <w:kern w:val="0"/>
                      <w:szCs w:val="21"/>
                      <w:highlight w:val="none"/>
                    </w:rPr>
                    <w:t>确保不会造成油料的跑、冒、滴、漏；施工结束后，应及时清理施工现场，因地制宜进行土地功能恢复。</w:t>
                  </w:r>
                </w:p>
              </w:tc>
              <w:tc>
                <w:tcPr>
                  <w:tcW w:w="867" w:type="dxa"/>
                  <w:noWrap w:val="0"/>
                  <w:vAlign w:val="center"/>
                </w:tcPr>
                <w:p w14:paraId="605BA306">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DEE3A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23249578">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676" w:type="dxa"/>
                  <w:vMerge w:val="continue"/>
                  <w:noWrap w:val="0"/>
                  <w:vAlign w:val="center"/>
                </w:tcPr>
                <w:p w14:paraId="5DA276C0">
                  <w:pPr>
                    <w:pStyle w:val="70"/>
                    <w:adjustRightInd w:val="0"/>
                    <w:spacing w:line="240" w:lineRule="auto"/>
                    <w:jc w:val="center"/>
                    <w:rPr>
                      <w:rFonts w:hint="default" w:ascii="Times New Roman" w:hAnsi="Times New Roman" w:cs="Times New Roman"/>
                      <w:color w:val="auto"/>
                      <w:sz w:val="21"/>
                      <w:szCs w:val="21"/>
                      <w:highlight w:val="none"/>
                    </w:rPr>
                  </w:pPr>
                </w:p>
              </w:tc>
              <w:tc>
                <w:tcPr>
                  <w:tcW w:w="2599" w:type="dxa"/>
                  <w:noWrap w:val="0"/>
                  <w:vAlign w:val="center"/>
                </w:tcPr>
                <w:p w14:paraId="07F27AFC">
                  <w:pPr>
                    <w:autoSpaceDE w:val="0"/>
                    <w:autoSpaceDN w:val="0"/>
                    <w:adjustRightInd w:val="0"/>
                    <w:snapToGrid w:val="0"/>
                    <w:jc w:val="both"/>
                    <w:rPr>
                      <w:rFonts w:hint="default" w:ascii="Times New Roman" w:hAnsi="Times New Roman" w:cs="Times New Roman"/>
                      <w:color w:val="auto"/>
                      <w:szCs w:val="21"/>
                      <w:highlight w:val="none"/>
                    </w:rPr>
                  </w:pPr>
                  <w:r>
                    <w:rPr>
                      <w:rFonts w:hint="default" w:ascii="Times New Roman" w:hAnsi="Times New Roman" w:cs="Times New Roman"/>
                      <w:b/>
                      <w:color w:val="auto"/>
                      <w:kern w:val="0"/>
                      <w:szCs w:val="21"/>
                      <w:highlight w:val="none"/>
                    </w:rPr>
                    <w:t>水环境保护：</w:t>
                  </w:r>
                  <w:r>
                    <w:rPr>
                      <w:rFonts w:hint="default" w:ascii="Times New Roman" w:hAnsi="Times New Roman" w:cs="Times New Roman"/>
                      <w:color w:val="auto"/>
                      <w:kern w:val="0"/>
                      <w:szCs w:val="21"/>
                      <w:highlight w:val="none"/>
                    </w:rPr>
                    <w:t>施工期间禁止向水体排放、倾倒垃圾、弃土、弃渣，禁止排放未经处理的钻浆等废弃物。</w:t>
                  </w:r>
                </w:p>
              </w:tc>
              <w:tc>
                <w:tcPr>
                  <w:tcW w:w="3405" w:type="dxa"/>
                  <w:noWrap w:val="0"/>
                  <w:vAlign w:val="center"/>
                </w:tcPr>
                <w:p w14:paraId="09FCF6DE">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输电线路项目采用商品混凝土</w:t>
                  </w:r>
                  <w:r>
                    <w:rPr>
                      <w:rFonts w:hint="default" w:ascii="Times New Roman" w:hAnsi="Times New Roman" w:eastAsia="宋体" w:cs="Times New Roman"/>
                      <w:color w:val="auto"/>
                      <w:sz w:val="21"/>
                      <w:szCs w:val="21"/>
                      <w:highlight w:val="none"/>
                      <w:lang w:val="en-US" w:eastAsia="zh-CN"/>
                    </w:rPr>
                    <w:t>，施工期无生产废水产生；本工程不设施工营地，施工人员租用</w:t>
                  </w:r>
                  <w:r>
                    <w:rPr>
                      <w:rFonts w:hint="default" w:ascii="Times New Roman" w:hAnsi="Times New Roman" w:eastAsia="宋体" w:cs="Times New Roman"/>
                      <w:color w:val="auto"/>
                      <w:sz w:val="21"/>
                      <w:szCs w:val="21"/>
                      <w:highlight w:val="none"/>
                    </w:rPr>
                    <w:t>当地民房居住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变电站内施工人员产生的少量生活污水依托站内已建的化粪池进行处理；输电线路施工人员产生的生活污水依托居住地污水处理措施处理。</w:t>
                  </w:r>
                  <w:r>
                    <w:rPr>
                      <w:rFonts w:hint="default" w:ascii="Times New Roman" w:hAnsi="Times New Roman" w:cs="Times New Roman"/>
                      <w:color w:val="auto"/>
                      <w:sz w:val="21"/>
                      <w:szCs w:val="21"/>
                      <w:highlight w:val="none"/>
                    </w:rPr>
                    <w:t>输电线路</w:t>
                  </w:r>
                  <w:r>
                    <w:rPr>
                      <w:rFonts w:hint="default" w:ascii="Times New Roman" w:hAnsi="Times New Roman" w:cs="Times New Roman"/>
                      <w:color w:val="auto"/>
                      <w:sz w:val="21"/>
                      <w:szCs w:val="21"/>
                      <w:highlight w:val="none"/>
                      <w:lang w:val="en-US" w:eastAsia="zh-CN"/>
                    </w:rPr>
                    <w:t>避开雨天</w:t>
                  </w:r>
                  <w:r>
                    <w:rPr>
                      <w:rFonts w:hint="default" w:ascii="Times New Roman" w:hAnsi="Times New Roman" w:cs="Times New Roman"/>
                      <w:color w:val="auto"/>
                      <w:sz w:val="21"/>
                      <w:szCs w:val="21"/>
                      <w:highlight w:val="none"/>
                    </w:rPr>
                    <w:t>施工。施工期严格管理，严禁乱扔垃圾。</w:t>
                  </w:r>
                </w:p>
              </w:tc>
              <w:tc>
                <w:tcPr>
                  <w:tcW w:w="867" w:type="dxa"/>
                  <w:noWrap w:val="0"/>
                  <w:vAlign w:val="center"/>
                </w:tcPr>
                <w:p w14:paraId="30C3D9E7">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6381A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3C6013F1">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cr/>
                  </w:r>
                </w:p>
              </w:tc>
              <w:tc>
                <w:tcPr>
                  <w:tcW w:w="676" w:type="dxa"/>
                  <w:vMerge w:val="continue"/>
                  <w:noWrap w:val="0"/>
                  <w:vAlign w:val="center"/>
                </w:tcPr>
                <w:p w14:paraId="314A77DF">
                  <w:pPr>
                    <w:pStyle w:val="70"/>
                    <w:adjustRightInd w:val="0"/>
                    <w:spacing w:line="240" w:lineRule="auto"/>
                    <w:jc w:val="center"/>
                    <w:rPr>
                      <w:rFonts w:hint="default" w:ascii="Times New Roman" w:hAnsi="Times New Roman" w:cs="Times New Roman"/>
                      <w:color w:val="auto"/>
                      <w:sz w:val="21"/>
                      <w:szCs w:val="21"/>
                      <w:highlight w:val="none"/>
                    </w:rPr>
                  </w:pPr>
                </w:p>
              </w:tc>
              <w:tc>
                <w:tcPr>
                  <w:tcW w:w="2599" w:type="dxa"/>
                  <w:noWrap w:val="0"/>
                  <w:vAlign w:val="center"/>
                </w:tcPr>
                <w:p w14:paraId="1E860646">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b/>
                      <w:color w:val="auto"/>
                      <w:kern w:val="0"/>
                      <w:szCs w:val="21"/>
                      <w:highlight w:val="none"/>
                    </w:rPr>
                    <w:t>大气环境保护：</w:t>
                  </w:r>
                  <w:r>
                    <w:rPr>
                      <w:rFonts w:hint="default" w:ascii="Times New Roman" w:hAnsi="Times New Roman" w:cs="Times New Roman"/>
                      <w:color w:val="auto"/>
                      <w:kern w:val="0"/>
                      <w:szCs w:val="21"/>
                      <w:highlight w:val="none"/>
                    </w:rPr>
                    <w:t>施工过程中，应当加强对施工现场和物料运输的管理，在施工工地设置硬质围挡，保持道路清洁，管控料堆和渣土堆放，防治扬尘污染。</w:t>
                  </w:r>
                </w:p>
                <w:p w14:paraId="7389A97F">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施工过程中，对易起尘的临时堆土、运输过程中的土石方等应采用密闭式防尘布（网）进行苫盖，施工面集中且有条件的地方宜采取洒水降尘等有效措施，减少易造成大气污染的施工作业。</w:t>
                  </w:r>
                </w:p>
                <w:p w14:paraId="7052DE21">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施工过程中，建设单位应当对裸露地面进行覆盖；暂时不能开工的建设用地超过三个月的，应当进行绿化、铺装或者遮盖。</w:t>
                  </w:r>
                </w:p>
                <w:p w14:paraId="43A8F513">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施工现场禁止将包装物、可燃垃圾等固体废弃物就地焚烧。</w:t>
                  </w:r>
                </w:p>
              </w:tc>
              <w:tc>
                <w:tcPr>
                  <w:tcW w:w="3405" w:type="dxa"/>
                  <w:noWrap w:val="0"/>
                  <w:vAlign w:val="center"/>
                </w:tcPr>
                <w:p w14:paraId="59D6EE53">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①施工场地适时洒水；②物料堆放等采取</w:t>
                  </w:r>
                  <w:r>
                    <w:rPr>
                      <w:rFonts w:hint="default" w:ascii="Times New Roman" w:hAnsi="Times New Roman" w:cs="Times New Roman"/>
                      <w:color w:val="auto"/>
                      <w:sz w:val="21"/>
                      <w:szCs w:val="21"/>
                      <w:highlight w:val="none"/>
                      <w:lang w:val="en-US" w:eastAsia="zh-CN"/>
                    </w:rPr>
                    <w:t>苫盖措施</w:t>
                  </w:r>
                  <w:r>
                    <w:rPr>
                      <w:rFonts w:hint="default" w:ascii="Times New Roman" w:hAnsi="Times New Roman" w:cs="Times New Roman"/>
                      <w:color w:val="auto"/>
                      <w:sz w:val="21"/>
                      <w:szCs w:val="21"/>
                      <w:highlight w:val="none"/>
                    </w:rPr>
                    <w:t>③尽量不在大风天施工作业，尤其是引起地面扰动的作业等防尘措施。④土方运输车辆采取篷布苫盖，封闭运输，防止飞散、掉落；⑤施工现场禁止将包装物、可燃垃圾等固体废弃物就地焚烧。⑥针对施工车辆产生的尾气，施工过程中应加强施工机械和车辆的维护保养，减少废气排放量。⑦施工期做到6个100%，进一步减少施工扬尘。</w:t>
                  </w:r>
                </w:p>
              </w:tc>
              <w:tc>
                <w:tcPr>
                  <w:tcW w:w="867" w:type="dxa"/>
                  <w:noWrap w:val="0"/>
                  <w:vAlign w:val="center"/>
                </w:tcPr>
                <w:p w14:paraId="57927725">
                  <w:pPr>
                    <w:pStyle w:val="70"/>
                    <w:adjustRightInd w:val="0"/>
                    <w:spacing w:line="240" w:lineRule="auto"/>
                    <w:jc w:val="center"/>
                    <w:rPr>
                      <w:rFonts w:hint="default" w:ascii="Times New Roman" w:hAnsi="Times New Roman" w:cs="Times New Roman"/>
                      <w:color w:val="auto"/>
                      <w:sz w:val="21"/>
                      <w:szCs w:val="21"/>
                      <w:highlight w:val="none"/>
                    </w:rPr>
                  </w:pPr>
                </w:p>
              </w:tc>
            </w:tr>
            <w:tr w14:paraId="741199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66BC2099">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w:t>
                  </w:r>
                </w:p>
              </w:tc>
              <w:tc>
                <w:tcPr>
                  <w:tcW w:w="676" w:type="dxa"/>
                  <w:vMerge w:val="continue"/>
                  <w:noWrap w:val="0"/>
                  <w:vAlign w:val="center"/>
                </w:tcPr>
                <w:p w14:paraId="6A020B45">
                  <w:pPr>
                    <w:pStyle w:val="70"/>
                    <w:adjustRightInd w:val="0"/>
                    <w:spacing w:line="240" w:lineRule="auto"/>
                    <w:jc w:val="center"/>
                    <w:rPr>
                      <w:rFonts w:hint="default" w:ascii="Times New Roman" w:hAnsi="Times New Roman" w:cs="Times New Roman"/>
                      <w:color w:val="auto"/>
                      <w:sz w:val="21"/>
                      <w:szCs w:val="21"/>
                      <w:highlight w:val="none"/>
                    </w:rPr>
                  </w:pPr>
                </w:p>
              </w:tc>
              <w:tc>
                <w:tcPr>
                  <w:tcW w:w="2599" w:type="dxa"/>
                  <w:noWrap w:val="0"/>
                  <w:vAlign w:val="center"/>
                </w:tcPr>
                <w:p w14:paraId="4E4DD1F1">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b/>
                      <w:color w:val="auto"/>
                      <w:kern w:val="0"/>
                      <w:szCs w:val="21"/>
                      <w:highlight w:val="none"/>
                    </w:rPr>
                    <w:t>固体废物处置：</w:t>
                  </w:r>
                  <w:r>
                    <w:rPr>
                      <w:rFonts w:hint="default" w:ascii="Times New Roman" w:hAnsi="Times New Roman" w:cs="Times New Roman"/>
                      <w:color w:val="auto"/>
                      <w:kern w:val="0"/>
                      <w:szCs w:val="21"/>
                      <w:highlight w:val="none"/>
                    </w:rPr>
                    <w:t>施工过程中产生的土石方、建筑垃圾、生活垃圾应分类集中收集，并按国家和地方有关规定定期进行清运处置，施工完成后及时做好迹地清理工作。</w:t>
                  </w:r>
                </w:p>
                <w:p w14:paraId="2F7B21EC">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在农田和经济作物区施工时，施工临时占地宜采取隔离保护措施，施工结束后应将混凝土余料和残渣及时清除，以免影响后期土地功能的恢复。</w:t>
                  </w:r>
                </w:p>
              </w:tc>
              <w:tc>
                <w:tcPr>
                  <w:tcW w:w="3405" w:type="dxa"/>
                  <w:noWrap w:val="0"/>
                  <w:vAlign w:val="center"/>
                </w:tcPr>
                <w:p w14:paraId="52DC3C38">
                  <w:pPr>
                    <w:autoSpaceDE w:val="0"/>
                    <w:autoSpaceDN w:val="0"/>
                    <w:adjustRightInd w:val="0"/>
                    <w:snapToGrid w:val="0"/>
                    <w:jc w:val="both"/>
                    <w:rPr>
                      <w:rFonts w:hint="default" w:ascii="Times New Roman" w:hAnsi="Times New Roman" w:cs="Times New Roman"/>
                      <w:color w:val="auto"/>
                      <w:szCs w:val="21"/>
                      <w:highlight w:val="none"/>
                    </w:rPr>
                  </w:pPr>
                  <w:r>
                    <w:rPr>
                      <w:rFonts w:hint="default" w:ascii="Times New Roman" w:hAnsi="Times New Roman" w:eastAsia="宋体" w:cs="Times New Roman"/>
                      <w:color w:val="auto"/>
                      <w:spacing w:val="9"/>
                      <w:sz w:val="21"/>
                      <w:szCs w:val="21"/>
                      <w:highlight w:val="none"/>
                      <w:lang w:val="en-US" w:eastAsia="zh-CN"/>
                    </w:rPr>
                    <w:t>①间隔扩建工程施工过程开挖产生的</w:t>
                  </w:r>
                  <w:r>
                    <w:rPr>
                      <w:rFonts w:hint="eastAsia" w:cs="Times New Roman"/>
                      <w:color w:val="auto"/>
                      <w:sz w:val="21"/>
                      <w:szCs w:val="21"/>
                      <w:highlight w:val="none"/>
                      <w:vertAlign w:val="baseline"/>
                      <w:lang w:val="en-US" w:eastAsia="zh-CN"/>
                    </w:rPr>
                    <w:t>余</w:t>
                  </w:r>
                  <w:r>
                    <w:rPr>
                      <w:rFonts w:hint="default" w:ascii="Times New Roman" w:hAnsi="Times New Roman" w:cs="Times New Roman"/>
                      <w:color w:val="auto"/>
                      <w:sz w:val="21"/>
                      <w:szCs w:val="21"/>
                      <w:highlight w:val="none"/>
                      <w:vertAlign w:val="baseline"/>
                      <w:lang w:val="en-US" w:eastAsia="zh-CN"/>
                    </w:rPr>
                    <w:t>方由施工单位运至</w:t>
                  </w:r>
                  <w:r>
                    <w:rPr>
                      <w:rFonts w:hint="default" w:ascii="Times New Roman" w:hAnsi="Times New Roman" w:cs="Times New Roman"/>
                      <w:color w:val="auto"/>
                      <w:sz w:val="21"/>
                      <w:szCs w:val="21"/>
                      <w:highlight w:val="none"/>
                      <w:lang w:val="en-US" w:eastAsia="zh-CN"/>
                    </w:rPr>
                    <w:t>输电线路塔基及施工作业区</w:t>
                  </w:r>
                  <w:r>
                    <w:rPr>
                      <w:rFonts w:hint="eastAsia" w:cs="Times New Roman"/>
                      <w:color w:val="auto"/>
                      <w:sz w:val="21"/>
                      <w:szCs w:val="21"/>
                      <w:highlight w:val="none"/>
                      <w:lang w:val="en-US" w:eastAsia="zh-CN"/>
                    </w:rPr>
                    <w:t>场地平整使用</w:t>
                  </w:r>
                  <w:r>
                    <w:rPr>
                      <w:rFonts w:hint="default" w:ascii="Times New Roman" w:hAnsi="Times New Roman" w:eastAsia="宋体" w:cs="Times New Roman"/>
                      <w:color w:val="auto"/>
                      <w:spacing w:val="9"/>
                      <w:sz w:val="21"/>
                      <w:szCs w:val="21"/>
                      <w:highlight w:val="none"/>
                      <w:lang w:val="en-US" w:eastAsia="zh-CN"/>
                    </w:rPr>
                    <w:t>；施工期塔基基础开挖出的土石方全部用于回填及塔基周围培土，无弃土产生。②变电站内施工人员产生的生活垃圾依托站内生活垃圾桶分类收集</w:t>
                  </w:r>
                  <w:r>
                    <w:rPr>
                      <w:rFonts w:hint="eastAsia" w:cs="Times New Roman"/>
                      <w:color w:val="auto"/>
                      <w:sz w:val="21"/>
                      <w:szCs w:val="21"/>
                      <w:highlight w:val="none"/>
                      <w:lang w:val="en-US" w:eastAsia="zh-CN"/>
                    </w:rPr>
                    <w:t>后送附近垃圾收集点收集处置</w:t>
                  </w:r>
                  <w:r>
                    <w:rPr>
                      <w:rFonts w:hint="default" w:ascii="Times New Roman" w:hAnsi="Times New Roman" w:eastAsia="宋体" w:cs="Times New Roman"/>
                      <w:color w:val="auto"/>
                      <w:spacing w:val="9"/>
                      <w:sz w:val="21"/>
                      <w:szCs w:val="21"/>
                      <w:highlight w:val="none"/>
                      <w:lang w:val="en-US" w:eastAsia="zh-CN"/>
                    </w:rPr>
                    <w:t>。输电线路</w:t>
                  </w:r>
                  <w:r>
                    <w:rPr>
                      <w:rFonts w:hint="default" w:ascii="Times New Roman" w:hAnsi="Times New Roman" w:eastAsia="宋体" w:cs="Times New Roman"/>
                      <w:color w:val="auto"/>
                      <w:sz w:val="21"/>
                      <w:szCs w:val="21"/>
                      <w:highlight w:val="none"/>
                      <w:lang w:val="en-US" w:eastAsia="zh-CN"/>
                    </w:rPr>
                    <w:t>施工人员产生的生活垃圾依托</w:t>
                  </w:r>
                  <w:r>
                    <w:rPr>
                      <w:rFonts w:hint="default" w:ascii="Times New Roman" w:hAnsi="Times New Roman" w:cs="Times New Roman"/>
                      <w:color w:val="auto"/>
                      <w:spacing w:val="-11"/>
                      <w:sz w:val="21"/>
                      <w:szCs w:val="21"/>
                      <w:highlight w:val="none"/>
                      <w:lang w:val="en-US" w:eastAsia="zh-CN"/>
                    </w:rPr>
                    <w:t>居住地</w:t>
                  </w:r>
                  <w:r>
                    <w:rPr>
                      <w:rFonts w:hint="default" w:ascii="Times New Roman" w:hAnsi="Times New Roman" w:eastAsia="宋体" w:cs="Times New Roman"/>
                      <w:color w:val="auto"/>
                      <w:sz w:val="21"/>
                      <w:szCs w:val="21"/>
                      <w:highlight w:val="none"/>
                      <w:lang w:val="en-US" w:eastAsia="zh-CN"/>
                    </w:rPr>
                    <w:t>现有的垃圾桶</w:t>
                  </w:r>
                  <w:r>
                    <w:rPr>
                      <w:rFonts w:hint="default" w:ascii="Times New Roman" w:hAnsi="Times New Roman" w:eastAsia="宋体" w:cs="Times New Roman"/>
                      <w:color w:val="auto"/>
                      <w:kern w:val="0"/>
                      <w:sz w:val="21"/>
                      <w:szCs w:val="21"/>
                      <w:highlight w:val="none"/>
                    </w:rPr>
                    <w:t>集中收集</w:t>
                  </w:r>
                  <w:r>
                    <w:rPr>
                      <w:rFonts w:hint="eastAsia" w:cs="Times New Roman"/>
                      <w:color w:val="auto"/>
                      <w:sz w:val="21"/>
                      <w:szCs w:val="21"/>
                      <w:highlight w:val="none"/>
                      <w:lang w:val="en-US" w:eastAsia="zh-CN"/>
                    </w:rPr>
                    <w:t>后送附近垃圾收集点收集处置</w:t>
                  </w:r>
                  <w:r>
                    <w:rPr>
                      <w:rFonts w:hint="default" w:ascii="Times New Roman" w:hAnsi="Times New Roman" w:eastAsia="宋体" w:cs="Times New Roman"/>
                      <w:color w:val="auto"/>
                      <w:kern w:val="0"/>
                      <w:sz w:val="21"/>
                      <w:szCs w:val="21"/>
                      <w:highlight w:val="none"/>
                      <w:lang w:eastAsia="zh-CN"/>
                    </w:rPr>
                    <w:t>。③</w:t>
                  </w:r>
                  <w:r>
                    <w:rPr>
                      <w:rFonts w:hint="default" w:ascii="Times New Roman" w:hAnsi="Times New Roman" w:eastAsia="宋体" w:cs="Times New Roman"/>
                      <w:color w:val="auto"/>
                      <w:sz w:val="21"/>
                      <w:szCs w:val="21"/>
                      <w:highlight w:val="none"/>
                      <w:lang w:eastAsia="zh-CN"/>
                    </w:rPr>
                    <w:t>施工单位</w:t>
                  </w:r>
                  <w:r>
                    <w:rPr>
                      <w:rFonts w:hint="default" w:ascii="Times New Roman" w:hAnsi="Times New Roman" w:eastAsia="宋体" w:cs="Times New Roman"/>
                      <w:color w:val="auto"/>
                      <w:sz w:val="21"/>
                      <w:szCs w:val="21"/>
                      <w:highlight w:val="none"/>
                      <w:lang w:val="en-US" w:eastAsia="zh-CN"/>
                    </w:rPr>
                    <w:t>按要求</w:t>
                  </w:r>
                  <w:r>
                    <w:rPr>
                      <w:rFonts w:hint="default" w:ascii="Times New Roman" w:hAnsi="Times New Roman" w:eastAsia="宋体" w:cs="Times New Roman"/>
                      <w:color w:val="auto"/>
                      <w:sz w:val="21"/>
                      <w:szCs w:val="21"/>
                      <w:highlight w:val="none"/>
                      <w:lang w:eastAsia="zh-CN"/>
                    </w:rPr>
                    <w:t>编制建筑垃圾处理方案，</w:t>
                  </w:r>
                  <w:r>
                    <w:rPr>
                      <w:rFonts w:hint="default" w:ascii="Times New Roman" w:hAnsi="Times New Roman" w:eastAsia="宋体" w:cs="Times New Roman"/>
                      <w:color w:val="auto"/>
                      <w:sz w:val="21"/>
                      <w:szCs w:val="21"/>
                      <w:highlight w:val="none"/>
                    </w:rPr>
                    <w:t>及时</w:t>
                  </w:r>
                  <w:r>
                    <w:rPr>
                      <w:rFonts w:hint="default" w:ascii="Times New Roman" w:hAnsi="Times New Roman" w:eastAsia="宋体" w:cs="Times New Roman"/>
                      <w:color w:val="auto"/>
                      <w:sz w:val="21"/>
                      <w:szCs w:val="21"/>
                      <w:highlight w:val="none"/>
                      <w:lang w:val="en-US" w:eastAsia="zh-CN"/>
                    </w:rPr>
                    <w:t>将建筑垃圾</w:t>
                  </w:r>
                  <w:r>
                    <w:rPr>
                      <w:rFonts w:hint="default" w:ascii="Times New Roman" w:hAnsi="Times New Roman" w:eastAsia="宋体" w:cs="Times New Roman"/>
                      <w:color w:val="auto"/>
                      <w:sz w:val="21"/>
                      <w:szCs w:val="21"/>
                      <w:highlight w:val="none"/>
                    </w:rPr>
                    <w:t>清运</w:t>
                  </w:r>
                  <w:r>
                    <w:rPr>
                      <w:rFonts w:hint="default" w:ascii="Times New Roman" w:hAnsi="Times New Roman" w:eastAsia="宋体" w:cs="Times New Roman"/>
                      <w:color w:val="auto"/>
                      <w:sz w:val="21"/>
                      <w:szCs w:val="21"/>
                      <w:highlight w:val="none"/>
                      <w:lang w:val="en-US" w:eastAsia="zh-CN"/>
                    </w:rPr>
                    <w:t>至政府指定地点</w:t>
                  </w:r>
                  <w:r>
                    <w:rPr>
                      <w:rFonts w:hint="default" w:ascii="Times New Roman" w:hAnsi="Times New Roman" w:eastAsia="宋体" w:cs="Times New Roman"/>
                      <w:color w:val="auto"/>
                      <w:sz w:val="21"/>
                      <w:szCs w:val="21"/>
                      <w:highlight w:val="none"/>
                      <w:lang w:eastAsia="zh-CN"/>
                    </w:rPr>
                    <w:t>，并报县级以上地方人民政府环境卫生主管部门备案，统一清运至管理部门指定的地点处置</w:t>
                  </w:r>
                  <w:r>
                    <w:rPr>
                      <w:rFonts w:hint="default" w:ascii="Times New Roman" w:hAnsi="Times New Roman" w:eastAsia="宋体" w:cs="Times New Roman"/>
                      <w:color w:val="auto"/>
                      <w:kern w:val="0"/>
                      <w:sz w:val="21"/>
                      <w:szCs w:val="21"/>
                      <w:highlight w:val="none"/>
                      <w:lang w:val="en-US" w:eastAsia="zh-CN"/>
                    </w:rPr>
                    <w:t>。④</w:t>
                  </w:r>
                  <w:r>
                    <w:rPr>
                      <w:rFonts w:hint="default" w:ascii="Times New Roman" w:hAnsi="Times New Roman" w:eastAsia="宋体" w:cs="Times New Roman"/>
                      <w:color w:val="auto"/>
                      <w:sz w:val="21"/>
                      <w:szCs w:val="21"/>
                      <w:highlight w:val="none"/>
                      <w:lang w:val="en-US" w:eastAsia="zh-CN"/>
                    </w:rPr>
                    <w:t>拆除下来的导线、地线、附件及其他可回收的铁塔部件临时堆放在拆除区域临时占地，及时运出并由施工单位统一收集后交由建管单位回收利用；基础破除产生的混凝土块，集中收集后由施工单位及时运至当地环境卫生主管部门指定的地点处置。</w:t>
                  </w:r>
                </w:p>
              </w:tc>
              <w:tc>
                <w:tcPr>
                  <w:tcW w:w="867" w:type="dxa"/>
                  <w:noWrap w:val="0"/>
                  <w:vAlign w:val="center"/>
                </w:tcPr>
                <w:p w14:paraId="2088DA9D">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99349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3" w:type="dxa"/>
                  <w:noWrap w:val="0"/>
                  <w:vAlign w:val="center"/>
                </w:tcPr>
                <w:p w14:paraId="0F551A4B">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676" w:type="dxa"/>
                  <w:noWrap w:val="0"/>
                  <w:vAlign w:val="center"/>
                </w:tcPr>
                <w:p w14:paraId="172AB087">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运行</w:t>
                  </w:r>
                </w:p>
              </w:tc>
              <w:tc>
                <w:tcPr>
                  <w:tcW w:w="2599" w:type="dxa"/>
                  <w:noWrap w:val="0"/>
                  <w:vAlign w:val="center"/>
                </w:tcPr>
                <w:p w14:paraId="0A7CA335">
                  <w:pPr>
                    <w:autoSpaceDE w:val="0"/>
                    <w:autoSpaceDN w:val="0"/>
                    <w:adjustRightInd w:val="0"/>
                    <w:snapToGrid w:val="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运行期做好环境保护设施的维护和运行管理，加强巡查，保障发挥环境保护作用。定期开展环境监测，确保电磁、噪声、废水排放符合GB870</w:t>
                  </w:r>
                  <w:r>
                    <w:rPr>
                      <w:rFonts w:hint="default" w:ascii="Times New Roman" w:hAnsi="Times New Roman" w:cs="Times New Roman"/>
                      <w:color w:val="auto"/>
                      <w:kern w:val="0"/>
                      <w:szCs w:val="21"/>
                      <w:highlight w:val="none"/>
                      <w:lang w:eastAsia="zh-CN"/>
                    </w:rPr>
                    <w:t>2.</w:t>
                  </w:r>
                  <w:r>
                    <w:rPr>
                      <w:rFonts w:hint="default" w:ascii="Times New Roman" w:hAnsi="Times New Roman" w:cs="Times New Roman"/>
                      <w:color w:val="auto"/>
                      <w:kern w:val="0"/>
                      <w:szCs w:val="21"/>
                      <w:highlight w:val="none"/>
                    </w:rPr>
                    <w:t>GB12348、GB8978等国家标准要求，并及时解决公众合理的环境保护诉求。</w:t>
                  </w:r>
                </w:p>
              </w:tc>
              <w:tc>
                <w:tcPr>
                  <w:tcW w:w="3405" w:type="dxa"/>
                  <w:noWrap w:val="0"/>
                  <w:vAlign w:val="center"/>
                </w:tcPr>
                <w:p w14:paraId="48DCABC4">
                  <w:pPr>
                    <w:pStyle w:val="70"/>
                    <w:adjustRightInd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运行</w:t>
                  </w:r>
                  <w:r>
                    <w:rPr>
                      <w:rFonts w:hint="default" w:ascii="Times New Roman" w:hAnsi="Times New Roman" w:cs="Times New Roman"/>
                      <w:color w:val="auto"/>
                      <w:sz w:val="21"/>
                      <w:szCs w:val="21"/>
                      <w:highlight w:val="none"/>
                      <w:lang w:eastAsia="zh-CN"/>
                    </w:rPr>
                    <w:t>期间</w:t>
                  </w:r>
                  <w:r>
                    <w:rPr>
                      <w:rFonts w:hint="default" w:ascii="Times New Roman" w:hAnsi="Times New Roman" w:cs="Times New Roman"/>
                      <w:color w:val="auto"/>
                      <w:sz w:val="21"/>
                      <w:szCs w:val="21"/>
                      <w:highlight w:val="none"/>
                    </w:rPr>
                    <w:t>做好环境保护设施的维护和运行管理，加强巡查和检查。定期开展电磁、噪声环境监测，确保达标排放。</w:t>
                  </w:r>
                </w:p>
              </w:tc>
              <w:tc>
                <w:tcPr>
                  <w:tcW w:w="867" w:type="dxa"/>
                  <w:noWrap w:val="0"/>
                  <w:vAlign w:val="center"/>
                </w:tcPr>
                <w:p w14:paraId="2EF89755">
                  <w:pPr>
                    <w:pStyle w:val="7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250AD34A">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由上表可知：</w:t>
            </w:r>
            <w:r>
              <w:rPr>
                <w:rFonts w:hint="default" w:ascii="Times New Roman" w:hAnsi="Times New Roman" w:cs="Times New Roman"/>
                <w:color w:val="auto"/>
                <w:sz w:val="24"/>
                <w:highlight w:val="none"/>
                <w:lang w:eastAsia="zh-CN"/>
              </w:rPr>
              <w:t>通过</w:t>
            </w:r>
            <w:r>
              <w:rPr>
                <w:rFonts w:hint="default" w:ascii="Times New Roman" w:hAnsi="Times New Roman" w:cs="Times New Roman"/>
                <w:color w:val="auto"/>
                <w:sz w:val="24"/>
                <w:highlight w:val="none"/>
              </w:rPr>
              <w:t>对照《输变电建设项目环境保护技术要求》（HJ1113-2020）中相关技术要求，本项目选线、设计、施工期采取的环保防治措施、运行期采取的环境管理要求均合理可行。在落实本项目环境影响评价报告表提出的各项污染防治措施后，对周围环境的影响很小。</w:t>
            </w:r>
          </w:p>
          <w:p w14:paraId="5307942B">
            <w:pPr>
              <w:pStyle w:val="13"/>
              <w:spacing w:after="0" w:line="360" w:lineRule="auto"/>
              <w:ind w:left="0" w:leftChars="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因此，从环境保护角度，本项目</w:t>
            </w:r>
            <w:r>
              <w:rPr>
                <w:rFonts w:hint="default" w:ascii="Times New Roman" w:hAnsi="Times New Roman" w:cs="Times New Roman"/>
                <w:color w:val="auto"/>
                <w:sz w:val="24"/>
                <w:highlight w:val="none"/>
                <w:lang w:val="en-US" w:eastAsia="zh-CN"/>
              </w:rPr>
              <w:t>输电线路选线合理可行。</w:t>
            </w:r>
            <w:r>
              <w:rPr>
                <w:rFonts w:hint="default" w:ascii="Times New Roman" w:hAnsi="Times New Roman" w:cs="Times New Roman"/>
                <w:color w:val="auto"/>
                <w:sz w:val="24"/>
                <w:highlight w:val="none"/>
                <w:lang w:val="en-US" w:eastAsia="zh-CN"/>
              </w:rPr>
              <w:br w:type="textWrapping"/>
            </w:r>
          </w:p>
          <w:p w14:paraId="693D2416">
            <w:pPr>
              <w:pStyle w:val="13"/>
              <w:spacing w:after="0" w:line="360" w:lineRule="auto"/>
              <w:ind w:left="0" w:leftChars="0" w:firstLine="480" w:firstLineChars="200"/>
              <w:rPr>
                <w:rFonts w:hint="default" w:ascii="Times New Roman" w:hAnsi="Times New Roman" w:cs="Times New Roman"/>
                <w:color w:val="auto"/>
                <w:sz w:val="24"/>
                <w:highlight w:val="none"/>
                <w:lang w:val="en-US" w:eastAsia="zh-CN"/>
              </w:rPr>
            </w:pPr>
          </w:p>
          <w:p w14:paraId="7F75F60C">
            <w:pPr>
              <w:pStyle w:val="13"/>
              <w:spacing w:after="0" w:line="360" w:lineRule="auto"/>
              <w:ind w:left="0" w:leftChars="0" w:firstLine="480" w:firstLineChars="200"/>
              <w:rPr>
                <w:rFonts w:hint="default" w:ascii="Times New Roman" w:hAnsi="Times New Roman" w:cs="Times New Roman"/>
                <w:color w:val="auto"/>
                <w:sz w:val="24"/>
                <w:highlight w:val="none"/>
                <w:lang w:val="en-US" w:eastAsia="zh-CN"/>
              </w:rPr>
            </w:pPr>
          </w:p>
          <w:p w14:paraId="1E91A033">
            <w:pPr>
              <w:pStyle w:val="13"/>
              <w:spacing w:after="0" w:line="360" w:lineRule="auto"/>
              <w:ind w:left="0" w:leftChars="0" w:firstLine="480" w:firstLineChars="200"/>
              <w:rPr>
                <w:rFonts w:hint="default" w:ascii="Times New Roman" w:hAnsi="Times New Roman" w:cs="Times New Roman"/>
                <w:color w:val="auto"/>
                <w:sz w:val="24"/>
                <w:highlight w:val="none"/>
                <w:lang w:val="en-US" w:eastAsia="zh-CN"/>
              </w:rPr>
            </w:pPr>
          </w:p>
          <w:p w14:paraId="69EA05E3">
            <w:pPr>
              <w:pStyle w:val="14"/>
              <w:rPr>
                <w:rFonts w:hint="default" w:ascii="Times New Roman" w:hAnsi="Times New Roman" w:cs="Times New Roman"/>
                <w:color w:val="auto"/>
                <w:sz w:val="24"/>
                <w:highlight w:val="none"/>
                <w:lang w:val="en-US" w:eastAsia="zh-CN"/>
              </w:rPr>
            </w:pPr>
          </w:p>
          <w:p w14:paraId="5B575131">
            <w:pPr>
              <w:rPr>
                <w:rFonts w:hint="default" w:ascii="Times New Roman" w:hAnsi="Times New Roman" w:cs="Times New Roman"/>
                <w:color w:val="auto"/>
                <w:sz w:val="24"/>
                <w:highlight w:val="none"/>
                <w:lang w:val="en-US" w:eastAsia="zh-CN"/>
              </w:rPr>
            </w:pPr>
          </w:p>
          <w:p w14:paraId="1A001096">
            <w:pPr>
              <w:rPr>
                <w:rFonts w:hint="default" w:ascii="Times New Roman" w:hAnsi="Times New Roman" w:cs="Times New Roman"/>
                <w:color w:val="auto"/>
                <w:sz w:val="24"/>
                <w:highlight w:val="none"/>
                <w:lang w:val="en-US" w:eastAsia="zh-CN"/>
              </w:rPr>
            </w:pPr>
          </w:p>
          <w:p w14:paraId="4A963812">
            <w:pPr>
              <w:rPr>
                <w:rFonts w:hint="default" w:ascii="Times New Roman" w:hAnsi="Times New Roman" w:cs="Times New Roman"/>
                <w:color w:val="auto"/>
                <w:sz w:val="24"/>
                <w:highlight w:val="none"/>
                <w:lang w:val="en-US" w:eastAsia="zh-CN"/>
              </w:rPr>
            </w:pPr>
          </w:p>
          <w:p w14:paraId="0F93BAE4">
            <w:pPr>
              <w:rPr>
                <w:rFonts w:hint="default" w:ascii="Times New Roman" w:hAnsi="Times New Roman" w:cs="Times New Roman"/>
                <w:color w:val="auto"/>
                <w:sz w:val="24"/>
                <w:highlight w:val="none"/>
                <w:lang w:val="en-US" w:eastAsia="zh-CN"/>
              </w:rPr>
            </w:pPr>
          </w:p>
          <w:p w14:paraId="1441C9E2">
            <w:pPr>
              <w:rPr>
                <w:rFonts w:hint="default" w:ascii="Times New Roman" w:hAnsi="Times New Roman" w:cs="Times New Roman"/>
                <w:color w:val="auto"/>
                <w:sz w:val="24"/>
                <w:highlight w:val="none"/>
                <w:lang w:val="en-US" w:eastAsia="zh-CN"/>
              </w:rPr>
            </w:pPr>
          </w:p>
          <w:p w14:paraId="7576EF51">
            <w:pPr>
              <w:rPr>
                <w:rFonts w:hint="default" w:ascii="Times New Roman" w:hAnsi="Times New Roman" w:cs="Times New Roman"/>
                <w:color w:val="auto"/>
                <w:sz w:val="24"/>
                <w:highlight w:val="none"/>
                <w:lang w:val="en-US" w:eastAsia="zh-CN"/>
              </w:rPr>
            </w:pPr>
          </w:p>
          <w:p w14:paraId="1261A1E8">
            <w:pPr>
              <w:rPr>
                <w:rFonts w:hint="default" w:ascii="Times New Roman" w:hAnsi="Times New Roman" w:cs="Times New Roman"/>
                <w:color w:val="auto"/>
                <w:sz w:val="24"/>
                <w:highlight w:val="none"/>
                <w:lang w:val="en-US" w:eastAsia="zh-CN"/>
              </w:rPr>
            </w:pPr>
          </w:p>
          <w:p w14:paraId="700E13DE">
            <w:pPr>
              <w:rPr>
                <w:rFonts w:hint="default" w:ascii="Times New Roman" w:hAnsi="Times New Roman" w:cs="Times New Roman"/>
                <w:color w:val="auto"/>
                <w:sz w:val="24"/>
                <w:highlight w:val="none"/>
                <w:lang w:val="en-US" w:eastAsia="zh-CN"/>
              </w:rPr>
            </w:pPr>
          </w:p>
          <w:p w14:paraId="02B3A8C9">
            <w:pPr>
              <w:rPr>
                <w:rFonts w:hint="default" w:ascii="Times New Roman" w:hAnsi="Times New Roman" w:cs="Times New Roman"/>
                <w:color w:val="auto"/>
                <w:sz w:val="24"/>
                <w:highlight w:val="none"/>
                <w:lang w:val="en-US" w:eastAsia="zh-CN"/>
              </w:rPr>
            </w:pPr>
          </w:p>
          <w:p w14:paraId="3598A1AF">
            <w:pPr>
              <w:rPr>
                <w:rFonts w:hint="default" w:ascii="Times New Roman" w:hAnsi="Times New Roman" w:cs="Times New Roman"/>
                <w:color w:val="auto"/>
                <w:sz w:val="24"/>
                <w:highlight w:val="none"/>
                <w:lang w:val="en-US" w:eastAsia="zh-CN"/>
              </w:rPr>
            </w:pPr>
          </w:p>
          <w:p w14:paraId="5055F374">
            <w:pPr>
              <w:rPr>
                <w:rFonts w:hint="default" w:ascii="Times New Roman" w:hAnsi="Times New Roman" w:cs="Times New Roman"/>
                <w:color w:val="auto"/>
                <w:sz w:val="24"/>
                <w:highlight w:val="none"/>
                <w:lang w:val="en-US" w:eastAsia="zh-CN"/>
              </w:rPr>
            </w:pPr>
          </w:p>
          <w:p w14:paraId="77A9AEC2">
            <w:pPr>
              <w:rPr>
                <w:rFonts w:hint="default" w:ascii="Times New Roman" w:hAnsi="Times New Roman" w:cs="Times New Roman"/>
                <w:color w:val="auto"/>
                <w:sz w:val="24"/>
                <w:highlight w:val="none"/>
                <w:lang w:val="en-US" w:eastAsia="zh-CN"/>
              </w:rPr>
            </w:pPr>
          </w:p>
          <w:p w14:paraId="49F61E89">
            <w:pPr>
              <w:rPr>
                <w:rFonts w:hint="default" w:ascii="Times New Roman" w:hAnsi="Times New Roman" w:cs="Times New Roman"/>
                <w:color w:val="auto"/>
                <w:sz w:val="24"/>
                <w:highlight w:val="none"/>
                <w:lang w:val="en-US" w:eastAsia="zh-CN"/>
              </w:rPr>
            </w:pPr>
          </w:p>
          <w:p w14:paraId="306A734A">
            <w:pPr>
              <w:pStyle w:val="14"/>
              <w:keepNext w:val="0"/>
              <w:keepLines w:val="0"/>
              <w:pageBreakBefore w:val="0"/>
              <w:widowControl w:val="0"/>
              <w:kinsoku/>
              <w:wordWrap/>
              <w:overflowPunct/>
              <w:topLinePunct w:val="0"/>
              <w:autoSpaceDE/>
              <w:autoSpaceDN/>
              <w:bidi w:val="0"/>
              <w:adjustRightInd w:val="0"/>
              <w:snapToGrid w:val="0"/>
              <w:spacing w:before="0" w:after="0" w:line="240" w:lineRule="auto"/>
              <w:ind w:left="0" w:leftChars="0" w:right="0" w:firstLine="0" w:firstLineChars="0"/>
              <w:jc w:val="both"/>
              <w:textAlignment w:val="auto"/>
              <w:rPr>
                <w:rFonts w:hint="default" w:ascii="Times New Roman" w:hAnsi="Times New Roman" w:cs="Times New Roman"/>
                <w:color w:val="auto"/>
              </w:rPr>
            </w:pPr>
          </w:p>
        </w:tc>
      </w:tr>
    </w:tbl>
    <w:p w14:paraId="30B009E7">
      <w:pPr>
        <w:pStyle w:val="29"/>
        <w:jc w:val="center"/>
        <w:outlineLvl w:val="0"/>
        <w:rPr>
          <w:rFonts w:hint="default" w:ascii="Times New Roman" w:hAnsi="Times New Roman" w:eastAsia="黑体" w:cs="Times New Roman"/>
          <w:snapToGrid w:val="0"/>
          <w:color w:val="auto"/>
          <w:sz w:val="30"/>
          <w:szCs w:val="30"/>
          <w:highlight w:val="none"/>
        </w:rPr>
        <w:sectPr>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3D00D995">
      <w:pPr>
        <w:pStyle w:val="29"/>
        <w:spacing w:before="0" w:beforeAutospacing="0" w:after="0" w:afterAutospacing="0" w:line="240" w:lineRule="auto"/>
        <w:jc w:val="center"/>
        <w:outlineLvl w:val="0"/>
        <w:rPr>
          <w:rFonts w:hint="default" w:ascii="Times New Roman" w:hAnsi="Times New Roman" w:eastAsia="黑体" w:cs="Times New Roman"/>
          <w:snapToGrid w:val="0"/>
          <w:color w:val="auto"/>
          <w:sz w:val="30"/>
          <w:szCs w:val="30"/>
          <w:highlight w:val="none"/>
        </w:rPr>
      </w:pPr>
      <w:bookmarkStart w:id="127" w:name="_Toc106"/>
      <w:bookmarkStart w:id="128" w:name="_Toc13399"/>
      <w:bookmarkStart w:id="129" w:name="_Toc5568"/>
      <w:bookmarkStart w:id="130" w:name="_Toc17617"/>
      <w:bookmarkStart w:id="131" w:name="_Toc30657"/>
      <w:bookmarkStart w:id="132" w:name="_Toc4655"/>
      <w:bookmarkStart w:id="133" w:name="_Toc3577"/>
      <w:bookmarkStart w:id="134" w:name="_Toc12417"/>
      <w:bookmarkStart w:id="135" w:name="_Toc19275"/>
      <w:bookmarkStart w:id="136" w:name="_Toc14873"/>
      <w:bookmarkStart w:id="137" w:name="_Toc152582983"/>
      <w:bookmarkStart w:id="138" w:name="_Toc24776"/>
      <w:r>
        <w:rPr>
          <w:rFonts w:hint="default" w:ascii="Times New Roman" w:hAnsi="Times New Roman" w:eastAsia="黑体" w:cs="Times New Roman"/>
          <w:b/>
          <w:bCs/>
          <w:snapToGrid w:val="0"/>
          <w:color w:val="auto"/>
          <w:sz w:val="30"/>
          <w:szCs w:val="30"/>
          <w:highlight w:val="none"/>
        </w:rPr>
        <w:t>五、主要生态环境保护措施</w:t>
      </w:r>
      <w:bookmarkEnd w:id="127"/>
      <w:bookmarkEnd w:id="128"/>
      <w:bookmarkEnd w:id="129"/>
      <w:bookmarkEnd w:id="130"/>
      <w:bookmarkEnd w:id="131"/>
      <w:bookmarkEnd w:id="132"/>
      <w:bookmarkEnd w:id="133"/>
      <w:bookmarkEnd w:id="134"/>
      <w:bookmarkEnd w:id="135"/>
      <w:bookmarkEnd w:id="136"/>
      <w:bookmarkEnd w:id="137"/>
      <w:bookmarkEnd w:id="138"/>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0"/>
        <w:gridCol w:w="8585"/>
      </w:tblGrid>
      <w:tr w14:paraId="202425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80" w:type="dxa"/>
            <w:noWrap w:val="0"/>
            <w:tcMar>
              <w:left w:w="28" w:type="dxa"/>
              <w:right w:w="28" w:type="dxa"/>
            </w:tcMar>
            <w:vAlign w:val="center"/>
          </w:tcPr>
          <w:p w14:paraId="48D3F7F2">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pacing w:val="10"/>
                <w:sz w:val="24"/>
                <w:highlight w:val="none"/>
              </w:rPr>
              <w:t>施工期生态环境保护措施</w:t>
            </w:r>
          </w:p>
        </w:tc>
        <w:tc>
          <w:tcPr>
            <w:tcW w:w="8585" w:type="dxa"/>
            <w:noWrap w:val="0"/>
            <w:vAlign w:val="top"/>
          </w:tcPr>
          <w:p w14:paraId="650C6185">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1.</w:t>
            </w:r>
            <w:r>
              <w:rPr>
                <w:rFonts w:hint="default" w:ascii="Times New Roman" w:hAnsi="Times New Roman" w:cs="Times New Roman"/>
                <w:b/>
                <w:bCs/>
                <w:color w:val="auto"/>
                <w:sz w:val="24"/>
              </w:rPr>
              <w:t>生态保护措施</w:t>
            </w:r>
          </w:p>
          <w:p w14:paraId="20BC83DC">
            <w:pPr>
              <w:pStyle w:val="13"/>
              <w:spacing w:after="0" w:line="360" w:lineRule="auto"/>
              <w:ind w:left="0" w:leftChars="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⑴避让措施</w:t>
            </w:r>
          </w:p>
          <w:p w14:paraId="6C5B1A96">
            <w:pPr>
              <w:keepNext w:val="0"/>
              <w:keepLines w:val="0"/>
              <w:pageBreakBefore w:val="0"/>
              <w:widowControl w:val="0"/>
              <w:kinsoku/>
              <w:wordWrap/>
              <w:overflowPunct/>
              <w:topLinePunct w:val="0"/>
              <w:autoSpaceDE/>
              <w:autoSpaceDN/>
              <w:bidi w:val="0"/>
              <w:adjustRightInd w:val="0"/>
              <w:snapToGrid/>
              <w:spacing w:line="360" w:lineRule="auto"/>
              <w:ind w:right="0" w:rightChars="0" w:firstLine="480" w:firstLineChars="200"/>
              <w:jc w:val="left"/>
              <w:textAlignment w:val="baseline"/>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①本项目充分听取当地</w:t>
            </w:r>
            <w:r>
              <w:rPr>
                <w:rFonts w:hint="default" w:ascii="Times New Roman" w:hAnsi="Times New Roman" w:eastAsia="宋体" w:cs="Times New Roman"/>
                <w:color w:val="auto"/>
                <w:kern w:val="2"/>
                <w:sz w:val="24"/>
                <w:szCs w:val="24"/>
                <w:highlight w:val="none"/>
              </w:rPr>
              <w:t>环保部门、规划部门、交通城建部门、林业部门</w:t>
            </w:r>
            <w:r>
              <w:rPr>
                <w:rFonts w:hint="default" w:ascii="Times New Roman" w:hAnsi="Times New Roman" w:cs="Times New Roman"/>
                <w:color w:val="auto"/>
                <w:sz w:val="24"/>
              </w:rPr>
              <w:t>的意见，优化设计选线</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highlight w:val="none"/>
                <w:lang w:val="en-US" w:eastAsia="zh-CN"/>
              </w:rPr>
              <w:t>尽量避开生态敏感区，减少永久占地面积，减少线路穿越生态保护红线的长度，</w:t>
            </w:r>
            <w:r>
              <w:rPr>
                <w:rFonts w:hint="default" w:ascii="Times New Roman" w:hAnsi="Times New Roman" w:eastAsia="宋体" w:cs="Times New Roman"/>
                <w:color w:val="auto"/>
                <w:sz w:val="24"/>
                <w:highlight w:val="none"/>
              </w:rPr>
              <w:t>并在选线过程中尽可能将塔基布置在植被覆盖度较低的土地上，从源头上减少破坏</w:t>
            </w:r>
            <w:r>
              <w:rPr>
                <w:rFonts w:hint="default" w:ascii="Times New Roman" w:hAnsi="Times New Roman" w:eastAsia="宋体" w:cs="Times New Roman"/>
                <w:color w:val="auto"/>
                <w:sz w:val="24"/>
                <w:lang w:eastAsia="zh-CN"/>
              </w:rPr>
              <w:t>。</w:t>
            </w:r>
          </w:p>
          <w:p w14:paraId="06845B01">
            <w:pPr>
              <w:keepNext w:val="0"/>
              <w:keepLines w:val="0"/>
              <w:pageBreakBefore w:val="0"/>
              <w:widowControl w:val="0"/>
              <w:kinsoku/>
              <w:wordWrap/>
              <w:overflowPunct/>
              <w:topLinePunct w:val="0"/>
              <w:autoSpaceDE/>
              <w:autoSpaceDN/>
              <w:bidi w:val="0"/>
              <w:adjustRightInd w:val="0"/>
              <w:snapToGrid/>
              <w:spacing w:line="360" w:lineRule="auto"/>
              <w:ind w:right="0" w:rightChars="0" w:firstLine="480" w:firstLineChars="200"/>
              <w:jc w:val="left"/>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②</w:t>
            </w:r>
            <w:r>
              <w:rPr>
                <w:rFonts w:hint="default" w:ascii="Times New Roman" w:hAnsi="Times New Roman" w:cs="Times New Roman"/>
                <w:color w:val="auto"/>
                <w:sz w:val="24"/>
                <w:lang w:val="en-US" w:eastAsia="zh-CN"/>
              </w:rPr>
              <w:t>线路</w:t>
            </w:r>
            <w:r>
              <w:rPr>
                <w:rFonts w:hint="default" w:ascii="Times New Roman" w:hAnsi="Times New Roman" w:eastAsia="宋体" w:cs="Times New Roman"/>
                <w:color w:val="auto"/>
                <w:kern w:val="2"/>
                <w:sz w:val="24"/>
                <w:szCs w:val="24"/>
                <w:highlight w:val="none"/>
              </w:rPr>
              <w:t>避开</w:t>
            </w:r>
            <w:r>
              <w:rPr>
                <w:rFonts w:hint="default" w:ascii="Times New Roman" w:hAnsi="Times New Roman" w:eastAsia="宋体" w:cs="Times New Roman"/>
                <w:color w:val="auto"/>
                <w:kern w:val="2"/>
                <w:sz w:val="24"/>
                <w:szCs w:val="24"/>
                <w:highlight w:val="none"/>
                <w:lang w:val="en-US" w:eastAsia="zh-CN"/>
              </w:rPr>
              <w:t>耕地</w:t>
            </w:r>
            <w:r>
              <w:rPr>
                <w:rFonts w:hint="default" w:ascii="Times New Roman" w:hAnsi="Times New Roman" w:eastAsia="宋体" w:cs="Times New Roman"/>
                <w:color w:val="auto"/>
                <w:kern w:val="2"/>
                <w:sz w:val="24"/>
                <w:szCs w:val="24"/>
                <w:highlight w:val="none"/>
              </w:rPr>
              <w:t>，尽可能减少路径长度并靠近现有公路，尽可能减少工程的环境影响</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cs="Times New Roman"/>
                <w:color w:val="auto"/>
                <w:sz w:val="24"/>
              </w:rPr>
              <w:t>输电线路尽量少占耕地、草地，与公路、</w:t>
            </w:r>
            <w:r>
              <w:rPr>
                <w:rFonts w:hint="default" w:ascii="Times New Roman" w:hAnsi="Times New Roman" w:cs="Times New Roman"/>
                <w:color w:val="auto"/>
                <w:sz w:val="24"/>
                <w:lang w:val="en-US" w:eastAsia="zh-CN"/>
              </w:rPr>
              <w:t>其他</w:t>
            </w:r>
            <w:r>
              <w:rPr>
                <w:rFonts w:hint="default" w:ascii="Times New Roman" w:hAnsi="Times New Roman" w:cs="Times New Roman"/>
                <w:color w:val="auto"/>
                <w:sz w:val="24"/>
              </w:rPr>
              <w:t>电力线等交叉跨越时，严</w:t>
            </w:r>
            <w:r>
              <w:rPr>
                <w:rFonts w:hint="default" w:ascii="Times New Roman" w:hAnsi="Times New Roman" w:cs="Times New Roman"/>
                <w:color w:val="auto"/>
                <w:sz w:val="24"/>
                <w:lang w:val="en-US" w:eastAsia="zh-CN"/>
              </w:rPr>
              <w:t>格</w:t>
            </w:r>
            <w:r>
              <w:rPr>
                <w:rFonts w:hint="default" w:ascii="Times New Roman" w:hAnsi="Times New Roman" w:cs="Times New Roman"/>
                <w:color w:val="auto"/>
                <w:sz w:val="24"/>
              </w:rPr>
              <w:t>按照规范要求留有足够净空距离。</w:t>
            </w:r>
          </w:p>
          <w:p w14:paraId="2D44AEFB">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③本项目架空输电线路路径</w:t>
            </w:r>
            <w:r>
              <w:rPr>
                <w:rFonts w:hint="default" w:ascii="Times New Roman" w:hAnsi="Times New Roman" w:cs="Times New Roman"/>
                <w:color w:val="auto"/>
                <w:sz w:val="24"/>
                <w:lang w:val="en-US" w:eastAsia="zh-CN"/>
              </w:rPr>
              <w:t>尽可能地</w:t>
            </w:r>
            <w:r>
              <w:rPr>
                <w:rFonts w:hint="default" w:ascii="Times New Roman" w:hAnsi="Times New Roman" w:cs="Times New Roman"/>
                <w:color w:val="auto"/>
                <w:sz w:val="24"/>
              </w:rPr>
              <w:t>避开居民建构筑物，塔基基础</w:t>
            </w:r>
            <w:r>
              <w:rPr>
                <w:rFonts w:hint="default" w:ascii="Times New Roman" w:hAnsi="Times New Roman" w:cs="Times New Roman"/>
                <w:color w:val="auto"/>
                <w:sz w:val="24"/>
                <w:lang w:val="en-US" w:eastAsia="zh-CN"/>
              </w:rPr>
              <w:t>全部</w:t>
            </w:r>
            <w:r>
              <w:rPr>
                <w:rFonts w:hint="default" w:ascii="Times New Roman" w:hAnsi="Times New Roman" w:cs="Times New Roman"/>
                <w:color w:val="auto"/>
                <w:sz w:val="24"/>
              </w:rPr>
              <w:t>采用</w:t>
            </w:r>
            <w:r>
              <w:rPr>
                <w:rFonts w:hint="eastAsia" w:cs="Times New Roman"/>
                <w:color w:val="auto"/>
                <w:sz w:val="24"/>
                <w:lang w:val="en-US" w:eastAsia="zh-CN"/>
              </w:rPr>
              <w:t>挖孔桩基础</w:t>
            </w:r>
            <w:r>
              <w:rPr>
                <w:rFonts w:hint="default" w:ascii="Times New Roman" w:hAnsi="Times New Roman" w:cs="Times New Roman"/>
                <w:color w:val="auto"/>
                <w:sz w:val="24"/>
              </w:rPr>
              <w:t>施工，减少</w:t>
            </w:r>
            <w:r>
              <w:rPr>
                <w:rFonts w:hint="default" w:ascii="Times New Roman" w:hAnsi="Times New Roman" w:cs="Times New Roman"/>
                <w:color w:val="auto"/>
                <w:sz w:val="24"/>
                <w:lang w:val="en-US" w:eastAsia="zh-CN"/>
              </w:rPr>
              <w:t>对土壤的扰动和破坏</w:t>
            </w:r>
            <w:r>
              <w:rPr>
                <w:rFonts w:hint="default" w:ascii="Times New Roman" w:hAnsi="Times New Roman" w:cs="Times New Roman"/>
                <w:color w:val="auto"/>
                <w:sz w:val="24"/>
              </w:rPr>
              <w:t>，永久占用的</w:t>
            </w:r>
            <w:r>
              <w:rPr>
                <w:rFonts w:hint="default" w:ascii="Times New Roman" w:hAnsi="Times New Roman" w:cs="Times New Roman"/>
                <w:bCs/>
                <w:color w:val="auto"/>
                <w:sz w:val="24"/>
              </w:rPr>
              <w:t>耕地</w:t>
            </w:r>
            <w:r>
              <w:rPr>
                <w:rFonts w:hint="default" w:ascii="Times New Roman" w:hAnsi="Times New Roman" w:cs="Times New Roman"/>
                <w:bCs/>
                <w:color w:val="auto"/>
                <w:sz w:val="24"/>
                <w:lang w:eastAsia="zh-CN"/>
              </w:rPr>
              <w:t>、</w:t>
            </w:r>
            <w:r>
              <w:rPr>
                <w:rFonts w:hint="default" w:ascii="Times New Roman" w:hAnsi="Times New Roman" w:cs="Times New Roman"/>
                <w:color w:val="auto"/>
                <w:sz w:val="24"/>
                <w:lang w:eastAsia="zh-CN"/>
              </w:rPr>
              <w:t>园地</w:t>
            </w:r>
            <w:r>
              <w:rPr>
                <w:rFonts w:hint="default" w:ascii="Times New Roman" w:hAnsi="Times New Roman" w:cs="Times New Roman"/>
                <w:color w:val="auto"/>
                <w:sz w:val="24"/>
              </w:rPr>
              <w:t>按照规定给予经济补偿，林地、</w:t>
            </w:r>
            <w:r>
              <w:rPr>
                <w:rFonts w:hint="default" w:ascii="Times New Roman" w:hAnsi="Times New Roman" w:cs="Times New Roman"/>
                <w:color w:val="auto"/>
                <w:sz w:val="24"/>
                <w:lang w:val="en-US" w:eastAsia="zh-CN"/>
              </w:rPr>
              <w:t>草地</w:t>
            </w:r>
            <w:r>
              <w:rPr>
                <w:rFonts w:hint="default" w:ascii="Times New Roman" w:hAnsi="Times New Roman" w:cs="Times New Roman"/>
                <w:color w:val="auto"/>
                <w:sz w:val="24"/>
              </w:rPr>
              <w:t>等办理相关手续。</w:t>
            </w:r>
          </w:p>
          <w:p w14:paraId="718323E7">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lang w:eastAsia="zh-CN"/>
              </w:rPr>
              <w:t>④</w:t>
            </w:r>
            <w:r>
              <w:rPr>
                <w:rFonts w:hint="eastAsia" w:cs="Times New Roman"/>
                <w:bCs/>
                <w:color w:val="auto"/>
                <w:sz w:val="24"/>
                <w:szCs w:val="24"/>
                <w:highlight w:val="none"/>
                <w:lang w:val="en-US" w:eastAsia="zh-CN"/>
              </w:rPr>
              <w:t>在地形起伏较大的山地区域尽可能采用高低腿型式基础</w:t>
            </w:r>
            <w:r>
              <w:rPr>
                <w:rFonts w:hint="default" w:ascii="Times New Roman" w:hAnsi="Times New Roman" w:eastAsia="宋体" w:cs="Times New Roman"/>
                <w:snapToGrid w:val="0"/>
                <w:color w:val="auto"/>
                <w:sz w:val="24"/>
                <w:szCs w:val="24"/>
                <w:highlight w:val="none"/>
                <w:lang w:val="en-US" w:eastAsia="zh-CN"/>
              </w:rPr>
              <w:t>，减少植被破坏，</w:t>
            </w:r>
            <w:r>
              <w:rPr>
                <w:rFonts w:hint="default" w:ascii="Times New Roman" w:hAnsi="Times New Roman" w:eastAsia="宋体" w:cs="Times New Roman"/>
                <w:color w:val="auto"/>
                <w:kern w:val="2"/>
                <w:sz w:val="24"/>
                <w:szCs w:val="24"/>
                <w:highlight w:val="none"/>
              </w:rPr>
              <w:t>普土地段采用人工</w:t>
            </w:r>
            <w:r>
              <w:rPr>
                <w:rFonts w:hint="eastAsia" w:cs="Times New Roman"/>
                <w:color w:val="auto"/>
                <w:kern w:val="2"/>
                <w:sz w:val="24"/>
                <w:szCs w:val="24"/>
                <w:highlight w:val="none"/>
                <w:lang w:eastAsia="zh-CN"/>
              </w:rPr>
              <w:t>挖孔桩基础</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并优化塔基临时施工区以及牵张场、施工临时道路及材料堆场等的布置形式，减少临时占地。</w:t>
            </w:r>
          </w:p>
          <w:p w14:paraId="292D1E44">
            <w:pPr>
              <w:pStyle w:val="13"/>
              <w:spacing w:after="0" w:line="360" w:lineRule="auto"/>
              <w:ind w:left="0" w:leftChars="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⑵减缓措施</w:t>
            </w:r>
          </w:p>
          <w:p w14:paraId="64B18E29">
            <w:pPr>
              <w:pStyle w:val="13"/>
              <w:spacing w:after="0" w:line="360" w:lineRule="auto"/>
              <w:ind w:left="0" w:leftChars="0"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①</w:t>
            </w:r>
            <w:r>
              <w:rPr>
                <w:rFonts w:hint="default" w:ascii="Times New Roman" w:hAnsi="Times New Roman" w:eastAsia="宋体" w:cs="Times New Roman"/>
                <w:color w:val="auto"/>
                <w:sz w:val="24"/>
                <w:highlight w:val="none"/>
              </w:rPr>
              <w:t>施工过程中严格限定塔基临时占地范围，</w:t>
            </w:r>
            <w:r>
              <w:rPr>
                <w:rFonts w:hint="default" w:ascii="Times New Roman" w:hAnsi="Times New Roman" w:cs="Times New Roman"/>
                <w:color w:val="auto"/>
                <w:sz w:val="24"/>
              </w:rPr>
              <w:t>施工机械严格按照规定的临时施工道路行驶，严禁占用施工区域以外的土地；项目所在区域动植物都是常见的类型，应加强对施工队伍的管理，严禁破坏它们的栖息地，严格限定施工人员的活动范围，减少施工对野生动物带来的不利影响。建筑材料及建筑垃圾定点堆放，且采取</w:t>
            </w:r>
            <w:r>
              <w:rPr>
                <w:rFonts w:hint="default" w:ascii="Times New Roman" w:hAnsi="Times New Roman" w:cs="Times New Roman"/>
                <w:color w:val="auto"/>
                <w:sz w:val="24"/>
                <w:lang w:val="en-US" w:eastAsia="zh-CN"/>
              </w:rPr>
              <w:t>苫盖</w:t>
            </w:r>
            <w:r>
              <w:rPr>
                <w:rFonts w:hint="default" w:ascii="Times New Roman" w:hAnsi="Times New Roman" w:cs="Times New Roman"/>
                <w:color w:val="auto"/>
                <w:sz w:val="24"/>
              </w:rPr>
              <w:t>措施，以减少水土流失及扬尘对植被的影响</w:t>
            </w:r>
            <w:r>
              <w:rPr>
                <w:rFonts w:hint="default" w:ascii="Times New Roman" w:hAnsi="Times New Roman" w:cs="Times New Roman"/>
                <w:color w:val="auto"/>
                <w:sz w:val="24"/>
                <w:lang w:eastAsia="zh-CN"/>
              </w:rPr>
              <w:t>。</w:t>
            </w:r>
          </w:p>
          <w:p w14:paraId="0AD7392B">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w:t>
            </w:r>
            <w:r>
              <w:rPr>
                <w:rFonts w:hint="default" w:ascii="Times New Roman" w:hAnsi="Times New Roman" w:cs="Times New Roman"/>
                <w:color w:val="auto"/>
                <w:sz w:val="24"/>
                <w:lang w:val="en-US" w:eastAsia="zh-CN"/>
              </w:rPr>
              <w:t>为保持塔位区域环境和防止水土流失，在考虑铁塔基础时，将优先采用原状土基础，简化施工工艺，塔基基础采取</w:t>
            </w:r>
            <w:r>
              <w:rPr>
                <w:rFonts w:hint="eastAsia" w:cs="Times New Roman"/>
                <w:color w:val="auto"/>
                <w:sz w:val="24"/>
                <w:lang w:val="en-US" w:eastAsia="zh-CN"/>
              </w:rPr>
              <w:t>挖孔桩基础</w:t>
            </w:r>
            <w:r>
              <w:rPr>
                <w:rFonts w:hint="default" w:ascii="Times New Roman" w:hAnsi="Times New Roman" w:cs="Times New Roman"/>
                <w:color w:val="auto"/>
                <w:sz w:val="24"/>
                <w:lang w:val="en-US" w:eastAsia="zh-CN"/>
              </w:rPr>
              <w:t>施工</w:t>
            </w:r>
            <w:r>
              <w:rPr>
                <w:rFonts w:hint="eastAsia" w:cs="Times New Roman"/>
                <w:color w:val="auto"/>
                <w:sz w:val="24"/>
                <w:lang w:val="en-US" w:eastAsia="zh-CN"/>
              </w:rPr>
              <w:t>，</w:t>
            </w:r>
            <w:r>
              <w:rPr>
                <w:rFonts w:hint="default" w:ascii="Times New Roman" w:hAnsi="Times New Roman" w:cs="Times New Roman"/>
                <w:color w:val="auto"/>
                <w:sz w:val="24"/>
                <w:lang w:val="en-US" w:eastAsia="zh-CN"/>
              </w:rPr>
              <w:t>减少地表开挖，合理设计高陡边坡支挡、加固措施</w:t>
            </w:r>
            <w:r>
              <w:rPr>
                <w:rFonts w:hint="eastAsia" w:cs="Times New Roman"/>
                <w:color w:val="auto"/>
                <w:sz w:val="24"/>
                <w:lang w:val="en-US" w:eastAsia="zh-CN"/>
              </w:rPr>
              <w:t>。</w:t>
            </w:r>
            <w:r>
              <w:rPr>
                <w:rFonts w:hint="default" w:ascii="Times New Roman" w:hAnsi="Times New Roman" w:cs="Times New Roman"/>
                <w:color w:val="auto"/>
                <w:sz w:val="24"/>
                <w:lang w:val="en-US" w:eastAsia="zh-CN"/>
              </w:rPr>
              <w:t>对位于沟、渠较近的塔位基础，认真做好铁塔和基础的防洪砌护工作，</w:t>
            </w:r>
            <w:r>
              <w:rPr>
                <w:rFonts w:hint="default" w:ascii="Times New Roman" w:hAnsi="Times New Roman" w:cs="Times New Roman"/>
                <w:color w:val="auto"/>
                <w:sz w:val="24"/>
              </w:rPr>
              <w:t>根据设计要求合理布设铁塔、牵张场和跨越</w:t>
            </w:r>
            <w:r>
              <w:rPr>
                <w:rFonts w:hint="default" w:ascii="Times New Roman" w:hAnsi="Times New Roman" w:cs="Times New Roman"/>
                <w:color w:val="auto"/>
                <w:sz w:val="24"/>
                <w:lang w:val="en-US" w:eastAsia="zh-CN"/>
              </w:rPr>
              <w:t>场</w:t>
            </w:r>
            <w:r>
              <w:rPr>
                <w:rFonts w:hint="default" w:ascii="Times New Roman" w:hAnsi="Times New Roman" w:cs="Times New Roman"/>
                <w:color w:val="auto"/>
                <w:sz w:val="24"/>
              </w:rPr>
              <w:t>等临时占地，尽可能布置在植被稀少的区域，</w:t>
            </w:r>
            <w:r>
              <w:rPr>
                <w:rFonts w:hint="default" w:ascii="Times New Roman" w:hAnsi="Times New Roman" w:cs="Times New Roman"/>
                <w:color w:val="auto"/>
                <w:sz w:val="24"/>
                <w:lang w:val="en-US" w:eastAsia="zh-CN"/>
              </w:rPr>
              <w:t>对塔基的开挖要有序、小范围，避免大面积的破坏，对于无法避免而造破坏的植被要进行恢复。</w:t>
            </w:r>
            <w:r>
              <w:rPr>
                <w:rFonts w:hint="eastAsia" w:ascii="Times New Roman" w:hAnsi="Times New Roman" w:cs="Times New Roman"/>
                <w:color w:val="auto"/>
                <w:sz w:val="24"/>
                <w:lang w:val="en-US" w:eastAsia="zh-CN"/>
              </w:rPr>
              <w:t>尽可能的</w:t>
            </w:r>
            <w:r>
              <w:rPr>
                <w:rFonts w:hint="default" w:ascii="Times New Roman" w:hAnsi="Times New Roman" w:cs="Times New Roman"/>
                <w:color w:val="auto"/>
                <w:sz w:val="24"/>
              </w:rPr>
              <w:t>利用现有道路，减轻对地表植被的影响。施工采取张力放紧线，尽量减小施工通道宽度。</w:t>
            </w:r>
          </w:p>
          <w:p w14:paraId="6281AA57">
            <w:pPr>
              <w:pageBreakBefore w:val="0"/>
              <w:kinsoku/>
              <w:wordWrap/>
              <w:overflowPunct/>
              <w:topLinePunct w:val="0"/>
              <w:bidi w:val="0"/>
              <w:adjustRightInd/>
              <w:snapToGrid/>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rPr>
              <w:t>③在</w:t>
            </w:r>
            <w:r>
              <w:rPr>
                <w:rFonts w:hint="default" w:ascii="Times New Roman" w:hAnsi="Times New Roman" w:cs="Times New Roman"/>
                <w:color w:val="auto"/>
                <w:sz w:val="24"/>
                <w:lang w:val="en-US" w:eastAsia="zh-CN"/>
              </w:rPr>
              <w:t>耕地、园地范围</w:t>
            </w:r>
            <w:r>
              <w:rPr>
                <w:rFonts w:hint="default" w:ascii="Times New Roman" w:hAnsi="Times New Roman" w:cs="Times New Roman"/>
                <w:color w:val="auto"/>
                <w:sz w:val="24"/>
              </w:rPr>
              <w:t>内施工，</w:t>
            </w:r>
            <w:r>
              <w:rPr>
                <w:rFonts w:hint="default" w:ascii="Times New Roman" w:hAnsi="Times New Roman" w:cs="Times New Roman"/>
                <w:color w:val="auto"/>
                <w:sz w:val="24"/>
                <w:lang w:val="en-US" w:eastAsia="zh-CN"/>
              </w:rPr>
              <w:t>施工期应避开农作物生长期</w:t>
            </w:r>
            <w:r>
              <w:rPr>
                <w:rFonts w:hint="default" w:ascii="Times New Roman" w:hAnsi="Times New Roman" w:cs="Times New Roman"/>
                <w:color w:val="auto"/>
                <w:sz w:val="24"/>
              </w:rPr>
              <w:t>，并在施工场地范围内设置围栏，严格控制施工作业带范围</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highlight w:val="none"/>
              </w:rPr>
              <w:t>占用耕地应做好耕地耕作层剥离、分类存放和回填利用，施工时要将耕作层剥离并采用上铺下盖等隔离措施单独堆放，塔基基础开挖完工后，尽快浇注混凝土，按照原有土层顺序进行回填，缩短裸露时间；施工临时占地宜采取隔离保护措施，施工结束后应将混凝土余料和残渣及时清除，以免影响后期土地功能的恢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对临时占用耕地区域及时复耕。</w:t>
            </w:r>
          </w:p>
          <w:p w14:paraId="2393D328">
            <w:pPr>
              <w:pageBreakBefore w:val="0"/>
              <w:kinsoku/>
              <w:wordWrap/>
              <w:overflowPunct/>
              <w:topLinePunct w:val="0"/>
              <w:bidi w:val="0"/>
              <w:adjustRightInd/>
              <w:snapToGrid/>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rPr>
              <w:t>④</w:t>
            </w:r>
            <w:r>
              <w:rPr>
                <w:rFonts w:hint="default" w:ascii="Times New Roman" w:hAnsi="Times New Roman" w:eastAsia="宋体" w:cs="Times New Roman"/>
                <w:color w:val="auto"/>
                <w:kern w:val="2"/>
                <w:sz w:val="24"/>
                <w:szCs w:val="24"/>
                <w:highlight w:val="none"/>
                <w:lang w:val="en-US" w:eastAsia="zh-CN"/>
              </w:rPr>
              <w:t>输电线路经过林地区域均采用高跨的方式通过，线路走廊下不涉及林木砍伐，减少对林木的破坏</w:t>
            </w:r>
            <w:r>
              <w:rPr>
                <w:rFonts w:hint="default" w:ascii="Times New Roman" w:hAnsi="Times New Roman" w:eastAsia="宋体" w:cs="Times New Roman"/>
                <w:color w:val="auto"/>
                <w:sz w:val="24"/>
                <w:highlight w:val="none"/>
              </w:rPr>
              <w:t>，导线与树木（考虑自然生长高度）之间的垂直距离控制在</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m以上，</w:t>
            </w:r>
            <w:r>
              <w:rPr>
                <w:rFonts w:hint="default" w:ascii="Times New Roman" w:hAnsi="Times New Roman" w:cs="Times New Roman"/>
                <w:color w:val="auto"/>
                <w:sz w:val="24"/>
                <w:highlight w:val="none"/>
              </w:rPr>
              <w:t>对于</w:t>
            </w:r>
            <w:r>
              <w:rPr>
                <w:rFonts w:hint="default" w:ascii="Times New Roman" w:hAnsi="Times New Roman" w:cs="Times New Roman"/>
                <w:color w:val="auto"/>
                <w:sz w:val="24"/>
                <w:highlight w:val="none"/>
                <w:lang w:val="en-US" w:eastAsia="zh-CN"/>
              </w:rPr>
              <w:t>农村</w:t>
            </w:r>
            <w:r>
              <w:rPr>
                <w:rFonts w:hint="default" w:ascii="Times New Roman" w:hAnsi="Times New Roman" w:cs="Times New Roman"/>
                <w:color w:val="auto"/>
                <w:sz w:val="24"/>
                <w:highlight w:val="none"/>
              </w:rPr>
              <w:t>道路和</w:t>
            </w:r>
            <w:r>
              <w:rPr>
                <w:rFonts w:hint="default" w:ascii="Times New Roman" w:hAnsi="Times New Roman" w:cs="Times New Roman"/>
                <w:color w:val="auto"/>
                <w:sz w:val="24"/>
                <w:highlight w:val="none"/>
                <w:lang w:val="en-US" w:eastAsia="zh-CN"/>
              </w:rPr>
              <w:t>田间</w:t>
            </w:r>
            <w:r>
              <w:rPr>
                <w:rFonts w:hint="default" w:ascii="Times New Roman" w:hAnsi="Times New Roman" w:cs="Times New Roman"/>
                <w:color w:val="auto"/>
                <w:sz w:val="24"/>
                <w:highlight w:val="none"/>
              </w:rPr>
              <w:t>两旁绿化带的树木，输电线路采取高跨方式穿越，必要时进行树木的削尖处理</w:t>
            </w:r>
            <w:r>
              <w:rPr>
                <w:rFonts w:hint="default" w:ascii="Times New Roman" w:hAnsi="Times New Roman" w:eastAsia="宋体" w:cs="Times New Roman"/>
                <w:color w:val="auto"/>
                <w:kern w:val="2"/>
                <w:sz w:val="24"/>
                <w:szCs w:val="24"/>
                <w:highlight w:val="none"/>
                <w:lang w:val="en-US" w:eastAsia="zh-CN"/>
              </w:rPr>
              <w:t>。在林地、草地区域施工时</w:t>
            </w:r>
            <w:r>
              <w:rPr>
                <w:rFonts w:hint="default" w:ascii="Times New Roman" w:hAnsi="Times New Roman" w:eastAsia="宋体" w:cs="Times New Roman"/>
                <w:color w:val="auto"/>
                <w:sz w:val="24"/>
                <w:highlight w:val="none"/>
              </w:rPr>
              <w:t>应做好表土剥离、分类存放和回填利用；施工过程中严格控制占</w:t>
            </w:r>
            <w:r>
              <w:rPr>
                <w:rFonts w:hint="default" w:ascii="Times New Roman" w:hAnsi="Times New Roman" w:eastAsia="宋体" w:cs="Times New Roman"/>
                <w:color w:val="auto"/>
                <w:sz w:val="24"/>
                <w:highlight w:val="none"/>
                <w:lang w:val="en-US" w:eastAsia="zh-CN"/>
              </w:rPr>
              <w:t>用</w:t>
            </w:r>
            <w:r>
              <w:rPr>
                <w:rFonts w:hint="default" w:ascii="Times New Roman" w:hAnsi="Times New Roman" w:eastAsia="宋体" w:cs="Times New Roman"/>
                <w:color w:val="auto"/>
                <w:sz w:val="24"/>
                <w:highlight w:val="none"/>
              </w:rPr>
              <w:t>林地</w:t>
            </w:r>
            <w:r>
              <w:rPr>
                <w:rFonts w:hint="default" w:ascii="Times New Roman" w:hAnsi="Times New Roman" w:eastAsia="宋体" w:cs="Times New Roman"/>
                <w:color w:val="auto"/>
                <w:sz w:val="24"/>
                <w:highlight w:val="none"/>
                <w:lang w:val="en-US" w:eastAsia="zh-CN"/>
              </w:rPr>
              <w:t>、草地</w:t>
            </w:r>
            <w:r>
              <w:rPr>
                <w:rFonts w:hint="default" w:ascii="Times New Roman" w:hAnsi="Times New Roman" w:eastAsia="宋体" w:cs="Times New Roman"/>
                <w:color w:val="auto"/>
                <w:sz w:val="24"/>
                <w:highlight w:val="none"/>
              </w:rPr>
              <w:t>面积。</w:t>
            </w:r>
          </w:p>
          <w:p w14:paraId="2E409850">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⑤加强生态保护管理监督，切实落实各项生态恢复措施，确保撒播草种的成活率</w:t>
            </w:r>
            <w:r>
              <w:rPr>
                <w:rFonts w:hint="default" w:ascii="Times New Roman" w:hAnsi="Times New Roman" w:cs="Times New Roman"/>
                <w:color w:val="auto"/>
                <w:sz w:val="24"/>
                <w:lang w:val="en-US" w:eastAsia="zh-CN"/>
              </w:rPr>
              <w:t>及土地复垦、复耕的相关要求</w:t>
            </w:r>
            <w:r>
              <w:rPr>
                <w:rFonts w:hint="default" w:ascii="Times New Roman" w:hAnsi="Times New Roman" w:cs="Times New Roman"/>
                <w:color w:val="auto"/>
                <w:sz w:val="24"/>
              </w:rPr>
              <w:t>，使临时施工占地植被覆盖度恢复到原有水平。</w:t>
            </w:r>
          </w:p>
          <w:p w14:paraId="661BAF9C">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⑥</w:t>
            </w:r>
            <w:r>
              <w:rPr>
                <w:rFonts w:hint="default" w:ascii="Times New Roman" w:hAnsi="Times New Roman" w:cs="Times New Roman"/>
                <w:color w:val="auto"/>
                <w:sz w:val="24"/>
              </w:rPr>
              <w:t>合理安排施工工序，尽量以小范围分区施工，控制临时占地面积，缩小施工范围，减少对地表植被的扰动和破坏，将对植被的影响程度降至最小。</w:t>
            </w:r>
          </w:p>
          <w:p w14:paraId="6368F84F">
            <w:pPr>
              <w:pStyle w:val="13"/>
              <w:spacing w:after="0" w:line="360" w:lineRule="auto"/>
              <w:ind w:left="0" w:leftChars="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⑶植被的保护与恢复措施</w:t>
            </w:r>
          </w:p>
          <w:p w14:paraId="73DF0FF5">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①施工前先设置施工围栏，防止扩大扰动面积，控制施工人员及施工车辆在施工围栏内的活动，避免出现施工人员随意践踏土地的现象，施工车辆随意扩大施工作业范围的现象。</w:t>
            </w:r>
          </w:p>
          <w:p w14:paraId="19090959">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②施工材料等运输过程中严格按照规定的车辆行驶路线，施工便道应尽可能利用现有道路，修建的少部分到达塔基的临时施工便道宽度严格控制在3.5m范围内，以减少新开辟施工便道对植被的破坏。</w:t>
            </w:r>
          </w:p>
          <w:p w14:paraId="70B71AB6">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③塔基临时施工场地、牵张场等临时用地应优先布置在植被较少的区域，减少施工临时占地对植被的破坏。</w:t>
            </w:r>
          </w:p>
          <w:p w14:paraId="3EDA1ACE">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④在各项基础施工中，严格按设计施工，减少基础开挖量，并将挖出的土方集中堆放，以减少对附近植被的覆盖，保护局部植被的生长。输电线路工程在</w:t>
            </w:r>
            <w:r>
              <w:rPr>
                <w:rFonts w:hint="default" w:ascii="Times New Roman" w:hAnsi="Times New Roman" w:cs="Times New Roman"/>
                <w:color w:val="auto"/>
                <w:sz w:val="24"/>
                <w:lang w:val="en-US" w:eastAsia="zh-CN"/>
              </w:rPr>
              <w:t>耕地、林地、园地、草地内</w:t>
            </w:r>
            <w:r>
              <w:rPr>
                <w:rFonts w:hint="default" w:ascii="Times New Roman" w:hAnsi="Times New Roman" w:cs="Times New Roman"/>
                <w:color w:val="auto"/>
                <w:sz w:val="24"/>
              </w:rPr>
              <w:t>施工作业时，应采取表土剥离、分类存放，施工结束后，塔基基础剥离的表土用于塔基临时施工场地回填利用以便后期植被恢复。</w:t>
            </w:r>
          </w:p>
          <w:p w14:paraId="1EA1C9A7">
            <w:pPr>
              <w:spacing w:line="360" w:lineRule="auto"/>
              <w:ind w:firstLine="480" w:firstLineChars="200"/>
              <w:jc w:val="left"/>
              <w:rPr>
                <w:rFonts w:hint="default" w:ascii="Times New Roman" w:hAnsi="Times New Roman" w:cs="Times New Roman"/>
                <w:color w:val="auto"/>
                <w:sz w:val="24"/>
                <w:lang w:eastAsia="zh-CN"/>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5 \* GB3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⑤</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本项目架空线路采用</w:t>
            </w:r>
            <w:r>
              <w:rPr>
                <w:rFonts w:hint="eastAsia" w:cs="Times New Roman"/>
                <w:color w:val="auto"/>
                <w:sz w:val="24"/>
                <w:lang w:val="en-US" w:eastAsia="zh-CN"/>
              </w:rPr>
              <w:t>挖孔桩基础</w:t>
            </w:r>
            <w:r>
              <w:rPr>
                <w:rFonts w:hint="default" w:ascii="Times New Roman" w:hAnsi="Times New Roman" w:cs="Times New Roman"/>
                <w:color w:val="auto"/>
                <w:sz w:val="24"/>
                <w:lang w:val="en-US" w:eastAsia="zh-CN"/>
              </w:rPr>
              <w:t>施工</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对土壤扰动范围小</w:t>
            </w:r>
            <w:r>
              <w:rPr>
                <w:rFonts w:hint="default" w:ascii="Times New Roman" w:hAnsi="Times New Roman" w:cs="Times New Roman"/>
                <w:color w:val="auto"/>
                <w:sz w:val="24"/>
              </w:rPr>
              <w:t>，土石方产生量少。施工结束后，对临时占地立即进行迹地清理和土地整治，并落实相关水保</w:t>
            </w:r>
            <w:r>
              <w:rPr>
                <w:rFonts w:hint="default" w:ascii="Times New Roman" w:hAnsi="Times New Roman" w:cs="Times New Roman"/>
                <w:color w:val="auto"/>
                <w:sz w:val="24"/>
                <w:lang w:val="en-US" w:eastAsia="zh-CN"/>
              </w:rPr>
              <w:t>和复垦</w:t>
            </w:r>
            <w:r>
              <w:rPr>
                <w:rFonts w:hint="default" w:ascii="Times New Roman" w:hAnsi="Times New Roman" w:cs="Times New Roman"/>
                <w:color w:val="auto"/>
                <w:sz w:val="24"/>
              </w:rPr>
              <w:t>措施</w:t>
            </w:r>
            <w:r>
              <w:rPr>
                <w:rFonts w:hint="default" w:ascii="Times New Roman" w:hAnsi="Times New Roman" w:cs="Times New Roman"/>
                <w:color w:val="auto"/>
                <w:sz w:val="24"/>
                <w:lang w:eastAsia="zh-CN"/>
              </w:rPr>
              <w:t>。</w:t>
            </w:r>
          </w:p>
          <w:p w14:paraId="1528C1E0">
            <w:pPr>
              <w:spacing w:line="360" w:lineRule="auto"/>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具体措施包括</w:t>
            </w:r>
            <w:r>
              <w:rPr>
                <w:rFonts w:hint="default" w:ascii="Times New Roman" w:hAnsi="Times New Roman" w:cs="Times New Roman"/>
                <w:color w:val="auto"/>
                <w:sz w:val="24"/>
              </w:rPr>
              <w:t>工程措施、植物措施和临时防护措施</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其中</w:t>
            </w:r>
            <w:r>
              <w:rPr>
                <w:rFonts w:hint="default" w:ascii="Times New Roman" w:hAnsi="Times New Roman" w:eastAsia="宋体" w:cs="Times New Roman"/>
                <w:color w:val="auto"/>
                <w:sz w:val="24"/>
                <w:lang w:val="en-US" w:eastAsia="zh-CN"/>
              </w:rPr>
              <w:t>工程措施主要为：</w:t>
            </w:r>
          </w:p>
          <w:p w14:paraId="6607F09D">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占用耕地复垦措施为：表土剥离→临时防护→表土回填→土地平整→土地翻耕→增施生物有机肥→农田配套设施恢复。</w:t>
            </w:r>
          </w:p>
          <w:p w14:paraId="120BC047">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占用园地复垦措施为：表土剥离→临时防护→表土回填→土地平整→土地翻耕→增施生物有机肥。</w:t>
            </w:r>
          </w:p>
          <w:p w14:paraId="509C7BDB">
            <w:pPr>
              <w:pStyle w:val="13"/>
              <w:spacing w:after="0" w:line="360" w:lineRule="auto"/>
              <w:ind w:left="0" w:leftChars="0" w:firstLine="480" w:firstLineChars="200"/>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占用林地（草地）复垦措施为：表土剥离→临时防护→表土回填→土地平整→土地翻耕。</w:t>
            </w:r>
          </w:p>
          <w:p w14:paraId="6FC854F1">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1）表土剥离、堆放：为了遵循保护土壤的原则以及项目区复垦、复耕工作的需要，本项目在施工前对复垦责任范围内的耕地、园地、林地进行表土剥离存放措施。结合复垦、复耕区地类对所种植作物对土壤耕作层厚度的需求，以及项目区土壤熟化程度等情况，耕地和园地剥离厚度为50cm，林地剥离厚度为30cm，表土临时堆放场地选择在农用地表土剥离堆放区，将表土与芯土分开堆放、标识，工程上不得使用所堆放的表土。</w:t>
            </w:r>
          </w:p>
          <w:p w14:paraId="02C22768">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2）临时防护</w:t>
            </w:r>
          </w:p>
          <w:p w14:paraId="5D6F7748">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为了遵循保护土壤的原则以及项目复垦、复耕工作的需要，本工程设计在施工前对剥离后的表土进行临时防护措施，采用密目网或防尘布进行苫盖，堆土高度不得大于2m，堆土四周用木楔或石块进行压边防护。</w:t>
            </w:r>
          </w:p>
          <w:p w14:paraId="177A7275">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3）表土回填</w:t>
            </w:r>
          </w:p>
          <w:p w14:paraId="4305BAD9">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在工程施工完毕后，施工期由于人为活动使占地区域受损，为使表层土壤能够达到种植的要求，要对平整后的土地进行表土覆盖，覆土来自原有地表土的剥离。待项目施工完成后，将剥离的表土进行回填，覆土厚度均匀。</w:t>
            </w:r>
          </w:p>
          <w:p w14:paraId="35A658E5">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4）土地平整</w:t>
            </w:r>
          </w:p>
          <w:p w14:paraId="1640A37A">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建设过程中，所压占的土地，由于施工机械的碾压以及建材堆放等其他因素的影响，造成原有土地形态发生改变，引起土地表层起伏不平，难以达到预期的土地利用方向。故需对复垦责任范围内土地进行整平。</w:t>
            </w:r>
          </w:p>
          <w:p w14:paraId="40E42DDD">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5）土地翻耕</w:t>
            </w:r>
          </w:p>
          <w:p w14:paraId="163C2ABA">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在工程施工完毕后，施工期由于人为活动使占地区域地面硬化、板结改变土壤结构，为满足后期植被的恢复，压实后的地面要进行松翻，打破紧实层，疏松土壤，增加透水透气性能，提高土地抗旱耐涝功能。清除材料运输及施工过程中洒落的砂石、水泥等建筑垃圾，然后采用机械翻松土地，翻耕厚度不得小于30cm。</w:t>
            </w:r>
          </w:p>
          <w:p w14:paraId="63F8EA13">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6）增施生物有机肥</w:t>
            </w:r>
          </w:p>
          <w:p w14:paraId="2B019D29">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复垦过程中需对土壤施肥，根据当地实际施肥情况，现状地类为耕地和园地，每公顷需施肥7500kg，肥料选择生物有机肥。</w:t>
            </w:r>
          </w:p>
          <w:p w14:paraId="6C677904">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7）农田配套设施恢复</w:t>
            </w:r>
          </w:p>
          <w:p w14:paraId="1DE760F6">
            <w:pPr>
              <w:pStyle w:val="13"/>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对于拟损毁耕地中的农田配套设施，临时用地占用采用管道与沟渠相连，确保耕地能够灌排顺畅，待施工结束后，按照原始走向及位置恢复耕地中渠道、沟道、田埂、田间道路及配套建筑物。</w:t>
            </w:r>
          </w:p>
          <w:p w14:paraId="4823AD83">
            <w:pPr>
              <w:pStyle w:val="14"/>
              <w:spacing w:before="0" w:after="0"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w:t>
            </w:r>
            <w:r>
              <w:rPr>
                <w:rFonts w:hint="default" w:ascii="Times New Roman" w:hAnsi="Times New Roman" w:cs="Times New Roman"/>
                <w:color w:val="auto"/>
                <w:sz w:val="24"/>
                <w:highlight w:val="none"/>
                <w:lang w:val="en-US" w:eastAsia="zh-CN"/>
              </w:rPr>
              <w:t>生态保护措施平面布置图见附图5-1，</w:t>
            </w:r>
            <w:r>
              <w:rPr>
                <w:rFonts w:hint="default" w:ascii="Times New Roman" w:hAnsi="Times New Roman" w:cs="Times New Roman"/>
                <w:color w:val="auto"/>
                <w:sz w:val="24"/>
                <w:highlight w:val="none"/>
              </w:rPr>
              <w:t>生态保护措施</w:t>
            </w:r>
            <w:r>
              <w:rPr>
                <w:rFonts w:hint="default" w:ascii="Times New Roman" w:hAnsi="Times New Roman" w:cs="Times New Roman"/>
                <w:color w:val="auto"/>
                <w:sz w:val="24"/>
                <w:highlight w:val="none"/>
                <w:lang w:val="en-US" w:eastAsia="zh-CN"/>
              </w:rPr>
              <w:t>设计</w:t>
            </w:r>
            <w:r>
              <w:rPr>
                <w:rFonts w:hint="default" w:ascii="Times New Roman" w:hAnsi="Times New Roman" w:cs="Times New Roman"/>
                <w:color w:val="auto"/>
                <w:sz w:val="24"/>
                <w:highlight w:val="none"/>
              </w:rPr>
              <w:t>图见</w:t>
            </w:r>
            <w:r>
              <w:rPr>
                <w:rFonts w:hint="default" w:ascii="Times New Roman" w:hAnsi="Times New Roman" w:cs="Times New Roman"/>
                <w:b w:val="0"/>
                <w:bCs w:val="0"/>
                <w:color w:val="auto"/>
                <w:kern w:val="0"/>
                <w:sz w:val="24"/>
                <w:highlight w:val="none"/>
                <w:lang w:val="en-US" w:eastAsia="zh-CN"/>
              </w:rPr>
              <w:t>附图5-2~</w:t>
            </w:r>
            <w:r>
              <w:rPr>
                <w:rFonts w:hint="default" w:ascii="Times New Roman" w:hAnsi="Times New Roman" w:cs="Times New Roman"/>
                <w:color w:val="auto"/>
                <w:sz w:val="24"/>
                <w:highlight w:val="none"/>
              </w:rPr>
              <w:t>。</w:t>
            </w:r>
          </w:p>
          <w:p w14:paraId="78A274C8">
            <w:pPr>
              <w:spacing w:line="360" w:lineRule="auto"/>
              <w:ind w:firstLine="482" w:firstLineChars="200"/>
              <w:jc w:val="left"/>
              <w:rPr>
                <w:rFonts w:hint="default" w:ascii="Times New Roman" w:hAnsi="Times New Roman" w:cs="Times New Roman"/>
                <w:b/>
                <w:bCs/>
                <w:color w:val="auto"/>
                <w:sz w:val="24"/>
              </w:rPr>
            </w:pPr>
            <w:r>
              <w:rPr>
                <w:rFonts w:hint="default" w:ascii="Times New Roman" w:hAnsi="Times New Roman" w:cs="Times New Roman"/>
                <w:b/>
                <w:bCs/>
                <w:color w:val="auto"/>
                <w:sz w:val="24"/>
              </w:rPr>
              <w:t>⑷野生动物保护措施</w:t>
            </w:r>
          </w:p>
          <w:p w14:paraId="57F27E51">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①本项目开工建设前建设单位和施工单位必须对施工人员进行环保知识宣传，提高施工人员的环保意识，</w:t>
            </w:r>
            <w:r>
              <w:rPr>
                <w:rFonts w:hint="default" w:ascii="Times New Roman" w:hAnsi="Times New Roman" w:cs="Times New Roman"/>
                <w:color w:val="auto"/>
                <w:kern w:val="0"/>
                <w:sz w:val="24"/>
              </w:rPr>
              <w:t>严禁捕猎野生动物，在施工过程中如果发现有保护野生动物时应暂停施工并报告地方公安管理部门，进行妥善处置。</w:t>
            </w:r>
          </w:p>
          <w:p w14:paraId="14F525A0">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w:t>
            </w:r>
            <w:r>
              <w:rPr>
                <w:rFonts w:hint="default" w:ascii="Times New Roman" w:hAnsi="Times New Roman" w:cs="Times New Roman"/>
                <w:color w:val="auto"/>
                <w:kern w:val="0"/>
                <w:sz w:val="24"/>
              </w:rPr>
              <w:t>野生动物大多是晨昏外出觅食，正午休息。为了减少项目施工噪声对野生动物的惊扰，</w:t>
            </w:r>
            <w:r>
              <w:rPr>
                <w:rFonts w:hint="default" w:ascii="Times New Roman" w:hAnsi="Times New Roman" w:cs="Times New Roman"/>
                <w:color w:val="auto"/>
                <w:sz w:val="24"/>
              </w:rPr>
              <w:t>施工期间应合理安排施工时间和作业工序，</w:t>
            </w:r>
            <w:r>
              <w:rPr>
                <w:rFonts w:hint="default" w:ascii="Times New Roman" w:hAnsi="Times New Roman" w:cs="Times New Roman"/>
                <w:color w:val="auto"/>
                <w:kern w:val="0"/>
                <w:sz w:val="24"/>
              </w:rPr>
              <w:t>避免在晨昏和正午进行高噪声施工作业。</w:t>
            </w:r>
          </w:p>
          <w:p w14:paraId="0C075914">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w:t>
            </w:r>
            <w:r>
              <w:rPr>
                <w:rFonts w:hint="default" w:ascii="Times New Roman" w:hAnsi="Times New Roman" w:cs="Times New Roman"/>
                <w:color w:val="auto"/>
                <w:kern w:val="0"/>
                <w:sz w:val="24"/>
              </w:rPr>
              <w:t>施工期如遇到野生动物受到意外伤害，应立即与当地野生动物保护主管部门联系，由专业人员处理。</w:t>
            </w:r>
          </w:p>
          <w:p w14:paraId="2C748E9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eastAsia="zh-CN"/>
              </w:rPr>
              <w:t>⑸</w:t>
            </w:r>
            <w:r>
              <w:rPr>
                <w:rFonts w:hint="default" w:ascii="Times New Roman" w:hAnsi="Times New Roman" w:cs="Times New Roman"/>
                <w:b/>
                <w:bCs/>
                <w:color w:val="auto"/>
                <w:sz w:val="24"/>
                <w:lang w:val="en-US" w:eastAsia="zh-CN"/>
              </w:rPr>
              <w:t>对东南黄土高原丘陵水土保持生态保护红线的生态保护措施</w:t>
            </w:r>
          </w:p>
          <w:p w14:paraId="3BA65A04">
            <w:pPr>
              <w:spacing w:line="360" w:lineRule="auto"/>
              <w:ind w:firstLine="480" w:firstLineChars="200"/>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为降低对</w:t>
            </w:r>
            <w:r>
              <w:rPr>
                <w:rFonts w:hint="default" w:ascii="Times New Roman" w:hAnsi="Times New Roman" w:eastAsia="宋体" w:cs="Times New Roman"/>
                <w:b w:val="0"/>
                <w:bCs w:val="0"/>
                <w:color w:val="auto"/>
                <w:kern w:val="2"/>
                <w:sz w:val="24"/>
                <w:szCs w:val="24"/>
                <w:highlight w:val="none"/>
                <w:lang w:val="en-US" w:eastAsia="zh-CN" w:bidi="ar-SA"/>
              </w:rPr>
              <w:t>生态保护红线</w:t>
            </w:r>
            <w:r>
              <w:rPr>
                <w:rFonts w:hint="default" w:ascii="Times New Roman" w:hAnsi="Times New Roman" w:cs="Times New Roman"/>
                <w:b w:val="0"/>
                <w:bCs w:val="0"/>
                <w:color w:val="auto"/>
                <w:sz w:val="24"/>
                <w:szCs w:val="24"/>
                <w:lang w:val="en-US" w:eastAsia="zh-CN"/>
              </w:rPr>
              <w:t>范围内生态功能的破坏，在施工期要采取多项生态保护措施以及加强施工管理，以减少对生态功能的破坏，达到既发展经济，又保护生态的目的，具体减缓措施如下：</w:t>
            </w:r>
          </w:p>
          <w:p w14:paraId="7FD2024E">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①植物保护措施</w:t>
            </w:r>
          </w:p>
          <w:p w14:paraId="22B0F40F">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Ⅰ.优化工程布置，减少占地，减少对沿线自然生态和植被的破坏。临时施工便道应充分利用区域已有的便道，尽可能的减少对区域植被的破坏和生态环境的影响。施工中要严格控制临时用地范围和施工范围，尽可能缩小工程占用生态保护红线面积，从而避免对</w:t>
            </w:r>
            <w:r>
              <w:rPr>
                <w:rFonts w:hint="default" w:ascii="Times New Roman" w:hAnsi="Times New Roman" w:eastAsia="宋体" w:cs="Times New Roman"/>
                <w:b w:val="0"/>
                <w:bCs w:val="0"/>
                <w:color w:val="auto"/>
                <w:kern w:val="2"/>
                <w:sz w:val="24"/>
                <w:szCs w:val="24"/>
                <w:highlight w:val="none"/>
                <w:lang w:val="en-US" w:eastAsia="zh-CN" w:bidi="ar-SA"/>
              </w:rPr>
              <w:t>生态保护红线内</w:t>
            </w:r>
            <w:r>
              <w:rPr>
                <w:rFonts w:hint="default" w:ascii="Times New Roman" w:hAnsi="Times New Roman" w:cs="Times New Roman"/>
                <w:color w:val="auto"/>
                <w:sz w:val="24"/>
                <w:lang w:val="en-US" w:eastAsia="zh-CN"/>
              </w:rPr>
              <w:t>动植物及地表生物造成破坏。</w:t>
            </w:r>
          </w:p>
          <w:p w14:paraId="5328D8EC">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Ⅱ.在项目区设置警示标牌，严禁用地范围外的林木破坏，减少施工人员在施工区以外活动，尽可能保护现有植被，凡因项目施工引起的生物量损失，应采取生态恢复或生态补偿措施。</w:t>
            </w:r>
          </w:p>
          <w:p w14:paraId="1D4082F7">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Ⅲ.采取规范的管理措施。在整个施工期内，由项目监理部门和建设单位的环保专职人员临时承担生态监理，采用巡检、旁站等监理方式，检查生态保护措施的落实及施工人员的生态保护行为。</w:t>
            </w:r>
          </w:p>
          <w:p w14:paraId="476EA513">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Ⅳ.对于林木密集覆盖区、果园、经济作物田地，采取尽量避让的原则，保护生态环境。若不能避开，在林地区域（考虑树木自然生长高度）杆塔定位时，考虑增加塔高，避免林木砍伐。</w:t>
            </w:r>
          </w:p>
          <w:p w14:paraId="7D1F8805">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②野生动物保护措施</w:t>
            </w:r>
          </w:p>
          <w:p w14:paraId="3A8A0023">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Ⅰ.在项目建设施工前对施工人员开展环境保护的教育活动，主要进行《中华人民共和国野生动物保护法》等有关野生动物保护的法律法规等的宣传教育。制定相关的管理规定和监督制度，禁止施工人员随意破坏植被，捕杀野生动物和对野生动物造成伤害的一切活动。</w:t>
            </w:r>
          </w:p>
          <w:p w14:paraId="1948824C">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Ⅱ.项目建设应合理安排施工季节和作业时间，严禁夜间</w:t>
            </w:r>
            <w:r>
              <w:rPr>
                <w:rFonts w:hint="default" w:ascii="Times New Roman" w:hAnsi="Times New Roman" w:eastAsia="宋体" w:cs="Times New Roman"/>
                <w:color w:val="auto"/>
                <w:kern w:val="0"/>
                <w:sz w:val="24"/>
                <w:szCs w:val="18"/>
                <w:lang w:val="en-US" w:eastAsia="zh-CN" w:bidi="ar-SA"/>
              </w:rPr>
              <w:t>（22:00-次日6:00）及午休时间（12:00-14:00）</w:t>
            </w:r>
            <w:r>
              <w:rPr>
                <w:rFonts w:hint="default" w:ascii="Times New Roman" w:hAnsi="Times New Roman" w:cs="Times New Roman"/>
                <w:color w:val="auto"/>
                <w:sz w:val="24"/>
                <w:lang w:val="en-US" w:eastAsia="zh-CN"/>
              </w:rPr>
              <w:t>施工，严禁在施工场地使用强光照明设备，施工期间严格控制工程施工噪声对野生动物生境的影响。</w:t>
            </w:r>
          </w:p>
          <w:p w14:paraId="5D06B8F8">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Ⅲ.施工期间尽量选择噪音小、污染少新型机械，禁止性能差、排污多（浓烟）、噪音大、效率低的老（旧）机械进入施工场地；</w:t>
            </w:r>
          </w:p>
          <w:p w14:paraId="548F04C0">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Ⅳ.加强对施工机械的定期维护和检修，确保机械的正常高效运转；对施工机械产生的油污严格管理控制，禁止随地倾倒和排放，有效避免对地表的污染。</w:t>
            </w:r>
          </w:p>
          <w:p w14:paraId="27488F6E">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Ⅴ.在生态保护红线范围内的路段设置限速、禁鸣指示牌，提醒过往司机已经进入生态保护红线的保护范围，限速驾驶、禁止鸣笛等。</w:t>
            </w:r>
          </w:p>
          <w:p w14:paraId="78CED47A">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kern w:val="0"/>
                <w:sz w:val="24"/>
                <w:lang w:val="en-US" w:eastAsia="zh-CN"/>
              </w:rPr>
              <w:t>同时，</w:t>
            </w:r>
            <w:r>
              <w:rPr>
                <w:rFonts w:hint="default" w:ascii="Times New Roman" w:hAnsi="Times New Roman" w:cs="Times New Roman"/>
                <w:color w:val="auto"/>
                <w:kern w:val="0"/>
                <w:sz w:val="24"/>
              </w:rPr>
              <w:t>施工过程中</w:t>
            </w:r>
            <w:r>
              <w:rPr>
                <w:rFonts w:hint="default" w:ascii="Times New Roman" w:hAnsi="Times New Roman" w:cs="Times New Roman"/>
                <w:color w:val="auto"/>
                <w:kern w:val="0"/>
                <w:sz w:val="24"/>
                <w:lang w:val="en-US" w:eastAsia="zh-CN"/>
              </w:rPr>
              <w:t>还应</w:t>
            </w:r>
            <w:r>
              <w:rPr>
                <w:rFonts w:hint="default" w:ascii="Times New Roman" w:hAnsi="Times New Roman" w:cs="Times New Roman"/>
                <w:color w:val="auto"/>
                <w:kern w:val="0"/>
                <w:sz w:val="24"/>
              </w:rPr>
              <w:t>对产生的临时堆土采取苫盖、适时洒水等抑尘措施，施工结束及时回填土石方，减少裸露时间，减</w:t>
            </w:r>
            <w:r>
              <w:rPr>
                <w:rFonts w:hint="default" w:ascii="Times New Roman" w:hAnsi="Times New Roman" w:cs="Times New Roman"/>
                <w:color w:val="auto"/>
                <w:kern w:val="0"/>
                <w:sz w:val="24"/>
                <w:lang w:val="en-US" w:eastAsia="zh-CN"/>
              </w:rPr>
              <w:t>轻</w:t>
            </w:r>
            <w:r>
              <w:rPr>
                <w:rFonts w:hint="default" w:ascii="Times New Roman" w:hAnsi="Times New Roman" w:cs="Times New Roman"/>
                <w:color w:val="auto"/>
                <w:kern w:val="0"/>
                <w:sz w:val="24"/>
              </w:rPr>
              <w:t>扬尘</w:t>
            </w:r>
            <w:r>
              <w:rPr>
                <w:rFonts w:hint="default" w:ascii="Times New Roman" w:hAnsi="Times New Roman" w:cs="Times New Roman"/>
                <w:color w:val="auto"/>
                <w:kern w:val="0"/>
                <w:sz w:val="24"/>
                <w:lang w:val="en-US" w:eastAsia="zh-CN"/>
              </w:rPr>
              <w:t>对大气环境的</w:t>
            </w:r>
            <w:r>
              <w:rPr>
                <w:rFonts w:hint="default" w:ascii="Times New Roman" w:hAnsi="Times New Roman" w:cs="Times New Roman"/>
                <w:color w:val="auto"/>
                <w:kern w:val="0"/>
                <w:sz w:val="24"/>
              </w:rPr>
              <w:t>污染</w:t>
            </w:r>
            <w:r>
              <w:rPr>
                <w:rFonts w:hint="default" w:ascii="Times New Roman" w:hAnsi="Times New Roman" w:eastAsia="宋体" w:cs="Times New Roman"/>
                <w:snapToGrid w:val="0"/>
                <w:color w:val="auto"/>
                <w:sz w:val="24"/>
                <w:lang w:eastAsia="zh-CN"/>
              </w:rPr>
              <w:t>；</w:t>
            </w:r>
            <w:r>
              <w:rPr>
                <w:rFonts w:hint="default" w:ascii="Times New Roman" w:hAnsi="Times New Roman" w:cs="Times New Roman"/>
                <w:color w:val="auto"/>
                <w:sz w:val="24"/>
                <w:szCs w:val="24"/>
                <w:lang w:val="en-US" w:eastAsia="zh-CN"/>
              </w:rPr>
              <w:t>施工固体废物</w:t>
            </w:r>
            <w:r>
              <w:rPr>
                <w:rFonts w:hint="default" w:ascii="Times New Roman" w:hAnsi="Times New Roman" w:cs="Times New Roman"/>
                <w:color w:val="auto"/>
                <w:sz w:val="24"/>
              </w:rPr>
              <w:t>严禁随意丢弃和堆放</w:t>
            </w:r>
            <w:r>
              <w:rPr>
                <w:rFonts w:hint="default" w:ascii="Times New Roman" w:hAnsi="Times New Roman" w:cs="Times New Roman"/>
                <w:color w:val="auto"/>
                <w:sz w:val="24"/>
                <w:szCs w:val="24"/>
                <w:lang w:val="en-US" w:eastAsia="zh-CN"/>
              </w:rPr>
              <w:t>，建筑垃圾运送到政府指定位置</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施工期采取上述措施，可减轻对东南黄土高原丘陵水土保持生态保护红线的影响，确保生态功能不降低、面积不减少、性质不改变。</w:t>
            </w:r>
          </w:p>
          <w:p w14:paraId="1B13A6F7">
            <w:pPr>
              <w:pStyle w:val="13"/>
              <w:spacing w:after="0" w:line="360" w:lineRule="auto"/>
              <w:ind w:left="0" w:leftChars="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⑹</w:t>
            </w:r>
            <w:r>
              <w:rPr>
                <w:rFonts w:hint="default" w:ascii="Times New Roman" w:hAnsi="Times New Roman" w:cs="Times New Roman"/>
                <w:b/>
                <w:bCs/>
                <w:color w:val="auto"/>
                <w:sz w:val="24"/>
              </w:rPr>
              <w:t>管理措施</w:t>
            </w:r>
          </w:p>
          <w:p w14:paraId="5AB88697">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从保护生态环境的角度出发，建议本项目</w:t>
            </w:r>
            <w:r>
              <w:rPr>
                <w:rFonts w:hint="default" w:ascii="Times New Roman" w:hAnsi="Times New Roman" w:cs="Times New Roman"/>
                <w:color w:val="auto"/>
                <w:sz w:val="24"/>
                <w:lang w:eastAsia="zh-CN"/>
              </w:rPr>
              <w:t>施工</w:t>
            </w:r>
            <w:r>
              <w:rPr>
                <w:rFonts w:hint="default" w:ascii="Times New Roman" w:hAnsi="Times New Roman" w:cs="Times New Roman"/>
                <w:color w:val="auto"/>
                <w:sz w:val="24"/>
              </w:rPr>
              <w:t>前，施工单位做好施工规划前期工作</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加强环境管理和监理制度、减少污染，加强生态保护宣传教育；</w:t>
            </w:r>
            <w:r>
              <w:rPr>
                <w:rFonts w:hint="default" w:ascii="Times New Roman" w:hAnsi="Times New Roman" w:cs="Times New Roman"/>
                <w:color w:val="auto"/>
                <w:sz w:val="24"/>
                <w:lang w:val="en-US" w:eastAsia="zh-CN"/>
              </w:rPr>
              <w:t>施工期至正式投运后5~10年内开展长期跟踪生态监测（尤其是对植物物种、群落、植被类型、种植密度、存活率、覆盖率进行监测；对</w:t>
            </w:r>
            <w:r>
              <w:rPr>
                <w:rFonts w:hint="default" w:ascii="Times New Roman" w:hAnsi="Times New Roman" w:cs="Times New Roman"/>
                <w:color w:val="auto"/>
                <w:sz w:val="24"/>
              </w:rPr>
              <w:t>野生动物的种类、数量进行定点观测</w:t>
            </w:r>
            <w:r>
              <w:rPr>
                <w:rFonts w:hint="default" w:ascii="Times New Roman" w:hAnsi="Times New Roman" w:cs="Times New Roman"/>
                <w:color w:val="auto"/>
                <w:sz w:val="24"/>
                <w:lang w:val="en-US" w:eastAsia="zh-CN"/>
              </w:rPr>
              <w:t>）。</w:t>
            </w:r>
          </w:p>
          <w:p w14:paraId="6F0A4609">
            <w:pPr>
              <w:pStyle w:val="13"/>
              <w:spacing w:after="0" w:line="360" w:lineRule="auto"/>
              <w:ind w:left="0" w:leftChars="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声环境保护措施</w:t>
            </w:r>
          </w:p>
          <w:p w14:paraId="3E962DAA">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为了进一步减少施工噪声对项目周围声环境影响，施工期应采取以下措施对施工噪声进行防治：</w:t>
            </w:r>
          </w:p>
          <w:p w14:paraId="6B7FBBC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⑴</w:t>
            </w:r>
            <w:r>
              <w:rPr>
                <w:rFonts w:hint="default" w:ascii="Times New Roman" w:hAnsi="Times New Roman" w:eastAsia="宋体" w:cs="Times New Roman"/>
                <w:color w:val="auto"/>
                <w:spacing w:val="0"/>
                <w:sz w:val="24"/>
                <w:highlight w:val="none"/>
                <w:lang w:val="en-US" w:eastAsia="zh-CN"/>
              </w:rPr>
              <w:t>云雾山330千伏变电站</w:t>
            </w:r>
            <w:r>
              <w:rPr>
                <w:rFonts w:hint="default" w:ascii="Times New Roman" w:hAnsi="Times New Roman" w:eastAsia="宋体" w:cs="Times New Roman"/>
                <w:color w:val="auto"/>
                <w:spacing w:val="0"/>
                <w:sz w:val="24"/>
                <w:highlight w:val="none"/>
                <w:lang w:eastAsia="zh-CN"/>
              </w:rPr>
              <w:t>已建实体围墙，</w:t>
            </w:r>
            <w:r>
              <w:rPr>
                <w:rFonts w:hint="default" w:ascii="Times New Roman" w:hAnsi="Times New Roman" w:cs="Times New Roman"/>
                <w:color w:val="auto"/>
                <w:sz w:val="24"/>
                <w:highlight w:val="none"/>
                <w:lang w:eastAsia="zh-CN"/>
              </w:rPr>
              <w:t>实体围墙</w:t>
            </w:r>
            <w:r>
              <w:rPr>
                <w:rFonts w:hint="default" w:ascii="Times New Roman" w:hAnsi="Times New Roman" w:cs="Times New Roman"/>
                <w:color w:val="auto"/>
                <w:sz w:val="24"/>
                <w:highlight w:val="none"/>
                <w:lang w:val="en-US" w:eastAsia="zh-CN"/>
              </w:rPr>
              <w:t>会对站内间隔扩建工程施工噪声起到一定的阻隔作用</w:t>
            </w:r>
            <w:r>
              <w:rPr>
                <w:rFonts w:hint="default" w:ascii="Times New Roman" w:hAnsi="Times New Roman" w:cs="Times New Roman"/>
                <w:color w:val="auto"/>
                <w:sz w:val="24"/>
                <w:highlight w:val="none"/>
                <w:lang w:eastAsia="zh-CN"/>
              </w:rPr>
              <w:t>。</w:t>
            </w:r>
          </w:p>
          <w:p w14:paraId="4DFCA54A">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⑵</w:t>
            </w:r>
            <w:r>
              <w:rPr>
                <w:rFonts w:hint="default" w:ascii="Times New Roman" w:hAnsi="Times New Roman" w:cs="Times New Roman"/>
                <w:color w:val="auto"/>
                <w:sz w:val="24"/>
                <w:highlight w:val="none"/>
                <w:lang w:val="en-US" w:eastAsia="zh-CN"/>
              </w:rPr>
              <w:t>做好施工组织设计，</w:t>
            </w:r>
            <w:r>
              <w:rPr>
                <w:rFonts w:hint="default" w:ascii="Times New Roman" w:hAnsi="Times New Roman" w:cs="Times New Roman"/>
                <w:color w:val="auto"/>
                <w:sz w:val="24"/>
              </w:rPr>
              <w:t>选用低噪声的施工设备；对物料、土方等运输过程产生噪声的控制首先应根据运输路线选择周围居民点分布少的路线，其次应严格实施运输过程管理，敏感路段应限速，禁止鸣笛，物料装卸应规范操作。</w:t>
            </w:r>
          </w:p>
          <w:p w14:paraId="5B482A8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⑶施工单位应严格按照标准操作规程使用各类施工机械设备，并定期维护和保养，使其一直保持良好的状态，减轻因设备运行状态不佳而造成的噪声污染。</w:t>
            </w:r>
          </w:p>
          <w:p w14:paraId="521A2005">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⑷施工时应尽量避免多台施工机械同时施工，严格控制施工作业时间，并禁止夜间施工；因施工工艺和其他因素等要求必须进行夜间</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22:00-6:00</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施工时，须取得地方环保部门同意，并在施工现场设置公告牌，发布公告及投诉电话，最大限度地争取受影响民众支持和谅解。</w:t>
            </w:r>
          </w:p>
          <w:p w14:paraId="1BC4387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⑸施工现场提倡文明施工，通过对全体有关人员进行培训、教育，培养环境观念，树立正确的环境意识，减少环境噪声污染，使作业人员在工作中对噪声影响予以控制。</w:t>
            </w:r>
          </w:p>
          <w:p w14:paraId="3F031ABF">
            <w:pPr>
              <w:spacing w:line="360" w:lineRule="auto"/>
              <w:ind w:firstLine="480" w:firstLineChars="200"/>
              <w:rPr>
                <w:rFonts w:hint="default" w:ascii="Times New Roman" w:hAnsi="Times New Roman" w:eastAsia="仿宋_GB2312" w:cs="Times New Roman"/>
                <w:color w:val="auto"/>
                <w:lang w:val="en-US" w:eastAsia="zh-CN"/>
              </w:rPr>
            </w:pPr>
            <w:r>
              <w:rPr>
                <w:rFonts w:hint="default" w:ascii="Times New Roman" w:hAnsi="Times New Roman" w:cs="Times New Roman"/>
                <w:b w:val="0"/>
                <w:bCs/>
                <w:color w:val="auto"/>
                <w:sz w:val="24"/>
                <w:lang w:val="en-US" w:eastAsia="zh-CN"/>
              </w:rPr>
              <w:t>⑹</w:t>
            </w:r>
            <w:r>
              <w:rPr>
                <w:rFonts w:hint="default" w:ascii="Times New Roman" w:hAnsi="Times New Roman" w:eastAsia="宋体" w:cs="Times New Roman"/>
                <w:color w:val="auto"/>
                <w:sz w:val="24"/>
                <w:szCs w:val="24"/>
                <w:highlight w:val="none"/>
                <w:lang w:eastAsia="zh-CN"/>
              </w:rPr>
              <w:t>施工期合理布置施工场地，高噪声设备</w:t>
            </w:r>
            <w:r>
              <w:rPr>
                <w:rFonts w:hint="default" w:ascii="Times New Roman" w:hAnsi="Times New Roman" w:cs="Times New Roman"/>
                <w:color w:val="auto"/>
                <w:kern w:val="0"/>
                <w:sz w:val="24"/>
                <w:szCs w:val="24"/>
                <w:highlight w:val="none"/>
                <w:lang w:val="en-US" w:eastAsia="zh-CN" w:bidi="ar"/>
              </w:rPr>
              <w:t>远离声环境敏感目标布设，选用低噪声设备；输电线路塔基施工区域临近声敏感目标时，施工区域应设置不低于2.5m高的隔声围挡，避免多台施工机械同时施工。严格落实《宁夏回族自治区生态环境保护条例》，在敏感目标附近施工时白天12:00~14:00、夜间20：00-8：00禁止施工等声环境保护措施。</w:t>
            </w:r>
          </w:p>
          <w:p w14:paraId="4188A318">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采取以上措施后，施工期声环境防护措施合理可行。</w:t>
            </w:r>
          </w:p>
          <w:p w14:paraId="0FB04F1D">
            <w:pPr>
              <w:pStyle w:val="13"/>
              <w:spacing w:after="0" w:line="360" w:lineRule="auto"/>
              <w:ind w:left="0" w:leftChars="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3</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大气环境保护措施</w:t>
            </w:r>
          </w:p>
          <w:p w14:paraId="03EFAD2F">
            <w:pPr>
              <w:pStyle w:val="13"/>
              <w:spacing w:after="0" w:line="360" w:lineRule="auto"/>
              <w:ind w:left="0" w:leftChars="0"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为了进一步减少施工扬尘对大气环境的影响，施工期应采取以下扬尘污染防治措施：</w:t>
            </w:r>
          </w:p>
          <w:p w14:paraId="2C1D41C9">
            <w:pPr>
              <w:pStyle w:val="13"/>
              <w:spacing w:after="0" w:line="360" w:lineRule="auto"/>
              <w:ind w:left="0" w:leftChars="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rPr>
              <w:t>⑴</w:t>
            </w:r>
            <w:r>
              <w:rPr>
                <w:rFonts w:hint="default" w:ascii="Times New Roman" w:hAnsi="Times New Roman" w:eastAsia="宋体" w:cs="Times New Roman"/>
                <w:color w:val="auto"/>
                <w:spacing w:val="0"/>
                <w:sz w:val="24"/>
                <w:highlight w:val="none"/>
                <w:lang w:val="en-US" w:eastAsia="zh-CN"/>
              </w:rPr>
              <w:t>云雾山330千伏变电站</w:t>
            </w:r>
            <w:r>
              <w:rPr>
                <w:rFonts w:hint="default" w:ascii="Times New Roman" w:hAnsi="Times New Roman" w:eastAsia="宋体" w:cs="Times New Roman"/>
                <w:color w:val="auto"/>
                <w:spacing w:val="0"/>
                <w:sz w:val="24"/>
                <w:highlight w:val="none"/>
                <w:lang w:eastAsia="zh-CN"/>
              </w:rPr>
              <w:t>已建实体围墙，</w:t>
            </w:r>
            <w:r>
              <w:rPr>
                <w:rFonts w:hint="default" w:ascii="Times New Roman" w:hAnsi="Times New Roman" w:cs="Times New Roman"/>
                <w:color w:val="auto"/>
                <w:sz w:val="24"/>
                <w:highlight w:val="none"/>
                <w:lang w:eastAsia="zh-CN"/>
              </w:rPr>
              <w:t>实体围墙</w:t>
            </w:r>
            <w:r>
              <w:rPr>
                <w:rFonts w:hint="default" w:ascii="Times New Roman" w:hAnsi="Times New Roman" w:cs="Times New Roman"/>
                <w:color w:val="auto"/>
                <w:sz w:val="24"/>
                <w:highlight w:val="none"/>
                <w:lang w:val="en-US" w:eastAsia="zh-CN"/>
              </w:rPr>
              <w:t>会对站内间隔扩建工程施工扬尘起到一定的阻隔作用。</w:t>
            </w:r>
          </w:p>
          <w:p w14:paraId="5D6DFD79">
            <w:pPr>
              <w:pStyle w:val="13"/>
              <w:spacing w:after="0" w:line="360" w:lineRule="auto"/>
              <w:ind w:left="0" w:leftChars="0"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sz w:val="24"/>
              </w:rPr>
              <w:t>⑵</w:t>
            </w:r>
            <w:r>
              <w:rPr>
                <w:rFonts w:hint="default" w:ascii="Times New Roman" w:hAnsi="Times New Roman" w:cs="Times New Roman"/>
                <w:color w:val="auto"/>
                <w:sz w:val="24"/>
                <w:highlight w:val="none"/>
                <w:lang w:val="en-US" w:eastAsia="zh-CN"/>
              </w:rPr>
              <w:t>架空输电线路</w:t>
            </w:r>
            <w:r>
              <w:rPr>
                <w:rFonts w:hint="default" w:ascii="Times New Roman" w:hAnsi="Times New Roman" w:cs="Times New Roman"/>
                <w:color w:val="auto"/>
                <w:sz w:val="24"/>
              </w:rPr>
              <w:t>施工场地</w:t>
            </w:r>
            <w:r>
              <w:rPr>
                <w:rFonts w:hint="eastAsia" w:cs="Times New Roman"/>
                <w:color w:val="auto"/>
                <w:sz w:val="24"/>
                <w:lang w:val="en-US" w:eastAsia="zh-CN"/>
              </w:rPr>
              <w:t>采取</w:t>
            </w:r>
            <w:r>
              <w:rPr>
                <w:rFonts w:hint="default" w:ascii="Times New Roman" w:hAnsi="Times New Roman" w:cs="Times New Roman"/>
                <w:color w:val="auto"/>
                <w:sz w:val="24"/>
              </w:rPr>
              <w:t>物料堆放覆盖、土方开挖湿法作业、出入车辆清洗、渣土车辆密闭运输扬尘防控措施</w:t>
            </w:r>
            <w:r>
              <w:rPr>
                <w:rFonts w:hint="default" w:ascii="Times New Roman" w:hAnsi="Times New Roman" w:cs="Times New Roman"/>
                <w:color w:val="auto"/>
                <w:kern w:val="0"/>
                <w:sz w:val="24"/>
              </w:rPr>
              <w:t>。</w:t>
            </w:r>
          </w:p>
          <w:p w14:paraId="1B396652">
            <w:pPr>
              <w:autoSpaceDE w:val="0"/>
              <w:autoSpaceDN w:val="0"/>
              <w:spacing w:line="360" w:lineRule="auto"/>
              <w:ind w:firstLine="480" w:firstLineChars="200"/>
              <w:jc w:val="both"/>
              <w:rPr>
                <w:rFonts w:hint="default" w:ascii="Times New Roman" w:hAnsi="Times New Roman" w:cs="Times New Roman"/>
                <w:color w:val="auto"/>
                <w:kern w:val="0"/>
                <w:sz w:val="24"/>
              </w:rPr>
            </w:pPr>
            <w:r>
              <w:rPr>
                <w:rFonts w:hint="default" w:ascii="Times New Roman" w:hAnsi="Times New Roman" w:cs="Times New Roman"/>
                <w:color w:val="auto"/>
                <w:sz w:val="24"/>
              </w:rPr>
              <w:t>⑶</w:t>
            </w:r>
            <w:r>
              <w:rPr>
                <w:rFonts w:hint="default" w:ascii="Times New Roman" w:hAnsi="Times New Roman" w:cs="Times New Roman"/>
                <w:color w:val="auto"/>
                <w:kern w:val="0"/>
                <w:sz w:val="24"/>
              </w:rPr>
              <w:t>运输车辆在运输颗粒物料时应采取篷布苫盖措施，防止物料四处散落，污染周围环境。</w:t>
            </w:r>
            <w:r>
              <w:rPr>
                <w:rFonts w:hint="default" w:ascii="Times New Roman" w:hAnsi="Times New Roman" w:cs="Times New Roman"/>
                <w:b w:val="0"/>
                <w:bCs w:val="0"/>
                <w:color w:val="auto"/>
                <w:sz w:val="24"/>
                <w:highlight w:val="none"/>
              </w:rPr>
              <w:t>施工过程中，应当对裸露地面进行覆盖；暂时不能开工的建设用地超过三个月的，应当进行铺装或者遮盖</w:t>
            </w:r>
            <w:r>
              <w:rPr>
                <w:rFonts w:hint="default" w:ascii="Times New Roman" w:hAnsi="Times New Roman" w:cs="Times New Roman"/>
                <w:b w:val="0"/>
                <w:bCs w:val="0"/>
                <w:color w:val="auto"/>
                <w:sz w:val="24"/>
                <w:highlight w:val="none"/>
                <w:lang w:eastAsia="zh-CN"/>
              </w:rPr>
              <w:t>。</w:t>
            </w:r>
          </w:p>
          <w:p w14:paraId="28E953AC">
            <w:pPr>
              <w:autoSpaceDE w:val="0"/>
              <w:autoSpaceDN w:val="0"/>
              <w:spacing w:line="360" w:lineRule="auto"/>
              <w:ind w:firstLine="480" w:firstLineChars="200"/>
              <w:jc w:val="both"/>
              <w:rPr>
                <w:rFonts w:hint="default" w:ascii="Times New Roman" w:hAnsi="Times New Roman" w:cs="Times New Roman"/>
                <w:color w:val="auto"/>
                <w:kern w:val="0"/>
                <w:sz w:val="24"/>
              </w:rPr>
            </w:pPr>
            <w:r>
              <w:rPr>
                <w:rFonts w:hint="default" w:ascii="Times New Roman" w:hAnsi="Times New Roman" w:cs="Times New Roman"/>
                <w:color w:val="auto"/>
                <w:kern w:val="0"/>
                <w:sz w:val="24"/>
              </w:rPr>
              <w:t>⑷运输车辆严禁车轮带泥上路行驶。</w:t>
            </w:r>
          </w:p>
          <w:p w14:paraId="75462363">
            <w:pPr>
              <w:autoSpaceDE w:val="0"/>
              <w:autoSpaceDN w:val="0"/>
              <w:spacing w:line="360" w:lineRule="auto"/>
              <w:ind w:firstLine="480" w:firstLineChars="200"/>
              <w:jc w:val="both"/>
              <w:rPr>
                <w:rFonts w:hint="default" w:ascii="Times New Roman" w:hAnsi="Times New Roman" w:cs="Times New Roman"/>
                <w:color w:val="auto"/>
                <w:kern w:val="0"/>
                <w:sz w:val="24"/>
              </w:rPr>
            </w:pPr>
            <w:r>
              <w:rPr>
                <w:rFonts w:hint="default" w:ascii="Times New Roman" w:hAnsi="Times New Roman" w:cs="Times New Roman"/>
                <w:color w:val="auto"/>
                <w:sz w:val="24"/>
              </w:rPr>
              <w:t>⑸建筑工程施工现场的余土、弃料及其他建筑垃圾，应及时清运，运输车辆应密闭或加盖篷布密封，在规定的地点倾倒或消纳并覆盖硬化。</w:t>
            </w:r>
          </w:p>
          <w:p w14:paraId="65E9B5BE">
            <w:pPr>
              <w:autoSpaceDE w:val="0"/>
              <w:autoSpaceDN w:val="0"/>
              <w:spacing w:line="360" w:lineRule="auto"/>
              <w:ind w:firstLine="480" w:firstLineChars="200"/>
              <w:jc w:val="left"/>
              <w:rPr>
                <w:rFonts w:hint="default" w:ascii="Times New Roman" w:hAnsi="Times New Roman" w:cs="Times New Roman"/>
                <w:b w:val="0"/>
                <w:bCs w:val="0"/>
                <w:color w:val="auto"/>
                <w:sz w:val="24"/>
                <w:highlight w:val="none"/>
              </w:rPr>
            </w:pPr>
            <w:r>
              <w:rPr>
                <w:rFonts w:hint="default" w:ascii="Times New Roman" w:hAnsi="Times New Roman" w:cs="Times New Roman"/>
                <w:color w:val="auto"/>
                <w:sz w:val="24"/>
              </w:rPr>
              <w:t>⑹土方开挖、运输和填筑、易产生扬尘工序等施工时，必须进行湿法作业，应配备足量除尘雾炮、喷淋设施。</w:t>
            </w:r>
            <w:r>
              <w:rPr>
                <w:rFonts w:hint="default" w:ascii="Times New Roman" w:hAnsi="Times New Roman" w:cs="Times New Roman"/>
                <w:color w:val="auto"/>
                <w:kern w:val="0"/>
                <w:sz w:val="24"/>
                <w:highlight w:val="none"/>
                <w:lang w:eastAsia="zh-CN"/>
              </w:rPr>
              <w:t>四级及四级以上大风或重度污染天气时，严禁土方开挖、回填、转运以及其他可能产生扬尘污染的施工，并做好作业面覆盖工作。</w:t>
            </w:r>
          </w:p>
          <w:p w14:paraId="4B974346">
            <w:pPr>
              <w:autoSpaceDE w:val="0"/>
              <w:autoSpaceDN w:val="0"/>
              <w:spacing w:line="360" w:lineRule="auto"/>
              <w:ind w:firstLine="480" w:firstLineChars="200"/>
              <w:jc w:val="left"/>
              <w:rPr>
                <w:rFonts w:hint="default" w:ascii="Times New Roman" w:hAnsi="Times New Roman" w:cs="Times New Roman"/>
                <w:color w:val="auto"/>
                <w:kern w:val="0"/>
                <w:sz w:val="24"/>
              </w:rPr>
            </w:pPr>
            <w:r>
              <w:rPr>
                <w:rFonts w:hint="default" w:ascii="Times New Roman" w:hAnsi="Times New Roman" w:cs="Times New Roman"/>
                <w:color w:val="auto"/>
                <w:sz w:val="24"/>
              </w:rPr>
              <w:t>⑺施工现场禁止将包装物、可燃垃圾等固体废弃物就地焚烧。</w:t>
            </w:r>
          </w:p>
          <w:p w14:paraId="59C67C65">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⑻</w:t>
            </w:r>
            <w:r>
              <w:rPr>
                <w:rFonts w:hint="default" w:ascii="Times New Roman" w:hAnsi="Times New Roman" w:cs="Times New Roman"/>
                <w:color w:val="auto"/>
                <w:sz w:val="24"/>
              </w:rPr>
              <w:t>针对施工车辆产生的尾气，施工过程中应加强施工机械和车辆的维护保养，减少废气排放量。</w:t>
            </w:r>
          </w:p>
          <w:p w14:paraId="42DC1330">
            <w:pPr>
              <w:pStyle w:val="13"/>
              <w:spacing w:after="0" w:line="360" w:lineRule="auto"/>
              <w:ind w:left="0" w:leftChars="0" w:firstLine="480" w:firstLineChars="200"/>
              <w:rPr>
                <w:rFonts w:hint="default" w:ascii="Times New Roman" w:hAnsi="Times New Roman" w:cs="Times New Roman"/>
                <w:color w:val="auto"/>
              </w:rPr>
            </w:pPr>
            <w:r>
              <w:rPr>
                <w:rFonts w:hint="default" w:ascii="Times New Roman" w:hAnsi="Times New Roman" w:cs="Times New Roman"/>
                <w:color w:val="auto"/>
                <w:sz w:val="24"/>
              </w:rPr>
              <w:t>采取以上措施后，施工期废气防治措施可行。</w:t>
            </w:r>
          </w:p>
          <w:p w14:paraId="649334F8">
            <w:pPr>
              <w:pStyle w:val="13"/>
              <w:spacing w:after="0" w:line="360" w:lineRule="auto"/>
              <w:ind w:left="0" w:leftChars="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4</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固体废物处置措施</w:t>
            </w:r>
          </w:p>
          <w:p w14:paraId="372448DE">
            <w:pPr>
              <w:pStyle w:val="13"/>
              <w:spacing w:after="0" w:line="360" w:lineRule="auto"/>
              <w:ind w:left="0" w:leftChars="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rPr>
              <w:t>⑴</w:t>
            </w:r>
            <w:r>
              <w:rPr>
                <w:rFonts w:hint="default" w:ascii="Times New Roman" w:hAnsi="Times New Roman" w:cs="Times New Roman"/>
                <w:color w:val="auto"/>
                <w:sz w:val="24"/>
                <w:highlight w:val="none"/>
                <w:lang w:val="en-US" w:eastAsia="zh-CN"/>
              </w:rPr>
              <w:t>间隔扩建工程施工过程开挖产生的</w:t>
            </w:r>
            <w:r>
              <w:rPr>
                <w:rFonts w:hint="eastAsia" w:cs="Times New Roman"/>
                <w:color w:val="auto"/>
                <w:sz w:val="24"/>
                <w:highlight w:val="none"/>
                <w:vertAlign w:val="baseline"/>
                <w:lang w:val="en-US" w:eastAsia="zh-CN"/>
              </w:rPr>
              <w:t>余</w:t>
            </w:r>
            <w:r>
              <w:rPr>
                <w:rFonts w:hint="default" w:ascii="Times New Roman" w:hAnsi="Times New Roman" w:cs="Times New Roman"/>
                <w:color w:val="auto"/>
                <w:sz w:val="24"/>
                <w:highlight w:val="none"/>
                <w:vertAlign w:val="baseline"/>
                <w:lang w:val="en-US" w:eastAsia="zh-CN"/>
              </w:rPr>
              <w:t>方由施工单位运至</w:t>
            </w:r>
            <w:r>
              <w:rPr>
                <w:rFonts w:hint="default" w:ascii="Times New Roman" w:hAnsi="Times New Roman" w:cs="Times New Roman"/>
                <w:color w:val="auto"/>
                <w:sz w:val="24"/>
                <w:highlight w:val="none"/>
                <w:lang w:val="en-US" w:eastAsia="zh-CN"/>
              </w:rPr>
              <w:t>输电线路塔基及施工作业区</w:t>
            </w:r>
            <w:r>
              <w:rPr>
                <w:rFonts w:hint="eastAsia" w:cs="Times New Roman"/>
                <w:color w:val="auto"/>
                <w:sz w:val="24"/>
                <w:highlight w:val="none"/>
                <w:lang w:val="en-US" w:eastAsia="zh-CN"/>
              </w:rPr>
              <w:t>场地平整使用</w:t>
            </w:r>
            <w:r>
              <w:rPr>
                <w:rFonts w:hint="default" w:ascii="Times New Roman" w:hAnsi="Times New Roman" w:cs="Times New Roman"/>
                <w:color w:val="auto"/>
                <w:sz w:val="24"/>
                <w:highlight w:val="none"/>
                <w:lang w:val="en-US" w:eastAsia="zh-CN"/>
              </w:rPr>
              <w:t>。施工期塔基基础开挖出的土石方全部用于回填及塔基周围培土，无弃土产生。</w:t>
            </w:r>
          </w:p>
          <w:p w14:paraId="62D32B86">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rPr>
              <w:t>⑵</w:t>
            </w:r>
            <w:r>
              <w:rPr>
                <w:rFonts w:hint="default" w:ascii="Times New Roman" w:hAnsi="Times New Roman" w:cs="Times New Roman"/>
                <w:color w:val="auto"/>
                <w:sz w:val="24"/>
                <w:highlight w:val="none"/>
                <w:lang w:val="en-US" w:eastAsia="zh-CN"/>
              </w:rPr>
              <w:t>变电站内施工人员产生的生活垃圾依托站内生活垃圾桶分类收集</w:t>
            </w:r>
            <w:r>
              <w:rPr>
                <w:rFonts w:hint="eastAsia" w:cs="Times New Roman"/>
                <w:color w:val="auto"/>
                <w:sz w:val="24"/>
                <w:szCs w:val="24"/>
                <w:highlight w:val="none"/>
                <w:lang w:val="en-US" w:eastAsia="zh-CN"/>
              </w:rPr>
              <w:t>后送附近垃圾收集点收集处置</w:t>
            </w:r>
            <w:r>
              <w:rPr>
                <w:rFonts w:hint="default" w:ascii="Times New Roman" w:hAnsi="Times New Roman" w:cs="Times New Roman"/>
                <w:color w:val="auto"/>
                <w:sz w:val="24"/>
                <w:highlight w:val="none"/>
                <w:lang w:val="en-US" w:eastAsia="zh-CN"/>
              </w:rPr>
              <w:t>。输电线路施工人员产生的生活垃圾依托居住地现有的垃圾桶</w:t>
            </w:r>
            <w:r>
              <w:rPr>
                <w:rFonts w:hint="default" w:ascii="Times New Roman" w:hAnsi="Times New Roman" w:cs="Times New Roman"/>
                <w:color w:val="auto"/>
                <w:sz w:val="24"/>
                <w:highlight w:val="none"/>
                <w:lang w:eastAsia="zh-CN"/>
              </w:rPr>
              <w:t>集中收集</w:t>
            </w:r>
            <w:r>
              <w:rPr>
                <w:rFonts w:hint="eastAsia" w:cs="Times New Roman"/>
                <w:color w:val="auto"/>
                <w:sz w:val="24"/>
                <w:szCs w:val="24"/>
                <w:highlight w:val="none"/>
                <w:lang w:val="en-US" w:eastAsia="zh-CN"/>
              </w:rPr>
              <w:t>后送附近垃圾收集点收集处置</w:t>
            </w:r>
            <w:r>
              <w:rPr>
                <w:rFonts w:hint="default" w:ascii="Times New Roman" w:hAnsi="Times New Roman" w:cs="Times New Roman"/>
                <w:color w:val="auto"/>
                <w:sz w:val="24"/>
                <w:highlight w:val="none"/>
                <w:lang w:eastAsia="zh-CN"/>
              </w:rPr>
              <w:t>。</w:t>
            </w:r>
          </w:p>
          <w:p w14:paraId="5F74172A">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rPr>
              <w:t>⑶</w:t>
            </w:r>
            <w:r>
              <w:rPr>
                <w:rFonts w:hint="default" w:ascii="Times New Roman" w:hAnsi="Times New Roman" w:cs="Times New Roman"/>
                <w:color w:val="auto"/>
                <w:sz w:val="24"/>
                <w:highlight w:val="none"/>
                <w:lang w:eastAsia="zh-CN"/>
              </w:rPr>
              <w:t>施工单位</w:t>
            </w:r>
            <w:r>
              <w:rPr>
                <w:rFonts w:hint="default" w:ascii="Times New Roman" w:hAnsi="Times New Roman" w:cs="Times New Roman"/>
                <w:color w:val="auto"/>
                <w:sz w:val="24"/>
                <w:highlight w:val="none"/>
                <w:lang w:val="en-US" w:eastAsia="zh-CN"/>
              </w:rPr>
              <w:t>按要求</w:t>
            </w:r>
            <w:r>
              <w:rPr>
                <w:rFonts w:hint="default" w:ascii="Times New Roman" w:hAnsi="Times New Roman" w:cs="Times New Roman"/>
                <w:color w:val="auto"/>
                <w:sz w:val="24"/>
                <w:highlight w:val="none"/>
                <w:lang w:eastAsia="zh-CN"/>
              </w:rPr>
              <w:t>编制建筑垃圾处理方案，</w:t>
            </w:r>
            <w:r>
              <w:rPr>
                <w:rFonts w:hint="default" w:ascii="Times New Roman" w:hAnsi="Times New Roman" w:cs="Times New Roman"/>
                <w:color w:val="auto"/>
                <w:sz w:val="24"/>
                <w:highlight w:val="none"/>
                <w:lang w:val="en-US" w:eastAsia="zh-CN"/>
              </w:rPr>
              <w:t>建筑垃圾</w:t>
            </w:r>
            <w:r>
              <w:rPr>
                <w:rFonts w:hint="default" w:ascii="Times New Roman" w:hAnsi="Times New Roman" w:cs="Times New Roman"/>
                <w:color w:val="auto"/>
                <w:sz w:val="24"/>
                <w:highlight w:val="none"/>
              </w:rPr>
              <w:t>应严格按照《中华人民共和国固体废物污染环境防治法》第六十三条的要求，编制建筑垃圾处理方案，采取污染防治措施，并报</w:t>
            </w:r>
            <w:r>
              <w:rPr>
                <w:rFonts w:hint="default" w:ascii="Times New Roman" w:hAnsi="Times New Roman" w:cs="Times New Roman"/>
                <w:color w:val="auto"/>
                <w:sz w:val="24"/>
                <w:highlight w:val="none"/>
                <w:lang w:eastAsia="zh-CN"/>
              </w:rPr>
              <w:t>县级以上</w:t>
            </w:r>
            <w:r>
              <w:rPr>
                <w:rFonts w:hint="default" w:ascii="Times New Roman" w:hAnsi="Times New Roman" w:cs="Times New Roman"/>
                <w:color w:val="auto"/>
                <w:sz w:val="24"/>
                <w:highlight w:val="none"/>
                <w:lang w:val="en-US" w:eastAsia="zh-CN"/>
              </w:rPr>
              <w:t>地方</w:t>
            </w:r>
            <w:r>
              <w:rPr>
                <w:rFonts w:hint="default" w:ascii="Times New Roman" w:hAnsi="Times New Roman" w:cs="Times New Roman"/>
                <w:color w:val="auto"/>
                <w:sz w:val="24"/>
                <w:highlight w:val="none"/>
              </w:rPr>
              <w:t>人民政府环境卫生主管部门备案</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统一清运至管理部门指定的地点处置。</w:t>
            </w:r>
          </w:p>
          <w:p w14:paraId="4045BDF5">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⑷</w:t>
            </w:r>
            <w:r>
              <w:rPr>
                <w:rFonts w:hint="default" w:ascii="Times New Roman" w:hAnsi="Times New Roman" w:eastAsia="宋体" w:cs="Times New Roman"/>
                <w:color w:val="auto"/>
                <w:sz w:val="24"/>
                <w:szCs w:val="24"/>
                <w:highlight w:val="none"/>
                <w:lang w:val="en-US" w:eastAsia="zh-CN"/>
              </w:rPr>
              <w:t>拆除下来的导线、地线、附件及其他可回收的铁塔部件临时堆放在拆除区域临时占地，及时运出并由施工单位统一收集后交由建管单位回收利用；基础破除产生的混凝土块，集中收集后由施工单位及时运至当地环境卫生主管部门指定的地点处置。</w:t>
            </w:r>
          </w:p>
          <w:p w14:paraId="2C772712">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在落实以上措施后，本项目施工期固体废物对周围声环境影响较小。</w:t>
            </w:r>
          </w:p>
          <w:p w14:paraId="47B20C5B">
            <w:pPr>
              <w:pStyle w:val="13"/>
              <w:spacing w:after="0" w:line="360" w:lineRule="auto"/>
              <w:ind w:left="0" w:leftChars="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5</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水环境保护措施</w:t>
            </w:r>
          </w:p>
          <w:p w14:paraId="086FB5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rPr>
              <w:t>⑴</w:t>
            </w:r>
            <w:r>
              <w:rPr>
                <w:rFonts w:hint="default" w:ascii="Times New Roman" w:hAnsi="Times New Roman" w:cs="Times New Roman"/>
                <w:color w:val="auto"/>
                <w:sz w:val="24"/>
                <w:highlight w:val="none"/>
                <w:lang w:val="en-US" w:eastAsia="zh-CN"/>
              </w:rPr>
              <w:t>施工期采用商品混凝土，无施工废水产生</w:t>
            </w:r>
            <w:r>
              <w:rPr>
                <w:rFonts w:hint="default" w:ascii="Times New Roman" w:hAnsi="Times New Roman" w:cs="Times New Roman"/>
                <w:color w:val="auto"/>
                <w:sz w:val="24"/>
                <w:highlight w:val="none"/>
                <w:lang w:eastAsia="zh-CN"/>
              </w:rPr>
              <w:t>。</w:t>
            </w:r>
          </w:p>
          <w:p w14:paraId="52D6644B">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cs="Times New Roman"/>
                <w:color w:val="auto"/>
                <w:sz w:val="24"/>
              </w:rPr>
              <w:t>⑵</w:t>
            </w:r>
            <w:r>
              <w:rPr>
                <w:rFonts w:hint="default" w:ascii="Times New Roman" w:hAnsi="Times New Roman" w:eastAsia="宋体" w:cs="Times New Roman"/>
                <w:color w:val="auto"/>
                <w:sz w:val="24"/>
                <w:szCs w:val="24"/>
                <w:highlight w:val="none"/>
                <w:lang w:val="en-US" w:eastAsia="zh-CN"/>
              </w:rPr>
              <w:t>施工期不设施工营地，租用当地民房作为施工营地，变电站内施工人员产生的少量生活污水依托站内已建的化粪池进行处理；输电线路施工人员产生的生活污水依托居住地污水处理措施处理。</w:t>
            </w:r>
            <w:r>
              <w:rPr>
                <w:rFonts w:hint="default" w:ascii="Times New Roman" w:hAnsi="Times New Roman" w:cs="Times New Roman"/>
                <w:color w:val="auto"/>
                <w:kern w:val="0"/>
                <w:sz w:val="24"/>
                <w:highlight w:val="none"/>
                <w:lang w:val="en-US" w:eastAsia="zh-CN"/>
              </w:rPr>
              <w:t>本线路沿线主要跨河川河、川口河及部分冲沟等水体，跨越宽度10-150m不等，</w:t>
            </w:r>
            <w:r>
              <w:rPr>
                <w:rFonts w:hint="default" w:ascii="Times New Roman" w:hAnsi="Times New Roman" w:eastAsia="宋体" w:cs="Times New Roman"/>
                <w:snapToGrid w:val="0"/>
                <w:color w:val="auto"/>
                <w:kern w:val="0"/>
                <w:sz w:val="24"/>
                <w:szCs w:val="24"/>
                <w:lang w:val="en-US" w:eastAsia="en-US" w:bidi="ar-SA"/>
              </w:rPr>
              <w:t>采用高跨一档方式通过</w:t>
            </w:r>
            <w:r>
              <w:rPr>
                <w:rFonts w:hint="default" w:ascii="Times New Roman" w:hAnsi="Times New Roman"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en-US" w:bidi="ar-SA"/>
              </w:rPr>
              <w:t>不</w:t>
            </w:r>
            <w:r>
              <w:rPr>
                <w:rFonts w:hint="default" w:ascii="Times New Roman" w:hAnsi="Times New Roman" w:eastAsia="宋体" w:cs="Times New Roman"/>
                <w:snapToGrid w:val="0"/>
                <w:color w:val="auto"/>
                <w:spacing w:val="-3"/>
                <w:kern w:val="0"/>
                <w:sz w:val="24"/>
                <w:szCs w:val="24"/>
                <w:lang w:val="en-US" w:eastAsia="en-US" w:bidi="ar-SA"/>
              </w:rPr>
              <w:t>在河道范围内立塔，</w:t>
            </w:r>
            <w:r>
              <w:rPr>
                <w:rFonts w:hint="default" w:ascii="Times New Roman" w:hAnsi="Times New Roman" w:cs="Times New Roman"/>
                <w:color w:val="auto"/>
                <w:kern w:val="0"/>
                <w:sz w:val="24"/>
                <w:highlight w:val="none"/>
                <w:lang w:val="en-US" w:eastAsia="zh-CN"/>
              </w:rPr>
              <w:t>杆塔距离岸边50m外，放置于地势较高、较为稳固的位置。</w:t>
            </w:r>
            <w:r>
              <w:rPr>
                <w:rFonts w:hint="default" w:ascii="Times New Roman" w:hAnsi="Times New Roman" w:eastAsia="宋体" w:cs="Times New Roman"/>
                <w:snapToGrid w:val="0"/>
                <w:color w:val="auto"/>
                <w:spacing w:val="-4"/>
                <w:kern w:val="0"/>
                <w:sz w:val="24"/>
                <w:szCs w:val="24"/>
                <w:lang w:val="en-US" w:eastAsia="en-US" w:bidi="ar-SA"/>
              </w:rPr>
              <w:t>跨越河流、冲沟的施</w:t>
            </w:r>
            <w:r>
              <w:rPr>
                <w:rFonts w:hint="default" w:ascii="Times New Roman" w:hAnsi="Times New Roman" w:eastAsia="宋体" w:cs="Times New Roman"/>
                <w:snapToGrid w:val="0"/>
                <w:color w:val="auto"/>
                <w:spacing w:val="-9"/>
                <w:kern w:val="0"/>
                <w:sz w:val="24"/>
                <w:szCs w:val="24"/>
                <w:lang w:val="en-US" w:eastAsia="en-US" w:bidi="ar-SA"/>
              </w:rPr>
              <w:t>工场地应远离河道、冲沟，</w:t>
            </w:r>
            <w:r>
              <w:rPr>
                <w:rFonts w:hint="default" w:ascii="Times New Roman" w:hAnsi="Times New Roman" w:eastAsia="宋体" w:cs="Times New Roman"/>
                <w:snapToGrid w:val="0"/>
                <w:color w:val="auto"/>
                <w:spacing w:val="-10"/>
                <w:kern w:val="0"/>
                <w:sz w:val="24"/>
                <w:szCs w:val="24"/>
                <w:lang w:val="en-US" w:eastAsia="en-US" w:bidi="ar-SA"/>
              </w:rPr>
              <w:t>防止</w:t>
            </w:r>
            <w:r>
              <w:rPr>
                <w:rFonts w:hint="default" w:ascii="Times New Roman" w:hAnsi="Times New Roman" w:eastAsia="宋体" w:cs="Times New Roman"/>
                <w:snapToGrid w:val="0"/>
                <w:color w:val="auto"/>
                <w:spacing w:val="-3"/>
                <w:kern w:val="0"/>
                <w:sz w:val="24"/>
                <w:szCs w:val="24"/>
                <w:lang w:val="en-US" w:eastAsia="en-US" w:bidi="ar-SA"/>
              </w:rPr>
              <w:t>施工中</w:t>
            </w:r>
            <w:r>
              <w:rPr>
                <w:rFonts w:hint="eastAsia" w:cs="Times New Roman"/>
                <w:snapToGrid w:val="0"/>
                <w:color w:val="auto"/>
                <w:spacing w:val="-3"/>
                <w:kern w:val="0"/>
                <w:sz w:val="24"/>
                <w:szCs w:val="24"/>
                <w:lang w:val="en-US" w:eastAsia="zh-CN" w:bidi="ar-SA"/>
              </w:rPr>
              <w:t>固体废物</w:t>
            </w:r>
            <w:r>
              <w:rPr>
                <w:rFonts w:hint="default" w:ascii="Times New Roman" w:hAnsi="Times New Roman" w:eastAsia="宋体" w:cs="Times New Roman"/>
                <w:snapToGrid w:val="0"/>
                <w:color w:val="auto"/>
                <w:spacing w:val="-3"/>
                <w:kern w:val="0"/>
                <w:sz w:val="24"/>
                <w:szCs w:val="24"/>
                <w:lang w:val="en-US" w:eastAsia="en-US" w:bidi="ar-SA"/>
              </w:rPr>
              <w:t>进入周边水体。</w:t>
            </w:r>
          </w:p>
          <w:p w14:paraId="7E55611B">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采取以上措施后，项目施工期</w:t>
            </w:r>
            <w:r>
              <w:rPr>
                <w:rFonts w:hint="default" w:ascii="Times New Roman" w:hAnsi="Times New Roman" w:cs="Times New Roman"/>
                <w:color w:val="auto"/>
                <w:sz w:val="24"/>
                <w:lang w:val="en-US" w:eastAsia="zh-CN"/>
              </w:rPr>
              <w:t>对地表水环境</w:t>
            </w:r>
            <w:r>
              <w:rPr>
                <w:rFonts w:hint="default" w:ascii="Times New Roman" w:hAnsi="Times New Roman" w:cs="Times New Roman"/>
                <w:color w:val="auto"/>
                <w:sz w:val="24"/>
              </w:rPr>
              <w:t>保护措施可行。</w:t>
            </w:r>
          </w:p>
          <w:p w14:paraId="1A023938">
            <w:pPr>
              <w:pStyle w:val="13"/>
              <w:spacing w:after="0" w:line="360" w:lineRule="auto"/>
              <w:ind w:left="0" w:leftChars="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6</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施工期环境管理</w:t>
            </w:r>
          </w:p>
          <w:p w14:paraId="0B0BE9D3">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⑴环境管理机构</w:t>
            </w:r>
          </w:p>
          <w:p w14:paraId="0AB3CD8C">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建设单位和运行单位应在管理机构内配备必要的专职人员，负责环境保护管理工作。</w:t>
            </w:r>
          </w:p>
          <w:p w14:paraId="37CBF5A3">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⑵施工期环境管理</w:t>
            </w:r>
          </w:p>
          <w:p w14:paraId="11DD1F80">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建设单位在施工期间设立项目部，设置专人负责环境保护管理工作，负责核查施工工序是否满足设计文件要求，核查施工是否满足环保要求等相关工作。具体建设单位环境管理的职责如下：</w:t>
            </w:r>
          </w:p>
          <w:p w14:paraId="0E1B087C">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①负责管辖范围内电网建设项目环境保护“三同时”制度的具体执行。</w:t>
            </w:r>
          </w:p>
          <w:p w14:paraId="1D68A52E">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②依据环境影响评价文件及其批复文件，编制项目环境保护管理策划文件。</w:t>
            </w:r>
          </w:p>
          <w:p w14:paraId="6C4FED0D">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③组织参建单位开展环境保护培训、宣贯和交底工作。</w:t>
            </w:r>
          </w:p>
          <w:p w14:paraId="69394C1C">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④配合各级生态环境主管部门组织的监督检查，并组织整改发现的问题。</w:t>
            </w:r>
          </w:p>
          <w:p w14:paraId="40849CF3">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5 \* GB3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⑤</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做好施工中各种环境问题的收集、记录、建档和处理工作。</w:t>
            </w:r>
          </w:p>
          <w:p w14:paraId="191F716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fldChar w:fldCharType="begin"/>
            </w:r>
            <w:r>
              <w:rPr>
                <w:rFonts w:hint="default" w:ascii="Times New Roman" w:hAnsi="Times New Roman" w:cs="Times New Roman"/>
                <w:color w:val="auto"/>
                <w:kern w:val="0"/>
                <w:sz w:val="24"/>
                <w:szCs w:val="24"/>
                <w:highlight w:val="none"/>
              </w:rPr>
              <w:instrText xml:space="preserve"> = 6 \* GB3 \* MERGEFORMAT </w:instrText>
            </w:r>
            <w:r>
              <w:rPr>
                <w:rFonts w:hint="default" w:ascii="Times New Roman" w:hAnsi="Times New Roman" w:cs="Times New Roman"/>
                <w:color w:val="auto"/>
                <w:kern w:val="0"/>
                <w:sz w:val="24"/>
                <w:szCs w:val="24"/>
                <w:highlight w:val="none"/>
              </w:rPr>
              <w:fldChar w:fldCharType="separate"/>
            </w:r>
            <w:r>
              <w:rPr>
                <w:rFonts w:hint="default" w:ascii="Times New Roman" w:hAnsi="Times New Roman" w:cs="Times New Roman"/>
                <w:color w:val="auto"/>
                <w:sz w:val="24"/>
                <w:szCs w:val="24"/>
                <w:highlight w:val="none"/>
              </w:rPr>
              <w:t>⑥</w:t>
            </w:r>
            <w:r>
              <w:rPr>
                <w:rFonts w:hint="default" w:ascii="Times New Roman" w:hAnsi="Times New Roman" w:cs="Times New Roman"/>
                <w:color w:val="auto"/>
                <w:kern w:val="0"/>
                <w:sz w:val="24"/>
                <w:szCs w:val="24"/>
                <w:highlight w:val="none"/>
              </w:rPr>
              <w:fldChar w:fldCharType="end"/>
            </w:r>
            <w:r>
              <w:rPr>
                <w:rFonts w:hint="default" w:ascii="Times New Roman" w:hAnsi="Times New Roman" w:cs="Times New Roman"/>
                <w:color w:val="auto"/>
                <w:kern w:val="0"/>
                <w:sz w:val="24"/>
                <w:szCs w:val="24"/>
                <w:highlight w:val="none"/>
              </w:rPr>
              <w:t>制订</w:t>
            </w:r>
            <w:r>
              <w:rPr>
                <w:rFonts w:hint="default" w:ascii="Times New Roman" w:hAnsi="Times New Roman" w:cs="Times New Roman"/>
                <w:color w:val="auto"/>
                <w:kern w:val="0"/>
                <w:sz w:val="24"/>
                <w:szCs w:val="24"/>
                <w:highlight w:val="none"/>
                <w:lang w:val="en-US" w:eastAsia="zh-CN"/>
              </w:rPr>
              <w:t>项目</w:t>
            </w:r>
            <w:r>
              <w:rPr>
                <w:rFonts w:hint="default" w:ascii="Times New Roman" w:hAnsi="Times New Roman" w:cs="Times New Roman"/>
                <w:color w:val="auto"/>
                <w:kern w:val="0"/>
                <w:sz w:val="24"/>
                <w:szCs w:val="24"/>
                <w:highlight w:val="none"/>
              </w:rPr>
              <w:t>施工组织方案时，明确施工期施工单位的责任并落实环保措施。在同施工单位签定</w:t>
            </w:r>
            <w:r>
              <w:rPr>
                <w:rFonts w:hint="default" w:ascii="Times New Roman" w:hAnsi="Times New Roman" w:cs="Times New Roman"/>
                <w:color w:val="auto"/>
                <w:kern w:val="0"/>
                <w:sz w:val="24"/>
                <w:szCs w:val="24"/>
                <w:highlight w:val="none"/>
                <w:lang w:val="en-US" w:eastAsia="zh-CN"/>
              </w:rPr>
              <w:t>项目</w:t>
            </w:r>
            <w:r>
              <w:rPr>
                <w:rFonts w:hint="default" w:ascii="Times New Roman" w:hAnsi="Times New Roman" w:cs="Times New Roman"/>
                <w:color w:val="auto"/>
                <w:kern w:val="0"/>
                <w:sz w:val="24"/>
                <w:szCs w:val="24"/>
                <w:highlight w:val="none"/>
              </w:rPr>
              <w:t>施工承包合同时，</w:t>
            </w:r>
            <w:r>
              <w:rPr>
                <w:rFonts w:hint="default" w:ascii="Times New Roman" w:hAnsi="Times New Roman" w:cs="Times New Roman"/>
                <w:color w:val="auto"/>
                <w:sz w:val="24"/>
                <w:highlight w:val="none"/>
                <w:lang w:val="en-US" w:eastAsia="zh-CN"/>
              </w:rPr>
              <w:t>将环境保护设施纳入施工合同，保证环境保护设施建设进度和资金，并在项目建设过程中同时组织实施环境影响评价文件及其审批部门审批决定中提出的环境保护对策措施。</w:t>
            </w:r>
            <w:r>
              <w:rPr>
                <w:rFonts w:hint="default" w:ascii="Times New Roman" w:hAnsi="Times New Roman" w:cs="Times New Roman"/>
                <w:color w:val="auto"/>
                <w:kern w:val="0"/>
                <w:sz w:val="24"/>
                <w:szCs w:val="24"/>
                <w:highlight w:val="none"/>
              </w:rPr>
              <w:t>建设单位定期或不定期对施工单位环保管理情况进行督查。</w:t>
            </w:r>
          </w:p>
          <w:p w14:paraId="32EE1F23">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施工单位负责对项目资源进行合理使用和动态管理，确保施工人员能够严格执行各项环保管理制度、规定、贯彻落实各项环保政策，减少对生态环境影响。具体施工单位环境管理的职责如下：</w:t>
            </w:r>
          </w:p>
          <w:p w14:paraId="3AC4F1D7">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①施工单位应组织施工人员学习《中华人民共和国环境保护法》《中华人民共和国大气污染防治法》《中华人民共和国固体废物污染环境防治法》《中华人民共和国土壤污染防治法》</w:t>
            </w:r>
            <w:r>
              <w:rPr>
                <w:rFonts w:hint="default" w:ascii="Times New Roman" w:hAnsi="Times New Roman" w:cs="Times New Roman"/>
                <w:bCs/>
                <w:color w:val="auto"/>
                <w:sz w:val="24"/>
              </w:rPr>
              <w:t>《宁夏回族自治区大气污染防治条例》《宁夏回族自治区水污染防治条例》</w:t>
            </w: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HYPERLINK "https://www.bing.com/ck/a?!&amp;&amp;p=3a0111a54674d124JmltdHM9MTcxOTcwNTYwMCZpZ3VpZD0zN2JkNmUxYy0wYWM1LTYwNzUtMTQyZC03ZGI1MGI4NjYxYTMmaW5zaWQ9NTQ1OA&amp;ptn=3&amp;ver=2&amp;hsh=3&amp;fclid=37bd6e1c-0ac5-6075-142d-7db50b8661a3&amp;psq=%e6%b0%b4%e6%b1%a1%e6%9f%93%e9%98%b2%e6%b2%bb%e6%b3%95&amp;u=a1aHR0cHM6Ly9oYmouYW5rYW5nLmdvdi5jbi9Db250ZW50LTE4NjEwNS5odG1sIzp-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&amp;ntb=1" \t "https://cn.bing.com/_blank"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eastAsia="宋体" w:cs="Times New Roman"/>
                <w:color w:val="auto"/>
                <w:kern w:val="0"/>
                <w:sz w:val="24"/>
                <w:szCs w:val="24"/>
                <w:highlight w:val="none"/>
              </w:rPr>
              <w:t>《中华人民共和国</w:t>
            </w:r>
            <w:r>
              <w:rPr>
                <w:rFonts w:hint="default" w:ascii="Times New Roman" w:hAnsi="Times New Roman" w:eastAsia="宋体" w:cs="Times New Roman"/>
                <w:color w:val="auto"/>
                <w:kern w:val="0"/>
                <w:sz w:val="24"/>
                <w:szCs w:val="24"/>
                <w:highlight w:val="none"/>
                <w:lang w:val="en-US" w:eastAsia="zh-CN"/>
              </w:rPr>
              <w:t>自然保护区条例</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宁夏回族自治区生态环境保护条例</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《宁夏回族自治区生态保护红线管理条例》</w:t>
            </w:r>
            <w:r>
              <w:rPr>
                <w:rFonts w:hint="default" w:ascii="Times New Roman" w:hAnsi="Times New Roman" w:cs="Times New Roman"/>
                <w:color w:val="auto"/>
                <w:sz w:val="24"/>
              </w:rPr>
              <w:t>等有关环保法律法规，做到施工人员知法、懂法和守法。</w:t>
            </w:r>
          </w:p>
          <w:p w14:paraId="0107F92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sz w:val="24"/>
              </w:rPr>
              <w:t>②根据施工图环境保护专项设计和项目环境保护管理策划相关要求，编制环境保护施工方案。</w:t>
            </w:r>
            <w:r>
              <w:rPr>
                <w:rFonts w:hint="default" w:ascii="Times New Roman" w:hAnsi="Times New Roman" w:eastAsia="宋体" w:cs="Times New Roman"/>
                <w:color w:val="auto"/>
                <w:kern w:val="0"/>
                <w:sz w:val="24"/>
                <w:szCs w:val="24"/>
                <w:highlight w:val="none"/>
                <w:lang w:val="en-US" w:eastAsia="zh-CN"/>
              </w:rPr>
              <w:t>针对本项目产生的建筑垃圾编制建筑垃圾处理方案，运往政府部门指定的地点处置，并报项目所在地县级以上政府部门备案。</w:t>
            </w:r>
          </w:p>
          <w:p w14:paraId="417A3ED6">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③参加建管单位组织的环境保护培训，开展本单位内部培训（含分包单位）。在施工过程中落实各项环境保护措施，记录和统计措施相关技术数据并报监理单位。</w:t>
            </w:r>
          </w:p>
          <w:p w14:paraId="1C835278">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④参加环境保护现场检查，完成整改工作，提交整改报告。</w:t>
            </w:r>
          </w:p>
          <w:p w14:paraId="5D7B5215">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5 \* GB3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⑤</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编制环境保护施工总结。</w:t>
            </w:r>
          </w:p>
          <w:p w14:paraId="29E0F304">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6 \* GB3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⑥</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参与竣工环境保护设施验收工作。</w:t>
            </w:r>
          </w:p>
          <w:p w14:paraId="46BD23F2">
            <w:pPr>
              <w:pStyle w:val="13"/>
              <w:spacing w:after="0" w:line="360" w:lineRule="auto"/>
              <w:ind w:left="0" w:leftChars="0" w:firstLine="480" w:firstLineChars="200"/>
              <w:rPr>
                <w:rFonts w:hint="default" w:ascii="Times New Roman" w:hAnsi="Times New Roman" w:cs="Times New Roman"/>
                <w:b/>
                <w:bCs/>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7 \* GB3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⑦</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协助完成各级生态环境主管部监督检查和沟通协调工作。</w:t>
            </w:r>
          </w:p>
          <w:p w14:paraId="1CB7E116">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⑶施工期环境监测计划</w:t>
            </w:r>
          </w:p>
          <w:p w14:paraId="71A280D4">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环境监测计划的职责主要是输电线路沿线的环境现状监测，并对监测资料进行存档。具体监测计划如下：</w:t>
            </w:r>
          </w:p>
          <w:p w14:paraId="2C2137C6">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对施工单位进行环境管理、检查和监督，对施工期出现的各种环境保护问题进行纠正，记录并及时进行归档处理。</w:t>
            </w:r>
          </w:p>
          <w:p w14:paraId="63DFDD8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⑷环境保护设施竣工验收</w:t>
            </w:r>
          </w:p>
          <w:p w14:paraId="5D68D4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根据《建设项目环境保护管理条例》，</w:t>
            </w:r>
            <w:r>
              <w:rPr>
                <w:rFonts w:hint="default" w:ascii="Times New Roman" w:hAnsi="Times New Roman" w:cs="Times New Roman"/>
                <w:color w:val="auto"/>
                <w:sz w:val="24"/>
                <w:szCs w:val="24"/>
                <w:highlight w:val="none"/>
                <w:lang w:eastAsia="zh-CN"/>
              </w:rPr>
              <w:t>项目</w:t>
            </w:r>
            <w:r>
              <w:rPr>
                <w:rFonts w:hint="default" w:ascii="Times New Roman" w:hAnsi="Times New Roman" w:cs="Times New Roman"/>
                <w:color w:val="auto"/>
                <w:sz w:val="24"/>
                <w:szCs w:val="24"/>
                <w:highlight w:val="none"/>
              </w:rPr>
              <w:t>建设执行污染治理设施与主体工程同时设计、同时施工、同时投产使用的“三同时”制度。</w:t>
            </w:r>
          </w:p>
          <w:p w14:paraId="540E49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根据《中华人民共和国环境保护法》、《建设项目环境保护管理条例》、《建</w:t>
            </w:r>
          </w:p>
          <w:p w14:paraId="77BF8E6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lang w:val="en-US" w:eastAsia="zh-CN"/>
              </w:rPr>
              <w:t>设项目竣工环境保护验收暂行办法》（国环规环评〔2017</w:t>
            </w: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szCs w:val="24"/>
                <w:highlight w:val="none"/>
                <w:lang w:val="en-US" w:eastAsia="zh-CN"/>
              </w:rPr>
              <w:t>4号）及《建设项目竣工环境保护验收技术规范 输变电》（HJ705-2020），工程建设执行污染治理设施与主体工程同时设计、同时施工、同时投产使用的“三同时”制度。项目竣工后，应在3个月内按照规定程序进行竣工环境保护验收。由建设单位自行组织开展竣工环境保护验收工作，验收公示</w:t>
            </w:r>
            <w:r>
              <w:rPr>
                <w:rFonts w:hint="default" w:ascii="Times New Roman" w:hAnsi="Times New Roman" w:cs="Times New Roman"/>
                <w:color w:val="auto"/>
                <w:sz w:val="24"/>
                <w:szCs w:val="24"/>
                <w:highlight w:val="none"/>
              </w:rPr>
              <w:t>结束后，建设单位应当登录全国建设项目竣工环境保护验收信息平台，填报相关信息。做好相关信息、资料的整理、填报和归档工作。</w:t>
            </w:r>
          </w:p>
        </w:tc>
      </w:tr>
      <w:tr w14:paraId="24F30D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80" w:type="dxa"/>
            <w:noWrap w:val="0"/>
            <w:tcMar>
              <w:left w:w="28" w:type="dxa"/>
              <w:right w:w="28" w:type="dxa"/>
            </w:tcMar>
            <w:vAlign w:val="center"/>
          </w:tcPr>
          <w:p w14:paraId="3ABBCB7F">
            <w:pPr>
              <w:adjustRightInd w:val="0"/>
              <w:snapToGrid w:val="0"/>
              <w:jc w:val="center"/>
              <w:rPr>
                <w:rFonts w:hint="default" w:ascii="Times New Roman" w:hAnsi="Times New Roman" w:cs="Times New Roman"/>
                <w:bCs/>
                <w:color w:val="auto"/>
                <w:spacing w:val="10"/>
                <w:szCs w:val="21"/>
                <w:highlight w:val="none"/>
              </w:rPr>
            </w:pPr>
            <w:r>
              <w:rPr>
                <w:rFonts w:hint="default" w:ascii="Times New Roman" w:hAnsi="Times New Roman" w:cs="Times New Roman"/>
                <w:bCs/>
                <w:color w:val="auto"/>
                <w:spacing w:val="10"/>
                <w:sz w:val="24"/>
                <w:highlight w:val="none"/>
              </w:rPr>
              <w:t>运营期生态环境保护措施</w:t>
            </w:r>
          </w:p>
        </w:tc>
        <w:tc>
          <w:tcPr>
            <w:tcW w:w="8585" w:type="dxa"/>
            <w:noWrap w:val="0"/>
            <w:vAlign w:val="top"/>
          </w:tcPr>
          <w:p w14:paraId="488DF08F">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1.</w:t>
            </w:r>
            <w:r>
              <w:rPr>
                <w:rFonts w:hint="default" w:ascii="Times New Roman" w:hAnsi="Times New Roman" w:cs="Times New Roman"/>
                <w:b/>
                <w:bCs/>
                <w:color w:val="auto"/>
                <w:sz w:val="24"/>
                <w:highlight w:val="none"/>
              </w:rPr>
              <w:t>电磁环境保护措施</w:t>
            </w:r>
          </w:p>
          <w:p w14:paraId="36C45A28">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本项目在线路选址、路径规划、收资踏勘及方案比较确定时，充分听取了相关部门的意见，并取得了路径协议。输电线路</w:t>
            </w:r>
            <w:r>
              <w:rPr>
                <w:rFonts w:hint="default" w:ascii="Times New Roman" w:hAnsi="Times New Roman" w:cs="Times New Roman"/>
                <w:color w:val="auto"/>
                <w:sz w:val="24"/>
                <w:highlight w:val="none"/>
                <w:lang w:eastAsia="zh-CN"/>
              </w:rPr>
              <w:t>尽可能地</w:t>
            </w:r>
            <w:r>
              <w:rPr>
                <w:rFonts w:hint="default" w:ascii="Times New Roman" w:hAnsi="Times New Roman" w:cs="Times New Roman"/>
                <w:color w:val="auto"/>
                <w:sz w:val="24"/>
                <w:highlight w:val="none"/>
              </w:rPr>
              <w:t>避开环境敏感目标，降低工程建设对环境的影响。针对本项目电磁环境污染，本次环评建议采取以下措施：</w:t>
            </w:r>
          </w:p>
          <w:p w14:paraId="1E2D9849">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⑴输电线路设计严格执行有关设计规程、规范及环评提出的要求，采用合理的导线截面及结构，提高导线、金具加工工艺及控制导线对地距离，减少对周围电磁环境影响。</w:t>
            </w:r>
          </w:p>
          <w:p w14:paraId="6E639649">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w:t>
            </w:r>
            <w:r>
              <w:rPr>
                <w:rFonts w:hint="default" w:ascii="Times New Roman" w:hAnsi="Times New Roman" w:eastAsia="宋体" w:cs="Times New Roman"/>
                <w:color w:val="auto"/>
                <w:sz w:val="24"/>
                <w:lang w:val="en-US" w:eastAsia="zh-CN"/>
              </w:rPr>
              <w:t>初步设计文件</w:t>
            </w:r>
            <w:r>
              <w:rPr>
                <w:rFonts w:hint="default" w:ascii="Times New Roman" w:hAnsi="Times New Roman" w:cs="Times New Roman"/>
                <w:color w:val="auto"/>
                <w:sz w:val="24"/>
                <w:lang w:val="en-US" w:eastAsia="zh-CN"/>
              </w:rPr>
              <w:t>，本</w:t>
            </w:r>
            <w:r>
              <w:rPr>
                <w:rFonts w:hint="default" w:ascii="Times New Roman" w:hAnsi="Times New Roman" w:cs="Times New Roman"/>
                <w:color w:val="auto"/>
                <w:sz w:val="24"/>
              </w:rPr>
              <w:t>项目</w:t>
            </w:r>
            <w:r>
              <w:rPr>
                <w:rFonts w:hint="default" w:ascii="Times New Roman" w:hAnsi="Times New Roman" w:cs="Times New Roman"/>
                <w:color w:val="auto"/>
                <w:sz w:val="24"/>
                <w:lang w:val="en-US" w:eastAsia="zh-CN"/>
              </w:rPr>
              <w:t>单回架空线路经过居民区导线对地最低高度</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lang w:val="en-US" w:eastAsia="zh-CN"/>
              </w:rPr>
              <w:t>.6m，</w:t>
            </w:r>
            <w:bookmarkStart w:id="139" w:name="_Hlk172381385"/>
            <w:r>
              <w:rPr>
                <w:rFonts w:hint="default" w:ascii="Times New Roman" w:hAnsi="Times New Roman" w:cs="Times New Roman"/>
                <w:color w:val="auto"/>
                <w:sz w:val="24"/>
                <w:lang w:val="en-US" w:eastAsia="zh-CN"/>
              </w:rPr>
              <w:t>经过非居民区导线对地最低高度</w:t>
            </w:r>
            <w:r>
              <w:rPr>
                <w:rFonts w:hint="eastAsia" w:cs="Times New Roman"/>
                <w:color w:val="auto"/>
                <w:sz w:val="24"/>
                <w:lang w:val="en-US" w:eastAsia="zh-CN"/>
              </w:rPr>
              <w:t>12.3</w:t>
            </w:r>
            <w:r>
              <w:rPr>
                <w:rFonts w:hint="default" w:ascii="Times New Roman" w:hAnsi="Times New Roman" w:cs="Times New Roman"/>
                <w:color w:val="auto"/>
                <w:sz w:val="24"/>
                <w:lang w:val="en-US" w:eastAsia="zh-CN"/>
              </w:rPr>
              <w:t>m，</w:t>
            </w:r>
            <w:bookmarkEnd w:id="139"/>
            <w:r>
              <w:rPr>
                <w:rFonts w:hint="default" w:ascii="Times New Roman" w:hAnsi="Times New Roman" w:cs="Times New Roman"/>
                <w:color w:val="auto"/>
                <w:sz w:val="24"/>
                <w:lang w:val="en-US" w:eastAsia="zh-CN"/>
              </w:rPr>
              <w:t>云雾山330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sz w:val="24"/>
              </w:rPr>
              <w:t>变电站门架出线处</w:t>
            </w:r>
            <w:r>
              <w:rPr>
                <w:rFonts w:hint="default" w:ascii="Times New Roman" w:hAnsi="Times New Roman" w:cs="Times New Roman"/>
                <w:color w:val="auto"/>
                <w:sz w:val="24"/>
                <w:lang w:val="en-US" w:eastAsia="zh-CN"/>
              </w:rPr>
              <w:t>第一基杆塔</w:t>
            </w:r>
            <w:r>
              <w:rPr>
                <w:rFonts w:hint="default" w:ascii="Times New Roman" w:hAnsi="Times New Roman" w:cs="Times New Roman"/>
                <w:color w:val="auto"/>
                <w:sz w:val="24"/>
              </w:rPr>
              <w:t>采用双回耐张塔</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本期单</w:t>
            </w:r>
            <w:r>
              <w:rPr>
                <w:rFonts w:hint="default" w:ascii="Times New Roman" w:hAnsi="Times New Roman" w:cs="Times New Roman"/>
                <w:color w:val="auto"/>
                <w:sz w:val="24"/>
                <w:lang w:val="en-US" w:eastAsia="zh-CN"/>
              </w:rPr>
              <w:t>侧</w:t>
            </w:r>
            <w:r>
              <w:rPr>
                <w:rFonts w:hint="default" w:ascii="Times New Roman" w:hAnsi="Times New Roman" w:cs="Times New Roman"/>
                <w:color w:val="auto"/>
                <w:sz w:val="24"/>
              </w:rPr>
              <w:t>架线</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导线对地</w:t>
            </w:r>
            <w:r>
              <w:rPr>
                <w:rFonts w:hint="default" w:ascii="Times New Roman" w:hAnsi="Times New Roman" w:cs="Times New Roman"/>
                <w:color w:val="auto"/>
                <w:sz w:val="24"/>
                <w:lang w:val="en-US" w:eastAsia="zh-CN"/>
              </w:rPr>
              <w:t>最低</w:t>
            </w:r>
            <w:r>
              <w:rPr>
                <w:rFonts w:hint="default" w:ascii="Times New Roman" w:hAnsi="Times New Roman" w:cs="Times New Roman"/>
                <w:color w:val="auto"/>
                <w:sz w:val="24"/>
              </w:rPr>
              <w:t>高度</w:t>
            </w:r>
            <w:r>
              <w:rPr>
                <w:rFonts w:hint="default" w:ascii="Times New Roman" w:hAnsi="Times New Roman" w:cs="Times New Roman"/>
                <w:color w:val="auto"/>
                <w:sz w:val="24"/>
                <w:lang w:val="en-US" w:eastAsia="zh-CN"/>
              </w:rPr>
              <w:t>为</w:t>
            </w:r>
            <w:r>
              <w:rPr>
                <w:rFonts w:hint="eastAsia" w:cs="Times New Roman"/>
                <w:color w:val="auto"/>
                <w:sz w:val="24"/>
                <w:lang w:val="en-US" w:eastAsia="zh-CN"/>
              </w:rPr>
              <w:t>15.0</w:t>
            </w:r>
            <w:r>
              <w:rPr>
                <w:rFonts w:hint="default" w:ascii="Times New Roman" w:hAnsi="Times New Roman" w:cs="Times New Roman"/>
                <w:color w:val="auto"/>
                <w:sz w:val="24"/>
              </w:rPr>
              <w:t>m</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满足《110kV~750kV架空输电线路设计规范》（GB50545-2010）中“110kV输电线路，导线经过非居民区等场所时，导线对地高度不低于6.0m；经过居民区等环境敏感目标处，导线对地高度不低于7.0m”的最低允许高度。</w:t>
            </w:r>
          </w:p>
          <w:p w14:paraId="48513B00">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⑵加强输电线路监督管理，以及对运营期工频电场、工频磁场的监测工作，掌握项目产生的工频电场、工频磁场情况，及时发现问题。</w:t>
            </w:r>
          </w:p>
          <w:p w14:paraId="55E0D1EC">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⑶</w:t>
            </w:r>
            <w:r>
              <w:rPr>
                <w:rFonts w:hint="default" w:ascii="Times New Roman" w:hAnsi="Times New Roman" w:cs="Times New Roman"/>
                <w:color w:val="auto"/>
                <w:sz w:val="24"/>
                <w:highlight w:val="none"/>
                <w:lang w:val="en-US" w:eastAsia="zh-CN"/>
              </w:rPr>
              <w:t>根据</w:t>
            </w:r>
            <w:r>
              <w:rPr>
                <w:rFonts w:hint="default" w:ascii="Times New Roman" w:hAnsi="Times New Roman" w:cs="Times New Roman"/>
                <w:color w:val="auto"/>
                <w:sz w:val="24"/>
                <w:highlight w:val="none"/>
                <w:lang w:eastAsia="zh-CN"/>
              </w:rPr>
              <w:t>《电力设施保护条例》（中华人民共和国国务院令（第</w:t>
            </w:r>
            <w:r>
              <w:rPr>
                <w:rFonts w:hint="default" w:ascii="Times New Roman" w:hAnsi="Times New Roman" w:cs="Times New Roman"/>
                <w:color w:val="auto"/>
                <w:sz w:val="24"/>
                <w:highlight w:val="none"/>
                <w:lang w:val="en-US" w:eastAsia="zh-CN"/>
              </w:rPr>
              <w:t>239</w:t>
            </w:r>
            <w:r>
              <w:rPr>
                <w:rFonts w:hint="default" w:ascii="Times New Roman" w:hAnsi="Times New Roman" w:cs="Times New Roman"/>
                <w:color w:val="auto"/>
                <w:sz w:val="24"/>
                <w:highlight w:val="none"/>
                <w:lang w:eastAsia="zh-CN"/>
              </w:rPr>
              <w:t>号））</w:t>
            </w:r>
            <w:r>
              <w:rPr>
                <w:rFonts w:hint="default" w:ascii="Times New Roman" w:hAnsi="Times New Roman" w:cs="Times New Roman"/>
                <w:color w:val="auto"/>
                <w:sz w:val="24"/>
                <w:highlight w:val="none"/>
                <w:lang w:val="en-US" w:eastAsia="zh-CN"/>
              </w:rPr>
              <w:t>中</w:t>
            </w:r>
            <w:r>
              <w:rPr>
                <w:rFonts w:hint="default" w:ascii="Times New Roman" w:hAnsi="Times New Roman" w:cs="Times New Roman"/>
                <w:color w:val="auto"/>
                <w:sz w:val="24"/>
                <w:highlight w:val="none"/>
                <w:lang w:eastAsia="zh-CN"/>
              </w:rPr>
              <w:t>第十五条</w:t>
            </w:r>
            <w:r>
              <w:rPr>
                <w:rFonts w:hint="default" w:ascii="Times New Roman" w:hAnsi="Times New Roman" w:cs="Times New Roman"/>
                <w:color w:val="auto"/>
                <w:sz w:val="24"/>
                <w:highlight w:val="none"/>
                <w:lang w:val="en-US" w:eastAsia="zh-CN"/>
              </w:rPr>
              <w:t>要求：</w:t>
            </w:r>
            <w:r>
              <w:rPr>
                <w:rFonts w:hint="default" w:ascii="Times New Roman" w:hAnsi="Times New Roman" w:cs="Times New Roman"/>
                <w:color w:val="auto"/>
                <w:sz w:val="24"/>
                <w:highlight w:val="none"/>
                <w:lang w:eastAsia="zh-CN"/>
              </w:rPr>
              <w:t>任何单位或个人在架空电力线路保护区内，不得兴建建筑物、构筑物；不得种植可能危及电力设施安全的植物。</w:t>
            </w:r>
            <w:r>
              <w:rPr>
                <w:rFonts w:hint="default" w:ascii="Times New Roman" w:hAnsi="Times New Roman" w:cs="Times New Roman"/>
                <w:color w:val="auto"/>
                <w:sz w:val="24"/>
                <w:highlight w:val="none"/>
                <w:lang w:val="en-US" w:eastAsia="zh-CN"/>
              </w:rPr>
              <w:t>本项目110千伏输电线路的保护区范围为：</w:t>
            </w:r>
            <w:r>
              <w:rPr>
                <w:rFonts w:hint="default" w:ascii="Times New Roman" w:hAnsi="Times New Roman" w:cs="Times New Roman"/>
                <w:color w:val="auto"/>
                <w:sz w:val="24"/>
                <w:highlight w:val="none"/>
                <w:lang w:eastAsia="zh-CN"/>
              </w:rPr>
              <w:t>导线边线向外侧水平延伸</w:t>
            </w:r>
            <w:r>
              <w:rPr>
                <w:rFonts w:hint="default" w:ascii="Times New Roman" w:hAnsi="Times New Roman" w:cs="Times New Roman"/>
                <w:color w:val="auto"/>
                <w:sz w:val="24"/>
                <w:highlight w:val="none"/>
                <w:lang w:val="en-US" w:eastAsia="zh-CN"/>
              </w:rPr>
              <w:t>10m并垂直于地面所形成的两平行面内的区域</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建设单位应</w:t>
            </w:r>
            <w:r>
              <w:rPr>
                <w:rFonts w:hint="default" w:ascii="Times New Roman" w:hAnsi="Times New Roman" w:cs="Times New Roman"/>
                <w:color w:val="auto"/>
                <w:sz w:val="24"/>
                <w:highlight w:val="none"/>
              </w:rPr>
              <w:t>加强对项目周围居民</w:t>
            </w:r>
            <w:r>
              <w:rPr>
                <w:rFonts w:hint="default" w:ascii="Times New Roman" w:hAnsi="Times New Roman" w:cs="Times New Roman"/>
                <w:color w:val="auto"/>
                <w:sz w:val="24"/>
                <w:highlight w:val="none"/>
                <w:lang w:val="en-US" w:eastAsia="zh-CN"/>
              </w:rPr>
              <w:t>的</w:t>
            </w:r>
            <w:r>
              <w:rPr>
                <w:rFonts w:hint="default" w:ascii="Times New Roman" w:hAnsi="Times New Roman" w:cs="Times New Roman"/>
                <w:color w:val="auto"/>
                <w:sz w:val="24"/>
                <w:highlight w:val="none"/>
              </w:rPr>
              <w:t>科普宣传工作，提高居民的自我防范和公众保护电力设施的意识。</w:t>
            </w:r>
          </w:p>
          <w:p w14:paraId="0E0FB289">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⑷定期对输电线路进行巡视和环境影响监测，对于安全隐患和不利环境影响及时进行处理。架空输电线路下的耕地、园地、牧草地、畜禽饲养地、养殖水面、道路等场所，应给出警示和防护指示标志，避免意外事故发生。</w:t>
            </w:r>
          </w:p>
          <w:p w14:paraId="5A3C0EDB">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2.</w:t>
            </w:r>
            <w:r>
              <w:rPr>
                <w:rFonts w:hint="default" w:ascii="Times New Roman" w:hAnsi="Times New Roman" w:cs="Times New Roman"/>
                <w:b/>
                <w:bCs/>
                <w:color w:val="auto"/>
                <w:sz w:val="24"/>
                <w:highlight w:val="none"/>
              </w:rPr>
              <w:t>声环境保护措施</w:t>
            </w:r>
          </w:p>
          <w:p w14:paraId="396A8647">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⑴输电</w:t>
            </w:r>
            <w:r>
              <w:rPr>
                <w:rFonts w:hint="default" w:ascii="Times New Roman" w:hAnsi="Times New Roman" w:cs="Times New Roman"/>
                <w:color w:val="auto"/>
                <w:kern w:val="0"/>
                <w:sz w:val="24"/>
                <w:highlight w:val="none"/>
              </w:rPr>
              <w:t>线路合理选择导线截面和相导线结构，并通过控制导线对地高度，以降低线路的电晕可听噪声水平。</w:t>
            </w:r>
          </w:p>
          <w:p w14:paraId="319C6184">
            <w:pPr>
              <w:pStyle w:val="13"/>
              <w:spacing w:after="0" w:line="360" w:lineRule="auto"/>
              <w:ind w:left="0" w:leftChars="0"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⑵加强输电线路监督管理，以及对运营期噪声的监测工作，掌握项目产生的噪声情况，及时发现问题。</w:t>
            </w:r>
          </w:p>
          <w:p w14:paraId="4AA339CB">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3.</w:t>
            </w:r>
            <w:r>
              <w:rPr>
                <w:rFonts w:hint="default" w:ascii="Times New Roman" w:hAnsi="Times New Roman" w:cs="Times New Roman"/>
                <w:b/>
                <w:bCs/>
                <w:color w:val="auto"/>
                <w:sz w:val="24"/>
                <w:highlight w:val="none"/>
              </w:rPr>
              <w:t>水环境保护措施</w:t>
            </w:r>
          </w:p>
          <w:p w14:paraId="4FAAC980">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运营期间隔扩建工程不新增工作人员，不新增生活污水；</w:t>
            </w:r>
            <w:r>
              <w:rPr>
                <w:rFonts w:hint="default" w:ascii="Times New Roman" w:hAnsi="Times New Roman" w:cs="Times New Roman"/>
                <w:color w:val="auto"/>
                <w:sz w:val="24"/>
                <w:highlight w:val="none"/>
              </w:rPr>
              <w:t>输电线路运行期不产生废水。</w:t>
            </w:r>
          </w:p>
          <w:p w14:paraId="1EB64DD6">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eastAsia="zh-CN"/>
              </w:rPr>
              <w:t>4.</w:t>
            </w:r>
            <w:r>
              <w:rPr>
                <w:rFonts w:hint="default" w:ascii="Times New Roman" w:hAnsi="Times New Roman" w:cs="Times New Roman"/>
                <w:b/>
                <w:bCs/>
                <w:color w:val="auto"/>
                <w:sz w:val="24"/>
                <w:highlight w:val="none"/>
              </w:rPr>
              <w:t>固体废物处置措施</w:t>
            </w:r>
          </w:p>
          <w:p w14:paraId="77809F2D">
            <w:pPr>
              <w:spacing w:line="360" w:lineRule="auto"/>
              <w:ind w:firstLine="480" w:firstLineChars="200"/>
              <w:jc w:val="left"/>
              <w:rPr>
                <w:rFonts w:hint="default" w:ascii="Times New Roman" w:hAnsi="Times New Roman" w:cs="Times New Roman"/>
                <w:bCs/>
                <w:snapToGrid w:val="0"/>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运营期间隔扩建工程不新增工作人员，不新增生活垃圾；</w:t>
            </w:r>
            <w:r>
              <w:rPr>
                <w:rFonts w:hint="default" w:ascii="Times New Roman" w:hAnsi="Times New Roman" w:cs="Times New Roman"/>
                <w:color w:val="auto"/>
                <w:sz w:val="24"/>
                <w:highlight w:val="none"/>
              </w:rPr>
              <w:t>输电线路在运行期间只定期进行巡视和检修</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巡检人员所产生的垃圾很少，且严格要求其随身带走，不在当地遗留。</w:t>
            </w:r>
          </w:p>
          <w:p w14:paraId="0C1027FF">
            <w:pPr>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5.生态防护措施</w:t>
            </w:r>
          </w:p>
          <w:p w14:paraId="4E6082A8">
            <w:pPr>
              <w:pStyle w:val="14"/>
              <w:keepNext w:val="0"/>
              <w:keepLines w:val="0"/>
              <w:pageBreakBefore w:val="0"/>
              <w:widowControl w:val="0"/>
              <w:kinsoku/>
              <w:wordWrap/>
              <w:overflowPunct/>
              <w:topLinePunct w:val="0"/>
              <w:autoSpaceDE/>
              <w:autoSpaceDN/>
              <w:bidi w:val="0"/>
              <w:adjustRightInd/>
              <w:snapToGrid w:val="0"/>
              <w:spacing w:before="0" w:after="0" w:line="360" w:lineRule="auto"/>
              <w:ind w:left="0" w:leftChars="0" w:right="113"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rPr>
              <w:t>运营期</w:t>
            </w:r>
            <w:r>
              <w:rPr>
                <w:rFonts w:hint="default" w:ascii="Times New Roman" w:hAnsi="Times New Roman" w:cs="Times New Roman"/>
                <w:color w:val="auto"/>
                <w:sz w:val="24"/>
                <w:highlight w:val="none"/>
              </w:rPr>
              <w:t>线路巡检人员</w:t>
            </w:r>
            <w:r>
              <w:rPr>
                <w:rFonts w:hint="default" w:ascii="Times New Roman" w:hAnsi="Times New Roman" w:cs="Times New Roman"/>
                <w:color w:val="auto"/>
                <w:sz w:val="24"/>
                <w:highlight w:val="none"/>
                <w:lang w:eastAsia="zh-CN"/>
              </w:rPr>
              <w:t>按固定线路巡检</w:t>
            </w:r>
            <w:r>
              <w:rPr>
                <w:rFonts w:hint="default" w:ascii="Times New Roman" w:hAnsi="Times New Roman" w:cs="Times New Roman"/>
                <w:color w:val="auto"/>
                <w:sz w:val="24"/>
                <w:highlight w:val="none"/>
              </w:rPr>
              <w:t>，定期对沿线生态保护和防护措施进行检查，跟踪生态保护与恢复效果</w:t>
            </w:r>
            <w:r>
              <w:rPr>
                <w:rFonts w:hint="default" w:ascii="Times New Roman" w:hAnsi="Times New Roman" w:cs="Times New Roman"/>
                <w:color w:val="auto"/>
                <w:sz w:val="24"/>
                <w:highlight w:val="none"/>
                <w:lang w:eastAsia="zh-CN"/>
              </w:rPr>
              <w:t>。</w:t>
            </w:r>
          </w:p>
          <w:p w14:paraId="5CF9DBCE">
            <w:pPr>
              <w:numPr>
                <w:ilvl w:val="0"/>
                <w:numId w:val="0"/>
              </w:numPr>
              <w:spacing w:line="360" w:lineRule="auto"/>
              <w:ind w:leftChars="0" w:firstLine="482" w:firstLineChars="200"/>
              <w:jc w:val="left"/>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6.对生态红线的生态保护措施</w:t>
            </w:r>
          </w:p>
          <w:p w14:paraId="0D93AC92">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val="en-US" w:eastAsia="zh-CN"/>
              </w:rPr>
              <w:t>项目</w:t>
            </w:r>
            <w:r>
              <w:rPr>
                <w:rFonts w:hint="default" w:ascii="Times New Roman" w:hAnsi="Times New Roman" w:eastAsia="宋体" w:cs="Times New Roman"/>
                <w:color w:val="auto"/>
                <w:sz w:val="24"/>
                <w:highlight w:val="none"/>
              </w:rPr>
              <w:t>所在区域的环境特点，在运维过程中应关注生态管理：</w:t>
            </w:r>
          </w:p>
          <w:p w14:paraId="28F937B5">
            <w:pPr>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rPr>
              <w:t>⑴</w:t>
            </w:r>
            <w:r>
              <w:rPr>
                <w:rFonts w:hint="default" w:ascii="Times New Roman" w:hAnsi="Times New Roman" w:eastAsia="宋体" w:cs="Times New Roman"/>
                <w:color w:val="auto"/>
                <w:sz w:val="24"/>
                <w:highlight w:val="none"/>
              </w:rPr>
              <w:t>不定期地巡查线路各段，制定合理的巡护路线，保护生态环境不被破坏，保证生态保护与工程运行相协调</w:t>
            </w:r>
            <w:r>
              <w:rPr>
                <w:rFonts w:hint="default" w:ascii="Times New Roman" w:hAnsi="Times New Roman" w:eastAsia="宋体" w:cs="Times New Roman"/>
                <w:color w:val="auto"/>
                <w:sz w:val="24"/>
                <w:highlight w:val="none"/>
                <w:lang w:eastAsia="zh-CN"/>
              </w:rPr>
              <w:t>。</w:t>
            </w:r>
          </w:p>
          <w:p w14:paraId="7CF5197C">
            <w:pPr>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rPr>
              <w:t>⑵</w:t>
            </w:r>
            <w:r>
              <w:rPr>
                <w:rFonts w:hint="default" w:ascii="Times New Roman" w:hAnsi="Times New Roman" w:eastAsia="宋体" w:cs="Times New Roman"/>
                <w:color w:val="auto"/>
                <w:sz w:val="24"/>
                <w:highlight w:val="none"/>
              </w:rPr>
              <w:t>配合生态环境</w:t>
            </w:r>
            <w:r>
              <w:rPr>
                <w:rFonts w:hint="default" w:ascii="Times New Roman" w:hAnsi="Times New Roman" w:eastAsia="宋体" w:cs="Times New Roman"/>
                <w:color w:val="auto"/>
                <w:sz w:val="24"/>
                <w:highlight w:val="none"/>
                <w:lang w:eastAsia="zh-CN"/>
              </w:rPr>
              <w:t>主管</w:t>
            </w:r>
            <w:r>
              <w:rPr>
                <w:rFonts w:hint="default" w:ascii="Times New Roman" w:hAnsi="Times New Roman" w:eastAsia="宋体" w:cs="Times New Roman"/>
                <w:color w:val="auto"/>
                <w:sz w:val="24"/>
                <w:highlight w:val="none"/>
              </w:rPr>
              <w:t>部门进行环境调查，生态调查等活动</w:t>
            </w:r>
            <w:r>
              <w:rPr>
                <w:rFonts w:hint="default" w:ascii="Times New Roman" w:hAnsi="Times New Roman" w:eastAsia="宋体" w:cs="Times New Roman"/>
                <w:color w:val="auto"/>
                <w:sz w:val="24"/>
                <w:highlight w:val="none"/>
                <w:lang w:eastAsia="zh-CN"/>
              </w:rPr>
              <w:t>。</w:t>
            </w:r>
          </w:p>
          <w:p w14:paraId="1B53E1B2">
            <w:pPr>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rPr>
              <w:t>⑶</w:t>
            </w:r>
            <w:r>
              <w:rPr>
                <w:rFonts w:hint="default" w:ascii="Times New Roman" w:hAnsi="Times New Roman" w:eastAsia="宋体" w:cs="Times New Roman"/>
                <w:color w:val="auto"/>
                <w:sz w:val="24"/>
                <w:highlight w:val="none"/>
              </w:rPr>
              <w:t>加强巡护人员生态保护意识，制定适当的奖惩制度，杜绝肆意破坏区域内的生态环境</w:t>
            </w:r>
            <w:r>
              <w:rPr>
                <w:rFonts w:hint="default" w:ascii="Times New Roman" w:hAnsi="Times New Roman" w:eastAsia="宋体" w:cs="Times New Roman"/>
                <w:color w:val="auto"/>
                <w:sz w:val="24"/>
                <w:highlight w:val="none"/>
                <w:lang w:eastAsia="zh-CN"/>
              </w:rPr>
              <w:t>。</w:t>
            </w:r>
          </w:p>
          <w:p w14:paraId="3840D1F2">
            <w:pPr>
              <w:spacing w:line="360" w:lineRule="auto"/>
              <w:ind w:firstLine="480" w:firstLineChars="200"/>
              <w:jc w:val="left"/>
              <w:rPr>
                <w:rFonts w:hint="default" w:ascii="Times New Roman" w:hAnsi="Times New Roman" w:cs="Times New Roman"/>
                <w:b/>
                <w:bCs/>
                <w:color w:val="auto"/>
                <w:sz w:val="24"/>
                <w:highlight w:val="none"/>
                <w:lang w:val="en-US" w:eastAsia="zh-CN"/>
              </w:rPr>
            </w:pPr>
            <w:r>
              <w:rPr>
                <w:rFonts w:hint="default" w:ascii="Times New Roman" w:hAnsi="Times New Roman" w:cs="Times New Roman"/>
                <w:color w:val="auto"/>
                <w:sz w:val="24"/>
              </w:rPr>
              <w:t>⑷</w:t>
            </w:r>
            <w:r>
              <w:rPr>
                <w:rFonts w:hint="default" w:ascii="Times New Roman" w:hAnsi="Times New Roman" w:eastAsia="宋体" w:cs="Times New Roman"/>
                <w:color w:val="auto"/>
                <w:sz w:val="24"/>
                <w:highlight w:val="none"/>
              </w:rPr>
              <w:t>加强线路巡护，及时进行维修，杜绝安全隐患，以防电力事故的发生导致当地生态环境遭到严重破坏；运行期线路维护产生的废弃物，应及时处理，避免生态环境的破坏。</w:t>
            </w:r>
          </w:p>
          <w:p w14:paraId="4E6F76FF">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7</w:t>
            </w: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rPr>
              <w:t>运行期环境管理</w:t>
            </w:r>
          </w:p>
          <w:p w14:paraId="6B2B51C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⑴运行期环境管理</w:t>
            </w:r>
          </w:p>
          <w:p w14:paraId="75AAFBEF">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运行单位须</w:t>
            </w:r>
            <w:r>
              <w:rPr>
                <w:rFonts w:hint="default" w:ascii="Times New Roman" w:hAnsi="Times New Roman" w:cs="Times New Roman"/>
                <w:color w:val="auto"/>
                <w:sz w:val="24"/>
                <w:highlight w:val="none"/>
                <w:lang w:eastAsia="zh-CN"/>
              </w:rPr>
              <w:t>设立</w:t>
            </w:r>
            <w:r>
              <w:rPr>
                <w:rFonts w:hint="default" w:ascii="Times New Roman" w:hAnsi="Times New Roman" w:cs="Times New Roman"/>
                <w:color w:val="auto"/>
                <w:sz w:val="24"/>
                <w:highlight w:val="none"/>
              </w:rPr>
              <w:t>环境管理部门，配备相应的环境管理人员以不少于1人为宜，环境管理人员应在各自的岗位责任制中明确所负的环保责任。监督国家法规、条例的贯彻执行情况，</w:t>
            </w:r>
            <w:r>
              <w:rPr>
                <w:rFonts w:hint="default" w:ascii="Times New Roman" w:hAnsi="Times New Roman" w:cs="Times New Roman"/>
                <w:color w:val="auto"/>
                <w:sz w:val="24"/>
                <w:highlight w:val="none"/>
                <w:lang w:eastAsia="zh-CN"/>
              </w:rPr>
              <w:t>制定</w:t>
            </w:r>
            <w:r>
              <w:rPr>
                <w:rFonts w:hint="default" w:ascii="Times New Roman" w:hAnsi="Times New Roman" w:cs="Times New Roman"/>
                <w:color w:val="auto"/>
                <w:sz w:val="24"/>
                <w:highlight w:val="none"/>
              </w:rPr>
              <w:t>和贯彻环保管理制度，监控本项目主要污染源，对各部门、操作岗位进行环境保护监督和管理。</w:t>
            </w:r>
          </w:p>
          <w:p w14:paraId="53DE756D">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①制定和实施各项环境管理计划。</w:t>
            </w:r>
          </w:p>
          <w:p w14:paraId="62A95329">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②建立工频电场、工频磁场及噪声环境监测。</w:t>
            </w:r>
          </w:p>
          <w:p w14:paraId="7A67EBE3">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③不定期地巡查线路，掌握项目所在地评价范围内的环境敏感目标变化情况，</w:t>
            </w:r>
            <w:r>
              <w:rPr>
                <w:rFonts w:hint="default" w:ascii="Times New Roman" w:hAnsi="Times New Roman" w:cs="Times New Roman"/>
                <w:color w:val="auto"/>
                <w:sz w:val="24"/>
              </w:rPr>
              <w:t>开展生态环境恢复监测，</w:t>
            </w:r>
            <w:r>
              <w:rPr>
                <w:rFonts w:hint="default" w:ascii="Times New Roman" w:hAnsi="Times New Roman" w:cs="Times New Roman"/>
                <w:color w:val="auto"/>
                <w:sz w:val="24"/>
                <w:highlight w:val="none"/>
              </w:rPr>
              <w:t>确保生态环境不被破坏，保证保护生态环境与项目运行相协调。</w:t>
            </w:r>
          </w:p>
          <w:p w14:paraId="4645DF0C">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④检查环境保护设施运行情况，及时处理出现的问题，保证环保设施正常运行。</w:t>
            </w:r>
          </w:p>
          <w:p w14:paraId="305D46EE">
            <w:pPr>
              <w:pStyle w:val="13"/>
              <w:spacing w:after="0" w:line="360" w:lineRule="auto"/>
              <w:ind w:left="0" w:lef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⑤协调配合生态环境保护部门组织的监督检查，并组织整改发现的问题。</w:t>
            </w:r>
          </w:p>
          <w:p w14:paraId="1E68F3CA">
            <w:pPr>
              <w:pStyle w:val="13"/>
              <w:spacing w:after="0" w:line="360" w:lineRule="auto"/>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⑵运行期环境监测计划</w:t>
            </w:r>
          </w:p>
          <w:p w14:paraId="56BF1A5C">
            <w:pPr>
              <w:pStyle w:val="6"/>
              <w:spacing w:line="360" w:lineRule="auto"/>
              <w:ind w:firstLine="528"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运行期环境监测计划见表5-1。</w:t>
            </w:r>
          </w:p>
          <w:p w14:paraId="2FDE1E74">
            <w:pPr>
              <w:spacing w:line="240" w:lineRule="auto"/>
              <w:jc w:val="center"/>
              <w:rPr>
                <w:rFonts w:hint="default" w:ascii="Times New Roman" w:hAnsi="Times New Roman" w:eastAsia="黑体" w:cs="Times New Roman"/>
                <w:b/>
                <w:bCs/>
                <w:color w:val="auto"/>
                <w:sz w:val="24"/>
                <w:highlight w:val="none"/>
              </w:rPr>
            </w:pPr>
            <w:r>
              <w:rPr>
                <w:rFonts w:hint="default" w:ascii="Times New Roman" w:hAnsi="Times New Roman" w:eastAsia="黑体" w:cs="Times New Roman"/>
                <w:b/>
                <w:bCs/>
                <w:color w:val="auto"/>
                <w:sz w:val="24"/>
                <w:highlight w:val="none"/>
              </w:rPr>
              <w:t>表5-1  运行期环境监测计划一览表</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099"/>
              <w:gridCol w:w="1216"/>
              <w:gridCol w:w="5222"/>
            </w:tblGrid>
            <w:tr w14:paraId="220DB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83" w:type="dxa"/>
                  <w:noWrap w:val="0"/>
                  <w:vAlign w:val="center"/>
                </w:tcPr>
                <w:p w14:paraId="04E03A98">
                  <w:pPr>
                    <w:pStyle w:val="13"/>
                    <w:adjustRightInd w:val="0"/>
                    <w:snapToGrid w:val="0"/>
                    <w:spacing w:after="0"/>
                    <w:ind w:left="0" w:leftChars="0" w:firstLine="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序号</w:t>
                  </w:r>
                </w:p>
              </w:tc>
              <w:tc>
                <w:tcPr>
                  <w:tcW w:w="1099" w:type="dxa"/>
                  <w:noWrap w:val="0"/>
                  <w:vAlign w:val="center"/>
                </w:tcPr>
                <w:p w14:paraId="5EF7C8DE">
                  <w:pPr>
                    <w:pStyle w:val="13"/>
                    <w:adjustRightInd w:val="0"/>
                    <w:snapToGrid w:val="0"/>
                    <w:spacing w:after="0"/>
                    <w:ind w:left="0" w:leftChars="0" w:firstLine="0"/>
                    <w:jc w:val="center"/>
                    <w:rPr>
                      <w:rFonts w:hint="default" w:ascii="Times New Roman" w:hAnsi="Times New Roman" w:eastAsia="宋体"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监测因子</w:t>
                  </w:r>
                </w:p>
              </w:tc>
              <w:tc>
                <w:tcPr>
                  <w:tcW w:w="1216" w:type="dxa"/>
                  <w:noWrap w:val="0"/>
                  <w:vAlign w:val="center"/>
                </w:tcPr>
                <w:p w14:paraId="2C84EE9A">
                  <w:pPr>
                    <w:pStyle w:val="13"/>
                    <w:adjustRightInd w:val="0"/>
                    <w:snapToGrid w:val="0"/>
                    <w:spacing w:after="0"/>
                    <w:ind w:left="0" w:leftChars="0" w:firstLine="0"/>
                    <w:jc w:val="center"/>
                    <w:rPr>
                      <w:rFonts w:hint="default" w:ascii="Times New Roman" w:hAnsi="Times New Roman" w:eastAsia="宋体" w:cs="Times New Roman"/>
                      <w:b/>
                      <w:bCs w:val="0"/>
                      <w:color w:val="auto"/>
                      <w:szCs w:val="21"/>
                      <w:highlight w:val="none"/>
                      <w:lang w:eastAsia="zh-CN"/>
                    </w:rPr>
                  </w:pPr>
                  <w:r>
                    <w:rPr>
                      <w:rFonts w:hint="default" w:ascii="Times New Roman" w:hAnsi="Times New Roman" w:cs="Times New Roman"/>
                      <w:b/>
                      <w:bCs w:val="0"/>
                      <w:color w:val="auto"/>
                      <w:szCs w:val="21"/>
                      <w:highlight w:val="none"/>
                      <w:lang w:val="en-US" w:eastAsia="zh-CN"/>
                    </w:rPr>
                    <w:t>项目</w:t>
                  </w:r>
                </w:p>
              </w:tc>
              <w:tc>
                <w:tcPr>
                  <w:tcW w:w="5222" w:type="dxa"/>
                  <w:noWrap w:val="0"/>
                  <w:vAlign w:val="center"/>
                </w:tcPr>
                <w:p w14:paraId="5C8A7AAF">
                  <w:pPr>
                    <w:pStyle w:val="13"/>
                    <w:adjustRightInd w:val="0"/>
                    <w:snapToGrid w:val="0"/>
                    <w:spacing w:after="0"/>
                    <w:ind w:left="0" w:leftChars="0" w:firstLine="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内容</w:t>
                  </w:r>
                </w:p>
              </w:tc>
            </w:tr>
            <w:tr w14:paraId="2629B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83" w:type="dxa"/>
                  <w:vMerge w:val="restart"/>
                  <w:noWrap w:val="0"/>
                  <w:vAlign w:val="center"/>
                </w:tcPr>
                <w:p w14:paraId="09CEB53D">
                  <w:pPr>
                    <w:pStyle w:val="13"/>
                    <w:adjustRightInd w:val="0"/>
                    <w:snapToGrid w:val="0"/>
                    <w:spacing w:after="0"/>
                    <w:ind w:left="0" w:leftChars="0" w:firstLine="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w:t>
                  </w:r>
                </w:p>
              </w:tc>
              <w:tc>
                <w:tcPr>
                  <w:tcW w:w="1099" w:type="dxa"/>
                  <w:vMerge w:val="restart"/>
                  <w:noWrap w:val="0"/>
                  <w:vAlign w:val="center"/>
                </w:tcPr>
                <w:p w14:paraId="3F1A7A9D">
                  <w:pPr>
                    <w:pStyle w:val="13"/>
                    <w:adjustRightInd w:val="0"/>
                    <w:snapToGrid w:val="0"/>
                    <w:spacing w:after="0"/>
                    <w:ind w:left="0" w:leftChars="0" w:firstLine="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工频电场</w:t>
                  </w:r>
                </w:p>
                <w:p w14:paraId="747CBE2A">
                  <w:pPr>
                    <w:pStyle w:val="13"/>
                    <w:adjustRightInd w:val="0"/>
                    <w:snapToGrid w:val="0"/>
                    <w:spacing w:after="0"/>
                    <w:ind w:left="0" w:leftChars="0" w:firstLine="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工频磁场</w:t>
                  </w:r>
                </w:p>
              </w:tc>
              <w:tc>
                <w:tcPr>
                  <w:tcW w:w="1216" w:type="dxa"/>
                  <w:noWrap w:val="0"/>
                  <w:vAlign w:val="center"/>
                </w:tcPr>
                <w:p w14:paraId="2C4FDCB7">
                  <w:pPr>
                    <w:pStyle w:val="13"/>
                    <w:adjustRightInd w:val="0"/>
                    <w:snapToGrid w:val="0"/>
                    <w:spacing w:after="0"/>
                    <w:ind w:left="0" w:leftChars="0" w:firstLine="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监测方法</w:t>
                  </w:r>
                </w:p>
              </w:tc>
              <w:tc>
                <w:tcPr>
                  <w:tcW w:w="5222" w:type="dxa"/>
                  <w:noWrap w:val="0"/>
                  <w:vAlign w:val="center"/>
                </w:tcPr>
                <w:p w14:paraId="20B1727C">
                  <w:pPr>
                    <w:pStyle w:val="13"/>
                    <w:adjustRightInd w:val="0"/>
                    <w:snapToGrid w:val="0"/>
                    <w:spacing w:after="0"/>
                    <w:ind w:left="0" w:leftChars="0" w:firstLine="0"/>
                    <w:jc w:val="both"/>
                    <w:rPr>
                      <w:rFonts w:hint="default" w:ascii="Times New Roman" w:hAnsi="Times New Roman" w:eastAsia="宋体" w:cs="Times New Roman"/>
                      <w:bCs/>
                      <w:color w:val="auto"/>
                      <w:szCs w:val="21"/>
                      <w:highlight w:val="none"/>
                      <w:lang w:eastAsia="zh-CN"/>
                    </w:rPr>
                  </w:pPr>
                  <w:r>
                    <w:rPr>
                      <w:rFonts w:hint="default" w:ascii="Times New Roman" w:hAnsi="Times New Roman" w:cs="Times New Roman"/>
                      <w:bCs/>
                      <w:color w:val="auto"/>
                      <w:szCs w:val="21"/>
                      <w:highlight w:val="none"/>
                    </w:rPr>
                    <w:t>《交流输变电工程电磁环境检测方法</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试行</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》（HJ681-2013）</w:t>
                  </w:r>
                  <w:r>
                    <w:rPr>
                      <w:rFonts w:hint="default" w:ascii="Times New Roman" w:hAnsi="Times New Roman" w:cs="Times New Roman"/>
                      <w:bCs/>
                      <w:color w:val="auto"/>
                      <w:szCs w:val="21"/>
                      <w:highlight w:val="none"/>
                      <w:lang w:eastAsia="zh-CN"/>
                    </w:rPr>
                    <w:t>。</w:t>
                  </w:r>
                </w:p>
              </w:tc>
            </w:tr>
            <w:tr w14:paraId="7C50C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83" w:type="dxa"/>
                  <w:vMerge w:val="continue"/>
                  <w:noWrap w:val="0"/>
                  <w:vAlign w:val="center"/>
                </w:tcPr>
                <w:p w14:paraId="4927F2F6">
                  <w:pPr>
                    <w:pStyle w:val="13"/>
                    <w:adjustRightInd w:val="0"/>
                    <w:snapToGrid w:val="0"/>
                    <w:spacing w:after="0"/>
                    <w:ind w:left="0" w:leftChars="0" w:firstLine="0"/>
                    <w:jc w:val="center"/>
                    <w:rPr>
                      <w:rFonts w:hint="default" w:ascii="Times New Roman" w:hAnsi="Times New Roman" w:cs="Times New Roman"/>
                      <w:color w:val="auto"/>
                      <w:highlight w:val="none"/>
                    </w:rPr>
                  </w:pPr>
                </w:p>
              </w:tc>
              <w:tc>
                <w:tcPr>
                  <w:tcW w:w="1099" w:type="dxa"/>
                  <w:vMerge w:val="continue"/>
                  <w:noWrap w:val="0"/>
                  <w:vAlign w:val="center"/>
                </w:tcPr>
                <w:p w14:paraId="771E957C">
                  <w:pPr>
                    <w:pStyle w:val="13"/>
                    <w:adjustRightInd w:val="0"/>
                    <w:snapToGrid w:val="0"/>
                    <w:spacing w:after="0"/>
                    <w:ind w:left="0" w:leftChars="0" w:firstLine="0"/>
                    <w:jc w:val="center"/>
                    <w:rPr>
                      <w:rFonts w:hint="default" w:ascii="Times New Roman" w:hAnsi="Times New Roman" w:cs="Times New Roman"/>
                      <w:color w:val="auto"/>
                      <w:highlight w:val="none"/>
                    </w:rPr>
                  </w:pPr>
                </w:p>
              </w:tc>
              <w:tc>
                <w:tcPr>
                  <w:tcW w:w="1216" w:type="dxa"/>
                  <w:noWrap w:val="0"/>
                  <w:vAlign w:val="center"/>
                </w:tcPr>
                <w:p w14:paraId="05E1454D">
                  <w:pPr>
                    <w:pStyle w:val="13"/>
                    <w:adjustRightInd w:val="0"/>
                    <w:snapToGrid w:val="0"/>
                    <w:spacing w:after="0"/>
                    <w:ind w:left="0" w:leftChars="0" w:firstLine="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监测频次和时间</w:t>
                  </w:r>
                </w:p>
              </w:tc>
              <w:tc>
                <w:tcPr>
                  <w:tcW w:w="5222" w:type="dxa"/>
                  <w:noWrap w:val="0"/>
                  <w:vAlign w:val="center"/>
                </w:tcPr>
                <w:p w14:paraId="4D9608B4">
                  <w:pPr>
                    <w:pStyle w:val="13"/>
                    <w:adjustRightInd w:val="0"/>
                    <w:snapToGrid w:val="0"/>
                    <w:spacing w:after="0"/>
                    <w:ind w:left="0" w:leftChars="0" w:firstLine="0"/>
                    <w:jc w:val="both"/>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竣工验收监测一次；</w:t>
                  </w:r>
                  <w:r>
                    <w:rPr>
                      <w:rFonts w:hint="eastAsia" w:ascii="Times New Roman" w:hAnsi="Times New Roman" w:cs="Times New Roman"/>
                      <w:color w:val="auto"/>
                      <w:sz w:val="21"/>
                      <w:szCs w:val="21"/>
                      <w:lang w:val="en-US" w:eastAsia="zh-CN"/>
                    </w:rPr>
                    <w:t>定期</w:t>
                  </w:r>
                  <w:r>
                    <w:rPr>
                      <w:rFonts w:hint="default" w:ascii="Times New Roman" w:hAnsi="Times New Roman" w:cs="Times New Roman"/>
                      <w:bCs/>
                      <w:color w:val="auto"/>
                      <w:szCs w:val="21"/>
                      <w:highlight w:val="none"/>
                    </w:rPr>
                    <w:t>监测</w:t>
                  </w:r>
                  <w:r>
                    <w:rPr>
                      <w:rFonts w:hint="eastAsia" w:ascii="Times New Roman" w:hAnsi="Times New Roman" w:cs="Times New Roman"/>
                      <w:color w:val="auto"/>
                      <w:sz w:val="21"/>
                      <w:szCs w:val="21"/>
                      <w:lang w:val="en-US" w:eastAsia="zh-CN"/>
                    </w:rPr>
                    <w:t>并纳入前期</w:t>
                  </w:r>
                  <w:r>
                    <w:rPr>
                      <w:rFonts w:hint="eastAsia" w:cs="Times New Roman"/>
                      <w:bCs/>
                      <w:color w:val="auto"/>
                      <w:szCs w:val="21"/>
                      <w:highlight w:val="none"/>
                      <w:lang w:eastAsia="zh-CN"/>
                    </w:rPr>
                    <w:t>；</w:t>
                  </w:r>
                  <w:r>
                    <w:rPr>
                      <w:rFonts w:hint="default" w:ascii="Times New Roman" w:hAnsi="Times New Roman" w:cs="Times New Roman"/>
                      <w:bCs/>
                      <w:color w:val="auto"/>
                      <w:szCs w:val="21"/>
                      <w:highlight w:val="none"/>
                    </w:rPr>
                    <w:t>有投诉纠纷时应及时</w:t>
                  </w:r>
                  <w:r>
                    <w:rPr>
                      <w:rFonts w:hint="default" w:ascii="Times New Roman" w:hAnsi="Times New Roman" w:cs="Times New Roman"/>
                      <w:bCs/>
                      <w:color w:val="auto"/>
                      <w:szCs w:val="21"/>
                      <w:highlight w:val="none"/>
                      <w:lang w:val="en-US" w:eastAsia="zh-CN"/>
                    </w:rPr>
                    <w:t>对环境敏感目标</w:t>
                  </w:r>
                  <w:r>
                    <w:rPr>
                      <w:rFonts w:hint="default" w:ascii="Times New Roman" w:hAnsi="Times New Roman" w:cs="Times New Roman"/>
                      <w:bCs/>
                      <w:color w:val="auto"/>
                      <w:szCs w:val="21"/>
                      <w:highlight w:val="none"/>
                    </w:rPr>
                    <w:t>进行监测。</w:t>
                  </w:r>
                </w:p>
              </w:tc>
            </w:tr>
            <w:tr w14:paraId="403A0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83" w:type="dxa"/>
                  <w:vMerge w:val="restart"/>
                  <w:noWrap w:val="0"/>
                  <w:vAlign w:val="center"/>
                </w:tcPr>
                <w:p w14:paraId="66E5633B">
                  <w:pPr>
                    <w:pStyle w:val="13"/>
                    <w:adjustRightInd w:val="0"/>
                    <w:snapToGrid w:val="0"/>
                    <w:spacing w:after="0"/>
                    <w:ind w:left="0" w:leftChars="0" w:firstLine="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w:t>
                  </w:r>
                </w:p>
              </w:tc>
              <w:tc>
                <w:tcPr>
                  <w:tcW w:w="1099" w:type="dxa"/>
                  <w:vMerge w:val="restart"/>
                  <w:noWrap w:val="0"/>
                  <w:vAlign w:val="center"/>
                </w:tcPr>
                <w:p w14:paraId="1880E1EF">
                  <w:pPr>
                    <w:pStyle w:val="13"/>
                    <w:adjustRightInd w:val="0"/>
                    <w:snapToGrid w:val="0"/>
                    <w:spacing w:after="0"/>
                    <w:ind w:left="0" w:leftChars="0" w:firstLine="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噪声</w:t>
                  </w:r>
                </w:p>
              </w:tc>
              <w:tc>
                <w:tcPr>
                  <w:tcW w:w="1216" w:type="dxa"/>
                  <w:noWrap w:val="0"/>
                  <w:vAlign w:val="center"/>
                </w:tcPr>
                <w:p w14:paraId="59E2F980">
                  <w:pPr>
                    <w:pStyle w:val="13"/>
                    <w:adjustRightInd w:val="0"/>
                    <w:snapToGrid w:val="0"/>
                    <w:spacing w:after="0"/>
                    <w:ind w:left="0" w:leftChars="0" w:firstLine="0"/>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监测方法</w:t>
                  </w:r>
                </w:p>
              </w:tc>
              <w:tc>
                <w:tcPr>
                  <w:tcW w:w="5222" w:type="dxa"/>
                  <w:noWrap w:val="0"/>
                  <w:vAlign w:val="center"/>
                </w:tcPr>
                <w:p w14:paraId="766CACD2">
                  <w:pPr>
                    <w:pStyle w:val="13"/>
                    <w:adjustRightInd w:val="0"/>
                    <w:snapToGrid w:val="0"/>
                    <w:spacing w:after="0"/>
                    <w:ind w:left="0" w:leftChars="0" w:firstLine="0"/>
                    <w:jc w:val="both"/>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eastAsia="zh-CN"/>
                    </w:rPr>
                    <w:t>《工业企业厂界环境噪声排放标准》（GB12348-2008）</w:t>
                  </w:r>
                  <w:r>
                    <w:rPr>
                      <w:rFonts w:hint="default" w:ascii="Times New Roman" w:hAnsi="Times New Roman" w:cs="Times New Roman"/>
                      <w:bCs/>
                      <w:color w:val="auto"/>
                      <w:szCs w:val="21"/>
                      <w:highlight w:val="none"/>
                    </w:rPr>
                    <w:t>《声环境质量标准》</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GB3096-2008</w:t>
                  </w:r>
                  <w:r>
                    <w:rPr>
                      <w:rFonts w:hint="default" w:ascii="Times New Roman" w:hAnsi="Times New Roman" w:cs="Times New Roman"/>
                      <w:bCs/>
                      <w:color w:val="auto"/>
                      <w:szCs w:val="21"/>
                      <w:highlight w:val="none"/>
                      <w:lang w:eastAsia="zh-CN"/>
                    </w:rPr>
                    <w:t>）。</w:t>
                  </w:r>
                </w:p>
              </w:tc>
            </w:tr>
            <w:tr w14:paraId="084B5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83" w:type="dxa"/>
                  <w:vMerge w:val="continue"/>
                  <w:noWrap w:val="0"/>
                  <w:vAlign w:val="center"/>
                </w:tcPr>
                <w:p w14:paraId="7F9F7712">
                  <w:pPr>
                    <w:pStyle w:val="13"/>
                    <w:adjustRightInd w:val="0"/>
                    <w:snapToGrid w:val="0"/>
                    <w:spacing w:after="0"/>
                    <w:ind w:left="0" w:leftChars="0" w:firstLine="0"/>
                    <w:jc w:val="center"/>
                    <w:rPr>
                      <w:rFonts w:hint="default" w:ascii="Times New Roman" w:hAnsi="Times New Roman" w:cs="Times New Roman"/>
                      <w:color w:val="auto"/>
                      <w:highlight w:val="none"/>
                    </w:rPr>
                  </w:pPr>
                </w:p>
              </w:tc>
              <w:tc>
                <w:tcPr>
                  <w:tcW w:w="1099" w:type="dxa"/>
                  <w:vMerge w:val="continue"/>
                  <w:noWrap w:val="0"/>
                  <w:vAlign w:val="center"/>
                </w:tcPr>
                <w:p w14:paraId="6483EC36">
                  <w:pPr>
                    <w:pStyle w:val="13"/>
                    <w:adjustRightInd w:val="0"/>
                    <w:snapToGrid w:val="0"/>
                    <w:spacing w:after="0"/>
                    <w:ind w:left="0" w:leftChars="0" w:firstLine="0"/>
                    <w:jc w:val="center"/>
                    <w:rPr>
                      <w:rFonts w:hint="default" w:ascii="Times New Roman" w:hAnsi="Times New Roman" w:cs="Times New Roman"/>
                      <w:color w:val="auto"/>
                      <w:highlight w:val="none"/>
                    </w:rPr>
                  </w:pPr>
                </w:p>
              </w:tc>
              <w:tc>
                <w:tcPr>
                  <w:tcW w:w="1216" w:type="dxa"/>
                  <w:noWrap w:val="0"/>
                  <w:vAlign w:val="center"/>
                </w:tcPr>
                <w:p w14:paraId="25BC5BA5">
                  <w:pPr>
                    <w:pStyle w:val="13"/>
                    <w:adjustRightInd w:val="0"/>
                    <w:snapToGrid w:val="0"/>
                    <w:spacing w:after="0"/>
                    <w:ind w:left="0" w:leftChars="0" w:firstLine="0"/>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szCs w:val="21"/>
                      <w:highlight w:val="none"/>
                    </w:rPr>
                    <w:t>监测频次和时间</w:t>
                  </w:r>
                </w:p>
              </w:tc>
              <w:tc>
                <w:tcPr>
                  <w:tcW w:w="5222" w:type="dxa"/>
                  <w:noWrap w:val="0"/>
                  <w:vAlign w:val="center"/>
                </w:tcPr>
                <w:p w14:paraId="086FBB04">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both"/>
                    <w:textAlignment w:val="auto"/>
                    <w:rPr>
                      <w:rFonts w:hint="default" w:ascii="Times New Roman" w:hAnsi="Times New Roman" w:cs="Times New Roman"/>
                      <w:bCs/>
                      <w:color w:val="auto"/>
                      <w:kern w:val="0"/>
                      <w:szCs w:val="21"/>
                      <w:highlight w:val="none"/>
                    </w:rPr>
                  </w:pPr>
                  <w:r>
                    <w:rPr>
                      <w:rFonts w:hint="default" w:ascii="Times New Roman" w:hAnsi="Times New Roman" w:eastAsia="宋体" w:cs="Times New Roman"/>
                      <w:b w:val="0"/>
                      <w:bCs/>
                      <w:caps w:val="0"/>
                      <w:color w:val="auto"/>
                      <w:spacing w:val="0"/>
                      <w:w w:val="100"/>
                      <w:kern w:val="0"/>
                      <w:sz w:val="21"/>
                      <w:szCs w:val="21"/>
                      <w:highlight w:val="none"/>
                      <w:lang w:val="en-US" w:eastAsia="zh-CN" w:bidi="ar-SA"/>
                    </w:rPr>
                    <w:t>竣工验收监测一次</w:t>
                  </w:r>
                  <w:r>
                    <w:rPr>
                      <w:rFonts w:hint="default" w:ascii="Times New Roman" w:hAnsi="Times New Roman" w:cs="Times New Roman"/>
                      <w:color w:val="auto"/>
                      <w:highlight w:val="none"/>
                      <w:lang w:eastAsia="zh-CN"/>
                    </w:rPr>
                    <w:t>；</w:t>
                  </w:r>
                  <w:r>
                    <w:rPr>
                      <w:rFonts w:hint="eastAsia" w:ascii="Times New Roman" w:hAnsi="Times New Roman" w:cs="Times New Roman"/>
                      <w:color w:val="auto"/>
                      <w:sz w:val="21"/>
                      <w:szCs w:val="21"/>
                      <w:lang w:val="en-US" w:eastAsia="zh-CN"/>
                    </w:rPr>
                    <w:t>定期</w:t>
                  </w:r>
                  <w:r>
                    <w:rPr>
                      <w:rFonts w:hint="default" w:ascii="Times New Roman" w:hAnsi="Times New Roman" w:cs="Times New Roman"/>
                      <w:bCs/>
                      <w:color w:val="auto"/>
                      <w:szCs w:val="21"/>
                      <w:highlight w:val="none"/>
                    </w:rPr>
                    <w:t>监测</w:t>
                  </w:r>
                  <w:r>
                    <w:rPr>
                      <w:rFonts w:hint="eastAsia" w:ascii="Times New Roman" w:hAnsi="Times New Roman" w:cs="Times New Roman"/>
                      <w:color w:val="auto"/>
                      <w:sz w:val="21"/>
                      <w:szCs w:val="21"/>
                      <w:lang w:val="en-US" w:eastAsia="zh-CN"/>
                    </w:rPr>
                    <w:t>并纳入前期；</w:t>
                  </w:r>
                  <w:r>
                    <w:rPr>
                      <w:rFonts w:hint="default" w:ascii="Times New Roman" w:hAnsi="Times New Roman" w:cs="Times New Roman"/>
                      <w:b w:val="0"/>
                      <w:bCs/>
                      <w:caps w:val="0"/>
                      <w:color w:val="auto"/>
                      <w:spacing w:val="0"/>
                      <w:w w:val="100"/>
                      <w:sz w:val="21"/>
                      <w:szCs w:val="21"/>
                      <w:highlight w:val="none"/>
                      <w:vertAlign w:val="baseline"/>
                      <w:lang w:val="en-US" w:eastAsia="zh-CN"/>
                    </w:rPr>
                    <w:t>有投诉纠纷时应及时对环境敏感目标进行监测。</w:t>
                  </w:r>
                </w:p>
              </w:tc>
            </w:tr>
            <w:tr w14:paraId="3942A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83" w:type="dxa"/>
                  <w:vMerge w:val="restart"/>
                  <w:noWrap w:val="0"/>
                  <w:vAlign w:val="center"/>
                </w:tcPr>
                <w:p w14:paraId="074A3655">
                  <w:pPr>
                    <w:pStyle w:val="13"/>
                    <w:adjustRightInd w:val="0"/>
                    <w:snapToGrid w:val="0"/>
                    <w:spacing w:after="0"/>
                    <w:ind w:left="0" w:leftChars="0" w:firstLine="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099" w:type="dxa"/>
                  <w:vMerge w:val="restart"/>
                  <w:noWrap w:val="0"/>
                  <w:vAlign w:val="center"/>
                </w:tcPr>
                <w:p w14:paraId="7996E72D">
                  <w:pPr>
                    <w:pStyle w:val="13"/>
                    <w:adjustRightInd w:val="0"/>
                    <w:snapToGrid w:val="0"/>
                    <w:spacing w:after="0"/>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生态环境</w:t>
                  </w:r>
                </w:p>
              </w:tc>
              <w:tc>
                <w:tcPr>
                  <w:tcW w:w="1216" w:type="dxa"/>
                  <w:noWrap w:val="0"/>
                  <w:vAlign w:val="center"/>
                </w:tcPr>
                <w:p w14:paraId="36801454">
                  <w:pPr>
                    <w:pStyle w:val="13"/>
                    <w:adjustRightInd w:val="0"/>
                    <w:snapToGrid w:val="0"/>
                    <w:spacing w:after="0"/>
                    <w:ind w:left="0" w:leftChars="0" w:firstLine="0" w:firstLineChars="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监测布点</w:t>
                  </w:r>
                </w:p>
              </w:tc>
              <w:tc>
                <w:tcPr>
                  <w:tcW w:w="5222" w:type="dxa"/>
                  <w:noWrap w:val="0"/>
                  <w:vAlign w:val="center"/>
                </w:tcPr>
                <w:p w14:paraId="5078AC94">
                  <w:pPr>
                    <w:snapToGrid w:val="0"/>
                    <w:jc w:val="both"/>
                    <w:rPr>
                      <w:rFonts w:hint="default" w:ascii="Times New Roman" w:hAnsi="Times New Roman" w:eastAsia="宋体" w:cs="Times New Roman"/>
                      <w:b w:val="0"/>
                      <w:bCs/>
                      <w:caps w:val="0"/>
                      <w:color w:val="auto"/>
                      <w:spacing w:val="0"/>
                      <w:w w:val="100"/>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监测生态敏感区内施工扰动区</w:t>
                  </w:r>
                  <w:r>
                    <w:rPr>
                      <w:rFonts w:hint="default" w:ascii="Times New Roman" w:hAnsi="Times New Roman" w:eastAsia="宋体" w:cs="Times New Roman"/>
                      <w:color w:val="auto"/>
                      <w:sz w:val="21"/>
                      <w:szCs w:val="21"/>
                      <w:highlight w:val="none"/>
                      <w:lang w:eastAsia="zh-CN"/>
                    </w:rPr>
                    <w:t>。</w:t>
                  </w:r>
                </w:p>
              </w:tc>
            </w:tr>
            <w:tr w14:paraId="030FA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83" w:type="dxa"/>
                  <w:vMerge w:val="continue"/>
                  <w:noWrap w:val="0"/>
                  <w:vAlign w:val="center"/>
                </w:tcPr>
                <w:p w14:paraId="18F86649">
                  <w:pPr>
                    <w:pStyle w:val="13"/>
                    <w:adjustRightInd w:val="0"/>
                    <w:snapToGrid w:val="0"/>
                    <w:spacing w:after="0"/>
                    <w:ind w:left="0" w:leftChars="0" w:firstLine="0"/>
                    <w:jc w:val="center"/>
                    <w:rPr>
                      <w:rFonts w:hint="default" w:ascii="Times New Roman" w:hAnsi="Times New Roman" w:cs="Times New Roman"/>
                      <w:color w:val="auto"/>
                      <w:highlight w:val="none"/>
                    </w:rPr>
                  </w:pPr>
                </w:p>
              </w:tc>
              <w:tc>
                <w:tcPr>
                  <w:tcW w:w="1099" w:type="dxa"/>
                  <w:vMerge w:val="continue"/>
                  <w:noWrap w:val="0"/>
                  <w:vAlign w:val="center"/>
                </w:tcPr>
                <w:p w14:paraId="24E939E9">
                  <w:pPr>
                    <w:pStyle w:val="13"/>
                    <w:adjustRightInd w:val="0"/>
                    <w:snapToGrid w:val="0"/>
                    <w:spacing w:after="0"/>
                    <w:ind w:left="0" w:leftChars="0" w:firstLine="0" w:firstLineChars="0"/>
                    <w:jc w:val="center"/>
                    <w:rPr>
                      <w:rFonts w:hint="default" w:ascii="Times New Roman" w:hAnsi="Times New Roman" w:cs="Times New Roman"/>
                      <w:color w:val="auto"/>
                      <w:highlight w:val="none"/>
                    </w:rPr>
                  </w:pPr>
                </w:p>
              </w:tc>
              <w:tc>
                <w:tcPr>
                  <w:tcW w:w="1216" w:type="dxa"/>
                  <w:noWrap w:val="0"/>
                  <w:vAlign w:val="center"/>
                </w:tcPr>
                <w:p w14:paraId="59EC86FF">
                  <w:pPr>
                    <w:pStyle w:val="13"/>
                    <w:adjustRightInd w:val="0"/>
                    <w:snapToGrid w:val="0"/>
                    <w:spacing w:after="0"/>
                    <w:ind w:left="0" w:leftChars="0" w:firstLine="0" w:firstLineChars="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监测内容</w:t>
                  </w:r>
                </w:p>
              </w:tc>
              <w:tc>
                <w:tcPr>
                  <w:tcW w:w="5222" w:type="dxa"/>
                  <w:noWrap w:val="0"/>
                  <w:vAlign w:val="center"/>
                </w:tcPr>
                <w:p w14:paraId="3F5BA35F">
                  <w:pPr>
                    <w:keepNext w:val="0"/>
                    <w:keepLines w:val="0"/>
                    <w:pageBreakBefore w:val="0"/>
                    <w:widowControl w:val="0"/>
                    <w:kinsoku/>
                    <w:wordWrap/>
                    <w:overflowPunct/>
                    <w:topLinePunct w:val="0"/>
                    <w:autoSpaceDE/>
                    <w:autoSpaceDN/>
                    <w:bidi w:val="0"/>
                    <w:snapToGrid w:val="0"/>
                    <w:spacing w:line="240" w:lineRule="auto"/>
                    <w:jc w:val="both"/>
                    <w:textAlignment w:val="auto"/>
                    <w:rPr>
                      <w:rFonts w:hint="default" w:ascii="Times New Roman" w:hAnsi="Times New Roman" w:eastAsia="宋体" w:cs="Times New Roman"/>
                      <w:b w:val="0"/>
                      <w:bCs/>
                      <w:caps w:val="0"/>
                      <w:color w:val="auto"/>
                      <w:spacing w:val="0"/>
                      <w:w w:val="100"/>
                      <w:kern w:val="0"/>
                      <w:sz w:val="21"/>
                      <w:szCs w:val="21"/>
                      <w:highlight w:val="none"/>
                      <w:lang w:val="en-US" w:eastAsia="zh-CN" w:bidi="ar-SA"/>
                    </w:rPr>
                  </w:pPr>
                  <w:r>
                    <w:rPr>
                      <w:rFonts w:hint="default" w:ascii="Times New Roman" w:hAnsi="Times New Roman" w:eastAsia="宋体" w:cs="Times New Roman"/>
                      <w:b w:val="0"/>
                      <w:bCs/>
                      <w:caps w:val="0"/>
                      <w:color w:val="auto"/>
                      <w:spacing w:val="0"/>
                      <w:w w:val="100"/>
                      <w:kern w:val="0"/>
                      <w:sz w:val="21"/>
                      <w:szCs w:val="21"/>
                      <w:highlight w:val="none"/>
                      <w:lang w:val="en-US" w:eastAsia="zh-CN" w:bidi="ar-SA"/>
                    </w:rPr>
                    <w:t>植物物种、植物群落、植被类型、种植密度、存活率、覆盖率等；</w:t>
                  </w:r>
                  <w:r>
                    <w:rPr>
                      <w:rFonts w:hint="default" w:ascii="Times New Roman" w:hAnsi="Times New Roman" w:eastAsia="宋体" w:cs="Times New Roman"/>
                      <w:color w:val="auto"/>
                      <w:sz w:val="21"/>
                      <w:szCs w:val="21"/>
                      <w:highlight w:val="none"/>
                    </w:rPr>
                    <w:t>野生动物的种类、数量进行定点观测</w:t>
                  </w:r>
                  <w:r>
                    <w:rPr>
                      <w:rFonts w:hint="default" w:ascii="Times New Roman" w:hAnsi="Times New Roman" w:eastAsia="宋体" w:cs="Times New Roman"/>
                      <w:color w:val="auto"/>
                      <w:sz w:val="21"/>
                      <w:szCs w:val="21"/>
                      <w:highlight w:val="none"/>
                      <w:lang w:eastAsia="zh-CN"/>
                    </w:rPr>
                    <w:t>。</w:t>
                  </w:r>
                </w:p>
              </w:tc>
            </w:tr>
            <w:tr w14:paraId="1BFDE2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83" w:type="dxa"/>
                  <w:vMerge w:val="continue"/>
                  <w:noWrap w:val="0"/>
                  <w:vAlign w:val="center"/>
                </w:tcPr>
                <w:p w14:paraId="4D056D98">
                  <w:pPr>
                    <w:pStyle w:val="13"/>
                    <w:adjustRightInd w:val="0"/>
                    <w:snapToGrid w:val="0"/>
                    <w:spacing w:after="0"/>
                    <w:ind w:left="0" w:leftChars="0" w:firstLine="0"/>
                    <w:jc w:val="center"/>
                    <w:rPr>
                      <w:rFonts w:hint="default" w:ascii="Times New Roman" w:hAnsi="Times New Roman" w:cs="Times New Roman"/>
                      <w:color w:val="auto"/>
                      <w:highlight w:val="none"/>
                    </w:rPr>
                  </w:pPr>
                </w:p>
              </w:tc>
              <w:tc>
                <w:tcPr>
                  <w:tcW w:w="1099" w:type="dxa"/>
                  <w:vMerge w:val="continue"/>
                  <w:noWrap w:val="0"/>
                  <w:vAlign w:val="center"/>
                </w:tcPr>
                <w:p w14:paraId="1A12054F">
                  <w:pPr>
                    <w:pStyle w:val="13"/>
                    <w:adjustRightInd w:val="0"/>
                    <w:snapToGrid w:val="0"/>
                    <w:spacing w:after="0"/>
                    <w:ind w:left="0" w:leftChars="0" w:firstLine="0" w:firstLineChars="0"/>
                    <w:jc w:val="center"/>
                    <w:rPr>
                      <w:rFonts w:hint="default" w:ascii="Times New Roman" w:hAnsi="Times New Roman" w:cs="Times New Roman"/>
                      <w:color w:val="auto"/>
                      <w:highlight w:val="none"/>
                    </w:rPr>
                  </w:pPr>
                </w:p>
              </w:tc>
              <w:tc>
                <w:tcPr>
                  <w:tcW w:w="1216" w:type="dxa"/>
                  <w:noWrap w:val="0"/>
                  <w:vAlign w:val="center"/>
                </w:tcPr>
                <w:p w14:paraId="75F75E8F">
                  <w:pPr>
                    <w:pStyle w:val="13"/>
                    <w:adjustRightInd w:val="0"/>
                    <w:snapToGrid w:val="0"/>
                    <w:spacing w:after="0"/>
                    <w:ind w:left="0" w:leftChars="0" w:firstLine="0" w:firstLineChars="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监测方法</w:t>
                  </w:r>
                </w:p>
              </w:tc>
              <w:tc>
                <w:tcPr>
                  <w:tcW w:w="5222" w:type="dxa"/>
                  <w:noWrap w:val="0"/>
                  <w:vAlign w:val="center"/>
                </w:tcPr>
                <w:p w14:paraId="5708C440">
                  <w:pPr>
                    <w:snapToGrid w:val="0"/>
                    <w:jc w:val="both"/>
                    <w:rPr>
                      <w:rFonts w:hint="default" w:ascii="Times New Roman" w:hAnsi="Times New Roman" w:eastAsia="宋体" w:cs="Times New Roman"/>
                      <w:b w:val="0"/>
                      <w:bCs/>
                      <w:caps w:val="0"/>
                      <w:color w:val="auto"/>
                      <w:spacing w:val="0"/>
                      <w:w w:val="100"/>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执行国家相关的监测技术规范、方法</w:t>
                  </w:r>
                  <w:r>
                    <w:rPr>
                      <w:rFonts w:hint="default" w:ascii="Times New Roman" w:hAnsi="Times New Roman" w:eastAsia="宋体" w:cs="Times New Roman"/>
                      <w:color w:val="auto"/>
                      <w:sz w:val="21"/>
                      <w:szCs w:val="21"/>
                      <w:highlight w:val="none"/>
                      <w:lang w:eastAsia="zh-CN"/>
                    </w:rPr>
                    <w:t>。</w:t>
                  </w:r>
                </w:p>
              </w:tc>
            </w:tr>
            <w:tr w14:paraId="4D2C5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83" w:type="dxa"/>
                  <w:vMerge w:val="continue"/>
                  <w:noWrap w:val="0"/>
                  <w:vAlign w:val="center"/>
                </w:tcPr>
                <w:p w14:paraId="6F6DB24C">
                  <w:pPr>
                    <w:pStyle w:val="13"/>
                    <w:adjustRightInd w:val="0"/>
                    <w:snapToGrid w:val="0"/>
                    <w:spacing w:after="0"/>
                    <w:ind w:left="0" w:leftChars="0" w:firstLine="0"/>
                    <w:jc w:val="center"/>
                    <w:rPr>
                      <w:rFonts w:hint="default" w:ascii="Times New Roman" w:hAnsi="Times New Roman" w:cs="Times New Roman"/>
                      <w:color w:val="auto"/>
                      <w:highlight w:val="none"/>
                    </w:rPr>
                  </w:pPr>
                </w:p>
              </w:tc>
              <w:tc>
                <w:tcPr>
                  <w:tcW w:w="1099" w:type="dxa"/>
                  <w:vMerge w:val="continue"/>
                  <w:noWrap w:val="0"/>
                  <w:vAlign w:val="center"/>
                </w:tcPr>
                <w:p w14:paraId="5AE31960">
                  <w:pPr>
                    <w:pStyle w:val="13"/>
                    <w:adjustRightInd w:val="0"/>
                    <w:snapToGrid w:val="0"/>
                    <w:spacing w:after="0"/>
                    <w:ind w:left="0" w:leftChars="0" w:firstLine="0" w:firstLineChars="0"/>
                    <w:jc w:val="center"/>
                    <w:rPr>
                      <w:rFonts w:hint="default" w:ascii="Times New Roman" w:hAnsi="Times New Roman" w:cs="Times New Roman"/>
                      <w:color w:val="auto"/>
                      <w:highlight w:val="none"/>
                    </w:rPr>
                  </w:pPr>
                </w:p>
              </w:tc>
              <w:tc>
                <w:tcPr>
                  <w:tcW w:w="1216" w:type="dxa"/>
                  <w:noWrap w:val="0"/>
                  <w:vAlign w:val="center"/>
                </w:tcPr>
                <w:p w14:paraId="61E36891">
                  <w:pPr>
                    <w:pStyle w:val="13"/>
                    <w:adjustRightInd w:val="0"/>
                    <w:snapToGrid w:val="0"/>
                    <w:spacing w:after="0"/>
                    <w:ind w:left="0" w:leftChars="0" w:firstLine="0" w:firstLineChars="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监测频次及时间</w:t>
                  </w:r>
                </w:p>
              </w:tc>
              <w:tc>
                <w:tcPr>
                  <w:tcW w:w="5222" w:type="dxa"/>
                  <w:noWrap w:val="0"/>
                  <w:vAlign w:val="center"/>
                </w:tcPr>
                <w:p w14:paraId="280055B8">
                  <w:pPr>
                    <w:keepNext w:val="0"/>
                    <w:keepLines w:val="0"/>
                    <w:pageBreakBefore w:val="0"/>
                    <w:widowControl w:val="0"/>
                    <w:kinsoku/>
                    <w:wordWrap/>
                    <w:overflowPunct/>
                    <w:topLinePunct w:val="0"/>
                    <w:autoSpaceDE/>
                    <w:autoSpaceDN/>
                    <w:bidi w:val="0"/>
                    <w:snapToGrid w:val="0"/>
                    <w:spacing w:line="240" w:lineRule="auto"/>
                    <w:jc w:val="both"/>
                    <w:textAlignment w:val="auto"/>
                    <w:rPr>
                      <w:rFonts w:hint="default" w:ascii="Times New Roman" w:hAnsi="Times New Roman" w:eastAsia="宋体" w:cs="Times New Roman"/>
                      <w:b w:val="0"/>
                      <w:bCs/>
                      <w:caps w:val="0"/>
                      <w:color w:val="auto"/>
                      <w:spacing w:val="0"/>
                      <w:w w:val="100"/>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施工期、运行初期（竣工环保验收时）、运行期各监测一次</w:t>
                  </w:r>
                </w:p>
              </w:tc>
            </w:tr>
          </w:tbl>
          <w:p w14:paraId="48AF7C07">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⑶监测点位</w:t>
            </w:r>
          </w:p>
          <w:p w14:paraId="491FCDA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本项目运行后监测项目主要为：工频电场、工频磁场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rPr>
              <w:t>噪声和</w:t>
            </w:r>
            <w:r>
              <w:rPr>
                <w:rFonts w:hint="default" w:ascii="Times New Roman" w:hAnsi="Times New Roman" w:cs="Times New Roman"/>
                <w:color w:val="auto"/>
                <w:sz w:val="24"/>
                <w:lang w:val="en-US" w:eastAsia="zh-CN"/>
              </w:rPr>
              <w:t>生态环境</w:t>
            </w:r>
            <w:r>
              <w:rPr>
                <w:rFonts w:hint="default" w:ascii="Times New Roman" w:hAnsi="Times New Roman" w:cs="Times New Roman"/>
                <w:color w:val="auto"/>
                <w:sz w:val="24"/>
                <w:highlight w:val="none"/>
              </w:rPr>
              <w:t>。运行期环境监测点位可参照本项目环评文件监测点位进行布设</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详见本项目现状监测点位图</w:t>
            </w:r>
            <w:r>
              <w:rPr>
                <w:rFonts w:hint="default" w:ascii="Times New Roman" w:hAnsi="Times New Roman" w:cs="Times New Roman"/>
                <w:color w:val="auto"/>
                <w:sz w:val="24"/>
                <w:highlight w:val="none"/>
              </w:rPr>
              <w:t>，如环评文件监测点位未能全面反映出项目建设的实际环境影响时，可根据实际情况进行调整。</w:t>
            </w:r>
          </w:p>
          <w:p w14:paraId="376D6C2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①</w:t>
            </w:r>
            <w:r>
              <w:rPr>
                <w:rFonts w:hint="default" w:ascii="Times New Roman" w:hAnsi="Times New Roman" w:cs="Times New Roman"/>
                <w:color w:val="auto"/>
                <w:sz w:val="24"/>
                <w:highlight w:val="none"/>
              </w:rPr>
              <w:t>工频电场、工频磁场</w:t>
            </w:r>
          </w:p>
          <w:p w14:paraId="277A09A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kern w:val="0"/>
                <w:sz w:val="24"/>
                <w:highlight w:val="none"/>
              </w:rPr>
              <w:t>本项目</w:t>
            </w:r>
            <w:r>
              <w:rPr>
                <w:rFonts w:hint="default" w:ascii="Times New Roman" w:hAnsi="Times New Roman" w:cs="Times New Roman"/>
                <w:color w:val="auto"/>
                <w:sz w:val="24"/>
                <w:highlight w:val="none"/>
                <w:lang w:val="en-US" w:eastAsia="zh-CN"/>
              </w:rPr>
              <w:t>在</w:t>
            </w:r>
            <w:r>
              <w:rPr>
                <w:rFonts w:hint="default" w:ascii="Times New Roman" w:hAnsi="Times New Roman" w:cs="Times New Roman"/>
                <w:color w:val="auto"/>
                <w:kern w:val="0"/>
                <w:sz w:val="24"/>
                <w:highlight w:val="none"/>
              </w:rPr>
              <w:t>变电站间隔扩建工程</w:t>
            </w:r>
            <w:r>
              <w:rPr>
                <w:rFonts w:hint="default" w:ascii="Times New Roman" w:hAnsi="Times New Roman" w:cs="Times New Roman"/>
                <w:color w:val="auto"/>
                <w:sz w:val="24"/>
                <w:highlight w:val="none"/>
                <w:lang w:val="en-US" w:eastAsia="zh-CN"/>
              </w:rPr>
              <w:t>、输电线路沿线及电磁环境敏感目标处布设监测点。</w:t>
            </w:r>
          </w:p>
          <w:p w14:paraId="5B3F02A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变电站间隔扩建工程：监测点选择在</w:t>
            </w:r>
            <w:r>
              <w:rPr>
                <w:rFonts w:hint="default" w:ascii="Times New Roman" w:hAnsi="Times New Roman" w:cs="Times New Roman"/>
                <w:color w:val="auto"/>
                <w:kern w:val="0"/>
                <w:sz w:val="24"/>
                <w:highlight w:val="none"/>
                <w:lang w:val="en-US" w:eastAsia="zh-CN"/>
              </w:rPr>
              <w:t>云雾山330千伏</w:t>
            </w:r>
            <w:r>
              <w:rPr>
                <w:rFonts w:hint="default" w:ascii="Times New Roman" w:hAnsi="Times New Roman" w:cs="Times New Roman"/>
                <w:color w:val="auto"/>
                <w:kern w:val="0"/>
                <w:sz w:val="24"/>
                <w:highlight w:val="none"/>
              </w:rPr>
              <w:t>变电站</w:t>
            </w:r>
            <w:r>
              <w:rPr>
                <w:rFonts w:hint="default" w:ascii="Times New Roman" w:hAnsi="Times New Roman" w:cs="Times New Roman"/>
                <w:color w:val="auto"/>
                <w:kern w:val="0"/>
                <w:sz w:val="24"/>
                <w:highlight w:val="none"/>
                <w:lang w:eastAsia="zh-CN"/>
              </w:rPr>
              <w:t>110千伏</w:t>
            </w:r>
            <w:r>
              <w:rPr>
                <w:rFonts w:hint="default" w:ascii="Times New Roman" w:hAnsi="Times New Roman" w:cs="Times New Roman"/>
                <w:color w:val="auto"/>
                <w:kern w:val="0"/>
                <w:sz w:val="24"/>
                <w:highlight w:val="none"/>
              </w:rPr>
              <w:t>间隔扩建的围墙外且距离围墙5m处布置，</w:t>
            </w:r>
            <w:r>
              <w:rPr>
                <w:rFonts w:hint="default" w:ascii="Times New Roman" w:hAnsi="Times New Roman" w:cs="Times New Roman"/>
                <w:color w:val="auto"/>
                <w:sz w:val="24"/>
                <w:highlight w:val="none"/>
              </w:rPr>
              <w:t>距离地面1.5m位置</w:t>
            </w:r>
            <w:r>
              <w:rPr>
                <w:rFonts w:hint="default" w:ascii="Times New Roman" w:hAnsi="Times New Roman" w:cs="Times New Roman"/>
                <w:color w:val="auto"/>
                <w:kern w:val="0"/>
                <w:sz w:val="24"/>
                <w:highlight w:val="none"/>
              </w:rPr>
              <w:t>。断面监测路径选择以变电站围墙（监测最大值）为起点，在垂直于围墙的方向上布置，监测点间距为5m，顺序测至距离围墙</w:t>
            </w:r>
            <w:r>
              <w:rPr>
                <w:rFonts w:hint="default" w:ascii="Times New Roman" w:hAnsi="Times New Roman" w:cs="Times New Roman"/>
                <w:color w:val="auto"/>
                <w:kern w:val="0"/>
                <w:sz w:val="24"/>
                <w:highlight w:val="none"/>
                <w:lang w:val="en-US" w:eastAsia="zh-CN"/>
              </w:rPr>
              <w:t>5</w:t>
            </w:r>
            <w:r>
              <w:rPr>
                <w:rFonts w:hint="default" w:ascii="Times New Roman" w:hAnsi="Times New Roman" w:cs="Times New Roman"/>
                <w:color w:val="auto"/>
                <w:kern w:val="0"/>
                <w:sz w:val="24"/>
                <w:highlight w:val="none"/>
              </w:rPr>
              <w:t>0m处为止。</w:t>
            </w:r>
          </w:p>
          <w:p w14:paraId="6F11694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kern w:val="0"/>
                <w:sz w:val="24"/>
                <w:highlight w:val="none"/>
              </w:rPr>
              <w:t>单回路输电线路</w:t>
            </w:r>
            <w:bookmarkStart w:id="140" w:name="OLE_LINK8"/>
            <w:r>
              <w:rPr>
                <w:rFonts w:hint="default" w:ascii="Times New Roman" w:hAnsi="Times New Roman" w:cs="Times New Roman"/>
                <w:color w:val="auto"/>
                <w:kern w:val="0"/>
                <w:sz w:val="24"/>
                <w:highlight w:val="none"/>
              </w:rPr>
              <w:t>以弧垂最低位置处</w:t>
            </w:r>
            <w:bookmarkEnd w:id="140"/>
            <w:r>
              <w:rPr>
                <w:rFonts w:hint="default" w:ascii="Times New Roman" w:hAnsi="Times New Roman" w:cs="Times New Roman"/>
                <w:color w:val="auto"/>
                <w:kern w:val="0"/>
                <w:sz w:val="24"/>
                <w:highlight w:val="none"/>
              </w:rPr>
              <w:t>中相导线对地投影点为起点</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同塔双回输电线路以弧垂最低位置处档距对应两杆塔中央连线对地投影为起点</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监测点均匀分布在边相导线两侧的横断面方向上。对于挂线方式以杆塔对称排列的输电线路，只需在杆塔一侧的横断面方向上布置监测点。监测点间距为5m，顺序测至距离边导线对地投影外50m处为</w:t>
            </w:r>
            <w:r>
              <w:rPr>
                <w:rFonts w:hint="default" w:ascii="Times New Roman" w:hAnsi="Times New Roman" w:cs="Times New Roman"/>
                <w:color w:val="auto"/>
                <w:sz w:val="24"/>
                <w:highlight w:val="none"/>
              </w:rPr>
              <w:t>止。</w:t>
            </w:r>
            <w:r>
              <w:rPr>
                <w:rFonts w:hint="default" w:ascii="Times New Roman" w:hAnsi="Times New Roman" w:cs="Times New Roman"/>
                <w:color w:val="auto"/>
                <w:kern w:val="0"/>
                <w:sz w:val="24"/>
                <w:highlight w:val="none"/>
              </w:rPr>
              <w:t>在测量最大值时，两相邻监测点间距应不大于1m</w:t>
            </w:r>
            <w:r>
              <w:rPr>
                <w:rFonts w:hint="default" w:ascii="Times New Roman" w:hAnsi="Times New Roman" w:cs="Times New Roman"/>
                <w:color w:val="auto"/>
                <w:kern w:val="0"/>
                <w:sz w:val="24"/>
                <w:highlight w:val="none"/>
                <w:lang w:eastAsia="zh-CN"/>
              </w:rPr>
              <w:t>。</w:t>
            </w:r>
          </w:p>
          <w:p w14:paraId="62AF54D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kern w:val="0"/>
                <w:sz w:val="24"/>
                <w:highlight w:val="none"/>
                <w:lang w:val="en-US" w:eastAsia="zh-CN"/>
              </w:rPr>
            </w:pPr>
            <w:r>
              <w:rPr>
                <w:rFonts w:hint="default" w:ascii="Times New Roman" w:hAnsi="Times New Roman" w:cs="Times New Roman"/>
                <w:color w:val="auto"/>
                <w:sz w:val="24"/>
                <w:highlight w:val="none"/>
                <w:lang w:val="en-US" w:eastAsia="zh-CN"/>
              </w:rPr>
              <w:t>电磁敏感目标监测点位选择在电磁</w:t>
            </w:r>
            <w:r>
              <w:rPr>
                <w:rFonts w:hint="default" w:ascii="Times New Roman" w:hAnsi="Times New Roman" w:cs="Times New Roman"/>
                <w:b w:val="0"/>
                <w:bCs w:val="0"/>
                <w:color w:val="auto"/>
                <w:kern w:val="0"/>
                <w:sz w:val="24"/>
                <w:highlight w:val="none"/>
                <w:lang w:val="en-US" w:eastAsia="zh-CN"/>
              </w:rPr>
              <w:t>环境敏感目标建筑物户外，距离墙壁1m处，距离地面1.5m的位置。</w:t>
            </w:r>
          </w:p>
          <w:p w14:paraId="032ADF94">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②</w:t>
            </w:r>
            <w:r>
              <w:rPr>
                <w:rFonts w:hint="default" w:ascii="Times New Roman" w:hAnsi="Times New Roman" w:cs="Times New Roman"/>
                <w:color w:val="auto"/>
                <w:sz w:val="24"/>
                <w:highlight w:val="none"/>
              </w:rPr>
              <w:t>噪声</w:t>
            </w:r>
          </w:p>
          <w:p w14:paraId="19EBDA5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变电站间隔扩建工程：</w:t>
            </w:r>
            <w:r>
              <w:rPr>
                <w:rFonts w:hint="default" w:ascii="Times New Roman" w:hAnsi="Times New Roman" w:cs="Times New Roman"/>
                <w:color w:val="auto"/>
                <w:sz w:val="24"/>
                <w:szCs w:val="22"/>
                <w:highlight w:val="none"/>
              </w:rPr>
              <w:t>监测点选择在</w:t>
            </w:r>
            <w:r>
              <w:rPr>
                <w:rFonts w:hint="default" w:ascii="Times New Roman" w:hAnsi="Times New Roman" w:cs="Times New Roman"/>
                <w:color w:val="auto"/>
                <w:kern w:val="0"/>
                <w:sz w:val="24"/>
                <w:highlight w:val="none"/>
                <w:lang w:val="en-US" w:eastAsia="zh-CN"/>
              </w:rPr>
              <w:t>云雾山330千伏</w:t>
            </w:r>
            <w:r>
              <w:rPr>
                <w:rFonts w:hint="default" w:ascii="Times New Roman" w:hAnsi="Times New Roman" w:cs="Times New Roman"/>
                <w:color w:val="auto"/>
                <w:kern w:val="0"/>
                <w:sz w:val="24"/>
                <w:highlight w:val="none"/>
              </w:rPr>
              <w:t>变电站</w:t>
            </w:r>
            <w:r>
              <w:rPr>
                <w:rFonts w:hint="default" w:ascii="Times New Roman" w:hAnsi="Times New Roman" w:cs="Times New Roman"/>
                <w:color w:val="auto"/>
                <w:sz w:val="24"/>
                <w:szCs w:val="22"/>
                <w:highlight w:val="none"/>
                <w:lang w:eastAsia="zh-CN"/>
              </w:rPr>
              <w:t>站界</w:t>
            </w:r>
            <w:r>
              <w:rPr>
                <w:rFonts w:hint="default" w:ascii="Times New Roman" w:hAnsi="Times New Roman" w:cs="Times New Roman"/>
                <w:color w:val="auto"/>
                <w:sz w:val="24"/>
                <w:szCs w:val="22"/>
                <w:highlight w:val="none"/>
              </w:rPr>
              <w:t>外1m、高度1.2m以上、距任一反射面距离不小于1m的位置。</w:t>
            </w:r>
          </w:p>
          <w:p w14:paraId="0DE2C84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输电线路</w:t>
            </w:r>
            <w:r>
              <w:rPr>
                <w:rFonts w:hint="default" w:ascii="Times New Roman" w:hAnsi="Times New Roman" w:cs="Times New Roman"/>
                <w:color w:val="auto"/>
                <w:kern w:val="0"/>
                <w:sz w:val="24"/>
                <w:highlight w:val="none"/>
                <w:lang w:val="en-US" w:eastAsia="zh-CN"/>
              </w:rPr>
              <w:t>工程：</w:t>
            </w:r>
            <w:r>
              <w:rPr>
                <w:rFonts w:hint="default" w:ascii="Times New Roman" w:hAnsi="Times New Roman" w:cs="Times New Roman"/>
                <w:color w:val="auto"/>
                <w:sz w:val="24"/>
                <w:highlight w:val="none"/>
              </w:rPr>
              <w:t>在单</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双</w:t>
            </w:r>
            <w:r>
              <w:rPr>
                <w:rFonts w:hint="default" w:ascii="Times New Roman" w:hAnsi="Times New Roman" w:cs="Times New Roman"/>
                <w:color w:val="auto"/>
                <w:sz w:val="24"/>
                <w:highlight w:val="none"/>
              </w:rPr>
              <w:t>回路架空线路导线距地最低处布设监测断面，</w:t>
            </w:r>
            <w:r>
              <w:rPr>
                <w:rFonts w:hint="default" w:ascii="Times New Roman" w:hAnsi="Times New Roman" w:cs="Times New Roman"/>
                <w:color w:val="auto"/>
                <w:kern w:val="0"/>
                <w:sz w:val="24"/>
                <w:highlight w:val="none"/>
              </w:rPr>
              <w:t>选择在以导线弧垂最大处线路中心的地面投影点为监测原点，沿垂直于线路方向进行，测点间距5m，依次监测到</w:t>
            </w:r>
            <w:r>
              <w:rPr>
                <w:rFonts w:hint="default"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0m处为止。</w:t>
            </w:r>
          </w:p>
          <w:p w14:paraId="6AF9554D">
            <w:pPr>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color w:val="auto"/>
                <w:sz w:val="24"/>
              </w:rPr>
              <w:t>③</w:t>
            </w:r>
            <w:r>
              <w:rPr>
                <w:rFonts w:hint="default" w:ascii="Times New Roman" w:hAnsi="Times New Roman" w:eastAsia="宋体" w:cs="Times New Roman"/>
                <w:color w:val="auto"/>
                <w:kern w:val="2"/>
                <w:sz w:val="24"/>
                <w:szCs w:val="24"/>
                <w:highlight w:val="none"/>
              </w:rPr>
              <w:t>生态</w:t>
            </w:r>
            <w:r>
              <w:rPr>
                <w:rFonts w:hint="default" w:ascii="Times New Roman" w:hAnsi="Times New Roman" w:cs="Times New Roman"/>
                <w:color w:val="auto"/>
                <w:kern w:val="2"/>
                <w:sz w:val="24"/>
                <w:szCs w:val="24"/>
                <w:highlight w:val="none"/>
                <w:lang w:val="en-US" w:eastAsia="zh-CN"/>
              </w:rPr>
              <w:t>环境</w:t>
            </w:r>
          </w:p>
          <w:p w14:paraId="4315F79C">
            <w:pPr>
              <w:adjustRightInd w:val="0"/>
              <w:snapToGrid w:val="0"/>
              <w:spacing w:line="360" w:lineRule="auto"/>
              <w:ind w:firstLine="480" w:firstLineChars="200"/>
              <w:jc w:val="left"/>
              <w:rPr>
                <w:rFonts w:hint="default" w:ascii="Times New Roman" w:hAnsi="Times New Roman" w:cs="Times New Roman"/>
                <w:color w:val="auto"/>
                <w:kern w:val="0"/>
                <w:sz w:val="24"/>
              </w:rPr>
            </w:pPr>
            <w:r>
              <w:rPr>
                <w:rFonts w:hint="default" w:ascii="Times New Roman" w:hAnsi="Times New Roman" w:cs="Times New Roman"/>
                <w:color w:val="auto"/>
                <w:kern w:val="0"/>
                <w:sz w:val="24"/>
                <w:highlight w:val="none"/>
                <w:lang w:val="en-US" w:eastAsia="zh-CN"/>
              </w:rPr>
              <w:t>生态监测布点，详见生态影响专题评价5.5生态监测。</w:t>
            </w:r>
          </w:p>
          <w:p w14:paraId="5DEBC81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⑷监测技术要求</w:t>
            </w:r>
          </w:p>
          <w:p w14:paraId="2CA8F78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①监测方法</w:t>
            </w:r>
          </w:p>
          <w:p w14:paraId="52016F97">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工频电场、工频磁场的监测方法执行《交流输变电工程电磁环境监测方法（试行）》（HJ681-2013）中相关规定；噪声的监测方法执行《声环境质量标准》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GB3096-2008</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《工业企业厂界环境噪声排放标准》（GB12348-2008）中相关规定。</w:t>
            </w:r>
          </w:p>
          <w:p w14:paraId="5156B46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②监测频次</w:t>
            </w:r>
          </w:p>
          <w:p w14:paraId="676574C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运行期间进行竣工环境保护验收时监测一次；结合项目竣工环境保护验收，根据运行单位的规定进行常规监测，并针对项目发生重大变化时以及引发投诉纠纷时进行必要的监测。</w:t>
            </w:r>
          </w:p>
          <w:p w14:paraId="5174154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③监测质量控制、保证</w:t>
            </w:r>
          </w:p>
          <w:p w14:paraId="5F255AF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监测单位须为取得检验检测机构资质认定证书的单位且具有电磁辐射和噪声检测类别。监测单位应具备完善的监测质量控制体系，对整个环境监测过程进行全面质量管控。监测仪器应定期校准，并在其证书有效期内使用，每次监测前后均检查仪器，确保仪器在正常工作状态。监测人员应进行业务培训，考核合格并取得岗位合格证书。现场监测工作须不少于</w:t>
            </w:r>
            <w:r>
              <w:rPr>
                <w:rFonts w:hint="default" w:ascii="Times New Roman" w:hAnsi="Times New Roman" w:cs="Times New Roman"/>
                <w:color w:val="auto"/>
                <w:sz w:val="24"/>
                <w:highlight w:val="none"/>
                <w:lang w:eastAsia="zh-CN"/>
              </w:rPr>
              <w:t>两名</w:t>
            </w:r>
            <w:r>
              <w:rPr>
                <w:rFonts w:hint="default" w:ascii="Times New Roman" w:hAnsi="Times New Roman" w:cs="Times New Roman"/>
                <w:color w:val="auto"/>
                <w:sz w:val="24"/>
                <w:highlight w:val="none"/>
              </w:rPr>
              <w:t>监测人员进行。监测点位、监测环境、监测高度和监测方法均按照《工业企业厂界环境噪声排放标准》（GB12348-2008）</w:t>
            </w:r>
            <w:r>
              <w:rPr>
                <w:rFonts w:hint="default" w:ascii="Times New Roman" w:hAnsi="Times New Roman" w:cs="Times New Roman"/>
                <w:color w:val="auto"/>
                <w:sz w:val="24"/>
                <w:highlight w:val="none"/>
                <w:lang w:eastAsia="zh-CN"/>
              </w:rPr>
              <w:t>、《声环境质量标准》（GB3096-2008）、</w:t>
            </w:r>
            <w:r>
              <w:rPr>
                <w:rFonts w:hint="default" w:ascii="Times New Roman" w:hAnsi="Times New Roman" w:cs="Times New Roman"/>
                <w:color w:val="auto"/>
                <w:sz w:val="24"/>
                <w:highlight w:val="none"/>
              </w:rPr>
              <w:t>《交流输变电工程电磁环境监测方法（试行）》（HJ681-2013）中相关规定执行。</w:t>
            </w:r>
          </w:p>
          <w:p w14:paraId="11F8679F">
            <w:p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监测结束后，应及时对监测原始数据进行整理，进行三级审核程序，审核内容包括监测采样方案及其执行情况，数据处理过程，质控措施，计量单位，编号等。经三级审核过的监测报告由相关负责人签字、监测单位盖章后生效</w:t>
            </w:r>
            <w:r>
              <w:rPr>
                <w:rFonts w:hint="default" w:ascii="Times New Roman" w:hAnsi="Times New Roman" w:cs="Times New Roman"/>
                <w:color w:val="auto"/>
                <w:sz w:val="24"/>
                <w:highlight w:val="none"/>
                <w:lang w:eastAsia="zh-CN"/>
              </w:rPr>
              <w:t>。</w:t>
            </w:r>
          </w:p>
          <w:p w14:paraId="488EADE3">
            <w:pPr>
              <w:pStyle w:val="13"/>
              <w:spacing w:after="0" w:line="360" w:lineRule="auto"/>
              <w:ind w:left="0" w:leftChars="0"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8.</w:t>
            </w:r>
            <w:r>
              <w:rPr>
                <w:rFonts w:hint="default" w:ascii="Times New Roman" w:hAnsi="Times New Roman" w:cs="Times New Roman"/>
                <w:b/>
                <w:bCs/>
                <w:color w:val="auto"/>
                <w:sz w:val="24"/>
                <w:highlight w:val="none"/>
                <w:lang w:eastAsia="zh-CN"/>
              </w:rPr>
              <w:t>环境保护措施可行合理性分析</w:t>
            </w:r>
          </w:p>
          <w:p w14:paraId="76775E19">
            <w:p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本项目各环境要素所采取的环境保护措施在参照《输变电建设项目环境保护技术要求》（HJ1113-2020）中提出的选址选线、设计阶段、施工阶段及运行阶段环境保护措施基础上，结合本项目可研报告、</w:t>
            </w:r>
            <w:r>
              <w:rPr>
                <w:rFonts w:hint="default" w:ascii="Times New Roman" w:hAnsi="Times New Roman" w:cs="Times New Roman"/>
                <w:color w:val="auto"/>
                <w:sz w:val="24"/>
                <w:highlight w:val="none"/>
                <w:lang w:val="en-US" w:eastAsia="zh-CN"/>
              </w:rPr>
              <w:t>水土保持方案</w:t>
            </w:r>
            <w:r>
              <w:rPr>
                <w:rFonts w:hint="default" w:ascii="Times New Roman" w:hAnsi="Times New Roman" w:cs="Times New Roman"/>
                <w:color w:val="auto"/>
                <w:sz w:val="24"/>
                <w:highlight w:val="none"/>
                <w:lang w:eastAsia="zh-CN"/>
              </w:rPr>
              <w:t>、土地复垦方案中提出环境保护措施制定的。</w:t>
            </w:r>
          </w:p>
          <w:p w14:paraId="66F0E8DE">
            <w:pPr>
              <w:spacing w:line="360" w:lineRule="auto"/>
              <w:ind w:firstLine="480" w:firstLineChars="200"/>
              <w:jc w:val="both"/>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sz w:val="24"/>
                <w:highlight w:val="none"/>
                <w:lang w:val="en-US" w:eastAsia="zh-CN"/>
              </w:rPr>
              <w:t>运行期</w:t>
            </w:r>
            <w:r>
              <w:rPr>
                <w:rFonts w:hint="default" w:ascii="Times New Roman" w:hAnsi="Times New Roman" w:eastAsia="宋体" w:cs="Times New Roman"/>
                <w:color w:val="auto"/>
                <w:sz w:val="24"/>
                <w:szCs w:val="24"/>
                <w:highlight w:val="none"/>
              </w:rPr>
              <w:t>输电线路严格按照设计规范要求的高度，</w:t>
            </w:r>
            <w:r>
              <w:rPr>
                <w:rFonts w:hint="default" w:ascii="Times New Roman" w:hAnsi="Times New Roman" w:eastAsia="宋体" w:cs="Times New Roman"/>
                <w:color w:val="auto"/>
                <w:sz w:val="24"/>
                <w:szCs w:val="24"/>
                <w:highlight w:val="none"/>
                <w:lang w:val="en-US" w:eastAsia="zh-CN"/>
              </w:rPr>
              <w:t>加强监督管理</w:t>
            </w:r>
            <w:r>
              <w:rPr>
                <w:rFonts w:hint="default" w:ascii="Times New Roman" w:hAnsi="Times New Roman" w:eastAsia="宋体" w:cs="Times New Roman"/>
                <w:color w:val="auto"/>
                <w:sz w:val="24"/>
                <w:szCs w:val="24"/>
                <w:highlight w:val="none"/>
              </w:rPr>
              <w:t>保证线路运行产生的工频电场强度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工频磁感应强度</w:t>
            </w:r>
            <w:r>
              <w:rPr>
                <w:rFonts w:hint="default" w:ascii="Times New Roman" w:hAnsi="Times New Roman" w:eastAsia="宋体" w:cs="Times New Roman"/>
                <w:color w:val="auto"/>
                <w:sz w:val="24"/>
                <w:szCs w:val="24"/>
                <w:highlight w:val="none"/>
                <w:lang w:val="en-US" w:eastAsia="zh-CN"/>
              </w:rPr>
              <w:t>及噪声</w:t>
            </w:r>
            <w:r>
              <w:rPr>
                <w:rFonts w:hint="default" w:ascii="Times New Roman" w:hAnsi="Times New Roman" w:eastAsia="宋体" w:cs="Times New Roman"/>
                <w:color w:val="auto"/>
                <w:sz w:val="24"/>
                <w:szCs w:val="24"/>
                <w:highlight w:val="none"/>
              </w:rPr>
              <w:t>均满足评价标准的要求。</w:t>
            </w:r>
          </w:p>
          <w:p w14:paraId="43148B9E">
            <w:p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eastAsia="宋体" w:cs="Times New Roman"/>
                <w:color w:val="auto"/>
                <w:kern w:val="2"/>
                <w:sz w:val="24"/>
                <w:szCs w:val="24"/>
                <w:highlight w:val="none"/>
              </w:rPr>
              <w:t>这些防治措施大部分是已运行输变电工程实际运行经验，结合国家环境保护要求而设计的</w:t>
            </w:r>
            <w:r>
              <w:rPr>
                <w:rFonts w:hint="default" w:ascii="Times New Roman" w:hAnsi="Times New Roman" w:cs="Times New Roman"/>
                <w:color w:val="auto"/>
                <w:sz w:val="24"/>
                <w:highlight w:val="none"/>
                <w:lang w:eastAsia="zh-CN"/>
              </w:rPr>
              <w:t>，因此在技术上可行，经济上合理，</w:t>
            </w:r>
            <w:r>
              <w:rPr>
                <w:rFonts w:hint="default" w:ascii="Times New Roman" w:hAnsi="Times New Roman" w:cs="Times New Roman"/>
                <w:color w:val="auto"/>
                <w:sz w:val="24"/>
                <w:highlight w:val="none"/>
                <w:lang w:val="en-US" w:eastAsia="zh-CN"/>
              </w:rPr>
              <w:t>在本项目环保投资中</w:t>
            </w:r>
            <w:r>
              <w:rPr>
                <w:rFonts w:hint="default" w:ascii="Times New Roman" w:hAnsi="Times New Roman" w:cs="Times New Roman"/>
                <w:color w:val="auto"/>
                <w:sz w:val="24"/>
                <w:highlight w:val="none"/>
                <w:lang w:eastAsia="zh-CN"/>
              </w:rPr>
              <w:t>明确了本项目各环境保护措施实施阶段、责任主体、具体实施方案、各阶段需采取的环境保护措施及环保投资金额，可保障本项目设计期、施工期、运行期各阶段生态保护措施和修复效果的落实。</w:t>
            </w:r>
          </w:p>
        </w:tc>
      </w:tr>
      <w:tr w14:paraId="48C0E4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80" w:type="dxa"/>
            <w:noWrap w:val="0"/>
            <w:vAlign w:val="center"/>
          </w:tcPr>
          <w:p w14:paraId="2DDE9816">
            <w:pPr>
              <w:adjustRightInd w:val="0"/>
              <w:snapToGrid w:val="0"/>
              <w:spacing w:before="120" w:beforeLines="50" w:after="120" w:afterLines="50"/>
              <w:jc w:val="center"/>
              <w:rPr>
                <w:rFonts w:hint="default" w:ascii="Times New Roman" w:hAnsi="Times New Roman" w:cs="Times New Roman"/>
                <w:bCs/>
                <w:color w:val="auto"/>
                <w:spacing w:val="10"/>
                <w:szCs w:val="21"/>
                <w:highlight w:val="none"/>
              </w:rPr>
            </w:pPr>
            <w:r>
              <w:rPr>
                <w:rFonts w:hint="default" w:ascii="Times New Roman" w:hAnsi="Times New Roman" w:cs="Times New Roman"/>
                <w:bCs/>
                <w:color w:val="auto"/>
                <w:sz w:val="24"/>
                <w:highlight w:val="none"/>
              </w:rPr>
              <w:t>其他</w:t>
            </w:r>
          </w:p>
        </w:tc>
        <w:tc>
          <w:tcPr>
            <w:tcW w:w="8585" w:type="dxa"/>
            <w:noWrap w:val="0"/>
            <w:vAlign w:val="top"/>
          </w:tcPr>
          <w:p w14:paraId="2BEF264A">
            <w:pPr>
              <w:keepNext w:val="0"/>
              <w:keepLines w:val="0"/>
              <w:pageBreakBefore w:val="0"/>
              <w:widowControl w:val="0"/>
              <w:kinsoku/>
              <w:wordWrap/>
              <w:overflowPunct/>
              <w:topLinePunct w:val="0"/>
              <w:autoSpaceDE/>
              <w:autoSpaceDN/>
              <w:bidi w:val="0"/>
              <w:adjustRightInd w:val="0"/>
              <w:snapToGrid w:val="0"/>
              <w:spacing w:before="120" w:beforeLines="50" w:after="120" w:afterLines="50" w:line="360" w:lineRule="auto"/>
              <w:ind w:firstLine="520" w:firstLineChars="200"/>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bCs/>
                <w:color w:val="auto"/>
                <w:spacing w:val="10"/>
                <w:sz w:val="24"/>
                <w:highlight w:val="none"/>
              </w:rPr>
              <w:t>无</w:t>
            </w:r>
          </w:p>
        </w:tc>
      </w:tr>
      <w:tr w14:paraId="57EA56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0" w:hRule="atLeast"/>
          <w:jc w:val="center"/>
        </w:trPr>
        <w:tc>
          <w:tcPr>
            <w:tcW w:w="780" w:type="dxa"/>
            <w:noWrap w:val="0"/>
            <w:vAlign w:val="center"/>
          </w:tcPr>
          <w:p w14:paraId="591CDF79">
            <w:pPr>
              <w:adjustRightInd w:val="0"/>
              <w:snapToGrid w:val="0"/>
              <w:jc w:val="center"/>
              <w:rPr>
                <w:rFonts w:hint="default" w:ascii="Times New Roman" w:hAnsi="Times New Roman" w:cs="Times New Roman"/>
                <w:bCs/>
                <w:color w:val="auto"/>
                <w:spacing w:val="10"/>
                <w:szCs w:val="21"/>
                <w:highlight w:val="none"/>
              </w:rPr>
            </w:pPr>
            <w:r>
              <w:rPr>
                <w:rFonts w:hint="default" w:ascii="Times New Roman" w:hAnsi="Times New Roman" w:cs="Times New Roman"/>
                <w:bCs/>
                <w:color w:val="auto"/>
                <w:sz w:val="24"/>
                <w:highlight w:val="none"/>
              </w:rPr>
              <w:t>环保投资</w:t>
            </w:r>
          </w:p>
        </w:tc>
        <w:tc>
          <w:tcPr>
            <w:tcW w:w="8585" w:type="dxa"/>
            <w:noWrap w:val="0"/>
            <w:vAlign w:val="top"/>
          </w:tcPr>
          <w:p w14:paraId="31ED292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highlight w:val="none"/>
              </w:rPr>
              <w:t>总投资</w:t>
            </w:r>
            <w:r>
              <w:rPr>
                <w:rFonts w:hint="default" w:ascii="Times New Roman" w:hAnsi="Times New Roman" w:cs="Times New Roman"/>
                <w:color w:val="auto"/>
                <w:sz w:val="24"/>
                <w:highlight w:val="none"/>
                <w:lang w:val="en-US" w:eastAsia="zh-CN"/>
              </w:rPr>
              <w:t>3453</w:t>
            </w:r>
            <w:r>
              <w:rPr>
                <w:rFonts w:hint="default" w:ascii="Times New Roman" w:hAnsi="Times New Roman" w:cs="Times New Roman"/>
                <w:color w:val="auto"/>
                <w:sz w:val="24"/>
                <w:highlight w:val="none"/>
              </w:rPr>
              <w:t>万元，</w:t>
            </w:r>
            <w:r>
              <w:rPr>
                <w:rFonts w:hint="default" w:ascii="Times New Roman" w:hAnsi="Times New Roman" w:cs="Times New Roman"/>
                <w:color w:val="auto"/>
                <w:sz w:val="24"/>
                <w:szCs w:val="24"/>
                <w:highlight w:val="none"/>
              </w:rPr>
              <w:t>环保投资为</w:t>
            </w:r>
            <w:r>
              <w:rPr>
                <w:rFonts w:hint="default" w:ascii="Times New Roman" w:hAnsi="Times New Roman" w:cs="Times New Roman"/>
                <w:color w:val="auto"/>
                <w:sz w:val="24"/>
                <w:szCs w:val="24"/>
                <w:highlight w:val="none"/>
                <w:lang w:val="en-US" w:eastAsia="zh-CN"/>
              </w:rPr>
              <w:t>101</w:t>
            </w:r>
            <w:r>
              <w:rPr>
                <w:rFonts w:hint="default" w:ascii="Times New Roman" w:hAnsi="Times New Roman" w:cs="Times New Roman"/>
                <w:color w:val="auto"/>
                <w:sz w:val="24"/>
                <w:szCs w:val="24"/>
                <w:highlight w:val="none"/>
              </w:rPr>
              <w:t>万元，占项</w:t>
            </w:r>
            <w:r>
              <w:rPr>
                <w:rFonts w:hint="default" w:ascii="Times New Roman" w:hAnsi="Times New Roman" w:cs="Times New Roman"/>
                <w:color w:val="auto"/>
                <w:sz w:val="24"/>
                <w:highlight w:val="none"/>
              </w:rPr>
              <w:t>目总投资的</w:t>
            </w:r>
            <w:r>
              <w:rPr>
                <w:rFonts w:hint="default" w:ascii="Times New Roman" w:hAnsi="Times New Roman" w:cs="Times New Roman"/>
                <w:color w:val="auto"/>
                <w:sz w:val="24"/>
                <w:highlight w:val="none"/>
                <w:lang w:val="en-US" w:eastAsia="zh-CN"/>
              </w:rPr>
              <w:t>2.92</w:t>
            </w:r>
            <w:r>
              <w:rPr>
                <w:rFonts w:hint="default" w:ascii="Times New Roman" w:hAnsi="Times New Roman" w:cs="Times New Roman"/>
                <w:color w:val="auto"/>
                <w:sz w:val="24"/>
                <w:highlight w:val="none"/>
              </w:rPr>
              <w:t>%。本项目环保投资见表5-2。</w:t>
            </w:r>
          </w:p>
          <w:p w14:paraId="2ECBFA90">
            <w:pPr>
              <w:jc w:val="center"/>
              <w:rPr>
                <w:rFonts w:hint="default" w:ascii="Times New Roman" w:hAnsi="Times New Roman" w:eastAsia="黑体" w:cs="Times New Roman"/>
                <w:b/>
                <w:bCs/>
                <w:color w:val="auto"/>
                <w:sz w:val="24"/>
                <w:highlight w:val="none"/>
              </w:rPr>
            </w:pPr>
            <w:r>
              <w:rPr>
                <w:rFonts w:hint="default" w:ascii="Times New Roman" w:hAnsi="Times New Roman" w:eastAsia="黑体" w:cs="Times New Roman"/>
                <w:b/>
                <w:bCs/>
                <w:color w:val="auto"/>
                <w:sz w:val="24"/>
                <w:highlight w:val="none"/>
              </w:rPr>
              <w:t xml:space="preserve">表5-2         </w:t>
            </w:r>
            <w:r>
              <w:rPr>
                <w:rFonts w:hint="default" w:ascii="Times New Roman" w:hAnsi="Times New Roman" w:eastAsia="黑体" w:cs="Times New Roman"/>
                <w:b/>
                <w:bCs/>
                <w:color w:val="auto"/>
                <w:sz w:val="24"/>
                <w:highlight w:val="none"/>
                <w:lang w:val="en-US" w:eastAsia="zh-CN"/>
              </w:rPr>
              <w:t xml:space="preserve"> </w:t>
            </w:r>
            <w:r>
              <w:rPr>
                <w:rFonts w:hint="default" w:ascii="Times New Roman" w:hAnsi="Times New Roman" w:eastAsia="黑体" w:cs="Times New Roman"/>
                <w:b/>
                <w:bCs/>
                <w:color w:val="auto"/>
                <w:sz w:val="24"/>
                <w:highlight w:val="none"/>
              </w:rPr>
              <w:t>本项目环保投资一览表          单位：万元</w:t>
            </w:r>
          </w:p>
          <w:tbl>
            <w:tblPr>
              <w:tblStyle w:val="3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3"/>
              <w:gridCol w:w="624"/>
              <w:gridCol w:w="811"/>
              <w:gridCol w:w="3127"/>
              <w:gridCol w:w="607"/>
              <w:gridCol w:w="1919"/>
              <w:gridCol w:w="709"/>
            </w:tblGrid>
            <w:tr w14:paraId="7EAC03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3" w:type="dxa"/>
                  <w:noWrap w:val="0"/>
                  <w:vAlign w:val="center"/>
                </w:tcPr>
                <w:p w14:paraId="18E96E9E">
                  <w:pPr>
                    <w:jc w:val="center"/>
                    <w:rPr>
                      <w:rFonts w:hint="default" w:ascii="Times New Roman" w:hAnsi="Times New Roman" w:cs="Times New Roman"/>
                      <w:b/>
                      <w:bCs/>
                      <w:color w:val="auto"/>
                      <w:spacing w:val="-11"/>
                      <w:szCs w:val="21"/>
                      <w:highlight w:val="none"/>
                    </w:rPr>
                  </w:pPr>
                  <w:r>
                    <w:rPr>
                      <w:rFonts w:hint="default" w:ascii="Times New Roman" w:hAnsi="Times New Roman" w:cs="Times New Roman"/>
                      <w:b/>
                      <w:bCs/>
                      <w:color w:val="auto"/>
                      <w:spacing w:val="-11"/>
                      <w:szCs w:val="21"/>
                      <w:highlight w:val="none"/>
                    </w:rPr>
                    <w:t>序号</w:t>
                  </w:r>
                </w:p>
              </w:tc>
              <w:tc>
                <w:tcPr>
                  <w:tcW w:w="624" w:type="dxa"/>
                  <w:noWrap w:val="0"/>
                  <w:vAlign w:val="center"/>
                </w:tcPr>
                <w:p w14:paraId="0983DA6D">
                  <w:pPr>
                    <w:jc w:val="center"/>
                    <w:rPr>
                      <w:rFonts w:hint="default" w:ascii="Times New Roman" w:hAnsi="Times New Roman" w:cs="Times New Roman"/>
                      <w:b/>
                      <w:bCs/>
                      <w:color w:val="auto"/>
                      <w:spacing w:val="-11"/>
                      <w:szCs w:val="21"/>
                      <w:highlight w:val="none"/>
                    </w:rPr>
                  </w:pPr>
                  <w:r>
                    <w:rPr>
                      <w:rFonts w:hint="default" w:ascii="Times New Roman" w:hAnsi="Times New Roman" w:cs="Times New Roman"/>
                      <w:b/>
                      <w:bCs/>
                      <w:color w:val="auto"/>
                      <w:spacing w:val="-11"/>
                      <w:szCs w:val="21"/>
                      <w:highlight w:val="none"/>
                    </w:rPr>
                    <w:t>项目</w:t>
                  </w:r>
                </w:p>
                <w:p w14:paraId="68F3B64D">
                  <w:pPr>
                    <w:jc w:val="center"/>
                    <w:rPr>
                      <w:rFonts w:hint="default" w:ascii="Times New Roman" w:hAnsi="Times New Roman" w:cs="Times New Roman"/>
                      <w:b/>
                      <w:bCs/>
                      <w:color w:val="auto"/>
                      <w:spacing w:val="-11"/>
                      <w:szCs w:val="21"/>
                      <w:highlight w:val="none"/>
                    </w:rPr>
                  </w:pPr>
                  <w:r>
                    <w:rPr>
                      <w:rFonts w:hint="default" w:ascii="Times New Roman" w:hAnsi="Times New Roman" w:cs="Times New Roman"/>
                      <w:b/>
                      <w:bCs/>
                      <w:color w:val="auto"/>
                      <w:spacing w:val="-11"/>
                      <w:szCs w:val="21"/>
                      <w:highlight w:val="none"/>
                    </w:rPr>
                    <w:t>阶段</w:t>
                  </w:r>
                </w:p>
              </w:tc>
              <w:tc>
                <w:tcPr>
                  <w:tcW w:w="811" w:type="dxa"/>
                  <w:noWrap w:val="0"/>
                  <w:vAlign w:val="center"/>
                </w:tcPr>
                <w:p w14:paraId="6484E1DB">
                  <w:pPr>
                    <w:jc w:val="center"/>
                    <w:rPr>
                      <w:rFonts w:hint="default" w:ascii="Times New Roman" w:hAnsi="Times New Roman" w:cs="Times New Roman"/>
                      <w:b/>
                      <w:bCs/>
                      <w:color w:val="auto"/>
                      <w:spacing w:val="-11"/>
                      <w:szCs w:val="21"/>
                      <w:highlight w:val="none"/>
                    </w:rPr>
                  </w:pPr>
                  <w:r>
                    <w:rPr>
                      <w:rFonts w:hint="default" w:ascii="Times New Roman" w:hAnsi="Times New Roman" w:cs="Times New Roman"/>
                      <w:b/>
                      <w:bCs/>
                      <w:color w:val="auto"/>
                      <w:spacing w:val="-11"/>
                      <w:szCs w:val="21"/>
                      <w:highlight w:val="none"/>
                    </w:rPr>
                    <w:t>环境保护设施</w:t>
                  </w:r>
                </w:p>
              </w:tc>
              <w:tc>
                <w:tcPr>
                  <w:tcW w:w="3127" w:type="dxa"/>
                  <w:noWrap w:val="0"/>
                  <w:vAlign w:val="center"/>
                </w:tcPr>
                <w:p w14:paraId="7C3F2B02">
                  <w:pPr>
                    <w:jc w:val="center"/>
                    <w:rPr>
                      <w:rFonts w:hint="default" w:ascii="Times New Roman" w:hAnsi="Times New Roman" w:cs="Times New Roman"/>
                      <w:b/>
                      <w:bCs/>
                      <w:color w:val="auto"/>
                      <w:spacing w:val="-11"/>
                      <w:szCs w:val="21"/>
                      <w:highlight w:val="none"/>
                    </w:rPr>
                  </w:pPr>
                  <w:r>
                    <w:rPr>
                      <w:rFonts w:hint="default" w:ascii="Times New Roman" w:hAnsi="Times New Roman" w:cs="Times New Roman"/>
                      <w:b/>
                      <w:bCs/>
                      <w:color w:val="auto"/>
                      <w:spacing w:val="-11"/>
                      <w:szCs w:val="21"/>
                      <w:highlight w:val="none"/>
                    </w:rPr>
                    <w:t>环境保护措施</w:t>
                  </w:r>
                </w:p>
              </w:tc>
              <w:tc>
                <w:tcPr>
                  <w:tcW w:w="607" w:type="dxa"/>
                  <w:noWrap w:val="0"/>
                  <w:vAlign w:val="center"/>
                </w:tcPr>
                <w:p w14:paraId="242BE455">
                  <w:pPr>
                    <w:jc w:val="center"/>
                    <w:rPr>
                      <w:rFonts w:hint="default" w:ascii="Times New Roman" w:hAnsi="Times New Roman" w:cs="Times New Roman"/>
                      <w:b/>
                      <w:bCs/>
                      <w:color w:val="auto"/>
                      <w:spacing w:val="-11"/>
                      <w:szCs w:val="21"/>
                      <w:highlight w:val="none"/>
                    </w:rPr>
                  </w:pPr>
                  <w:r>
                    <w:rPr>
                      <w:rFonts w:hint="default" w:ascii="Times New Roman" w:hAnsi="Times New Roman" w:cs="Times New Roman"/>
                      <w:b/>
                      <w:bCs/>
                      <w:color w:val="auto"/>
                      <w:spacing w:val="-11"/>
                      <w:szCs w:val="21"/>
                      <w:highlight w:val="none"/>
                    </w:rPr>
                    <w:t>责任主体</w:t>
                  </w:r>
                </w:p>
              </w:tc>
              <w:tc>
                <w:tcPr>
                  <w:tcW w:w="1919" w:type="dxa"/>
                  <w:noWrap w:val="0"/>
                  <w:vAlign w:val="center"/>
                </w:tcPr>
                <w:p w14:paraId="7F51E5FA">
                  <w:pPr>
                    <w:jc w:val="center"/>
                    <w:rPr>
                      <w:rFonts w:hint="default" w:ascii="Times New Roman" w:hAnsi="Times New Roman" w:cs="Times New Roman"/>
                      <w:b/>
                      <w:bCs/>
                      <w:color w:val="auto"/>
                      <w:spacing w:val="-11"/>
                      <w:szCs w:val="21"/>
                      <w:highlight w:val="none"/>
                    </w:rPr>
                  </w:pPr>
                  <w:r>
                    <w:rPr>
                      <w:rFonts w:hint="default" w:ascii="Times New Roman" w:hAnsi="Times New Roman" w:cs="Times New Roman"/>
                      <w:b/>
                      <w:bCs/>
                      <w:color w:val="auto"/>
                      <w:spacing w:val="-11"/>
                      <w:szCs w:val="21"/>
                      <w:highlight w:val="none"/>
                    </w:rPr>
                    <w:t>实施方案</w:t>
                  </w:r>
                </w:p>
              </w:tc>
              <w:tc>
                <w:tcPr>
                  <w:tcW w:w="709" w:type="dxa"/>
                  <w:noWrap w:val="0"/>
                  <w:vAlign w:val="center"/>
                </w:tcPr>
                <w:p w14:paraId="4AEA2E13">
                  <w:pPr>
                    <w:jc w:val="center"/>
                    <w:rPr>
                      <w:rFonts w:hint="default" w:ascii="Times New Roman" w:hAnsi="Times New Roman" w:cs="Times New Roman"/>
                      <w:b/>
                      <w:bCs/>
                      <w:color w:val="auto"/>
                      <w:spacing w:val="-11"/>
                      <w:szCs w:val="21"/>
                      <w:highlight w:val="none"/>
                    </w:rPr>
                  </w:pPr>
                  <w:r>
                    <w:rPr>
                      <w:rFonts w:hint="default" w:ascii="Times New Roman" w:hAnsi="Times New Roman" w:cs="Times New Roman"/>
                      <w:b/>
                      <w:bCs/>
                      <w:color w:val="auto"/>
                      <w:spacing w:val="-11"/>
                      <w:szCs w:val="21"/>
                      <w:highlight w:val="none"/>
                    </w:rPr>
                    <w:t>投资</w:t>
                  </w:r>
                </w:p>
                <w:p w14:paraId="3CE78351">
                  <w:pPr>
                    <w:jc w:val="center"/>
                    <w:rPr>
                      <w:rFonts w:hint="default" w:ascii="Times New Roman" w:hAnsi="Times New Roman" w:cs="Times New Roman"/>
                      <w:b/>
                      <w:bCs/>
                      <w:color w:val="auto"/>
                      <w:spacing w:val="-11"/>
                      <w:szCs w:val="21"/>
                      <w:highlight w:val="none"/>
                    </w:rPr>
                  </w:pPr>
                  <w:r>
                    <w:rPr>
                      <w:rFonts w:hint="default" w:ascii="Times New Roman" w:hAnsi="Times New Roman" w:cs="Times New Roman"/>
                      <w:b/>
                      <w:bCs/>
                      <w:color w:val="auto"/>
                      <w:spacing w:val="-11"/>
                      <w:szCs w:val="21"/>
                      <w:highlight w:val="none"/>
                    </w:rPr>
                    <w:t>估算</w:t>
                  </w:r>
                </w:p>
              </w:tc>
            </w:tr>
            <w:tr w14:paraId="6ACED7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3" w:type="dxa"/>
                  <w:noWrap w:val="0"/>
                  <w:vAlign w:val="center"/>
                </w:tcPr>
                <w:p w14:paraId="7C0A2D83">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1</w:t>
                  </w:r>
                </w:p>
              </w:tc>
              <w:tc>
                <w:tcPr>
                  <w:tcW w:w="624" w:type="dxa"/>
                  <w:noWrap w:val="0"/>
                  <w:vAlign w:val="center"/>
                </w:tcPr>
                <w:p w14:paraId="0AEAECD3">
                  <w:pPr>
                    <w:jc w:val="center"/>
                    <w:rPr>
                      <w:rFonts w:hint="default" w:ascii="Times New Roman" w:hAnsi="Times New Roman" w:cs="Times New Roman"/>
                      <w:color w:val="auto"/>
                      <w:highlight w:val="none"/>
                    </w:rPr>
                  </w:pPr>
                  <w:r>
                    <w:rPr>
                      <w:rFonts w:hint="default" w:ascii="Times New Roman" w:hAnsi="Times New Roman" w:cs="Times New Roman"/>
                      <w:color w:val="auto"/>
                      <w:spacing w:val="-11"/>
                      <w:szCs w:val="21"/>
                      <w:highlight w:val="none"/>
                    </w:rPr>
                    <w:t>设</w:t>
                  </w:r>
                </w:p>
                <w:p w14:paraId="35E38E63">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计</w:t>
                  </w:r>
                </w:p>
                <w:p w14:paraId="77659B07">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期</w:t>
                  </w:r>
                </w:p>
              </w:tc>
              <w:tc>
                <w:tcPr>
                  <w:tcW w:w="811" w:type="dxa"/>
                  <w:noWrap w:val="0"/>
                  <w:vAlign w:val="center"/>
                </w:tcPr>
                <w:p w14:paraId="6FCB9802">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w:t>
                  </w:r>
                </w:p>
              </w:tc>
              <w:tc>
                <w:tcPr>
                  <w:tcW w:w="3127" w:type="dxa"/>
                  <w:noWrap w:val="0"/>
                  <w:vAlign w:val="center"/>
                </w:tcPr>
                <w:p w14:paraId="4DA52379">
                  <w:pPr>
                    <w:jc w:val="both"/>
                    <w:rPr>
                      <w:rFonts w:hint="default" w:ascii="Times New Roman" w:hAnsi="Times New Roman" w:eastAsia="宋体" w:cs="Times New Roman"/>
                      <w:color w:val="auto"/>
                      <w:spacing w:val="-11"/>
                      <w:szCs w:val="21"/>
                      <w:highlight w:val="none"/>
                      <w:lang w:eastAsia="zh-CN"/>
                    </w:rPr>
                  </w:pPr>
                  <w:r>
                    <w:rPr>
                      <w:rFonts w:hint="default" w:ascii="Times New Roman" w:hAnsi="Times New Roman" w:cs="Times New Roman"/>
                      <w:color w:val="auto"/>
                      <w:spacing w:val="-11"/>
                      <w:szCs w:val="21"/>
                      <w:highlight w:val="none"/>
                      <w:lang w:eastAsia="zh-CN"/>
                    </w:rPr>
                    <w:t>1.</w:t>
                  </w:r>
                  <w:r>
                    <w:rPr>
                      <w:rFonts w:hint="default" w:ascii="Times New Roman" w:hAnsi="Times New Roman" w:cs="Times New Roman"/>
                      <w:color w:val="auto"/>
                      <w:spacing w:val="-11"/>
                      <w:szCs w:val="21"/>
                      <w:highlight w:val="none"/>
                    </w:rPr>
                    <w:t>对项目进行环境影响评价，提出施工期、运行期各项环境保护措施；</w:t>
                  </w:r>
                  <w:r>
                    <w:rPr>
                      <w:rFonts w:hint="default" w:ascii="Times New Roman" w:hAnsi="Times New Roman" w:cs="Times New Roman"/>
                      <w:color w:val="auto"/>
                      <w:spacing w:val="-11"/>
                      <w:szCs w:val="21"/>
                      <w:highlight w:val="none"/>
                      <w:lang w:eastAsia="zh-CN"/>
                    </w:rPr>
                    <w:t>2.</w:t>
                  </w:r>
                  <w:r>
                    <w:rPr>
                      <w:rFonts w:hint="default" w:ascii="Times New Roman" w:hAnsi="Times New Roman" w:cs="Times New Roman"/>
                      <w:color w:val="auto"/>
                      <w:spacing w:val="-11"/>
                      <w:szCs w:val="21"/>
                      <w:highlight w:val="none"/>
                    </w:rPr>
                    <w:t>设计单位针对各项环保设施、措施进行设计和要求</w:t>
                  </w:r>
                  <w:r>
                    <w:rPr>
                      <w:rFonts w:hint="default" w:ascii="Times New Roman" w:hAnsi="Times New Roman" w:cs="Times New Roman"/>
                      <w:color w:val="auto"/>
                      <w:spacing w:val="-11"/>
                      <w:szCs w:val="21"/>
                      <w:highlight w:val="none"/>
                      <w:lang w:eastAsia="zh-CN"/>
                    </w:rPr>
                    <w:t>。</w:t>
                  </w:r>
                </w:p>
              </w:tc>
              <w:tc>
                <w:tcPr>
                  <w:tcW w:w="607" w:type="dxa"/>
                  <w:noWrap w:val="0"/>
                  <w:vAlign w:val="center"/>
                </w:tcPr>
                <w:p w14:paraId="4E77AF62">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建设单位</w:t>
                  </w:r>
                </w:p>
              </w:tc>
              <w:tc>
                <w:tcPr>
                  <w:tcW w:w="1919" w:type="dxa"/>
                  <w:noWrap w:val="0"/>
                  <w:vAlign w:val="center"/>
                </w:tcPr>
                <w:p w14:paraId="173E0C0E">
                  <w:pPr>
                    <w:jc w:val="both"/>
                    <w:rPr>
                      <w:rFonts w:hint="default" w:ascii="Times New Roman" w:hAnsi="Times New Roman" w:eastAsia="宋体" w:cs="Times New Roman"/>
                      <w:color w:val="auto"/>
                      <w:spacing w:val="-11"/>
                      <w:szCs w:val="21"/>
                      <w:highlight w:val="none"/>
                      <w:lang w:eastAsia="zh-CN"/>
                    </w:rPr>
                  </w:pPr>
                  <w:r>
                    <w:rPr>
                      <w:rFonts w:hint="default" w:ascii="Times New Roman" w:hAnsi="Times New Roman" w:cs="Times New Roman"/>
                      <w:color w:val="auto"/>
                      <w:spacing w:val="-11"/>
                      <w:szCs w:val="21"/>
                      <w:highlight w:val="none"/>
                    </w:rPr>
                    <w:t>环评单位、设计单位协助建设单位对项目进行</w:t>
                  </w:r>
                  <w:r>
                    <w:rPr>
                      <w:rFonts w:hint="default" w:ascii="Times New Roman" w:hAnsi="Times New Roman" w:cs="Times New Roman"/>
                      <w:color w:val="auto"/>
                      <w:spacing w:val="-11"/>
                      <w:szCs w:val="21"/>
                      <w:highlight w:val="none"/>
                      <w:lang w:val="en-US" w:eastAsia="zh-CN"/>
                    </w:rPr>
                    <w:t>环境</w:t>
                  </w:r>
                  <w:r>
                    <w:rPr>
                      <w:rFonts w:hint="default" w:ascii="Times New Roman" w:hAnsi="Times New Roman" w:cs="Times New Roman"/>
                      <w:color w:val="auto"/>
                      <w:spacing w:val="-11"/>
                      <w:szCs w:val="21"/>
                      <w:highlight w:val="none"/>
                    </w:rPr>
                    <w:t>影响评价及环境保护措施设计</w:t>
                  </w:r>
                  <w:r>
                    <w:rPr>
                      <w:rFonts w:hint="default" w:ascii="Times New Roman" w:hAnsi="Times New Roman" w:cs="Times New Roman"/>
                      <w:color w:val="auto"/>
                      <w:spacing w:val="-11"/>
                      <w:szCs w:val="21"/>
                      <w:highlight w:val="none"/>
                      <w:lang w:eastAsia="zh-CN"/>
                    </w:rPr>
                    <w:t>。</w:t>
                  </w:r>
                </w:p>
              </w:tc>
              <w:tc>
                <w:tcPr>
                  <w:tcW w:w="709" w:type="dxa"/>
                  <w:noWrap w:val="0"/>
                  <w:vAlign w:val="center"/>
                </w:tcPr>
                <w:p w14:paraId="08951C87">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5.0</w:t>
                  </w:r>
                </w:p>
              </w:tc>
            </w:tr>
            <w:tr w14:paraId="155DA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3" w:type="dxa"/>
                  <w:vMerge w:val="restart"/>
                  <w:noWrap w:val="0"/>
                  <w:vAlign w:val="center"/>
                </w:tcPr>
                <w:p w14:paraId="1D5867AE">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2</w:t>
                  </w:r>
                </w:p>
              </w:tc>
              <w:tc>
                <w:tcPr>
                  <w:tcW w:w="624" w:type="dxa"/>
                  <w:vMerge w:val="restart"/>
                  <w:noWrap w:val="0"/>
                  <w:vAlign w:val="center"/>
                </w:tcPr>
                <w:p w14:paraId="28D7B849">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施</w:t>
                  </w:r>
                </w:p>
                <w:p w14:paraId="5B23D1AF">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工</w:t>
                  </w:r>
                </w:p>
                <w:p w14:paraId="41B3B986">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期</w:t>
                  </w:r>
                </w:p>
              </w:tc>
              <w:tc>
                <w:tcPr>
                  <w:tcW w:w="811" w:type="dxa"/>
                  <w:vMerge w:val="restart"/>
                  <w:noWrap w:val="0"/>
                  <w:vAlign w:val="center"/>
                </w:tcPr>
                <w:p w14:paraId="12894155">
                  <w:pPr>
                    <w:jc w:val="both"/>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洒水车、密目网、</w:t>
                  </w:r>
                  <w:r>
                    <w:rPr>
                      <w:rFonts w:hint="eastAsia" w:cs="Times New Roman"/>
                      <w:color w:val="auto"/>
                      <w:spacing w:val="-11"/>
                      <w:szCs w:val="21"/>
                      <w:highlight w:val="none"/>
                      <w:lang w:val="en-US" w:eastAsia="zh-CN"/>
                    </w:rPr>
                    <w:t>隔声</w:t>
                  </w:r>
                  <w:r>
                    <w:rPr>
                      <w:rFonts w:hint="default" w:ascii="Times New Roman" w:hAnsi="Times New Roman" w:cs="Times New Roman"/>
                      <w:color w:val="auto"/>
                      <w:spacing w:val="-11"/>
                      <w:szCs w:val="21"/>
                      <w:highlight w:val="none"/>
                    </w:rPr>
                    <w:t>围</w:t>
                  </w:r>
                  <w:r>
                    <w:rPr>
                      <w:rFonts w:hint="default" w:ascii="Times New Roman" w:hAnsi="Times New Roman" w:cs="Times New Roman"/>
                      <w:color w:val="auto"/>
                      <w:spacing w:val="-11"/>
                      <w:szCs w:val="21"/>
                      <w:highlight w:val="none"/>
                      <w:lang w:val="en-US" w:eastAsia="zh-CN"/>
                    </w:rPr>
                    <w:t>挡</w:t>
                  </w:r>
                  <w:r>
                    <w:rPr>
                      <w:rFonts w:hint="default" w:ascii="Times New Roman" w:hAnsi="Times New Roman" w:cs="Times New Roman"/>
                      <w:color w:val="auto"/>
                      <w:spacing w:val="-11"/>
                      <w:szCs w:val="21"/>
                      <w:highlight w:val="none"/>
                    </w:rPr>
                    <w:t>、</w:t>
                  </w:r>
                  <w:r>
                    <w:rPr>
                      <w:rFonts w:hint="default" w:ascii="Times New Roman" w:hAnsi="Times New Roman" w:cs="Times New Roman"/>
                      <w:color w:val="auto"/>
                      <w:spacing w:val="-11"/>
                      <w:szCs w:val="21"/>
                      <w:highlight w:val="none"/>
                      <w:lang w:val="en-US" w:eastAsia="zh-CN"/>
                    </w:rPr>
                    <w:t>施工围栏</w:t>
                  </w:r>
                  <w:r>
                    <w:rPr>
                      <w:rFonts w:hint="default" w:ascii="Times New Roman" w:hAnsi="Times New Roman" w:cs="Times New Roman"/>
                      <w:color w:val="auto"/>
                      <w:spacing w:val="-11"/>
                      <w:szCs w:val="21"/>
                      <w:highlight w:val="none"/>
                      <w:lang w:eastAsia="zh-CN"/>
                    </w:rPr>
                    <w:t>、</w:t>
                  </w:r>
                  <w:r>
                    <w:rPr>
                      <w:rFonts w:hint="default" w:ascii="Times New Roman" w:hAnsi="Times New Roman" w:cs="Times New Roman"/>
                      <w:color w:val="auto"/>
                      <w:spacing w:val="-11"/>
                      <w:szCs w:val="21"/>
                      <w:highlight w:val="none"/>
                    </w:rPr>
                    <w:t>垃圾运输车、警示标志</w:t>
                  </w:r>
                </w:p>
              </w:tc>
              <w:tc>
                <w:tcPr>
                  <w:tcW w:w="3127" w:type="dxa"/>
                  <w:noWrap w:val="0"/>
                  <w:vAlign w:val="center"/>
                </w:tcPr>
                <w:p w14:paraId="44D462D7">
                  <w:pPr>
                    <w:jc w:val="both"/>
                    <w:rPr>
                      <w:rFonts w:hint="default" w:ascii="Times New Roman" w:hAnsi="Times New Roman" w:eastAsia="宋体" w:cs="Times New Roman"/>
                      <w:color w:val="auto"/>
                      <w:spacing w:val="-11"/>
                      <w:szCs w:val="21"/>
                      <w:highlight w:val="none"/>
                      <w:lang w:eastAsia="zh-CN"/>
                    </w:rPr>
                  </w:pPr>
                  <w:r>
                    <w:rPr>
                      <w:rFonts w:hint="default" w:ascii="Times New Roman" w:hAnsi="Times New Roman" w:cs="Times New Roman"/>
                      <w:color w:val="auto"/>
                      <w:spacing w:val="-11"/>
                      <w:szCs w:val="21"/>
                      <w:highlight w:val="none"/>
                    </w:rPr>
                    <w:t>扬尘：洒水抑尘，</w:t>
                  </w:r>
                  <w:r>
                    <w:rPr>
                      <w:rFonts w:hint="default" w:ascii="Times New Roman" w:hAnsi="Times New Roman" w:cs="Times New Roman"/>
                      <w:color w:val="auto"/>
                      <w:spacing w:val="-11"/>
                      <w:szCs w:val="21"/>
                      <w:highlight w:val="none"/>
                      <w:lang w:val="en-US" w:eastAsia="zh-CN"/>
                    </w:rPr>
                    <w:t>土方</w:t>
                  </w:r>
                  <w:r>
                    <w:rPr>
                      <w:rFonts w:hint="default" w:ascii="Times New Roman" w:hAnsi="Times New Roman" w:cs="Times New Roman"/>
                      <w:color w:val="auto"/>
                      <w:spacing w:val="-11"/>
                      <w:szCs w:val="21"/>
                      <w:highlight w:val="none"/>
                      <w:lang w:eastAsia="zh-CN"/>
                    </w:rPr>
                    <w:t>等物料集中</w:t>
                  </w:r>
                  <w:r>
                    <w:rPr>
                      <w:rFonts w:hint="default" w:ascii="Times New Roman" w:hAnsi="Times New Roman" w:cs="Times New Roman"/>
                      <w:color w:val="auto"/>
                      <w:spacing w:val="-11"/>
                      <w:szCs w:val="21"/>
                      <w:highlight w:val="none"/>
                    </w:rPr>
                    <w:t>堆放</w:t>
                  </w:r>
                  <w:r>
                    <w:rPr>
                      <w:rFonts w:hint="default" w:ascii="Times New Roman" w:hAnsi="Times New Roman" w:cs="Times New Roman"/>
                      <w:color w:val="auto"/>
                      <w:spacing w:val="-11"/>
                      <w:szCs w:val="21"/>
                      <w:highlight w:val="none"/>
                      <w:lang w:eastAsia="zh-CN"/>
                    </w:rPr>
                    <w:t>并</w:t>
                  </w:r>
                  <w:r>
                    <w:rPr>
                      <w:rFonts w:hint="default" w:ascii="Times New Roman" w:hAnsi="Times New Roman" w:cs="Times New Roman"/>
                      <w:color w:val="auto"/>
                      <w:spacing w:val="-11"/>
                      <w:szCs w:val="21"/>
                      <w:highlight w:val="none"/>
                      <w:lang w:val="en-US" w:eastAsia="zh-CN"/>
                    </w:rPr>
                    <w:t>苫盖防尘</w:t>
                  </w:r>
                  <w:r>
                    <w:rPr>
                      <w:rFonts w:hint="default" w:ascii="Times New Roman" w:hAnsi="Times New Roman" w:cs="Times New Roman"/>
                      <w:color w:val="auto"/>
                      <w:spacing w:val="-11"/>
                      <w:szCs w:val="21"/>
                      <w:highlight w:val="none"/>
                    </w:rPr>
                    <w:t>、运输车辆篷布苫盖等措施</w:t>
                  </w:r>
                  <w:r>
                    <w:rPr>
                      <w:rFonts w:hint="default" w:ascii="Times New Roman" w:hAnsi="Times New Roman" w:cs="Times New Roman"/>
                      <w:color w:val="auto"/>
                      <w:spacing w:val="-11"/>
                      <w:szCs w:val="21"/>
                      <w:highlight w:val="none"/>
                      <w:lang w:eastAsia="zh-CN"/>
                    </w:rPr>
                    <w:t>。</w:t>
                  </w:r>
                </w:p>
              </w:tc>
              <w:tc>
                <w:tcPr>
                  <w:tcW w:w="607" w:type="dxa"/>
                  <w:vMerge w:val="restart"/>
                  <w:noWrap w:val="0"/>
                  <w:vAlign w:val="center"/>
                </w:tcPr>
                <w:p w14:paraId="3A0858B0">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建设单位</w:t>
                  </w:r>
                </w:p>
              </w:tc>
              <w:tc>
                <w:tcPr>
                  <w:tcW w:w="1919" w:type="dxa"/>
                  <w:vMerge w:val="restart"/>
                  <w:noWrap w:val="0"/>
                  <w:vAlign w:val="center"/>
                </w:tcPr>
                <w:p w14:paraId="061CE148">
                  <w:pPr>
                    <w:numPr>
                      <w:ilvl w:val="0"/>
                      <w:numId w:val="0"/>
                    </w:numPr>
                    <w:jc w:val="both"/>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lang w:val="en-US" w:eastAsia="zh-CN"/>
                    </w:rPr>
                    <w:t>1.</w:t>
                  </w:r>
                  <w:r>
                    <w:rPr>
                      <w:rFonts w:hint="default" w:ascii="Times New Roman" w:hAnsi="Times New Roman" w:cs="Times New Roman"/>
                      <w:color w:val="auto"/>
                      <w:spacing w:val="-11"/>
                      <w:szCs w:val="21"/>
                      <w:highlight w:val="none"/>
                    </w:rPr>
                    <w:t>建设单位将环境保护要求纳入施工承包合同中，应在施工场地派驻专人负责环境保护管理工作，监督各项环境保护措施的落实；</w:t>
                  </w:r>
                </w:p>
                <w:p w14:paraId="7274447F">
                  <w:pPr>
                    <w:numPr>
                      <w:ilvl w:val="0"/>
                      <w:numId w:val="0"/>
                    </w:numPr>
                    <w:jc w:val="both"/>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lang w:val="en-US" w:eastAsia="zh-CN"/>
                    </w:rPr>
                    <w:t>2.</w:t>
                  </w:r>
                  <w:r>
                    <w:rPr>
                      <w:rFonts w:hint="default" w:ascii="Times New Roman" w:hAnsi="Times New Roman" w:cs="Times New Roman"/>
                      <w:color w:val="auto"/>
                      <w:spacing w:val="-11"/>
                      <w:szCs w:val="21"/>
                      <w:highlight w:val="none"/>
                    </w:rPr>
                    <w:t>施工单位组织施工人员进行环境保护培训，加强环境保护意识，严格按照环境影响评价及环境保护专项设计落实各项环保措施。</w:t>
                  </w:r>
                </w:p>
                <w:p w14:paraId="63B4C8A4">
                  <w:pPr>
                    <w:jc w:val="both"/>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lang w:eastAsia="zh-CN"/>
                    </w:rPr>
                    <w:t>3.</w:t>
                  </w:r>
                  <w:r>
                    <w:rPr>
                      <w:rFonts w:hint="default" w:ascii="Times New Roman" w:hAnsi="Times New Roman" w:cs="Times New Roman"/>
                      <w:color w:val="auto"/>
                      <w:spacing w:val="-11"/>
                      <w:szCs w:val="21"/>
                      <w:highlight w:val="none"/>
                    </w:rPr>
                    <w:t>施工结束后，建设单位组织项目进行竣工环境保护验收。</w:t>
                  </w:r>
                </w:p>
              </w:tc>
              <w:tc>
                <w:tcPr>
                  <w:tcW w:w="709" w:type="dxa"/>
                  <w:noWrap w:val="0"/>
                  <w:vAlign w:val="center"/>
                </w:tcPr>
                <w:p w14:paraId="28D3A212">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3.0</w:t>
                  </w:r>
                </w:p>
              </w:tc>
            </w:tr>
            <w:tr w14:paraId="1BB18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3" w:type="dxa"/>
                  <w:vMerge w:val="continue"/>
                  <w:noWrap w:val="0"/>
                  <w:vAlign w:val="center"/>
                </w:tcPr>
                <w:p w14:paraId="41B0B34C">
                  <w:pPr>
                    <w:jc w:val="center"/>
                    <w:rPr>
                      <w:rFonts w:hint="default" w:ascii="Times New Roman" w:hAnsi="Times New Roman" w:cs="Times New Roman"/>
                      <w:color w:val="auto"/>
                      <w:spacing w:val="-11"/>
                      <w:szCs w:val="21"/>
                      <w:highlight w:val="none"/>
                    </w:rPr>
                  </w:pPr>
                </w:p>
              </w:tc>
              <w:tc>
                <w:tcPr>
                  <w:tcW w:w="624" w:type="dxa"/>
                  <w:vMerge w:val="continue"/>
                  <w:noWrap w:val="0"/>
                  <w:vAlign w:val="center"/>
                </w:tcPr>
                <w:p w14:paraId="71C3474F">
                  <w:pPr>
                    <w:jc w:val="center"/>
                    <w:rPr>
                      <w:rFonts w:hint="default" w:ascii="Times New Roman" w:hAnsi="Times New Roman" w:cs="Times New Roman"/>
                      <w:color w:val="auto"/>
                      <w:spacing w:val="-11"/>
                      <w:szCs w:val="21"/>
                      <w:highlight w:val="none"/>
                    </w:rPr>
                  </w:pPr>
                </w:p>
              </w:tc>
              <w:tc>
                <w:tcPr>
                  <w:tcW w:w="811" w:type="dxa"/>
                  <w:vMerge w:val="continue"/>
                  <w:noWrap w:val="0"/>
                  <w:vAlign w:val="center"/>
                </w:tcPr>
                <w:p w14:paraId="02EB3170">
                  <w:pPr>
                    <w:jc w:val="center"/>
                    <w:rPr>
                      <w:rFonts w:hint="default" w:ascii="Times New Roman" w:hAnsi="Times New Roman" w:cs="Times New Roman"/>
                      <w:color w:val="auto"/>
                      <w:spacing w:val="-11"/>
                      <w:szCs w:val="21"/>
                      <w:highlight w:val="none"/>
                    </w:rPr>
                  </w:pPr>
                </w:p>
              </w:tc>
              <w:tc>
                <w:tcPr>
                  <w:tcW w:w="3127" w:type="dxa"/>
                  <w:noWrap w:val="0"/>
                  <w:vAlign w:val="center"/>
                </w:tcPr>
                <w:p w14:paraId="7BB1B09F">
                  <w:pPr>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生活污水：施工人员依托居住地污水处理措施处理</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sz w:val="21"/>
                      <w:szCs w:val="21"/>
                      <w:highlight w:val="none"/>
                      <w:lang w:val="en-US" w:eastAsia="zh-CN"/>
                    </w:rPr>
                    <w:t>变电站内依托站内已建的化粪池</w:t>
                  </w:r>
                  <w:r>
                    <w:rPr>
                      <w:rFonts w:hint="default" w:ascii="Times New Roman" w:hAnsi="Times New Roman" w:cs="Times New Roman"/>
                      <w:color w:val="auto"/>
                      <w:highlight w:val="none"/>
                      <w:lang w:eastAsia="zh-CN"/>
                    </w:rPr>
                    <w:t>。</w:t>
                  </w:r>
                </w:p>
              </w:tc>
              <w:tc>
                <w:tcPr>
                  <w:tcW w:w="607" w:type="dxa"/>
                  <w:vMerge w:val="continue"/>
                  <w:noWrap w:val="0"/>
                  <w:vAlign w:val="center"/>
                </w:tcPr>
                <w:p w14:paraId="6AB5616A">
                  <w:pPr>
                    <w:jc w:val="center"/>
                    <w:rPr>
                      <w:rFonts w:hint="default" w:ascii="Times New Roman" w:hAnsi="Times New Roman" w:cs="Times New Roman"/>
                      <w:color w:val="auto"/>
                      <w:spacing w:val="-11"/>
                      <w:szCs w:val="21"/>
                      <w:highlight w:val="none"/>
                    </w:rPr>
                  </w:pPr>
                </w:p>
              </w:tc>
              <w:tc>
                <w:tcPr>
                  <w:tcW w:w="1919" w:type="dxa"/>
                  <w:vMerge w:val="continue"/>
                  <w:noWrap w:val="0"/>
                  <w:vAlign w:val="center"/>
                </w:tcPr>
                <w:p w14:paraId="55228972">
                  <w:pPr>
                    <w:jc w:val="center"/>
                    <w:rPr>
                      <w:rFonts w:hint="default" w:ascii="Times New Roman" w:hAnsi="Times New Roman" w:cs="Times New Roman"/>
                      <w:color w:val="auto"/>
                      <w:spacing w:val="-11"/>
                      <w:szCs w:val="21"/>
                      <w:highlight w:val="none"/>
                    </w:rPr>
                  </w:pPr>
                </w:p>
              </w:tc>
              <w:tc>
                <w:tcPr>
                  <w:tcW w:w="709" w:type="dxa"/>
                  <w:noWrap w:val="0"/>
                  <w:vAlign w:val="center"/>
                </w:tcPr>
                <w:p w14:paraId="6C330458">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0</w:t>
                  </w:r>
                </w:p>
              </w:tc>
            </w:tr>
            <w:tr w14:paraId="3A135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3" w:type="dxa"/>
                  <w:vMerge w:val="continue"/>
                  <w:noWrap w:val="0"/>
                  <w:vAlign w:val="center"/>
                </w:tcPr>
                <w:p w14:paraId="2FCD4C13">
                  <w:pPr>
                    <w:jc w:val="center"/>
                    <w:rPr>
                      <w:rFonts w:hint="default" w:ascii="Times New Roman" w:hAnsi="Times New Roman" w:cs="Times New Roman"/>
                      <w:color w:val="auto"/>
                      <w:spacing w:val="-11"/>
                      <w:szCs w:val="21"/>
                      <w:highlight w:val="none"/>
                    </w:rPr>
                  </w:pPr>
                </w:p>
              </w:tc>
              <w:tc>
                <w:tcPr>
                  <w:tcW w:w="624" w:type="dxa"/>
                  <w:vMerge w:val="continue"/>
                  <w:noWrap w:val="0"/>
                  <w:vAlign w:val="center"/>
                </w:tcPr>
                <w:p w14:paraId="77F50A46">
                  <w:pPr>
                    <w:jc w:val="center"/>
                    <w:rPr>
                      <w:rFonts w:hint="default" w:ascii="Times New Roman" w:hAnsi="Times New Roman" w:cs="Times New Roman"/>
                      <w:color w:val="auto"/>
                      <w:spacing w:val="-11"/>
                      <w:szCs w:val="21"/>
                      <w:highlight w:val="none"/>
                    </w:rPr>
                  </w:pPr>
                </w:p>
              </w:tc>
              <w:tc>
                <w:tcPr>
                  <w:tcW w:w="811" w:type="dxa"/>
                  <w:vMerge w:val="continue"/>
                  <w:noWrap w:val="0"/>
                  <w:vAlign w:val="center"/>
                </w:tcPr>
                <w:p w14:paraId="1C84840C">
                  <w:pPr>
                    <w:jc w:val="center"/>
                    <w:rPr>
                      <w:rFonts w:hint="default" w:ascii="Times New Roman" w:hAnsi="Times New Roman" w:cs="Times New Roman"/>
                      <w:color w:val="auto"/>
                      <w:spacing w:val="-11"/>
                      <w:szCs w:val="21"/>
                      <w:highlight w:val="none"/>
                    </w:rPr>
                  </w:pPr>
                </w:p>
              </w:tc>
              <w:tc>
                <w:tcPr>
                  <w:tcW w:w="3127" w:type="dxa"/>
                  <w:noWrap w:val="0"/>
                  <w:vAlign w:val="center"/>
                </w:tcPr>
                <w:p w14:paraId="1B86169F">
                  <w:pPr>
                    <w:jc w:val="both"/>
                    <w:rPr>
                      <w:rFonts w:hint="default" w:ascii="Times New Roman" w:hAnsi="Times New Roman" w:eastAsia="宋体" w:cs="Times New Roman"/>
                      <w:color w:val="auto"/>
                      <w:spacing w:val="-11"/>
                      <w:szCs w:val="21"/>
                      <w:highlight w:val="none"/>
                      <w:lang w:eastAsia="zh-CN"/>
                    </w:rPr>
                  </w:pPr>
                  <w:r>
                    <w:rPr>
                      <w:rFonts w:hint="default" w:ascii="Times New Roman" w:hAnsi="Times New Roman" w:cs="Times New Roman"/>
                      <w:color w:val="auto"/>
                      <w:spacing w:val="-11"/>
                      <w:szCs w:val="21"/>
                      <w:highlight w:val="none"/>
                    </w:rPr>
                    <w:t>噪声：选用低噪声设备，加强施工设备保养等措施</w:t>
                  </w:r>
                  <w:r>
                    <w:rPr>
                      <w:rFonts w:hint="default" w:ascii="Times New Roman" w:hAnsi="Times New Roman" w:cs="Times New Roman"/>
                      <w:color w:val="auto"/>
                      <w:spacing w:val="-11"/>
                      <w:szCs w:val="21"/>
                      <w:highlight w:val="none"/>
                      <w:lang w:eastAsia="zh-CN"/>
                    </w:rPr>
                    <w:t>；</w:t>
                  </w:r>
                  <w:r>
                    <w:rPr>
                      <w:rFonts w:hint="default" w:ascii="Times New Roman" w:hAnsi="Times New Roman" w:eastAsia="宋体" w:cs="Times New Roman"/>
                      <w:color w:val="auto"/>
                      <w:sz w:val="21"/>
                      <w:szCs w:val="21"/>
                      <w:highlight w:val="none"/>
                      <w:lang w:val="en-US" w:eastAsia="zh-CN"/>
                    </w:rPr>
                    <w:t>限制车速、禁止鸣笛</w:t>
                  </w:r>
                  <w:r>
                    <w:rPr>
                      <w:rFonts w:hint="default" w:ascii="Times New Roman" w:hAnsi="Times New Roman" w:cs="Times New Roman"/>
                      <w:color w:val="auto"/>
                      <w:spacing w:val="-11"/>
                      <w:szCs w:val="21"/>
                      <w:highlight w:val="none"/>
                      <w:lang w:eastAsia="zh-CN"/>
                    </w:rPr>
                    <w:t>。输电线路塔基施工区域临近声敏感目标时，施工区域应设置不低于2.5m高的隔声围挡</w:t>
                  </w:r>
                  <w:r>
                    <w:rPr>
                      <w:rFonts w:hint="default" w:ascii="Times New Roman" w:hAnsi="Times New Roman" w:eastAsia="宋体" w:cs="Times New Roman"/>
                      <w:color w:val="auto"/>
                      <w:szCs w:val="21"/>
                      <w:lang w:val="en-US" w:eastAsia="zh-CN"/>
                    </w:rPr>
                    <w:t>。</w:t>
                  </w:r>
                </w:p>
              </w:tc>
              <w:tc>
                <w:tcPr>
                  <w:tcW w:w="607" w:type="dxa"/>
                  <w:vMerge w:val="continue"/>
                  <w:noWrap w:val="0"/>
                  <w:vAlign w:val="center"/>
                </w:tcPr>
                <w:p w14:paraId="4F1EA7E6">
                  <w:pPr>
                    <w:jc w:val="center"/>
                    <w:rPr>
                      <w:rFonts w:hint="default" w:ascii="Times New Roman" w:hAnsi="Times New Roman" w:cs="Times New Roman"/>
                      <w:color w:val="auto"/>
                      <w:spacing w:val="-11"/>
                      <w:szCs w:val="21"/>
                      <w:highlight w:val="none"/>
                    </w:rPr>
                  </w:pPr>
                </w:p>
              </w:tc>
              <w:tc>
                <w:tcPr>
                  <w:tcW w:w="1919" w:type="dxa"/>
                  <w:vMerge w:val="continue"/>
                  <w:noWrap w:val="0"/>
                  <w:vAlign w:val="center"/>
                </w:tcPr>
                <w:p w14:paraId="510FBE40">
                  <w:pPr>
                    <w:jc w:val="center"/>
                    <w:rPr>
                      <w:rFonts w:hint="default" w:ascii="Times New Roman" w:hAnsi="Times New Roman" w:cs="Times New Roman"/>
                      <w:color w:val="auto"/>
                      <w:spacing w:val="-11"/>
                      <w:szCs w:val="21"/>
                      <w:highlight w:val="none"/>
                    </w:rPr>
                  </w:pPr>
                </w:p>
              </w:tc>
              <w:tc>
                <w:tcPr>
                  <w:tcW w:w="709" w:type="dxa"/>
                  <w:noWrap w:val="0"/>
                  <w:vAlign w:val="center"/>
                </w:tcPr>
                <w:p w14:paraId="19E905F8">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5.0</w:t>
                  </w:r>
                </w:p>
              </w:tc>
            </w:tr>
            <w:tr w14:paraId="53188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3" w:type="dxa"/>
                  <w:vMerge w:val="continue"/>
                  <w:noWrap w:val="0"/>
                  <w:vAlign w:val="center"/>
                </w:tcPr>
                <w:p w14:paraId="7088EE19">
                  <w:pPr>
                    <w:jc w:val="center"/>
                    <w:rPr>
                      <w:rFonts w:hint="default" w:ascii="Times New Roman" w:hAnsi="Times New Roman" w:cs="Times New Roman"/>
                      <w:color w:val="auto"/>
                      <w:spacing w:val="-11"/>
                      <w:szCs w:val="21"/>
                      <w:highlight w:val="none"/>
                    </w:rPr>
                  </w:pPr>
                </w:p>
              </w:tc>
              <w:tc>
                <w:tcPr>
                  <w:tcW w:w="624" w:type="dxa"/>
                  <w:vMerge w:val="continue"/>
                  <w:noWrap w:val="0"/>
                  <w:vAlign w:val="center"/>
                </w:tcPr>
                <w:p w14:paraId="05E825B4">
                  <w:pPr>
                    <w:jc w:val="center"/>
                    <w:rPr>
                      <w:rFonts w:hint="default" w:ascii="Times New Roman" w:hAnsi="Times New Roman" w:cs="Times New Roman"/>
                      <w:color w:val="auto"/>
                      <w:spacing w:val="-11"/>
                      <w:szCs w:val="21"/>
                      <w:highlight w:val="none"/>
                    </w:rPr>
                  </w:pPr>
                </w:p>
              </w:tc>
              <w:tc>
                <w:tcPr>
                  <w:tcW w:w="811" w:type="dxa"/>
                  <w:vMerge w:val="continue"/>
                  <w:noWrap w:val="0"/>
                  <w:vAlign w:val="center"/>
                </w:tcPr>
                <w:p w14:paraId="776B6E18">
                  <w:pPr>
                    <w:jc w:val="center"/>
                    <w:rPr>
                      <w:rFonts w:hint="default" w:ascii="Times New Roman" w:hAnsi="Times New Roman" w:cs="Times New Roman"/>
                      <w:color w:val="auto"/>
                      <w:spacing w:val="-11"/>
                      <w:szCs w:val="21"/>
                      <w:highlight w:val="none"/>
                    </w:rPr>
                  </w:pPr>
                </w:p>
              </w:tc>
              <w:tc>
                <w:tcPr>
                  <w:tcW w:w="3127" w:type="dxa"/>
                  <w:noWrap w:val="0"/>
                  <w:vAlign w:val="center"/>
                </w:tcPr>
                <w:p w14:paraId="2B8ABA40">
                  <w:pPr>
                    <w:jc w:val="both"/>
                    <w:rPr>
                      <w:rFonts w:hint="default" w:ascii="Times New Roman" w:hAnsi="Times New Roman" w:cs="Times New Roman"/>
                      <w:color w:val="auto"/>
                      <w:spacing w:val="-11"/>
                      <w:szCs w:val="21"/>
                      <w:highlight w:val="none"/>
                    </w:rPr>
                  </w:pPr>
                  <w:r>
                    <w:rPr>
                      <w:rFonts w:hint="default" w:ascii="Times New Roman" w:hAnsi="Times New Roman" w:eastAsia="宋体" w:cs="Times New Roman"/>
                      <w:color w:val="auto"/>
                      <w:spacing w:val="-11"/>
                      <w:szCs w:val="21"/>
                      <w:highlight w:val="none"/>
                    </w:rPr>
                    <w:t>固废：</w:t>
                  </w:r>
                  <w:r>
                    <w:rPr>
                      <w:rFonts w:hint="default" w:ascii="Times New Roman" w:hAnsi="Times New Roman" w:eastAsia="宋体" w:cs="Times New Roman"/>
                      <w:color w:val="auto"/>
                      <w:sz w:val="21"/>
                      <w:szCs w:val="21"/>
                      <w:lang w:val="en-US" w:eastAsia="zh-CN"/>
                    </w:rPr>
                    <w:t>间隔扩建工程</w:t>
                  </w:r>
                  <w:r>
                    <w:rPr>
                      <w:rFonts w:hint="eastAsia" w:cs="Times New Roman"/>
                      <w:color w:val="auto"/>
                      <w:sz w:val="21"/>
                      <w:szCs w:val="21"/>
                      <w:lang w:val="en-US" w:eastAsia="zh-CN"/>
                    </w:rPr>
                    <w:t>产生的</w:t>
                  </w:r>
                  <w:r>
                    <w:rPr>
                      <w:rFonts w:hint="eastAsia" w:cs="Times New Roman"/>
                      <w:color w:val="auto"/>
                      <w:sz w:val="21"/>
                      <w:szCs w:val="21"/>
                      <w:highlight w:val="none"/>
                      <w:vertAlign w:val="baseline"/>
                      <w:lang w:val="en-US" w:eastAsia="zh-CN"/>
                    </w:rPr>
                    <w:t>余</w:t>
                  </w:r>
                  <w:r>
                    <w:rPr>
                      <w:rFonts w:hint="default" w:ascii="Times New Roman" w:hAnsi="Times New Roman" w:cs="Times New Roman"/>
                      <w:color w:val="auto"/>
                      <w:sz w:val="21"/>
                      <w:szCs w:val="21"/>
                      <w:highlight w:val="none"/>
                      <w:vertAlign w:val="baseline"/>
                      <w:lang w:val="en-US" w:eastAsia="zh-CN"/>
                    </w:rPr>
                    <w:t>方由施工单位运至</w:t>
                  </w:r>
                  <w:r>
                    <w:rPr>
                      <w:rFonts w:hint="default" w:ascii="Times New Roman" w:hAnsi="Times New Roman" w:cs="Times New Roman"/>
                      <w:color w:val="auto"/>
                      <w:sz w:val="21"/>
                      <w:szCs w:val="21"/>
                      <w:highlight w:val="none"/>
                      <w:lang w:val="en-US" w:eastAsia="zh-CN"/>
                    </w:rPr>
                    <w:t>输电线路塔基及施工作业区</w:t>
                  </w:r>
                  <w:r>
                    <w:rPr>
                      <w:rFonts w:hint="eastAsia" w:cs="Times New Roman"/>
                      <w:color w:val="auto"/>
                      <w:sz w:val="21"/>
                      <w:szCs w:val="21"/>
                      <w:highlight w:val="none"/>
                      <w:lang w:val="en-US" w:eastAsia="zh-CN"/>
                    </w:rPr>
                    <w:t>场地平整使用</w:t>
                  </w:r>
                  <w:r>
                    <w:rPr>
                      <w:rFonts w:hint="default" w:ascii="Times New Roman" w:hAnsi="Times New Roman" w:eastAsia="宋体" w:cs="Times New Roman"/>
                      <w:color w:val="auto"/>
                      <w:spacing w:val="9"/>
                      <w:sz w:val="21"/>
                      <w:szCs w:val="21"/>
                      <w:highlight w:val="none"/>
                      <w:lang w:val="en-US" w:eastAsia="zh-CN"/>
                    </w:rPr>
                    <w:t>；</w:t>
                  </w:r>
                  <w:r>
                    <w:rPr>
                      <w:rFonts w:hint="default" w:ascii="Times New Roman" w:hAnsi="Times New Roman" w:cs="Times New Roman"/>
                      <w:color w:val="auto"/>
                      <w:spacing w:val="-11"/>
                      <w:szCs w:val="21"/>
                      <w:highlight w:val="none"/>
                      <w:lang w:val="en-US" w:eastAsia="zh-CN"/>
                    </w:rPr>
                    <w:t>建筑垃圾编制建筑垃圾处理方案，运往政府部门指定的地点处置，并报项目所在地县级以上政府部门备案；</w:t>
                  </w:r>
                  <w:r>
                    <w:rPr>
                      <w:rFonts w:hint="default" w:ascii="Times New Roman" w:hAnsi="Times New Roman" w:eastAsia="宋体" w:cs="Times New Roman"/>
                      <w:color w:val="auto"/>
                      <w:sz w:val="21"/>
                      <w:szCs w:val="21"/>
                      <w:highlight w:val="none"/>
                      <w:lang w:val="en-US" w:eastAsia="zh-CN"/>
                    </w:rPr>
                    <w:t>拆除下来的可回收的铁塔部件交由建管单位回收利用；基础破除产生的混凝土块，运至当地环境卫生主管部门指定的地点处置。</w:t>
                  </w:r>
                </w:p>
              </w:tc>
              <w:tc>
                <w:tcPr>
                  <w:tcW w:w="607" w:type="dxa"/>
                  <w:vMerge w:val="continue"/>
                  <w:noWrap w:val="0"/>
                  <w:vAlign w:val="center"/>
                </w:tcPr>
                <w:p w14:paraId="621C612F">
                  <w:pPr>
                    <w:jc w:val="center"/>
                    <w:rPr>
                      <w:rFonts w:hint="default" w:ascii="Times New Roman" w:hAnsi="Times New Roman" w:cs="Times New Roman"/>
                      <w:color w:val="auto"/>
                      <w:spacing w:val="-11"/>
                      <w:szCs w:val="21"/>
                      <w:highlight w:val="none"/>
                    </w:rPr>
                  </w:pPr>
                </w:p>
              </w:tc>
              <w:tc>
                <w:tcPr>
                  <w:tcW w:w="1919" w:type="dxa"/>
                  <w:vMerge w:val="continue"/>
                  <w:noWrap w:val="0"/>
                  <w:vAlign w:val="center"/>
                </w:tcPr>
                <w:p w14:paraId="09934E5C">
                  <w:pPr>
                    <w:jc w:val="center"/>
                    <w:rPr>
                      <w:rFonts w:hint="default" w:ascii="Times New Roman" w:hAnsi="Times New Roman" w:cs="Times New Roman"/>
                      <w:color w:val="auto"/>
                      <w:spacing w:val="-11"/>
                      <w:szCs w:val="21"/>
                      <w:highlight w:val="none"/>
                    </w:rPr>
                  </w:pPr>
                </w:p>
              </w:tc>
              <w:tc>
                <w:tcPr>
                  <w:tcW w:w="709" w:type="dxa"/>
                  <w:noWrap w:val="0"/>
                  <w:vAlign w:val="center"/>
                </w:tcPr>
                <w:p w14:paraId="4D26A612">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10.0</w:t>
                  </w:r>
                </w:p>
              </w:tc>
            </w:tr>
            <w:tr w14:paraId="5A7D0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3" w:type="dxa"/>
                  <w:vMerge w:val="continue"/>
                  <w:noWrap w:val="0"/>
                  <w:vAlign w:val="center"/>
                </w:tcPr>
                <w:p w14:paraId="1011EC91">
                  <w:pPr>
                    <w:jc w:val="center"/>
                    <w:rPr>
                      <w:rFonts w:hint="default" w:ascii="Times New Roman" w:hAnsi="Times New Roman" w:cs="Times New Roman"/>
                      <w:color w:val="auto"/>
                      <w:spacing w:val="-11"/>
                      <w:szCs w:val="21"/>
                      <w:highlight w:val="none"/>
                    </w:rPr>
                  </w:pPr>
                </w:p>
              </w:tc>
              <w:tc>
                <w:tcPr>
                  <w:tcW w:w="624" w:type="dxa"/>
                  <w:vMerge w:val="continue"/>
                  <w:noWrap w:val="0"/>
                  <w:vAlign w:val="center"/>
                </w:tcPr>
                <w:p w14:paraId="5CFABC68">
                  <w:pPr>
                    <w:jc w:val="center"/>
                    <w:rPr>
                      <w:rFonts w:hint="default" w:ascii="Times New Roman" w:hAnsi="Times New Roman" w:cs="Times New Roman"/>
                      <w:color w:val="auto"/>
                      <w:spacing w:val="-11"/>
                      <w:szCs w:val="21"/>
                      <w:highlight w:val="none"/>
                    </w:rPr>
                  </w:pPr>
                </w:p>
              </w:tc>
              <w:tc>
                <w:tcPr>
                  <w:tcW w:w="811" w:type="dxa"/>
                  <w:vMerge w:val="continue"/>
                  <w:noWrap w:val="0"/>
                  <w:vAlign w:val="center"/>
                </w:tcPr>
                <w:p w14:paraId="2A4BC7E8">
                  <w:pPr>
                    <w:jc w:val="center"/>
                    <w:rPr>
                      <w:rFonts w:hint="default" w:ascii="Times New Roman" w:hAnsi="Times New Roman" w:cs="Times New Roman"/>
                      <w:color w:val="auto"/>
                      <w:spacing w:val="-11"/>
                      <w:szCs w:val="21"/>
                      <w:highlight w:val="none"/>
                    </w:rPr>
                  </w:pPr>
                </w:p>
              </w:tc>
              <w:tc>
                <w:tcPr>
                  <w:tcW w:w="3127" w:type="dxa"/>
                  <w:noWrap w:val="0"/>
                  <w:vAlign w:val="center"/>
                </w:tcPr>
                <w:p w14:paraId="6E78C157">
                  <w:pPr>
                    <w:jc w:val="both"/>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rPr>
                    <w:t>生态保护：</w:t>
                  </w:r>
                  <w:r>
                    <w:rPr>
                      <w:rFonts w:hint="default" w:ascii="Times New Roman" w:hAnsi="Times New Roman" w:cs="Times New Roman"/>
                      <w:color w:val="auto"/>
                      <w:spacing w:val="-11"/>
                      <w:kern w:val="0"/>
                      <w:szCs w:val="21"/>
                      <w:highlight w:val="none"/>
                      <w:lang w:val="en-US" w:eastAsia="zh-CN"/>
                    </w:rPr>
                    <w:t>架空线路施工围栏</w:t>
                  </w:r>
                  <w:r>
                    <w:rPr>
                      <w:rFonts w:hint="default" w:ascii="Times New Roman" w:hAnsi="Times New Roman" w:cs="Times New Roman"/>
                      <w:color w:val="auto"/>
                      <w:spacing w:val="-11"/>
                      <w:kern w:val="0"/>
                      <w:szCs w:val="21"/>
                      <w:highlight w:val="none"/>
                      <w:lang w:eastAsia="zh-CN"/>
                    </w:rPr>
                    <w:t>，</w:t>
                  </w:r>
                  <w:r>
                    <w:rPr>
                      <w:rFonts w:hint="default" w:ascii="Times New Roman" w:hAnsi="Times New Roman" w:cs="Times New Roman"/>
                      <w:color w:val="auto"/>
                      <w:spacing w:val="-11"/>
                      <w:kern w:val="0"/>
                      <w:szCs w:val="21"/>
                      <w:highlight w:val="none"/>
                      <w:lang w:val="en-US" w:eastAsia="zh-CN"/>
                    </w:rPr>
                    <w:t>高陡边坡支挡、加固措施；表土剥离、苫盖，堆存防护及管理</w:t>
                  </w:r>
                  <w:r>
                    <w:rPr>
                      <w:rFonts w:hint="default" w:ascii="Times New Roman" w:hAnsi="Times New Roman" w:cs="Times New Roman"/>
                      <w:color w:val="auto"/>
                      <w:spacing w:val="-11"/>
                      <w:kern w:val="0"/>
                      <w:szCs w:val="21"/>
                      <w:highlight w:val="none"/>
                    </w:rPr>
                    <w:t>、表土回填，</w:t>
                  </w:r>
                  <w:r>
                    <w:rPr>
                      <w:rFonts w:hint="default" w:ascii="Times New Roman" w:hAnsi="Times New Roman" w:cs="Times New Roman"/>
                      <w:color w:val="auto"/>
                      <w:spacing w:val="-11"/>
                      <w:kern w:val="0"/>
                      <w:szCs w:val="21"/>
                      <w:highlight w:val="none"/>
                      <w:lang w:val="en-US" w:eastAsia="zh-CN"/>
                    </w:rPr>
                    <w:t>地表隔离</w:t>
                  </w:r>
                  <w:r>
                    <w:rPr>
                      <w:rFonts w:hint="default" w:ascii="Times New Roman" w:hAnsi="Times New Roman" w:cs="Times New Roman"/>
                      <w:color w:val="auto"/>
                      <w:spacing w:val="-11"/>
                      <w:kern w:val="0"/>
                      <w:szCs w:val="21"/>
                      <w:highlight w:val="none"/>
                      <w:lang w:eastAsia="zh-CN"/>
                    </w:rPr>
                    <w:t>，</w:t>
                  </w:r>
                  <w:r>
                    <w:rPr>
                      <w:rFonts w:hint="default" w:ascii="Times New Roman" w:hAnsi="Times New Roman" w:cs="Times New Roman"/>
                      <w:color w:val="auto"/>
                      <w:spacing w:val="-11"/>
                      <w:kern w:val="0"/>
                      <w:szCs w:val="21"/>
                      <w:highlight w:val="none"/>
                      <w:lang w:val="en-US" w:eastAsia="zh-CN"/>
                    </w:rPr>
                    <w:t>场地清理、土地平整、</w:t>
                  </w:r>
                  <w:r>
                    <w:rPr>
                      <w:rFonts w:hint="default" w:ascii="Times New Roman" w:hAnsi="Times New Roman" w:eastAsia="宋体" w:cs="Times New Roman"/>
                      <w:color w:val="auto"/>
                      <w:szCs w:val="21"/>
                      <w:lang w:val="en-US" w:eastAsia="zh-CN"/>
                    </w:rPr>
                    <w:t>栽植灌木</w:t>
                  </w:r>
                  <w:r>
                    <w:rPr>
                      <w:rFonts w:hint="default" w:ascii="Times New Roman" w:hAnsi="Times New Roman" w:cs="Times New Roman"/>
                      <w:color w:val="auto"/>
                      <w:spacing w:val="0"/>
                      <w:kern w:val="0"/>
                      <w:sz w:val="21"/>
                      <w:szCs w:val="21"/>
                      <w:highlight w:val="none"/>
                      <w:lang w:val="en-US" w:eastAsia="zh-CN"/>
                    </w:rPr>
                    <w:t>、</w:t>
                  </w:r>
                  <w:r>
                    <w:rPr>
                      <w:rFonts w:hint="default" w:ascii="Times New Roman" w:hAnsi="Times New Roman" w:eastAsia="宋体" w:cs="Times New Roman"/>
                      <w:color w:val="auto"/>
                      <w:szCs w:val="21"/>
                      <w:lang w:val="en-US" w:eastAsia="zh-CN"/>
                    </w:rPr>
                    <w:t>播撒草籽、</w:t>
                  </w:r>
                  <w:r>
                    <w:rPr>
                      <w:rFonts w:hint="default" w:ascii="Times New Roman" w:hAnsi="Times New Roman" w:eastAsia="宋体" w:cs="Times New Roman"/>
                      <w:color w:val="auto"/>
                      <w:szCs w:val="21"/>
                    </w:rPr>
                    <w:t>植被恢复</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生态补偿。耕地、园地区域</w:t>
                  </w:r>
                  <w:r>
                    <w:rPr>
                      <w:rFonts w:hint="default" w:ascii="Times New Roman" w:hAnsi="Times New Roman" w:eastAsia="宋体" w:cs="Times New Roman"/>
                      <w:color w:val="auto"/>
                      <w:szCs w:val="21"/>
                    </w:rPr>
                    <w:t>避开</w:t>
                  </w:r>
                  <w:r>
                    <w:rPr>
                      <w:rFonts w:hint="default" w:ascii="Times New Roman" w:hAnsi="Times New Roman" w:eastAsia="宋体" w:cs="Times New Roman"/>
                      <w:color w:val="auto"/>
                      <w:szCs w:val="21"/>
                      <w:lang w:val="en-US" w:eastAsia="zh-CN"/>
                    </w:rPr>
                    <w:t>农作物生长期施工并</w:t>
                  </w:r>
                  <w:r>
                    <w:rPr>
                      <w:rFonts w:hint="default" w:ascii="Times New Roman" w:hAnsi="Times New Roman" w:eastAsia="宋体" w:cs="Times New Roman"/>
                      <w:color w:val="auto"/>
                      <w:szCs w:val="21"/>
                    </w:rPr>
                    <w:t>给予经济补偿</w:t>
                  </w:r>
                  <w:r>
                    <w:rPr>
                      <w:rFonts w:hint="default" w:ascii="Times New Roman" w:hAnsi="Times New Roman" w:eastAsia="宋体" w:cs="Times New Roman"/>
                      <w:color w:val="auto"/>
                      <w:szCs w:val="21"/>
                      <w:lang w:eastAsia="zh-CN"/>
                    </w:rPr>
                    <w:t>。</w:t>
                  </w:r>
                </w:p>
              </w:tc>
              <w:tc>
                <w:tcPr>
                  <w:tcW w:w="607" w:type="dxa"/>
                  <w:vMerge w:val="continue"/>
                  <w:noWrap w:val="0"/>
                  <w:vAlign w:val="center"/>
                </w:tcPr>
                <w:p w14:paraId="7436B740">
                  <w:pPr>
                    <w:jc w:val="center"/>
                    <w:rPr>
                      <w:rFonts w:hint="default" w:ascii="Times New Roman" w:hAnsi="Times New Roman" w:cs="Times New Roman"/>
                      <w:color w:val="auto"/>
                      <w:spacing w:val="-11"/>
                      <w:szCs w:val="21"/>
                      <w:highlight w:val="none"/>
                    </w:rPr>
                  </w:pPr>
                </w:p>
              </w:tc>
              <w:tc>
                <w:tcPr>
                  <w:tcW w:w="1919" w:type="dxa"/>
                  <w:vMerge w:val="continue"/>
                  <w:noWrap w:val="0"/>
                  <w:vAlign w:val="center"/>
                </w:tcPr>
                <w:p w14:paraId="1EE9BC48">
                  <w:pPr>
                    <w:jc w:val="center"/>
                    <w:rPr>
                      <w:rFonts w:hint="default" w:ascii="Times New Roman" w:hAnsi="Times New Roman" w:cs="Times New Roman"/>
                      <w:color w:val="auto"/>
                      <w:spacing w:val="-11"/>
                      <w:szCs w:val="21"/>
                      <w:highlight w:val="none"/>
                    </w:rPr>
                  </w:pPr>
                </w:p>
              </w:tc>
              <w:tc>
                <w:tcPr>
                  <w:tcW w:w="709" w:type="dxa"/>
                  <w:noWrap w:val="0"/>
                  <w:vAlign w:val="center"/>
                </w:tcPr>
                <w:p w14:paraId="08E9C05B">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40.0</w:t>
                  </w:r>
                </w:p>
              </w:tc>
            </w:tr>
            <w:tr w14:paraId="35A44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3" w:type="dxa"/>
                  <w:vMerge w:val="continue"/>
                  <w:noWrap w:val="0"/>
                  <w:vAlign w:val="center"/>
                </w:tcPr>
                <w:p w14:paraId="3D1B1135">
                  <w:pPr>
                    <w:jc w:val="center"/>
                    <w:rPr>
                      <w:rFonts w:hint="default" w:ascii="Times New Roman" w:hAnsi="Times New Roman" w:cs="Times New Roman"/>
                      <w:color w:val="auto"/>
                      <w:spacing w:val="-11"/>
                      <w:szCs w:val="21"/>
                      <w:highlight w:val="none"/>
                    </w:rPr>
                  </w:pPr>
                </w:p>
              </w:tc>
              <w:tc>
                <w:tcPr>
                  <w:tcW w:w="624" w:type="dxa"/>
                  <w:vMerge w:val="continue"/>
                  <w:noWrap w:val="0"/>
                  <w:vAlign w:val="center"/>
                </w:tcPr>
                <w:p w14:paraId="60A4CC08">
                  <w:pPr>
                    <w:jc w:val="center"/>
                    <w:rPr>
                      <w:rFonts w:hint="default" w:ascii="Times New Roman" w:hAnsi="Times New Roman" w:cs="Times New Roman"/>
                      <w:color w:val="auto"/>
                      <w:spacing w:val="-11"/>
                      <w:szCs w:val="21"/>
                      <w:highlight w:val="none"/>
                    </w:rPr>
                  </w:pPr>
                </w:p>
              </w:tc>
              <w:tc>
                <w:tcPr>
                  <w:tcW w:w="811" w:type="dxa"/>
                  <w:vMerge w:val="continue"/>
                  <w:noWrap w:val="0"/>
                  <w:vAlign w:val="center"/>
                </w:tcPr>
                <w:p w14:paraId="59EC1393">
                  <w:pPr>
                    <w:jc w:val="center"/>
                    <w:rPr>
                      <w:rFonts w:hint="default" w:ascii="Times New Roman" w:hAnsi="Times New Roman" w:cs="Times New Roman"/>
                      <w:color w:val="auto"/>
                      <w:spacing w:val="-11"/>
                      <w:szCs w:val="21"/>
                      <w:highlight w:val="none"/>
                    </w:rPr>
                  </w:pPr>
                </w:p>
              </w:tc>
              <w:tc>
                <w:tcPr>
                  <w:tcW w:w="3127" w:type="dxa"/>
                  <w:noWrap w:val="0"/>
                  <w:vAlign w:val="center"/>
                </w:tcPr>
                <w:p w14:paraId="3CB7B071">
                  <w:pPr>
                    <w:jc w:val="both"/>
                    <w:rPr>
                      <w:rFonts w:hint="default" w:ascii="Times New Roman" w:hAnsi="Times New Roman" w:cs="Times New Roman"/>
                      <w:color w:val="auto"/>
                      <w:spacing w:val="-11"/>
                      <w:szCs w:val="21"/>
                      <w:highlight w:val="none"/>
                    </w:rPr>
                  </w:pPr>
                  <w:r>
                    <w:rPr>
                      <w:rFonts w:hint="default" w:ascii="Times New Roman" w:hAnsi="Times New Roman" w:eastAsia="宋体" w:cs="Times New Roman"/>
                      <w:color w:val="auto"/>
                      <w:szCs w:val="21"/>
                      <w:lang w:val="en-US" w:eastAsia="zh-CN"/>
                    </w:rPr>
                    <w:t>涉及生态敏感区线路：施工期至正式投运后5~10年内开展长期跟踪生态监测（对</w:t>
                  </w:r>
                  <w:r>
                    <w:rPr>
                      <w:rFonts w:hint="default" w:ascii="Times New Roman" w:hAnsi="Times New Roman" w:eastAsia="宋体" w:cs="Times New Roman"/>
                      <w:b w:val="0"/>
                      <w:bCs/>
                      <w:caps w:val="0"/>
                      <w:color w:val="auto"/>
                      <w:spacing w:val="0"/>
                      <w:w w:val="100"/>
                      <w:kern w:val="0"/>
                      <w:sz w:val="21"/>
                      <w:szCs w:val="21"/>
                      <w:highlight w:val="none"/>
                      <w:lang w:val="en-US" w:eastAsia="zh-CN" w:bidi="ar-SA"/>
                    </w:rPr>
                    <w:t>植物物种、群落、植被类型、种植密度、存活率、覆盖率进行监测；</w:t>
                  </w:r>
                  <w:r>
                    <w:rPr>
                      <w:rFonts w:hint="default" w:ascii="Times New Roman" w:hAnsi="Times New Roman" w:eastAsia="宋体" w:cs="Times New Roman"/>
                      <w:color w:val="auto"/>
                      <w:szCs w:val="21"/>
                      <w:lang w:val="en-US" w:eastAsia="zh-CN"/>
                    </w:rPr>
                    <w:t>对</w:t>
                  </w:r>
                  <w:r>
                    <w:rPr>
                      <w:rFonts w:hint="default" w:ascii="Times New Roman" w:hAnsi="Times New Roman" w:eastAsia="宋体" w:cs="Times New Roman"/>
                      <w:color w:val="auto"/>
                      <w:sz w:val="21"/>
                      <w:szCs w:val="21"/>
                      <w:highlight w:val="none"/>
                    </w:rPr>
                    <w:t>野生动物的种类、数量进行定点观测</w:t>
                  </w:r>
                  <w:r>
                    <w:rPr>
                      <w:rFonts w:hint="default" w:ascii="Times New Roman" w:hAnsi="Times New Roman" w:eastAsia="宋体" w:cs="Times New Roman"/>
                      <w:color w:val="auto"/>
                      <w:szCs w:val="21"/>
                      <w:lang w:val="en-US" w:eastAsia="zh-CN"/>
                    </w:rPr>
                    <w:t>）。</w:t>
                  </w:r>
                </w:p>
              </w:tc>
              <w:tc>
                <w:tcPr>
                  <w:tcW w:w="607" w:type="dxa"/>
                  <w:vMerge w:val="continue"/>
                  <w:noWrap w:val="0"/>
                  <w:vAlign w:val="center"/>
                </w:tcPr>
                <w:p w14:paraId="62B6B2E1">
                  <w:pPr>
                    <w:jc w:val="center"/>
                    <w:rPr>
                      <w:rFonts w:hint="default" w:ascii="Times New Roman" w:hAnsi="Times New Roman" w:cs="Times New Roman"/>
                      <w:color w:val="auto"/>
                      <w:spacing w:val="-11"/>
                      <w:szCs w:val="21"/>
                      <w:highlight w:val="none"/>
                    </w:rPr>
                  </w:pPr>
                </w:p>
              </w:tc>
              <w:tc>
                <w:tcPr>
                  <w:tcW w:w="1919" w:type="dxa"/>
                  <w:vMerge w:val="continue"/>
                  <w:noWrap w:val="0"/>
                  <w:vAlign w:val="center"/>
                </w:tcPr>
                <w:p w14:paraId="4B4C8792">
                  <w:pPr>
                    <w:jc w:val="center"/>
                    <w:rPr>
                      <w:rFonts w:hint="default" w:ascii="Times New Roman" w:hAnsi="Times New Roman" w:cs="Times New Roman"/>
                      <w:color w:val="auto"/>
                      <w:spacing w:val="-11"/>
                      <w:szCs w:val="21"/>
                      <w:highlight w:val="none"/>
                    </w:rPr>
                  </w:pPr>
                </w:p>
              </w:tc>
              <w:tc>
                <w:tcPr>
                  <w:tcW w:w="709" w:type="dxa"/>
                  <w:noWrap w:val="0"/>
                  <w:vAlign w:val="center"/>
                </w:tcPr>
                <w:p w14:paraId="5AD6C4A5">
                  <w:pPr>
                    <w:jc w:val="center"/>
                    <w:rPr>
                      <w:rFonts w:hint="default" w:ascii="Times New Roman" w:hAnsi="Times New Roman"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25.0</w:t>
                  </w:r>
                </w:p>
              </w:tc>
            </w:tr>
            <w:tr w14:paraId="72035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3" w:type="dxa"/>
                  <w:vMerge w:val="continue"/>
                  <w:noWrap w:val="0"/>
                  <w:vAlign w:val="center"/>
                </w:tcPr>
                <w:p w14:paraId="1108ACF1">
                  <w:pPr>
                    <w:jc w:val="center"/>
                    <w:rPr>
                      <w:rFonts w:hint="default" w:ascii="Times New Roman" w:hAnsi="Times New Roman" w:cs="Times New Roman"/>
                      <w:color w:val="auto"/>
                      <w:spacing w:val="-11"/>
                      <w:szCs w:val="21"/>
                      <w:highlight w:val="none"/>
                    </w:rPr>
                  </w:pPr>
                </w:p>
              </w:tc>
              <w:tc>
                <w:tcPr>
                  <w:tcW w:w="624" w:type="dxa"/>
                  <w:vMerge w:val="continue"/>
                  <w:noWrap w:val="0"/>
                  <w:vAlign w:val="center"/>
                </w:tcPr>
                <w:p w14:paraId="10169664">
                  <w:pPr>
                    <w:jc w:val="center"/>
                    <w:rPr>
                      <w:rFonts w:hint="default" w:ascii="Times New Roman" w:hAnsi="Times New Roman" w:cs="Times New Roman"/>
                      <w:color w:val="auto"/>
                      <w:spacing w:val="-11"/>
                      <w:szCs w:val="21"/>
                      <w:highlight w:val="none"/>
                    </w:rPr>
                  </w:pPr>
                </w:p>
              </w:tc>
              <w:tc>
                <w:tcPr>
                  <w:tcW w:w="811" w:type="dxa"/>
                  <w:vMerge w:val="continue"/>
                  <w:noWrap w:val="0"/>
                  <w:vAlign w:val="center"/>
                </w:tcPr>
                <w:p w14:paraId="3AF97389">
                  <w:pPr>
                    <w:jc w:val="center"/>
                    <w:rPr>
                      <w:rFonts w:hint="default" w:ascii="Times New Roman" w:hAnsi="Times New Roman" w:cs="Times New Roman"/>
                      <w:color w:val="auto"/>
                      <w:spacing w:val="-11"/>
                      <w:szCs w:val="21"/>
                      <w:highlight w:val="none"/>
                    </w:rPr>
                  </w:pPr>
                </w:p>
              </w:tc>
              <w:tc>
                <w:tcPr>
                  <w:tcW w:w="3127" w:type="dxa"/>
                  <w:noWrap w:val="0"/>
                  <w:vAlign w:val="center"/>
                </w:tcPr>
                <w:p w14:paraId="126525FB">
                  <w:pPr>
                    <w:jc w:val="both"/>
                    <w:rPr>
                      <w:rFonts w:hint="default" w:ascii="Times New Roman" w:hAnsi="Times New Roman" w:eastAsia="宋体" w:cs="Times New Roman"/>
                      <w:color w:val="auto"/>
                      <w:spacing w:val="-11"/>
                      <w:szCs w:val="21"/>
                      <w:highlight w:val="none"/>
                      <w:lang w:eastAsia="zh-CN"/>
                    </w:rPr>
                  </w:pPr>
                  <w:r>
                    <w:rPr>
                      <w:rFonts w:hint="default" w:ascii="Times New Roman" w:hAnsi="Times New Roman" w:cs="Times New Roman"/>
                      <w:color w:val="auto"/>
                      <w:spacing w:val="-11"/>
                      <w:szCs w:val="21"/>
                      <w:highlight w:val="none"/>
                    </w:rPr>
                    <w:t>其他：警示标志、竣工环保验收</w:t>
                  </w:r>
                  <w:r>
                    <w:rPr>
                      <w:rFonts w:hint="default" w:ascii="Times New Roman" w:hAnsi="Times New Roman" w:cs="Times New Roman"/>
                      <w:color w:val="auto"/>
                      <w:spacing w:val="-11"/>
                      <w:szCs w:val="21"/>
                      <w:highlight w:val="none"/>
                      <w:lang w:eastAsia="zh-CN"/>
                    </w:rPr>
                    <w:t>。</w:t>
                  </w:r>
                </w:p>
              </w:tc>
              <w:tc>
                <w:tcPr>
                  <w:tcW w:w="607" w:type="dxa"/>
                  <w:vMerge w:val="continue"/>
                  <w:noWrap w:val="0"/>
                  <w:vAlign w:val="center"/>
                </w:tcPr>
                <w:p w14:paraId="0C688DDA">
                  <w:pPr>
                    <w:jc w:val="center"/>
                    <w:rPr>
                      <w:rFonts w:hint="default" w:ascii="Times New Roman" w:hAnsi="Times New Roman" w:cs="Times New Roman"/>
                      <w:color w:val="auto"/>
                      <w:spacing w:val="-11"/>
                      <w:szCs w:val="21"/>
                      <w:highlight w:val="none"/>
                    </w:rPr>
                  </w:pPr>
                </w:p>
              </w:tc>
              <w:tc>
                <w:tcPr>
                  <w:tcW w:w="1919" w:type="dxa"/>
                  <w:vMerge w:val="continue"/>
                  <w:noWrap w:val="0"/>
                  <w:vAlign w:val="center"/>
                </w:tcPr>
                <w:p w14:paraId="69F784C8">
                  <w:pPr>
                    <w:jc w:val="center"/>
                    <w:rPr>
                      <w:rFonts w:hint="default" w:ascii="Times New Roman" w:hAnsi="Times New Roman" w:cs="Times New Roman"/>
                      <w:color w:val="auto"/>
                      <w:spacing w:val="-11"/>
                      <w:szCs w:val="21"/>
                      <w:highlight w:val="none"/>
                    </w:rPr>
                  </w:pPr>
                </w:p>
              </w:tc>
              <w:tc>
                <w:tcPr>
                  <w:tcW w:w="709" w:type="dxa"/>
                  <w:noWrap w:val="0"/>
                  <w:vAlign w:val="center"/>
                </w:tcPr>
                <w:p w14:paraId="184C3FF9">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5.0</w:t>
                  </w:r>
                </w:p>
              </w:tc>
            </w:tr>
            <w:tr w14:paraId="37898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3" w:type="dxa"/>
                  <w:noWrap w:val="0"/>
                  <w:vAlign w:val="center"/>
                </w:tcPr>
                <w:p w14:paraId="05CD6D04">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3</w:t>
                  </w:r>
                </w:p>
              </w:tc>
              <w:tc>
                <w:tcPr>
                  <w:tcW w:w="624" w:type="dxa"/>
                  <w:noWrap w:val="0"/>
                  <w:vAlign w:val="center"/>
                </w:tcPr>
                <w:p w14:paraId="413D1FCA">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运</w:t>
                  </w:r>
                </w:p>
                <w:p w14:paraId="66B7229A">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行</w:t>
                  </w:r>
                </w:p>
                <w:p w14:paraId="5BD4FBD0">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期</w:t>
                  </w:r>
                </w:p>
              </w:tc>
              <w:tc>
                <w:tcPr>
                  <w:tcW w:w="811" w:type="dxa"/>
                  <w:noWrap w:val="0"/>
                  <w:vAlign w:val="center"/>
                </w:tcPr>
                <w:p w14:paraId="17CDFE8F">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w:t>
                  </w:r>
                </w:p>
              </w:tc>
              <w:tc>
                <w:tcPr>
                  <w:tcW w:w="3127" w:type="dxa"/>
                  <w:noWrap w:val="0"/>
                  <w:vAlign w:val="center"/>
                </w:tcPr>
                <w:p w14:paraId="7D19B3BF">
                  <w:pPr>
                    <w:spacing w:line="240" w:lineRule="atLeast"/>
                    <w:jc w:val="both"/>
                    <w:rPr>
                      <w:rFonts w:hint="default" w:ascii="Times New Roman" w:hAnsi="Times New Roman" w:eastAsia="宋体" w:cs="Times New Roman"/>
                      <w:color w:val="auto"/>
                      <w:spacing w:val="-11"/>
                      <w:szCs w:val="21"/>
                      <w:highlight w:val="none"/>
                      <w:lang w:eastAsia="zh-CN"/>
                    </w:rPr>
                  </w:pPr>
                  <w:r>
                    <w:rPr>
                      <w:rFonts w:hint="default" w:ascii="Times New Roman" w:hAnsi="Times New Roman" w:cs="Times New Roman"/>
                      <w:color w:val="auto"/>
                      <w:szCs w:val="21"/>
                      <w:highlight w:val="none"/>
                    </w:rPr>
                    <w:t>环境管理：①设置环境管理部门，制定环境监测计划、环境保护制度并实施；②检查环境保护设施运行情况，保证环保设施正常运行</w:t>
                  </w:r>
                  <w:r>
                    <w:rPr>
                      <w:rFonts w:hint="default" w:ascii="Times New Roman" w:hAnsi="Times New Roman" w:cs="Times New Roman"/>
                      <w:color w:val="auto"/>
                      <w:szCs w:val="21"/>
                      <w:highlight w:val="none"/>
                      <w:lang w:eastAsia="zh-CN"/>
                    </w:rPr>
                    <w:t>。</w:t>
                  </w:r>
                </w:p>
              </w:tc>
              <w:tc>
                <w:tcPr>
                  <w:tcW w:w="607" w:type="dxa"/>
                  <w:noWrap w:val="0"/>
                  <w:vAlign w:val="center"/>
                </w:tcPr>
                <w:p w14:paraId="0896A444">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运维单位</w:t>
                  </w:r>
                </w:p>
              </w:tc>
              <w:tc>
                <w:tcPr>
                  <w:tcW w:w="1919" w:type="dxa"/>
                  <w:noWrap w:val="0"/>
                  <w:vAlign w:val="center"/>
                </w:tcPr>
                <w:p w14:paraId="2EECC89E">
                  <w:pPr>
                    <w:jc w:val="both"/>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rPr>
                    <w:t>运维单位设置环境管理部门，根据环境监测计划对项目进行运行期监测，保证输电设施正常运行。</w:t>
                  </w:r>
                </w:p>
              </w:tc>
              <w:tc>
                <w:tcPr>
                  <w:tcW w:w="709" w:type="dxa"/>
                  <w:noWrap w:val="0"/>
                  <w:vAlign w:val="center"/>
                </w:tcPr>
                <w:p w14:paraId="7759D6B9">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8.0</w:t>
                  </w:r>
                </w:p>
              </w:tc>
            </w:tr>
            <w:tr w14:paraId="1970A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7511" w:type="dxa"/>
                  <w:gridSpan w:val="6"/>
                  <w:noWrap w:val="0"/>
                  <w:vAlign w:val="center"/>
                </w:tcPr>
                <w:p w14:paraId="5008B2EF">
                  <w:pPr>
                    <w:jc w:val="center"/>
                    <w:rPr>
                      <w:rFonts w:hint="default" w:ascii="Times New Roman" w:hAnsi="Times New Roman" w:cs="Times New Roman"/>
                      <w:color w:val="auto"/>
                      <w:spacing w:val="-11"/>
                      <w:szCs w:val="21"/>
                      <w:highlight w:val="none"/>
                    </w:rPr>
                  </w:pPr>
                  <w:r>
                    <w:rPr>
                      <w:rFonts w:hint="default" w:ascii="Times New Roman" w:hAnsi="Times New Roman" w:cs="Times New Roman"/>
                      <w:bCs/>
                      <w:color w:val="auto"/>
                      <w:spacing w:val="-11"/>
                      <w:szCs w:val="21"/>
                      <w:highlight w:val="none"/>
                    </w:rPr>
                    <w:t>环保投资合计</w:t>
                  </w:r>
                </w:p>
              </w:tc>
              <w:tc>
                <w:tcPr>
                  <w:tcW w:w="709" w:type="dxa"/>
                  <w:noWrap w:val="0"/>
                  <w:vAlign w:val="center"/>
                </w:tcPr>
                <w:p w14:paraId="04259D9A">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eastAsia="宋体" w:cs="Times New Roman"/>
                      <w:color w:val="auto"/>
                      <w:spacing w:val="-11"/>
                      <w:szCs w:val="21"/>
                      <w:highlight w:val="none"/>
                      <w:lang w:val="en-US" w:eastAsia="zh-CN"/>
                    </w:rPr>
                    <w:t>101</w:t>
                  </w:r>
                </w:p>
              </w:tc>
            </w:tr>
            <w:tr w14:paraId="4CF0C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11" w:type="dxa"/>
                  <w:gridSpan w:val="6"/>
                  <w:noWrap w:val="0"/>
                  <w:vAlign w:val="center"/>
                </w:tcPr>
                <w:p w14:paraId="15CC239E">
                  <w:pPr>
                    <w:jc w:val="center"/>
                    <w:rPr>
                      <w:rFonts w:hint="default" w:ascii="Times New Roman" w:hAnsi="Times New Roman" w:cs="Times New Roman"/>
                      <w:color w:val="auto"/>
                      <w:spacing w:val="-11"/>
                      <w:szCs w:val="21"/>
                      <w:highlight w:val="none"/>
                    </w:rPr>
                  </w:pPr>
                  <w:r>
                    <w:rPr>
                      <w:rFonts w:hint="default" w:ascii="Times New Roman" w:hAnsi="Times New Roman" w:cs="Times New Roman"/>
                      <w:bCs/>
                      <w:color w:val="auto"/>
                      <w:spacing w:val="-11"/>
                      <w:szCs w:val="21"/>
                      <w:highlight w:val="none"/>
                    </w:rPr>
                    <w:t>项目总投资</w:t>
                  </w:r>
                </w:p>
              </w:tc>
              <w:tc>
                <w:tcPr>
                  <w:tcW w:w="709" w:type="dxa"/>
                  <w:noWrap w:val="0"/>
                  <w:vAlign w:val="top"/>
                </w:tcPr>
                <w:p w14:paraId="6737F2A2">
                  <w:pPr>
                    <w:jc w:val="center"/>
                    <w:rPr>
                      <w:rFonts w:hint="default" w:ascii="Times New Roman" w:hAnsi="Times New Roman" w:eastAsia="宋体" w:cs="Times New Roman"/>
                      <w:color w:val="auto"/>
                      <w:spacing w:val="-11"/>
                      <w:szCs w:val="21"/>
                      <w:highlight w:val="none"/>
                      <w:lang w:val="en-US" w:eastAsia="zh-CN"/>
                    </w:rPr>
                  </w:pPr>
                  <w:r>
                    <w:rPr>
                      <w:rFonts w:hint="default" w:ascii="Times New Roman" w:hAnsi="Times New Roman" w:cs="Times New Roman"/>
                      <w:color w:val="auto"/>
                      <w:spacing w:val="-11"/>
                      <w:szCs w:val="21"/>
                      <w:highlight w:val="none"/>
                      <w:lang w:val="en-US" w:eastAsia="zh-CN"/>
                    </w:rPr>
                    <w:t>3453</w:t>
                  </w:r>
                </w:p>
              </w:tc>
            </w:tr>
            <w:tr w14:paraId="29C59E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11" w:type="dxa"/>
                  <w:gridSpan w:val="6"/>
                  <w:noWrap w:val="0"/>
                  <w:vAlign w:val="center"/>
                </w:tcPr>
                <w:p w14:paraId="00CFF437">
                  <w:pPr>
                    <w:jc w:val="center"/>
                    <w:rPr>
                      <w:rFonts w:hint="default" w:ascii="Times New Roman" w:hAnsi="Times New Roman" w:cs="Times New Roman"/>
                      <w:color w:val="auto"/>
                      <w:spacing w:val="-11"/>
                      <w:szCs w:val="21"/>
                      <w:highlight w:val="none"/>
                    </w:rPr>
                  </w:pPr>
                  <w:r>
                    <w:rPr>
                      <w:rFonts w:hint="default" w:ascii="Times New Roman" w:hAnsi="Times New Roman" w:cs="Times New Roman"/>
                      <w:bCs/>
                      <w:color w:val="auto"/>
                      <w:spacing w:val="-11"/>
                      <w:szCs w:val="21"/>
                      <w:highlight w:val="none"/>
                    </w:rPr>
                    <w:t>环保投资比例</w:t>
                  </w:r>
                </w:p>
              </w:tc>
              <w:tc>
                <w:tcPr>
                  <w:tcW w:w="709" w:type="dxa"/>
                  <w:noWrap w:val="0"/>
                  <w:vAlign w:val="top"/>
                </w:tcPr>
                <w:p w14:paraId="2EAC8BBF">
                  <w:pPr>
                    <w:jc w:val="center"/>
                    <w:rPr>
                      <w:rFonts w:hint="default" w:ascii="Times New Roman" w:hAnsi="Times New Roman" w:cs="Times New Roman"/>
                      <w:color w:val="auto"/>
                      <w:spacing w:val="-11"/>
                      <w:szCs w:val="21"/>
                      <w:highlight w:val="none"/>
                    </w:rPr>
                  </w:pPr>
                  <w:r>
                    <w:rPr>
                      <w:rFonts w:hint="default" w:ascii="Times New Roman" w:hAnsi="Times New Roman" w:cs="Times New Roman"/>
                      <w:color w:val="auto"/>
                      <w:spacing w:val="-11"/>
                      <w:szCs w:val="21"/>
                      <w:highlight w:val="none"/>
                      <w:lang w:val="en-US" w:eastAsia="zh-CN"/>
                    </w:rPr>
                    <w:t>2.92</w:t>
                  </w:r>
                  <w:r>
                    <w:rPr>
                      <w:rFonts w:hint="default" w:ascii="Times New Roman" w:hAnsi="Times New Roman" w:cs="Times New Roman"/>
                      <w:color w:val="auto"/>
                      <w:spacing w:val="-11"/>
                      <w:szCs w:val="21"/>
                      <w:highlight w:val="none"/>
                    </w:rPr>
                    <w:t>%</w:t>
                  </w:r>
                </w:p>
              </w:tc>
            </w:tr>
          </w:tbl>
          <w:p w14:paraId="646CD7B1">
            <w:pPr>
              <w:jc w:val="center"/>
              <w:rPr>
                <w:rFonts w:hint="default" w:ascii="Times New Roman" w:hAnsi="Times New Roman" w:eastAsia="黑体" w:cs="Times New Roman"/>
                <w:b/>
                <w:bCs/>
                <w:color w:val="auto"/>
                <w:sz w:val="24"/>
                <w:highlight w:val="none"/>
              </w:rPr>
            </w:pPr>
          </w:p>
          <w:p w14:paraId="281E6DC4">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5136FF64">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490F450A">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564621D6">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14CA93C5">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10BF8D52">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405EB118">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4B9C3276">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4A5120A0">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2CEFB086">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3A9417AF">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2CBFC6E6">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6BA3A47F">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2E2FE4BB">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3B502B66">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4F0E421B">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p w14:paraId="31381D0D">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spacing w:val="10"/>
                <w:sz w:val="48"/>
                <w:szCs w:val="48"/>
                <w:highlight w:val="none"/>
              </w:rPr>
            </w:pPr>
          </w:p>
        </w:tc>
      </w:tr>
    </w:tbl>
    <w:p w14:paraId="06155ABB">
      <w:pPr>
        <w:adjustRightInd w:val="0"/>
        <w:snapToGrid w:val="0"/>
        <w:rPr>
          <w:rFonts w:hint="default" w:ascii="Times New Roman" w:hAnsi="Times New Roman" w:cs="Times New Roman"/>
          <w:color w:val="auto"/>
          <w:sz w:val="10"/>
          <w:szCs w:val="10"/>
          <w:highlight w:val="none"/>
        </w:rPr>
        <w:sectPr>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072AF019">
      <w:pPr>
        <w:pStyle w:val="29"/>
        <w:spacing w:before="0" w:beforeAutospacing="0" w:after="0" w:afterAutospacing="0" w:line="240" w:lineRule="auto"/>
        <w:jc w:val="center"/>
        <w:outlineLvl w:val="0"/>
        <w:rPr>
          <w:rFonts w:hint="default" w:ascii="Times New Roman" w:hAnsi="Times New Roman" w:eastAsia="黑体" w:cs="Times New Roman"/>
          <w:snapToGrid w:val="0"/>
          <w:color w:val="auto"/>
          <w:sz w:val="30"/>
          <w:szCs w:val="30"/>
          <w:highlight w:val="none"/>
        </w:rPr>
      </w:pPr>
      <w:bookmarkStart w:id="141" w:name="_Toc5831"/>
      <w:bookmarkStart w:id="142" w:name="_Toc32304"/>
      <w:bookmarkStart w:id="143" w:name="_Toc3727"/>
      <w:bookmarkStart w:id="144" w:name="_Toc29977"/>
      <w:bookmarkStart w:id="145" w:name="_Toc17157"/>
      <w:bookmarkStart w:id="146" w:name="_Toc23682"/>
      <w:bookmarkStart w:id="147" w:name="_Toc152582984"/>
      <w:bookmarkStart w:id="148" w:name="_Toc91"/>
      <w:bookmarkStart w:id="149" w:name="_Toc2787"/>
      <w:bookmarkStart w:id="150" w:name="_Toc3073"/>
      <w:bookmarkStart w:id="151" w:name="_Toc13273"/>
      <w:bookmarkStart w:id="152" w:name="_Toc22917"/>
      <w:r>
        <w:rPr>
          <w:rFonts w:hint="default" w:ascii="Times New Roman" w:hAnsi="Times New Roman" w:eastAsia="黑体" w:cs="Times New Roman"/>
          <w:b/>
          <w:bCs/>
          <w:snapToGrid w:val="0"/>
          <w:color w:val="auto"/>
          <w:sz w:val="30"/>
          <w:szCs w:val="30"/>
          <w:highlight w:val="none"/>
        </w:rPr>
        <w:t>六、生态环境保护措施监督检查清单</w:t>
      </w:r>
      <w:bookmarkEnd w:id="141"/>
      <w:bookmarkEnd w:id="142"/>
      <w:bookmarkEnd w:id="143"/>
      <w:bookmarkEnd w:id="144"/>
      <w:bookmarkEnd w:id="145"/>
      <w:bookmarkEnd w:id="146"/>
      <w:bookmarkEnd w:id="147"/>
      <w:bookmarkEnd w:id="148"/>
      <w:bookmarkEnd w:id="149"/>
      <w:bookmarkEnd w:id="150"/>
      <w:bookmarkEnd w:id="151"/>
      <w:bookmarkEnd w:id="152"/>
    </w:p>
    <w:tbl>
      <w:tblPr>
        <w:tblStyle w:val="31"/>
        <w:tblW w:w="939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1"/>
        <w:gridCol w:w="4121"/>
        <w:gridCol w:w="1105"/>
        <w:gridCol w:w="1560"/>
        <w:gridCol w:w="1746"/>
      </w:tblGrid>
      <w:tr w14:paraId="5D4A5D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dxa"/>
            <w:vMerge w:val="restart"/>
            <w:tcBorders>
              <w:tl2br w:val="single" w:color="auto" w:sz="4" w:space="0"/>
            </w:tcBorders>
            <w:noWrap w:val="0"/>
            <w:vAlign w:val="top"/>
          </w:tcPr>
          <w:p w14:paraId="2B683AC9">
            <w:pPr>
              <w:pStyle w:val="29"/>
              <w:adjustRightInd w:val="0"/>
              <w:snapToGrid w:val="0"/>
              <w:spacing w:before="0" w:beforeAutospacing="0" w:after="0" w:afterAutospacing="0"/>
              <w:jc w:val="center"/>
              <w:outlineLvl w:val="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 xml:space="preserve"> </w:t>
            </w:r>
            <w:bookmarkStart w:id="153" w:name="_Toc2053"/>
            <w:bookmarkStart w:id="154" w:name="_Toc11114"/>
            <w:bookmarkStart w:id="155" w:name="_Toc4119"/>
            <w:bookmarkStart w:id="156" w:name="_Toc27575"/>
            <w:bookmarkStart w:id="157" w:name="_Toc26717"/>
            <w:bookmarkStart w:id="158" w:name="_Toc21705"/>
            <w:bookmarkStart w:id="159" w:name="_Toc8354"/>
            <w:bookmarkStart w:id="160" w:name="_Toc17446"/>
            <w:bookmarkStart w:id="161" w:name="_Toc20795"/>
            <w:bookmarkStart w:id="162" w:name="_Toc26264"/>
            <w:bookmarkStart w:id="163" w:name="_Toc27881"/>
            <w:bookmarkStart w:id="164" w:name="_Toc152582985"/>
            <w:r>
              <w:rPr>
                <w:rFonts w:hint="default" w:ascii="Times New Roman" w:hAnsi="Times New Roman" w:cs="Times New Roman"/>
                <w:b/>
                <w:bCs/>
                <w:color w:val="auto"/>
                <w:kern w:val="2"/>
                <w:sz w:val="21"/>
                <w:szCs w:val="21"/>
                <w:highlight w:val="none"/>
              </w:rPr>
              <w:t>内容</w:t>
            </w:r>
            <w:bookmarkEnd w:id="153"/>
            <w:bookmarkEnd w:id="154"/>
            <w:bookmarkEnd w:id="155"/>
            <w:bookmarkEnd w:id="156"/>
            <w:bookmarkEnd w:id="157"/>
            <w:bookmarkEnd w:id="158"/>
            <w:bookmarkEnd w:id="159"/>
            <w:bookmarkEnd w:id="160"/>
            <w:bookmarkEnd w:id="161"/>
            <w:bookmarkEnd w:id="162"/>
            <w:bookmarkEnd w:id="163"/>
            <w:bookmarkEnd w:id="164"/>
          </w:p>
          <w:p w14:paraId="1944B1AD">
            <w:pPr>
              <w:pStyle w:val="29"/>
              <w:adjustRightInd w:val="0"/>
              <w:snapToGrid w:val="0"/>
              <w:spacing w:before="120" w:beforeLines="50" w:beforeAutospacing="0" w:after="0" w:afterAutospacing="0"/>
              <w:outlineLvl w:val="0"/>
              <w:rPr>
                <w:rFonts w:hint="default" w:ascii="Times New Roman" w:hAnsi="Times New Roman" w:cs="Times New Roman"/>
                <w:b/>
                <w:bCs/>
                <w:color w:val="auto"/>
                <w:kern w:val="2"/>
                <w:sz w:val="21"/>
                <w:szCs w:val="21"/>
                <w:highlight w:val="none"/>
              </w:rPr>
            </w:pPr>
            <w:bookmarkStart w:id="165" w:name="_Toc152582986"/>
            <w:bookmarkStart w:id="166" w:name="_Toc15176"/>
            <w:bookmarkStart w:id="167" w:name="_Toc15739"/>
            <w:bookmarkStart w:id="168" w:name="_Toc2734"/>
            <w:bookmarkStart w:id="169" w:name="_Toc19587"/>
            <w:bookmarkStart w:id="170" w:name="_Toc12662"/>
            <w:bookmarkStart w:id="171" w:name="_Toc1523"/>
            <w:bookmarkStart w:id="172" w:name="_Toc29447"/>
            <w:bookmarkStart w:id="173" w:name="_Toc13439"/>
            <w:bookmarkStart w:id="174" w:name="_Toc17112"/>
            <w:bookmarkStart w:id="175" w:name="_Toc22936"/>
            <w:bookmarkStart w:id="176" w:name="_Toc20933"/>
            <w:r>
              <w:rPr>
                <w:rFonts w:hint="default" w:ascii="Times New Roman" w:hAnsi="Times New Roman" w:cs="Times New Roman"/>
                <w:b/>
                <w:bCs/>
                <w:color w:val="auto"/>
                <w:kern w:val="2"/>
                <w:sz w:val="21"/>
                <w:szCs w:val="21"/>
                <w:highlight w:val="none"/>
              </w:rPr>
              <w:t>要素</w:t>
            </w:r>
            <w:bookmarkEnd w:id="165"/>
            <w:bookmarkEnd w:id="166"/>
            <w:bookmarkEnd w:id="167"/>
            <w:bookmarkEnd w:id="168"/>
            <w:bookmarkEnd w:id="169"/>
            <w:bookmarkEnd w:id="170"/>
            <w:bookmarkEnd w:id="171"/>
            <w:bookmarkEnd w:id="172"/>
            <w:bookmarkEnd w:id="173"/>
            <w:bookmarkEnd w:id="174"/>
            <w:bookmarkEnd w:id="175"/>
            <w:bookmarkEnd w:id="176"/>
          </w:p>
        </w:tc>
        <w:tc>
          <w:tcPr>
            <w:tcW w:w="5226" w:type="dxa"/>
            <w:gridSpan w:val="2"/>
            <w:noWrap w:val="0"/>
            <w:vAlign w:val="center"/>
          </w:tcPr>
          <w:p w14:paraId="03BA54D2">
            <w:pPr>
              <w:pStyle w:val="29"/>
              <w:adjustRightInd w:val="0"/>
              <w:snapToGrid w:val="0"/>
              <w:spacing w:before="0" w:beforeAutospacing="0" w:after="0" w:afterAutospacing="0"/>
              <w:jc w:val="center"/>
              <w:outlineLvl w:val="0"/>
              <w:rPr>
                <w:rFonts w:hint="default" w:ascii="Times New Roman" w:hAnsi="Times New Roman" w:cs="Times New Roman"/>
                <w:b/>
                <w:bCs/>
                <w:color w:val="auto"/>
                <w:kern w:val="2"/>
                <w:sz w:val="21"/>
                <w:szCs w:val="21"/>
                <w:highlight w:val="none"/>
              </w:rPr>
            </w:pPr>
            <w:bookmarkStart w:id="177" w:name="_Toc32740"/>
            <w:bookmarkStart w:id="178" w:name="_Toc21502"/>
            <w:bookmarkStart w:id="179" w:name="_Toc26394"/>
            <w:bookmarkStart w:id="180" w:name="_Toc152582987"/>
            <w:bookmarkStart w:id="181" w:name="_Toc7625"/>
            <w:bookmarkStart w:id="182" w:name="_Toc23262"/>
            <w:bookmarkStart w:id="183" w:name="_Toc5037"/>
            <w:bookmarkStart w:id="184" w:name="_Toc16949"/>
            <w:bookmarkStart w:id="185" w:name="_Toc24825"/>
            <w:bookmarkStart w:id="186" w:name="_Toc3075"/>
            <w:bookmarkStart w:id="187" w:name="_Toc25094"/>
            <w:bookmarkStart w:id="188" w:name="_Toc3808"/>
            <w:r>
              <w:rPr>
                <w:rFonts w:hint="default" w:ascii="Times New Roman" w:hAnsi="Times New Roman" w:cs="Times New Roman"/>
                <w:b/>
                <w:bCs/>
                <w:color w:val="auto"/>
                <w:kern w:val="2"/>
                <w:sz w:val="21"/>
                <w:szCs w:val="21"/>
                <w:highlight w:val="none"/>
              </w:rPr>
              <w:t>施工期</w:t>
            </w:r>
            <w:bookmarkEnd w:id="177"/>
            <w:bookmarkEnd w:id="178"/>
            <w:bookmarkEnd w:id="179"/>
            <w:bookmarkEnd w:id="180"/>
            <w:bookmarkEnd w:id="181"/>
            <w:bookmarkEnd w:id="182"/>
            <w:bookmarkEnd w:id="183"/>
            <w:bookmarkEnd w:id="184"/>
            <w:bookmarkEnd w:id="185"/>
            <w:bookmarkEnd w:id="186"/>
            <w:bookmarkEnd w:id="187"/>
            <w:bookmarkEnd w:id="188"/>
          </w:p>
        </w:tc>
        <w:tc>
          <w:tcPr>
            <w:tcW w:w="3306" w:type="dxa"/>
            <w:gridSpan w:val="2"/>
            <w:noWrap w:val="0"/>
            <w:vAlign w:val="center"/>
          </w:tcPr>
          <w:p w14:paraId="298A2543">
            <w:pPr>
              <w:pStyle w:val="29"/>
              <w:adjustRightInd w:val="0"/>
              <w:snapToGrid w:val="0"/>
              <w:spacing w:before="0" w:beforeAutospacing="0" w:after="0" w:afterAutospacing="0"/>
              <w:jc w:val="center"/>
              <w:outlineLvl w:val="0"/>
              <w:rPr>
                <w:rFonts w:hint="default" w:ascii="Times New Roman" w:hAnsi="Times New Roman" w:cs="Times New Roman"/>
                <w:b/>
                <w:bCs/>
                <w:color w:val="auto"/>
                <w:kern w:val="2"/>
                <w:sz w:val="21"/>
                <w:szCs w:val="21"/>
                <w:highlight w:val="none"/>
              </w:rPr>
            </w:pPr>
            <w:bookmarkStart w:id="189" w:name="_Toc25831"/>
            <w:bookmarkStart w:id="190" w:name="_Toc6031"/>
            <w:bookmarkStart w:id="191" w:name="_Toc30215"/>
            <w:bookmarkStart w:id="192" w:name="_Toc28877"/>
            <w:bookmarkStart w:id="193" w:name="_Toc32679"/>
            <w:bookmarkStart w:id="194" w:name="_Toc17723"/>
            <w:bookmarkStart w:id="195" w:name="_Toc369"/>
            <w:bookmarkStart w:id="196" w:name="_Toc152582988"/>
            <w:bookmarkStart w:id="197" w:name="_Toc4453"/>
            <w:bookmarkStart w:id="198" w:name="_Toc30125"/>
            <w:bookmarkStart w:id="199" w:name="_Toc85"/>
            <w:bookmarkStart w:id="200" w:name="_Toc4187"/>
            <w:r>
              <w:rPr>
                <w:rFonts w:hint="default" w:ascii="Times New Roman" w:hAnsi="Times New Roman" w:cs="Times New Roman"/>
                <w:b/>
                <w:bCs/>
                <w:color w:val="auto"/>
                <w:kern w:val="2"/>
                <w:sz w:val="21"/>
                <w:szCs w:val="21"/>
                <w:highlight w:val="none"/>
              </w:rPr>
              <w:t>运营期</w:t>
            </w:r>
            <w:bookmarkEnd w:id="189"/>
            <w:bookmarkEnd w:id="190"/>
            <w:bookmarkEnd w:id="191"/>
            <w:bookmarkEnd w:id="192"/>
            <w:bookmarkEnd w:id="193"/>
            <w:bookmarkEnd w:id="194"/>
            <w:bookmarkEnd w:id="195"/>
            <w:bookmarkEnd w:id="196"/>
            <w:bookmarkEnd w:id="197"/>
            <w:bookmarkEnd w:id="198"/>
            <w:bookmarkEnd w:id="199"/>
            <w:bookmarkEnd w:id="200"/>
          </w:p>
        </w:tc>
      </w:tr>
      <w:tr w14:paraId="09870E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861" w:type="dxa"/>
            <w:vMerge w:val="continue"/>
            <w:noWrap w:val="0"/>
            <w:vAlign w:val="top"/>
          </w:tcPr>
          <w:p w14:paraId="4D19D8DD">
            <w:pPr>
              <w:pStyle w:val="29"/>
              <w:adjustRightInd w:val="0"/>
              <w:snapToGrid w:val="0"/>
              <w:spacing w:before="0" w:beforeAutospacing="0" w:after="0" w:afterAutospacing="0"/>
              <w:ind w:firstLine="840"/>
              <w:jc w:val="center"/>
              <w:outlineLvl w:val="0"/>
              <w:rPr>
                <w:rFonts w:hint="default" w:ascii="Times New Roman" w:hAnsi="Times New Roman" w:cs="Times New Roman"/>
                <w:b/>
                <w:bCs/>
                <w:color w:val="auto"/>
                <w:kern w:val="2"/>
                <w:sz w:val="21"/>
                <w:szCs w:val="21"/>
                <w:highlight w:val="none"/>
              </w:rPr>
            </w:pPr>
          </w:p>
        </w:tc>
        <w:tc>
          <w:tcPr>
            <w:tcW w:w="4121" w:type="dxa"/>
            <w:noWrap w:val="0"/>
            <w:vAlign w:val="center"/>
          </w:tcPr>
          <w:p w14:paraId="208F70D0">
            <w:pPr>
              <w:pStyle w:val="29"/>
              <w:adjustRightInd w:val="0"/>
              <w:snapToGrid w:val="0"/>
              <w:spacing w:before="0" w:beforeAutospacing="0" w:after="0" w:afterAutospacing="0"/>
              <w:jc w:val="center"/>
              <w:outlineLvl w:val="0"/>
              <w:rPr>
                <w:rFonts w:hint="default" w:ascii="Times New Roman" w:hAnsi="Times New Roman" w:cs="Times New Roman"/>
                <w:b/>
                <w:bCs/>
                <w:color w:val="auto"/>
                <w:kern w:val="2"/>
                <w:sz w:val="21"/>
                <w:szCs w:val="21"/>
                <w:highlight w:val="none"/>
              </w:rPr>
            </w:pPr>
            <w:bookmarkStart w:id="201" w:name="_Toc16190"/>
            <w:bookmarkStart w:id="202" w:name="_Toc718"/>
            <w:bookmarkStart w:id="203" w:name="_Toc19820"/>
            <w:bookmarkStart w:id="204" w:name="_Toc7308"/>
            <w:bookmarkStart w:id="205" w:name="_Toc8038"/>
            <w:bookmarkStart w:id="206" w:name="_Toc25210"/>
            <w:bookmarkStart w:id="207" w:name="_Toc2544"/>
            <w:bookmarkStart w:id="208" w:name="_Toc152582989"/>
            <w:bookmarkStart w:id="209" w:name="_Toc13720"/>
            <w:bookmarkStart w:id="210" w:name="_Toc26824"/>
            <w:bookmarkStart w:id="211" w:name="_Toc10999"/>
            <w:bookmarkStart w:id="212" w:name="_Toc24059"/>
            <w:r>
              <w:rPr>
                <w:rFonts w:hint="default" w:ascii="Times New Roman" w:hAnsi="Times New Roman" w:cs="Times New Roman"/>
                <w:b/>
                <w:bCs/>
                <w:color w:val="auto"/>
                <w:kern w:val="2"/>
                <w:sz w:val="21"/>
                <w:szCs w:val="21"/>
                <w:highlight w:val="none"/>
              </w:rPr>
              <w:t>环境保护措施</w:t>
            </w:r>
            <w:bookmarkEnd w:id="201"/>
            <w:bookmarkEnd w:id="202"/>
            <w:bookmarkEnd w:id="203"/>
            <w:bookmarkEnd w:id="204"/>
            <w:bookmarkEnd w:id="205"/>
            <w:bookmarkEnd w:id="206"/>
            <w:bookmarkEnd w:id="207"/>
            <w:bookmarkEnd w:id="208"/>
            <w:bookmarkEnd w:id="209"/>
            <w:bookmarkEnd w:id="210"/>
            <w:bookmarkEnd w:id="211"/>
            <w:bookmarkEnd w:id="212"/>
          </w:p>
        </w:tc>
        <w:tc>
          <w:tcPr>
            <w:tcW w:w="1105" w:type="dxa"/>
            <w:noWrap w:val="0"/>
            <w:vAlign w:val="center"/>
          </w:tcPr>
          <w:p w14:paraId="2DA38D23">
            <w:pPr>
              <w:pStyle w:val="29"/>
              <w:adjustRightInd w:val="0"/>
              <w:snapToGrid w:val="0"/>
              <w:spacing w:before="0" w:beforeAutospacing="0" w:after="0" w:afterAutospacing="0"/>
              <w:jc w:val="center"/>
              <w:outlineLvl w:val="0"/>
              <w:rPr>
                <w:rFonts w:hint="default" w:ascii="Times New Roman" w:hAnsi="Times New Roman" w:cs="Times New Roman"/>
                <w:b/>
                <w:bCs/>
                <w:color w:val="auto"/>
                <w:kern w:val="2"/>
                <w:sz w:val="21"/>
                <w:szCs w:val="21"/>
                <w:highlight w:val="none"/>
              </w:rPr>
            </w:pPr>
            <w:bookmarkStart w:id="213" w:name="_Toc28288"/>
            <w:bookmarkStart w:id="214" w:name="_Toc8262"/>
            <w:bookmarkStart w:id="215" w:name="_Toc403"/>
            <w:bookmarkStart w:id="216" w:name="_Toc152582990"/>
            <w:bookmarkStart w:id="217" w:name="_Toc29853"/>
            <w:bookmarkStart w:id="218" w:name="_Toc31547"/>
            <w:bookmarkStart w:id="219" w:name="_Toc1026"/>
            <w:bookmarkStart w:id="220" w:name="_Toc25268"/>
            <w:bookmarkStart w:id="221" w:name="_Toc1044"/>
            <w:bookmarkStart w:id="222" w:name="_Toc1035"/>
            <w:bookmarkStart w:id="223" w:name="_Toc1264"/>
            <w:bookmarkStart w:id="224" w:name="_Toc19432"/>
            <w:r>
              <w:rPr>
                <w:rFonts w:hint="default" w:ascii="Times New Roman" w:hAnsi="Times New Roman" w:cs="Times New Roman"/>
                <w:b/>
                <w:bCs/>
                <w:color w:val="auto"/>
                <w:kern w:val="2"/>
                <w:sz w:val="21"/>
                <w:szCs w:val="21"/>
                <w:highlight w:val="none"/>
              </w:rPr>
              <w:t>验收</w:t>
            </w:r>
            <w:bookmarkEnd w:id="213"/>
            <w:bookmarkEnd w:id="214"/>
            <w:bookmarkEnd w:id="215"/>
          </w:p>
          <w:p w14:paraId="5A9A5E15">
            <w:pPr>
              <w:pStyle w:val="29"/>
              <w:adjustRightInd w:val="0"/>
              <w:snapToGrid w:val="0"/>
              <w:spacing w:before="0" w:beforeAutospacing="0" w:after="0" w:afterAutospacing="0"/>
              <w:jc w:val="center"/>
              <w:outlineLvl w:val="0"/>
              <w:rPr>
                <w:rFonts w:hint="default" w:ascii="Times New Roman" w:hAnsi="Times New Roman" w:cs="Times New Roman"/>
                <w:b/>
                <w:bCs/>
                <w:color w:val="auto"/>
                <w:kern w:val="2"/>
                <w:sz w:val="21"/>
                <w:szCs w:val="21"/>
                <w:highlight w:val="none"/>
              </w:rPr>
            </w:pPr>
            <w:bookmarkStart w:id="225" w:name="_Toc1020"/>
            <w:bookmarkStart w:id="226" w:name="_Toc29874"/>
            <w:bookmarkStart w:id="227" w:name="_Toc4663"/>
            <w:r>
              <w:rPr>
                <w:rFonts w:hint="default" w:ascii="Times New Roman" w:hAnsi="Times New Roman" w:cs="Times New Roman"/>
                <w:b/>
                <w:bCs/>
                <w:color w:val="auto"/>
                <w:kern w:val="2"/>
                <w:sz w:val="21"/>
                <w:szCs w:val="21"/>
                <w:highlight w:val="none"/>
              </w:rPr>
              <w:t>要求</w:t>
            </w:r>
            <w:bookmarkEnd w:id="216"/>
            <w:bookmarkEnd w:id="217"/>
            <w:bookmarkEnd w:id="218"/>
            <w:bookmarkEnd w:id="219"/>
            <w:bookmarkEnd w:id="220"/>
            <w:bookmarkEnd w:id="221"/>
            <w:bookmarkEnd w:id="222"/>
            <w:bookmarkEnd w:id="223"/>
            <w:bookmarkEnd w:id="224"/>
            <w:bookmarkEnd w:id="225"/>
            <w:bookmarkEnd w:id="226"/>
            <w:bookmarkEnd w:id="227"/>
          </w:p>
        </w:tc>
        <w:tc>
          <w:tcPr>
            <w:tcW w:w="1560" w:type="dxa"/>
            <w:noWrap w:val="0"/>
            <w:vAlign w:val="center"/>
          </w:tcPr>
          <w:p w14:paraId="2E39FAA7">
            <w:pPr>
              <w:pStyle w:val="29"/>
              <w:adjustRightInd w:val="0"/>
              <w:snapToGrid w:val="0"/>
              <w:spacing w:before="0" w:beforeAutospacing="0" w:after="0" w:afterAutospacing="0"/>
              <w:jc w:val="center"/>
              <w:outlineLvl w:val="0"/>
              <w:rPr>
                <w:rFonts w:hint="default" w:ascii="Times New Roman" w:hAnsi="Times New Roman" w:cs="Times New Roman"/>
                <w:b/>
                <w:bCs/>
                <w:color w:val="auto"/>
                <w:kern w:val="2"/>
                <w:sz w:val="21"/>
                <w:szCs w:val="21"/>
                <w:highlight w:val="none"/>
              </w:rPr>
            </w:pPr>
            <w:bookmarkStart w:id="228" w:name="_Toc19352"/>
            <w:bookmarkStart w:id="229" w:name="_Toc19687"/>
            <w:bookmarkStart w:id="230" w:name="_Toc16734"/>
            <w:bookmarkStart w:id="231" w:name="_Toc20745"/>
            <w:bookmarkStart w:id="232" w:name="_Toc10409"/>
            <w:bookmarkStart w:id="233" w:name="_Toc28712"/>
            <w:bookmarkStart w:id="234" w:name="_Toc27037"/>
            <w:bookmarkStart w:id="235" w:name="_Toc19960"/>
            <w:bookmarkStart w:id="236" w:name="_Toc28831"/>
            <w:bookmarkStart w:id="237" w:name="_Toc15110"/>
            <w:bookmarkStart w:id="238" w:name="_Toc152582991"/>
            <w:bookmarkStart w:id="239" w:name="_Toc6942"/>
            <w:r>
              <w:rPr>
                <w:rFonts w:hint="default" w:ascii="Times New Roman" w:hAnsi="Times New Roman" w:cs="Times New Roman"/>
                <w:b/>
                <w:bCs/>
                <w:color w:val="auto"/>
                <w:kern w:val="2"/>
                <w:sz w:val="21"/>
                <w:szCs w:val="21"/>
                <w:highlight w:val="none"/>
              </w:rPr>
              <w:t>环境保护措施</w:t>
            </w:r>
            <w:bookmarkEnd w:id="228"/>
            <w:bookmarkEnd w:id="229"/>
            <w:bookmarkEnd w:id="230"/>
            <w:bookmarkEnd w:id="231"/>
            <w:bookmarkEnd w:id="232"/>
            <w:bookmarkEnd w:id="233"/>
            <w:bookmarkEnd w:id="234"/>
            <w:bookmarkEnd w:id="235"/>
            <w:bookmarkEnd w:id="236"/>
            <w:bookmarkEnd w:id="237"/>
            <w:bookmarkEnd w:id="238"/>
            <w:bookmarkEnd w:id="239"/>
          </w:p>
        </w:tc>
        <w:tc>
          <w:tcPr>
            <w:tcW w:w="1746" w:type="dxa"/>
            <w:noWrap w:val="0"/>
            <w:vAlign w:val="center"/>
          </w:tcPr>
          <w:p w14:paraId="27DB84F4">
            <w:pPr>
              <w:pStyle w:val="29"/>
              <w:adjustRightInd w:val="0"/>
              <w:snapToGrid w:val="0"/>
              <w:spacing w:before="0" w:beforeAutospacing="0" w:after="0" w:afterAutospacing="0"/>
              <w:jc w:val="center"/>
              <w:outlineLvl w:val="0"/>
              <w:rPr>
                <w:rFonts w:hint="default" w:ascii="Times New Roman" w:hAnsi="Times New Roman" w:cs="Times New Roman"/>
                <w:b/>
                <w:bCs/>
                <w:color w:val="auto"/>
                <w:kern w:val="2"/>
                <w:sz w:val="21"/>
                <w:szCs w:val="21"/>
                <w:highlight w:val="none"/>
              </w:rPr>
            </w:pPr>
            <w:bookmarkStart w:id="240" w:name="_Toc31050"/>
            <w:bookmarkStart w:id="241" w:name="_Toc5533"/>
            <w:bookmarkStart w:id="242" w:name="_Toc10174"/>
            <w:bookmarkStart w:id="243" w:name="_Toc5176"/>
            <w:bookmarkStart w:id="244" w:name="_Toc17218"/>
            <w:bookmarkStart w:id="245" w:name="_Toc15396"/>
            <w:bookmarkStart w:id="246" w:name="_Toc7358"/>
            <w:bookmarkStart w:id="247" w:name="_Toc19289"/>
            <w:bookmarkStart w:id="248" w:name="_Toc2887"/>
            <w:bookmarkStart w:id="249" w:name="_Toc31362"/>
            <w:bookmarkStart w:id="250" w:name="_Toc152582992"/>
            <w:bookmarkStart w:id="251" w:name="_Toc12749"/>
            <w:r>
              <w:rPr>
                <w:rFonts w:hint="default" w:ascii="Times New Roman" w:hAnsi="Times New Roman" w:cs="Times New Roman"/>
                <w:b/>
                <w:bCs/>
                <w:color w:val="auto"/>
                <w:kern w:val="2"/>
                <w:sz w:val="21"/>
                <w:szCs w:val="21"/>
                <w:highlight w:val="none"/>
              </w:rPr>
              <w:t>验收要求</w:t>
            </w:r>
            <w:bookmarkEnd w:id="240"/>
            <w:bookmarkEnd w:id="241"/>
            <w:bookmarkEnd w:id="242"/>
            <w:bookmarkEnd w:id="243"/>
            <w:bookmarkEnd w:id="244"/>
            <w:bookmarkEnd w:id="245"/>
            <w:bookmarkEnd w:id="246"/>
            <w:bookmarkEnd w:id="247"/>
            <w:bookmarkEnd w:id="248"/>
            <w:bookmarkEnd w:id="249"/>
            <w:bookmarkEnd w:id="250"/>
            <w:bookmarkEnd w:id="251"/>
          </w:p>
        </w:tc>
      </w:tr>
      <w:tr w14:paraId="634B76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dxa"/>
            <w:noWrap w:val="0"/>
            <w:vAlign w:val="center"/>
          </w:tcPr>
          <w:p w14:paraId="2148935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陆生</w:t>
            </w:r>
          </w:p>
          <w:p w14:paraId="4504759D">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w:t>
            </w:r>
          </w:p>
        </w:tc>
        <w:tc>
          <w:tcPr>
            <w:tcW w:w="4121" w:type="dxa"/>
            <w:noWrap w:val="0"/>
            <w:vAlign w:val="center"/>
          </w:tcPr>
          <w:p w14:paraId="09E2E995">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lang w:eastAsia="zh-CN"/>
              </w:rPr>
              <w:t>塔基施工段设置施工围栏，</w:t>
            </w:r>
            <w:r>
              <w:rPr>
                <w:rFonts w:hint="default" w:ascii="Times New Roman" w:hAnsi="Times New Roman" w:cs="Times New Roman"/>
                <w:color w:val="auto"/>
                <w:sz w:val="21"/>
                <w:szCs w:val="21"/>
                <w:highlight w:val="none"/>
              </w:rPr>
              <w:t>控制施工作业范围；②尽量利用现有道路</w:t>
            </w:r>
            <w:r>
              <w:rPr>
                <w:rFonts w:hint="default" w:ascii="Times New Roman" w:hAnsi="Times New Roman" w:cs="Times New Roman"/>
                <w:color w:val="auto"/>
                <w:kern w:val="0"/>
                <w:szCs w:val="21"/>
                <w:highlight w:val="none"/>
              </w:rPr>
              <w:t>，减少占地，施工结束后恢复原有使用功能</w:t>
            </w:r>
            <w:r>
              <w:rPr>
                <w:rFonts w:hint="default" w:ascii="Times New Roman" w:hAnsi="Times New Roman" w:cs="Times New Roman"/>
                <w:color w:val="auto"/>
                <w:sz w:val="21"/>
                <w:szCs w:val="21"/>
                <w:highlight w:val="none"/>
              </w:rPr>
              <w:t>；③临时施工场地布置在植被较少的区域；④</w:t>
            </w:r>
            <w:r>
              <w:rPr>
                <w:rFonts w:hint="default" w:ascii="Times New Roman" w:hAnsi="Times New Roman" w:cs="Times New Roman"/>
                <w:color w:val="auto"/>
                <w:highlight w:val="none"/>
                <w:lang w:val="en-US" w:eastAsia="zh-CN"/>
              </w:rPr>
              <w:t>临时占用耕地、林地、草地、园地的施工区域</w:t>
            </w:r>
            <w:r>
              <w:rPr>
                <w:rFonts w:hint="default" w:ascii="Times New Roman" w:hAnsi="Times New Roman" w:cs="Times New Roman"/>
                <w:color w:val="auto"/>
                <w:sz w:val="21"/>
                <w:szCs w:val="21"/>
                <w:highlight w:val="none"/>
              </w:rPr>
              <w:t>做好表土剥离，分层存放</w:t>
            </w:r>
            <w:r>
              <w:rPr>
                <w:rFonts w:hint="default" w:ascii="Times New Roman" w:hAnsi="Times New Roman" w:cs="Times New Roman"/>
                <w:color w:val="auto"/>
                <w:sz w:val="21"/>
                <w:szCs w:val="21"/>
                <w:highlight w:val="none"/>
                <w:lang w:eastAsia="zh-CN"/>
              </w:rPr>
              <w:t>、按顺序回填</w:t>
            </w:r>
            <w:r>
              <w:rPr>
                <w:rFonts w:hint="default" w:ascii="Times New Roman" w:hAnsi="Times New Roman" w:cs="Times New Roman"/>
                <w:color w:val="auto"/>
                <w:sz w:val="21"/>
                <w:szCs w:val="21"/>
                <w:highlight w:val="none"/>
              </w:rPr>
              <w:t>，用于塔基培土及</w:t>
            </w:r>
            <w:r>
              <w:rPr>
                <w:rFonts w:hint="default" w:ascii="Times New Roman" w:hAnsi="Times New Roman" w:cs="Times New Roman"/>
                <w:color w:val="auto"/>
                <w:sz w:val="21"/>
                <w:szCs w:val="21"/>
                <w:highlight w:val="none"/>
                <w:lang w:eastAsia="zh-CN"/>
              </w:rPr>
              <w:t>周围</w:t>
            </w:r>
            <w:r>
              <w:rPr>
                <w:rFonts w:hint="default" w:ascii="Times New Roman" w:hAnsi="Times New Roman" w:cs="Times New Roman"/>
                <w:color w:val="auto"/>
                <w:sz w:val="21"/>
                <w:szCs w:val="21"/>
                <w:highlight w:val="none"/>
              </w:rPr>
              <w:t>土地平整恢复</w:t>
            </w: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cs="Times New Roman"/>
                <w:color w:val="auto"/>
                <w:sz w:val="21"/>
                <w:szCs w:val="21"/>
                <w:highlight w:val="none"/>
              </w:rPr>
              <w:t>塔基</w:t>
            </w:r>
            <w:r>
              <w:rPr>
                <w:rFonts w:hint="default" w:ascii="Times New Roman" w:hAnsi="Times New Roman" w:cs="Times New Roman"/>
                <w:bCs/>
                <w:color w:val="auto"/>
                <w:sz w:val="21"/>
                <w:szCs w:val="21"/>
                <w:highlight w:val="none"/>
              </w:rPr>
              <w:t>采用</w:t>
            </w:r>
            <w:r>
              <w:rPr>
                <w:rFonts w:hint="default" w:ascii="Times New Roman" w:hAnsi="Times New Roman" w:cs="Times New Roman"/>
                <w:bCs/>
                <w:color w:val="auto"/>
                <w:sz w:val="21"/>
                <w:szCs w:val="21"/>
                <w:highlight w:val="none"/>
                <w:lang w:val="en-US" w:eastAsia="zh-CN"/>
              </w:rPr>
              <w:t>挖孔桩基础进行</w:t>
            </w:r>
            <w:r>
              <w:rPr>
                <w:rFonts w:hint="default" w:ascii="Times New Roman" w:hAnsi="Times New Roman" w:cs="Times New Roman"/>
                <w:bCs/>
                <w:color w:val="auto"/>
                <w:sz w:val="21"/>
                <w:szCs w:val="21"/>
                <w:highlight w:val="none"/>
              </w:rPr>
              <w:t>施工，</w:t>
            </w:r>
            <w:r>
              <w:rPr>
                <w:rFonts w:hint="default" w:ascii="Times New Roman" w:hAnsi="Times New Roman" w:cs="Times New Roman"/>
                <w:color w:val="auto"/>
                <w:sz w:val="21"/>
                <w:szCs w:val="21"/>
                <w:highlight w:val="none"/>
                <w:lang w:val="en-US" w:eastAsia="zh-CN"/>
              </w:rPr>
              <w:t>减少</w:t>
            </w:r>
            <w:r>
              <w:rPr>
                <w:rFonts w:hint="default" w:ascii="Times New Roman" w:hAnsi="Times New Roman" w:cs="Times New Roman"/>
                <w:color w:val="auto"/>
                <w:sz w:val="21"/>
                <w:szCs w:val="21"/>
                <w:highlight w:val="none"/>
              </w:rPr>
              <w:t>占地面积</w:t>
            </w:r>
            <w:r>
              <w:rPr>
                <w:rFonts w:hint="default" w:ascii="Times New Roman" w:hAnsi="Times New Roman" w:cs="Times New Roman"/>
                <w:color w:val="auto"/>
                <w:sz w:val="21"/>
                <w:szCs w:val="21"/>
                <w:highlight w:val="none"/>
                <w:lang w:val="en-US" w:eastAsia="zh-CN"/>
              </w:rPr>
              <w:t>和</w:t>
            </w:r>
            <w:r>
              <w:rPr>
                <w:rFonts w:hint="default" w:ascii="Times New Roman" w:hAnsi="Times New Roman" w:cs="Times New Roman"/>
                <w:color w:val="auto"/>
                <w:sz w:val="21"/>
                <w:szCs w:val="21"/>
                <w:highlight w:val="none"/>
              </w:rPr>
              <w:t>土石方量。</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6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⑥</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施工结束后，及时清理</w:t>
            </w:r>
            <w:r>
              <w:rPr>
                <w:rFonts w:hint="default" w:ascii="Times New Roman" w:hAnsi="Times New Roman" w:cs="Times New Roman"/>
                <w:color w:val="auto"/>
                <w:sz w:val="21"/>
                <w:szCs w:val="21"/>
                <w:highlight w:val="none"/>
                <w:lang w:val="en-US" w:eastAsia="zh-CN"/>
              </w:rPr>
              <w:t>和</w:t>
            </w:r>
            <w:r>
              <w:rPr>
                <w:rFonts w:hint="default" w:ascii="Times New Roman" w:hAnsi="Times New Roman" w:cs="Times New Roman"/>
                <w:color w:val="auto"/>
                <w:sz w:val="21"/>
                <w:szCs w:val="21"/>
                <w:highlight w:val="none"/>
              </w:rPr>
              <w:t>平整</w:t>
            </w:r>
            <w:r>
              <w:rPr>
                <w:rFonts w:hint="default" w:ascii="Times New Roman" w:hAnsi="Times New Roman" w:cs="Times New Roman"/>
                <w:color w:val="auto"/>
                <w:sz w:val="21"/>
                <w:szCs w:val="21"/>
                <w:highlight w:val="none"/>
                <w:lang w:val="en-US" w:eastAsia="zh-CN"/>
              </w:rPr>
              <w:t>土地</w:t>
            </w:r>
            <w:r>
              <w:rPr>
                <w:rFonts w:hint="default" w:ascii="Times New Roman" w:hAnsi="Times New Roman" w:cs="Times New Roman"/>
                <w:color w:val="auto"/>
                <w:sz w:val="21"/>
                <w:szCs w:val="21"/>
                <w:highlight w:val="none"/>
              </w:rPr>
              <w:t>，对</w:t>
            </w:r>
            <w:r>
              <w:rPr>
                <w:rFonts w:hint="default" w:ascii="Times New Roman" w:hAnsi="Times New Roman" w:cs="Times New Roman"/>
                <w:color w:val="auto"/>
                <w:sz w:val="21"/>
                <w:szCs w:val="21"/>
                <w:highlight w:val="none"/>
                <w:lang w:val="en-US" w:eastAsia="zh-CN"/>
              </w:rPr>
              <w:t>临时占地区域</w:t>
            </w:r>
            <w:r>
              <w:rPr>
                <w:rFonts w:hint="default" w:ascii="Times New Roman" w:hAnsi="Times New Roman" w:eastAsia="宋体" w:cs="Times New Roman"/>
                <w:color w:val="auto"/>
                <w:szCs w:val="21"/>
                <w:lang w:val="en-US" w:eastAsia="zh-CN"/>
              </w:rPr>
              <w:t>栽植灌木</w:t>
            </w:r>
            <w:r>
              <w:rPr>
                <w:rFonts w:hint="default" w:ascii="Times New Roman" w:hAnsi="Times New Roman" w:cs="Times New Roman"/>
                <w:color w:val="auto"/>
                <w:spacing w:val="0"/>
                <w:kern w:val="0"/>
                <w:sz w:val="21"/>
                <w:szCs w:val="21"/>
                <w:highlight w:val="none"/>
                <w:lang w:val="en-US" w:eastAsia="zh-CN"/>
              </w:rPr>
              <w:t>，草地撒播草籽</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自然恢复</w:t>
            </w:r>
            <w:r>
              <w:rPr>
                <w:rFonts w:hint="default" w:ascii="Times New Roman" w:hAnsi="Times New Roman" w:cs="Times New Roman"/>
                <w:color w:val="auto"/>
                <w:sz w:val="21"/>
                <w:szCs w:val="21"/>
                <w:highlight w:val="none"/>
                <w:lang w:val="en-US" w:eastAsia="zh-CN"/>
              </w:rPr>
              <w:t>的措施</w:t>
            </w:r>
            <w:r>
              <w:rPr>
                <w:rFonts w:hint="default" w:ascii="Times New Roman" w:hAnsi="Times New Roman" w:cs="Times New Roman"/>
                <w:color w:val="auto"/>
                <w:sz w:val="21"/>
                <w:szCs w:val="21"/>
                <w:highlight w:val="none"/>
              </w:rPr>
              <w:t>。施工结束后，平整土地，尽快恢复原有地貌。将混凝土余料和残渣及时清除，以免影响后期土地功能的恢复。</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7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⑦</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highlight w:val="none"/>
                <w:lang w:val="en-US" w:eastAsia="zh-CN"/>
              </w:rPr>
              <w:t>在经过耕地、林地、草地、园地地区铺设地表隔离设施，</w:t>
            </w:r>
            <w:r>
              <w:rPr>
                <w:rFonts w:hint="default" w:ascii="Times New Roman" w:hAnsi="Times New Roman" w:cs="Times New Roman"/>
                <w:color w:val="auto"/>
                <w:kern w:val="0"/>
                <w:szCs w:val="21"/>
                <w:highlight w:val="none"/>
              </w:rPr>
              <w:t>确保不会造成油料的跑、冒、滴、漏；施工结束后，应及时清理施工现场，因地制宜进行土地功能恢复。</w:t>
            </w:r>
            <w:r>
              <w:rPr>
                <w:rFonts w:hint="default" w:ascii="Times New Roman" w:hAnsi="Times New Roman" w:cs="Times New Roman"/>
                <w:color w:val="auto"/>
                <w:sz w:val="21"/>
                <w:szCs w:val="21"/>
                <w:highlight w:val="none"/>
                <w:lang w:eastAsia="zh-CN"/>
              </w:rPr>
              <w:t>⑧</w:t>
            </w:r>
            <w:r>
              <w:rPr>
                <w:rFonts w:hint="default" w:ascii="Times New Roman" w:hAnsi="Times New Roman" w:cs="Times New Roman"/>
                <w:color w:val="auto"/>
                <w:sz w:val="21"/>
                <w:szCs w:val="21"/>
                <w:highlight w:val="none"/>
              </w:rPr>
              <w:t>对施工人员进行环保知识宣传，</w:t>
            </w:r>
            <w:r>
              <w:rPr>
                <w:rFonts w:hint="default" w:ascii="Times New Roman" w:hAnsi="Times New Roman" w:cs="Times New Roman"/>
                <w:color w:val="auto"/>
                <w:sz w:val="21"/>
                <w:szCs w:val="21"/>
                <w:highlight w:val="none"/>
                <w:lang w:eastAsia="zh-CN"/>
              </w:rPr>
              <w:t>增强</w:t>
            </w:r>
            <w:r>
              <w:rPr>
                <w:rFonts w:hint="default" w:ascii="Times New Roman" w:hAnsi="Times New Roman" w:cs="Times New Roman"/>
                <w:color w:val="auto"/>
                <w:sz w:val="21"/>
                <w:szCs w:val="21"/>
                <w:highlight w:val="none"/>
                <w:lang w:val="en-US" w:eastAsia="zh-CN"/>
              </w:rPr>
              <w:t>其</w:t>
            </w:r>
            <w:r>
              <w:rPr>
                <w:rFonts w:hint="default" w:ascii="Times New Roman" w:hAnsi="Times New Roman" w:cs="Times New Roman"/>
                <w:color w:val="auto"/>
                <w:sz w:val="21"/>
                <w:szCs w:val="21"/>
                <w:highlight w:val="none"/>
              </w:rPr>
              <w:t>环保意识，</w:t>
            </w:r>
            <w:r>
              <w:rPr>
                <w:rFonts w:hint="default" w:ascii="Times New Roman" w:hAnsi="Times New Roman" w:cs="Times New Roman"/>
                <w:color w:val="auto"/>
                <w:kern w:val="0"/>
                <w:sz w:val="21"/>
                <w:szCs w:val="21"/>
                <w:highlight w:val="none"/>
              </w:rPr>
              <w:t>严禁捕猎野生动物，合理安排施工时间和作业工序，避免在晨昏和正午进行高噪声施工作业。</w:t>
            </w:r>
          </w:p>
        </w:tc>
        <w:tc>
          <w:tcPr>
            <w:tcW w:w="1105" w:type="dxa"/>
            <w:noWrap w:val="0"/>
            <w:vAlign w:val="center"/>
          </w:tcPr>
          <w:p w14:paraId="58E0CBA9">
            <w:pPr>
              <w:adjustRightInd w:val="0"/>
              <w:snapToGrid w:val="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线路巡检</w:t>
            </w:r>
            <w:r>
              <w:rPr>
                <w:rFonts w:hint="default" w:ascii="Times New Roman" w:hAnsi="Times New Roman" w:cs="Times New Roman"/>
                <w:color w:val="auto"/>
                <w:kern w:val="0"/>
                <w:sz w:val="21"/>
                <w:szCs w:val="21"/>
                <w:highlight w:val="none"/>
                <w:lang w:eastAsia="zh-CN"/>
              </w:rPr>
              <w:t>按固定线路巡检</w:t>
            </w:r>
            <w:r>
              <w:rPr>
                <w:rFonts w:hint="default" w:ascii="Times New Roman" w:hAnsi="Times New Roman" w:eastAsia="宋体" w:cs="Times New Roman"/>
                <w:color w:val="auto"/>
                <w:sz w:val="21"/>
                <w:szCs w:val="21"/>
                <w:highlight w:val="none"/>
                <w:lang w:val="en-US" w:eastAsia="zh-CN"/>
              </w:rPr>
              <w:t>，减少运行期对生态的影响。</w:t>
            </w:r>
            <w:r>
              <w:rPr>
                <w:rFonts w:hint="default" w:ascii="Times New Roman" w:hAnsi="Times New Roman" w:eastAsia="宋体" w:cs="Times New Roman"/>
                <w:color w:val="auto"/>
                <w:sz w:val="21"/>
                <w:szCs w:val="21"/>
                <w:highlight w:val="none"/>
              </w:rPr>
              <w:t>临时占地因地制宜、恢复原有土地功能</w:t>
            </w:r>
            <w:r>
              <w:rPr>
                <w:rFonts w:hint="default" w:ascii="Times New Roman" w:hAnsi="Times New Roman" w:eastAsia="宋体" w:cs="Times New Roman"/>
                <w:color w:val="auto"/>
                <w:sz w:val="21"/>
                <w:szCs w:val="21"/>
                <w:highlight w:val="none"/>
                <w:lang w:eastAsia="zh-CN"/>
              </w:rPr>
              <w:t>。</w:t>
            </w:r>
          </w:p>
        </w:tc>
        <w:tc>
          <w:tcPr>
            <w:tcW w:w="1560" w:type="dxa"/>
            <w:noWrap w:val="0"/>
            <w:vAlign w:val="center"/>
          </w:tcPr>
          <w:p w14:paraId="2E472F6B">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线路巡检</w:t>
            </w:r>
            <w:r>
              <w:rPr>
                <w:rFonts w:hint="default" w:ascii="Times New Roman" w:hAnsi="Times New Roman" w:eastAsia="宋体" w:cs="Times New Roman"/>
                <w:color w:val="auto"/>
                <w:sz w:val="21"/>
                <w:szCs w:val="21"/>
                <w:highlight w:val="none"/>
                <w:lang w:val="en-US" w:eastAsia="zh-CN"/>
              </w:rPr>
              <w:t>期间</w:t>
            </w:r>
            <w:r>
              <w:rPr>
                <w:rFonts w:hint="default" w:ascii="Times New Roman" w:hAnsi="Times New Roman" w:cs="Times New Roman"/>
                <w:color w:val="auto"/>
                <w:kern w:val="0"/>
                <w:sz w:val="21"/>
                <w:szCs w:val="21"/>
                <w:highlight w:val="none"/>
                <w:lang w:eastAsia="zh-CN"/>
              </w:rPr>
              <w:t>按固定线路巡检</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以</w:t>
            </w:r>
            <w:r>
              <w:rPr>
                <w:rFonts w:hint="default" w:ascii="Times New Roman" w:hAnsi="Times New Roman" w:eastAsia="宋体" w:cs="Times New Roman"/>
                <w:color w:val="auto"/>
                <w:sz w:val="21"/>
                <w:szCs w:val="21"/>
                <w:highlight w:val="none"/>
              </w:rPr>
              <w:t>减少运行期对生态的影响。</w:t>
            </w:r>
          </w:p>
        </w:tc>
        <w:tc>
          <w:tcPr>
            <w:tcW w:w="1746" w:type="dxa"/>
            <w:noWrap w:val="0"/>
            <w:vAlign w:val="center"/>
          </w:tcPr>
          <w:p w14:paraId="5DA7AFB2">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沿线恢复原有</w:t>
            </w:r>
          </w:p>
          <w:p w14:paraId="69FF411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生态植被及功能</w:t>
            </w:r>
          </w:p>
        </w:tc>
      </w:tr>
      <w:tr w14:paraId="508740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861" w:type="dxa"/>
            <w:noWrap w:val="0"/>
            <w:vAlign w:val="center"/>
          </w:tcPr>
          <w:p w14:paraId="13650262">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水生</w:t>
            </w:r>
          </w:p>
          <w:p w14:paraId="6761E14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w:t>
            </w:r>
          </w:p>
        </w:tc>
        <w:tc>
          <w:tcPr>
            <w:tcW w:w="4121" w:type="dxa"/>
            <w:noWrap w:val="0"/>
            <w:vAlign w:val="center"/>
          </w:tcPr>
          <w:p w14:paraId="7D6F6E08">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05" w:type="dxa"/>
            <w:noWrap w:val="0"/>
            <w:vAlign w:val="center"/>
          </w:tcPr>
          <w:p w14:paraId="1FC7A718">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60" w:type="dxa"/>
            <w:noWrap w:val="0"/>
            <w:vAlign w:val="center"/>
          </w:tcPr>
          <w:p w14:paraId="34C21EB2">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46" w:type="dxa"/>
            <w:noWrap w:val="0"/>
            <w:vAlign w:val="center"/>
          </w:tcPr>
          <w:p w14:paraId="34C69C3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6AA561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1" w:type="dxa"/>
            <w:noWrap w:val="0"/>
            <w:vAlign w:val="center"/>
          </w:tcPr>
          <w:p w14:paraId="2F2F11D5">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w:t>
            </w:r>
          </w:p>
        </w:tc>
        <w:tc>
          <w:tcPr>
            <w:tcW w:w="4121" w:type="dxa"/>
            <w:noWrap w:val="0"/>
            <w:vAlign w:val="center"/>
          </w:tcPr>
          <w:p w14:paraId="48E25DEE">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w:t>
            </w:r>
            <w:r>
              <w:rPr>
                <w:rFonts w:hint="default" w:ascii="Times New Roman" w:hAnsi="Times New Roman" w:eastAsia="宋体" w:cs="Times New Roman"/>
                <w:color w:val="auto"/>
                <w:sz w:val="21"/>
                <w:szCs w:val="21"/>
                <w:highlight w:val="none"/>
              </w:rPr>
              <w:t>输电线路项目采用商品混凝土</w:t>
            </w:r>
            <w:r>
              <w:rPr>
                <w:rFonts w:hint="default" w:ascii="Times New Roman" w:hAnsi="Times New Roman" w:eastAsia="宋体" w:cs="Times New Roman"/>
                <w:color w:val="auto"/>
                <w:sz w:val="21"/>
                <w:szCs w:val="21"/>
                <w:highlight w:val="none"/>
                <w:lang w:val="en-US" w:eastAsia="zh-CN"/>
              </w:rPr>
              <w:t>，施工期无生产废水产生；</w:t>
            </w:r>
            <w:r>
              <w:rPr>
                <w:rFonts w:hint="default" w:ascii="Times New Roman" w:hAnsi="Times New Roman" w:cs="Times New Roman"/>
                <w:color w:val="auto"/>
                <w:sz w:val="21"/>
                <w:szCs w:val="21"/>
                <w:highlight w:val="none"/>
              </w:rPr>
              <w:t>②</w:t>
            </w:r>
            <w:r>
              <w:rPr>
                <w:rFonts w:hint="default" w:ascii="Times New Roman" w:hAnsi="Times New Roman" w:eastAsia="宋体" w:cs="Times New Roman"/>
                <w:color w:val="auto"/>
                <w:sz w:val="21"/>
                <w:szCs w:val="21"/>
                <w:highlight w:val="none"/>
                <w:lang w:val="en-US" w:eastAsia="zh-CN"/>
              </w:rPr>
              <w:t>施工期不设施工营地，租用当地民房作为施工营地，变电站内施工人员产生的少量生活污水依托站内已建的化粪池进行处理；线路施工人员产生的生活污水依托居住地污水处理措施处理。</w:t>
            </w:r>
            <w:r>
              <w:rPr>
                <w:rFonts w:hint="default" w:ascii="Times New Roman" w:hAnsi="Times New Roman" w:cs="Times New Roman"/>
                <w:color w:val="auto"/>
                <w:sz w:val="21"/>
                <w:szCs w:val="21"/>
                <w:highlight w:val="none"/>
              </w:rPr>
              <w:t>③输电线路</w:t>
            </w:r>
            <w:r>
              <w:rPr>
                <w:rFonts w:hint="default" w:ascii="Times New Roman" w:hAnsi="Times New Roman" w:cs="Times New Roman"/>
                <w:color w:val="auto"/>
                <w:sz w:val="21"/>
                <w:szCs w:val="21"/>
                <w:highlight w:val="none"/>
                <w:lang w:val="en-US" w:eastAsia="zh-CN"/>
              </w:rPr>
              <w:t>避开雨天</w:t>
            </w:r>
            <w:r>
              <w:rPr>
                <w:rFonts w:hint="default" w:ascii="Times New Roman" w:hAnsi="Times New Roman" w:cs="Times New Roman"/>
                <w:color w:val="auto"/>
                <w:sz w:val="21"/>
                <w:szCs w:val="21"/>
                <w:highlight w:val="none"/>
              </w:rPr>
              <w:t>施工。施工期严格管理，严禁乱扔垃圾。</w:t>
            </w:r>
          </w:p>
        </w:tc>
        <w:tc>
          <w:tcPr>
            <w:tcW w:w="1105" w:type="dxa"/>
            <w:noWrap w:val="0"/>
            <w:vAlign w:val="center"/>
          </w:tcPr>
          <w:p w14:paraId="662CF0FB">
            <w:pPr>
              <w:adjustRightInd w:val="0"/>
              <w:snapToGrid w:val="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无废水外排</w:t>
            </w:r>
            <w:r>
              <w:rPr>
                <w:rFonts w:hint="default" w:ascii="Times New Roman" w:hAnsi="Times New Roman" w:cs="Times New Roman"/>
                <w:color w:val="auto"/>
                <w:sz w:val="21"/>
                <w:szCs w:val="21"/>
                <w:highlight w:val="none"/>
                <w:lang w:eastAsia="zh-CN"/>
              </w:rPr>
              <w:t>。</w:t>
            </w:r>
          </w:p>
        </w:tc>
        <w:tc>
          <w:tcPr>
            <w:tcW w:w="1560" w:type="dxa"/>
            <w:noWrap w:val="0"/>
            <w:vAlign w:val="center"/>
          </w:tcPr>
          <w:p w14:paraId="6C8830E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46" w:type="dxa"/>
            <w:noWrap w:val="0"/>
            <w:vAlign w:val="center"/>
          </w:tcPr>
          <w:p w14:paraId="2F9E81EE">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4A548C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1" w:type="dxa"/>
            <w:noWrap w:val="0"/>
            <w:vAlign w:val="center"/>
          </w:tcPr>
          <w:p w14:paraId="61284C3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地下水及土壤环境</w:t>
            </w:r>
          </w:p>
        </w:tc>
        <w:tc>
          <w:tcPr>
            <w:tcW w:w="4121" w:type="dxa"/>
            <w:noWrap w:val="0"/>
            <w:vAlign w:val="center"/>
          </w:tcPr>
          <w:p w14:paraId="0C616961">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05" w:type="dxa"/>
            <w:noWrap w:val="0"/>
            <w:vAlign w:val="center"/>
          </w:tcPr>
          <w:p w14:paraId="3E4FD926">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60" w:type="dxa"/>
            <w:noWrap w:val="0"/>
            <w:vAlign w:val="center"/>
          </w:tcPr>
          <w:p w14:paraId="0AFE40F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w:t>
            </w:r>
          </w:p>
        </w:tc>
        <w:tc>
          <w:tcPr>
            <w:tcW w:w="1746" w:type="dxa"/>
            <w:noWrap w:val="0"/>
            <w:vAlign w:val="center"/>
          </w:tcPr>
          <w:p w14:paraId="06AA31BA">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213AB2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0" w:hRule="atLeast"/>
          <w:jc w:val="center"/>
        </w:trPr>
        <w:tc>
          <w:tcPr>
            <w:tcW w:w="861" w:type="dxa"/>
            <w:noWrap w:val="0"/>
            <w:vAlign w:val="center"/>
          </w:tcPr>
          <w:p w14:paraId="170782D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w:t>
            </w:r>
          </w:p>
        </w:tc>
        <w:tc>
          <w:tcPr>
            <w:tcW w:w="4121" w:type="dxa"/>
            <w:noWrap w:val="0"/>
            <w:vAlign w:val="center"/>
          </w:tcPr>
          <w:p w14:paraId="417D9100">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①施工过程中选用低噪声的施工设备；②现场金属材料的装卸做到轻拿轻放；③施工单位对施工机械设备定期进行维修养护；④严格控制施工作业时间，禁止夜间（22</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00-6</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00）施工，若必须进行夜间施工时，须取得地方环保部门同意，并在施工现场设置公告牌等。</w:t>
            </w:r>
            <w:r>
              <w:rPr>
                <w:rFonts w:hint="default" w:ascii="Times New Roman" w:hAnsi="Times New Roman" w:cs="Times New Roman"/>
                <w:color w:val="auto"/>
                <w:sz w:val="21"/>
                <w:szCs w:val="21"/>
                <w:lang w:eastAsia="zh-CN"/>
              </w:rPr>
              <w:t>⑤合理布置施工场地，高噪声设备</w:t>
            </w:r>
            <w:r>
              <w:rPr>
                <w:rFonts w:hint="default" w:ascii="Times New Roman" w:hAnsi="Times New Roman" w:cs="Times New Roman"/>
                <w:color w:val="auto"/>
                <w:sz w:val="21"/>
                <w:szCs w:val="21"/>
                <w:lang w:val="en-US" w:eastAsia="zh-CN"/>
              </w:rPr>
              <w:t>远离声环境敏感目标布设，选用低噪声设备，</w:t>
            </w:r>
            <w:r>
              <w:rPr>
                <w:rFonts w:hint="default" w:ascii="Times New Roman" w:hAnsi="Times New Roman" w:cs="Times New Roman"/>
                <w:color w:val="auto"/>
                <w:kern w:val="0"/>
                <w:sz w:val="21"/>
                <w:szCs w:val="21"/>
                <w:highlight w:val="none"/>
                <w:lang w:val="en-US" w:eastAsia="zh-CN" w:bidi="ar"/>
              </w:rPr>
              <w:t>输电线路塔基施工区域临近声敏感目标时，施工区域应设置不低于2.5m高的隔声围挡</w:t>
            </w:r>
            <w:r>
              <w:rPr>
                <w:rFonts w:hint="default" w:ascii="Times New Roman" w:hAnsi="Times New Roman" w:cs="Times New Roman"/>
                <w:color w:val="auto"/>
                <w:sz w:val="21"/>
                <w:szCs w:val="21"/>
                <w:lang w:val="en-US" w:eastAsia="zh-CN"/>
              </w:rPr>
              <w:t>，机械设备错峰使用，禁止同时使用。</w:t>
            </w:r>
            <w:r>
              <w:rPr>
                <w:rFonts w:hint="default" w:ascii="Times New Roman" w:hAnsi="Times New Roman" w:cs="Times New Roman"/>
                <w:color w:val="auto"/>
                <w:sz w:val="21"/>
                <w:szCs w:val="21"/>
                <w:lang w:eastAsia="zh-CN"/>
              </w:rPr>
              <w:t>⑥</w:t>
            </w:r>
            <w:r>
              <w:rPr>
                <w:rFonts w:hint="default" w:ascii="Times New Roman" w:hAnsi="Times New Roman" w:cs="Times New Roman"/>
                <w:color w:val="auto"/>
                <w:sz w:val="21"/>
                <w:szCs w:val="21"/>
                <w:lang w:val="en-US" w:eastAsia="zh-CN"/>
              </w:rPr>
              <w:t>严格落实《宁夏回族自治区生态环境保护条例》，在敏感目标附近施工时白天12:00~14:00、夜间20：00-8：00禁止施工。</w:t>
            </w:r>
          </w:p>
        </w:tc>
        <w:tc>
          <w:tcPr>
            <w:tcW w:w="1105" w:type="dxa"/>
            <w:noWrap w:val="0"/>
            <w:vAlign w:val="center"/>
          </w:tcPr>
          <w:p w14:paraId="7845378A">
            <w:pPr>
              <w:adjustRightInd w:val="0"/>
              <w:snapToGrid w:val="0"/>
              <w:jc w:val="both"/>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满足《建筑施工噪声排放标准》（GB12523-20</w:t>
            </w:r>
            <w:r>
              <w:rPr>
                <w:rFonts w:hint="default"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w:t>
            </w:r>
          </w:p>
          <w:p w14:paraId="4FD10E5D">
            <w:pPr>
              <w:adjustRightInd w:val="0"/>
              <w:snapToGrid w:val="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lang w:val="en-US" w:eastAsia="zh-CN"/>
              </w:rPr>
              <w:t>声环境敏感目标处噪声满足</w:t>
            </w:r>
            <w:r>
              <w:rPr>
                <w:rFonts w:hint="default" w:ascii="Times New Roman" w:hAnsi="Times New Roman" w:cs="Times New Roman"/>
                <w:color w:val="auto"/>
                <w:sz w:val="21"/>
                <w:szCs w:val="21"/>
                <w:lang w:eastAsia="zh-CN"/>
              </w:rPr>
              <w:t>《声环境质量标准》（GB3096-2008）</w:t>
            </w:r>
            <w:r>
              <w:rPr>
                <w:rFonts w:hint="default" w:ascii="Times New Roman" w:hAnsi="Times New Roman" w:cs="Times New Roman"/>
                <w:color w:val="auto"/>
                <w:sz w:val="21"/>
                <w:szCs w:val="21"/>
                <w:lang w:val="en-US" w:eastAsia="zh-CN"/>
              </w:rPr>
              <w:t>1类声环境功能区标准限值要求。</w:t>
            </w:r>
          </w:p>
        </w:tc>
        <w:tc>
          <w:tcPr>
            <w:tcW w:w="1560" w:type="dxa"/>
            <w:noWrap w:val="0"/>
            <w:vAlign w:val="center"/>
          </w:tcPr>
          <w:p w14:paraId="7111D5AA">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lang w:val="en-US" w:eastAsia="zh-CN"/>
              </w:rPr>
              <w:t>云雾山110千伏</w:t>
            </w:r>
            <w:r>
              <w:rPr>
                <w:rFonts w:hint="default" w:ascii="Times New Roman" w:hAnsi="Times New Roman" w:cs="Times New Roman"/>
                <w:color w:val="auto"/>
                <w:lang w:val="en-US" w:eastAsia="zh-CN"/>
              </w:rPr>
              <w:t>间隔扩建工程</w:t>
            </w:r>
            <w:r>
              <w:rPr>
                <w:rFonts w:hint="default" w:ascii="Times New Roman" w:hAnsi="Times New Roman" w:cs="Times New Roman"/>
                <w:color w:val="auto"/>
              </w:rPr>
              <w:t>选用低噪声设备，合理布置电气设备</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sz w:val="21"/>
                <w:szCs w:val="21"/>
                <w:highlight w:val="none"/>
              </w:rPr>
              <w:t>输电</w:t>
            </w:r>
            <w:r>
              <w:rPr>
                <w:rFonts w:hint="default" w:ascii="Times New Roman" w:hAnsi="Times New Roman" w:cs="Times New Roman"/>
                <w:color w:val="auto"/>
                <w:kern w:val="0"/>
                <w:sz w:val="21"/>
                <w:szCs w:val="21"/>
                <w:highlight w:val="none"/>
              </w:rPr>
              <w:t>线路合理选择导线截面和相导线结构，并通过控制导线对地高度，以降低线路的电晕可听噪声水平</w:t>
            </w:r>
            <w:r>
              <w:rPr>
                <w:rFonts w:hint="default" w:ascii="Times New Roman" w:hAnsi="Times New Roman" w:cs="Times New Roman"/>
                <w:color w:val="auto"/>
                <w:sz w:val="21"/>
                <w:szCs w:val="21"/>
                <w:highlight w:val="none"/>
              </w:rPr>
              <w:t>；②加强项目日常监督管理及运营期噪声的监测工作；③加强对项目周围居民科普宣传工作。</w:t>
            </w:r>
          </w:p>
        </w:tc>
        <w:tc>
          <w:tcPr>
            <w:tcW w:w="1746" w:type="dxa"/>
            <w:noWrap w:val="0"/>
            <w:vAlign w:val="center"/>
          </w:tcPr>
          <w:p w14:paraId="3D301282">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云雾山110千伏</w:t>
            </w:r>
            <w:r>
              <w:rPr>
                <w:rFonts w:hint="default" w:ascii="Times New Roman" w:hAnsi="Times New Roman" w:cs="Times New Roman"/>
                <w:color w:val="auto"/>
                <w:lang w:val="en-US" w:eastAsia="zh-CN"/>
              </w:rPr>
              <w:t>间隔扩建工</w:t>
            </w:r>
            <w:r>
              <w:rPr>
                <w:rFonts w:hint="default" w:ascii="Times New Roman" w:hAnsi="Times New Roman" w:cs="Times New Roman"/>
                <w:color w:val="auto"/>
                <w:kern w:val="0"/>
                <w:szCs w:val="21"/>
                <w:lang w:val="en-US" w:eastAsia="zh-CN"/>
              </w:rPr>
              <w:t>程</w:t>
            </w:r>
            <w:r>
              <w:rPr>
                <w:rFonts w:hint="default" w:ascii="Times New Roman" w:hAnsi="Times New Roman" w:cs="Times New Roman"/>
                <w:color w:val="auto"/>
                <w:sz w:val="21"/>
                <w:szCs w:val="21"/>
                <w:highlight w:val="none"/>
              </w:rPr>
              <w:t>噪声满足《《工业企业厂界环境噪声排放标准》</w:t>
            </w:r>
            <w:r>
              <w:rPr>
                <w:rFonts w:hint="default" w:ascii="Times New Roman" w:hAnsi="Times New Roman" w:cs="Times New Roman"/>
                <w:color w:val="auto"/>
                <w:sz w:val="21"/>
                <w:szCs w:val="21"/>
                <w:highlight w:val="none"/>
                <w:lang w:eastAsia="zh-CN"/>
              </w:rPr>
              <w:t>（GB12348-2008）2类标准</w:t>
            </w:r>
            <w:r>
              <w:rPr>
                <w:rFonts w:hint="default" w:ascii="Times New Roman" w:hAnsi="Times New Roman" w:cs="Times New Roman"/>
                <w:color w:val="auto"/>
                <w:sz w:val="21"/>
                <w:szCs w:val="21"/>
                <w:highlight w:val="none"/>
                <w:lang w:val="en-US" w:eastAsia="zh-CN"/>
              </w:rPr>
              <w:t>限值要求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输电线路沿线噪声满足《声环境质量标准》（GB3096-2008）</w:t>
            </w:r>
            <w:r>
              <w:rPr>
                <w:rFonts w:hint="default" w:ascii="Times New Roman" w:hAnsi="Times New Roman" w:cs="Times New Roman"/>
                <w:color w:val="auto"/>
                <w:sz w:val="21"/>
                <w:szCs w:val="21"/>
                <w:highlight w:val="none"/>
                <w:lang w:val="en-US" w:eastAsia="zh-CN"/>
              </w:rPr>
              <w:t>相应声环境功能区的限值要求</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lang w:val="en-US" w:eastAsia="zh-CN"/>
              </w:rPr>
              <w:t>声环境敏感目标处噪声满足</w:t>
            </w:r>
            <w:r>
              <w:rPr>
                <w:rFonts w:hint="default" w:ascii="Times New Roman" w:hAnsi="Times New Roman" w:cs="Times New Roman"/>
                <w:color w:val="auto"/>
                <w:sz w:val="21"/>
                <w:szCs w:val="21"/>
                <w:lang w:eastAsia="zh-CN"/>
              </w:rPr>
              <w:t>《声环境质量标准》（GB3096-2008）</w:t>
            </w:r>
            <w:r>
              <w:rPr>
                <w:rFonts w:hint="default" w:ascii="Times New Roman" w:hAnsi="Times New Roman" w:cs="Times New Roman"/>
                <w:color w:val="auto"/>
                <w:sz w:val="21"/>
                <w:szCs w:val="21"/>
                <w:lang w:val="en-US" w:eastAsia="zh-CN"/>
              </w:rPr>
              <w:t>1类声环境功能区标准限值要求。</w:t>
            </w:r>
          </w:p>
        </w:tc>
      </w:tr>
      <w:tr w14:paraId="3527D9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861" w:type="dxa"/>
            <w:noWrap w:val="0"/>
            <w:vAlign w:val="center"/>
          </w:tcPr>
          <w:p w14:paraId="1CC15106">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振动</w:t>
            </w:r>
          </w:p>
        </w:tc>
        <w:tc>
          <w:tcPr>
            <w:tcW w:w="4121" w:type="dxa"/>
            <w:noWrap w:val="0"/>
            <w:vAlign w:val="center"/>
          </w:tcPr>
          <w:p w14:paraId="3253E54E">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05" w:type="dxa"/>
            <w:noWrap w:val="0"/>
            <w:vAlign w:val="center"/>
          </w:tcPr>
          <w:p w14:paraId="13861923">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60" w:type="dxa"/>
            <w:noWrap w:val="0"/>
            <w:vAlign w:val="center"/>
          </w:tcPr>
          <w:p w14:paraId="5B28B1D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46" w:type="dxa"/>
            <w:noWrap w:val="0"/>
            <w:vAlign w:val="center"/>
          </w:tcPr>
          <w:p w14:paraId="56EACB4F">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47D128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dxa"/>
            <w:noWrap w:val="0"/>
            <w:vAlign w:val="center"/>
          </w:tcPr>
          <w:p w14:paraId="7FCD3088">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w:t>
            </w:r>
          </w:p>
          <w:p w14:paraId="486FA358">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w:t>
            </w:r>
          </w:p>
        </w:tc>
        <w:tc>
          <w:tcPr>
            <w:tcW w:w="4121" w:type="dxa"/>
            <w:noWrap w:val="0"/>
            <w:vAlign w:val="center"/>
          </w:tcPr>
          <w:p w14:paraId="49527C00">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kern w:val="0"/>
                <w:sz w:val="21"/>
                <w:szCs w:val="21"/>
                <w:highlight w:val="none"/>
              </w:rPr>
              <w:t>施工场地适时洒水；</w:t>
            </w:r>
            <w:r>
              <w:rPr>
                <w:rFonts w:hint="default" w:ascii="Times New Roman" w:hAnsi="Times New Roman" w:cs="Times New Roman"/>
                <w:color w:val="auto"/>
                <w:sz w:val="21"/>
                <w:szCs w:val="21"/>
                <w:highlight w:val="none"/>
              </w:rPr>
              <w:t>②物料堆放等采取</w:t>
            </w:r>
            <w:r>
              <w:rPr>
                <w:rFonts w:hint="default" w:ascii="Times New Roman" w:hAnsi="Times New Roman" w:cs="Times New Roman"/>
                <w:color w:val="auto"/>
                <w:sz w:val="21"/>
                <w:szCs w:val="21"/>
                <w:highlight w:val="none"/>
                <w:lang w:val="en-US" w:eastAsia="zh-CN"/>
              </w:rPr>
              <w:t>苫盖措施</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kern w:val="0"/>
                <w:sz w:val="21"/>
                <w:szCs w:val="21"/>
                <w:highlight w:val="none"/>
              </w:rPr>
              <w:t>③</w:t>
            </w:r>
            <w:r>
              <w:rPr>
                <w:rFonts w:hint="default" w:ascii="Times New Roman" w:hAnsi="Times New Roman" w:cs="Times New Roman"/>
                <w:color w:val="auto"/>
                <w:sz w:val="21"/>
                <w:szCs w:val="21"/>
                <w:highlight w:val="none"/>
              </w:rPr>
              <w:t>尽量不在大风天施工作业，尤其是引起地面扰动的作业等防尘措施。④土方运输车辆采取篷布苫盖，封闭运输，防止飞散、掉落；⑤施工现场禁止将包装物、可燃垃圾等固体废弃物就地焚烧。</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6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⑥</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针对施工车辆产生的尾气，施工过程中应加强施工机械和车辆的维护保养，减少废气排放量。</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7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⑦</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施工期做到6个100%，进一步减少施工扬尘。</w:t>
            </w:r>
          </w:p>
        </w:tc>
        <w:tc>
          <w:tcPr>
            <w:tcW w:w="1105" w:type="dxa"/>
            <w:noWrap w:val="0"/>
            <w:vAlign w:val="center"/>
          </w:tcPr>
          <w:p w14:paraId="1EB102E5">
            <w:pPr>
              <w:adjustRightInd w:val="0"/>
              <w:snapToGrid w:val="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按要求处置</w:t>
            </w:r>
            <w:r>
              <w:rPr>
                <w:rFonts w:hint="default" w:ascii="Times New Roman" w:hAnsi="Times New Roman" w:cs="Times New Roman"/>
                <w:color w:val="auto"/>
                <w:sz w:val="21"/>
                <w:szCs w:val="21"/>
                <w:highlight w:val="none"/>
                <w:lang w:eastAsia="zh-CN"/>
              </w:rPr>
              <w:t>。</w:t>
            </w:r>
          </w:p>
        </w:tc>
        <w:tc>
          <w:tcPr>
            <w:tcW w:w="1560" w:type="dxa"/>
            <w:noWrap w:val="0"/>
            <w:vAlign w:val="center"/>
          </w:tcPr>
          <w:p w14:paraId="2C3C7833">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46" w:type="dxa"/>
            <w:noWrap w:val="0"/>
            <w:vAlign w:val="center"/>
          </w:tcPr>
          <w:p w14:paraId="1F5FDA3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2FECDE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dxa"/>
            <w:noWrap w:val="0"/>
            <w:vAlign w:val="center"/>
          </w:tcPr>
          <w:p w14:paraId="49835DA2">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w:t>
            </w:r>
          </w:p>
          <w:p w14:paraId="745D14F2">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废物</w:t>
            </w:r>
          </w:p>
        </w:tc>
        <w:tc>
          <w:tcPr>
            <w:tcW w:w="4121" w:type="dxa"/>
            <w:noWrap w:val="0"/>
            <w:vAlign w:val="center"/>
          </w:tcPr>
          <w:p w14:paraId="312EB560">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w:t>
            </w:r>
            <w:r>
              <w:rPr>
                <w:rFonts w:hint="default" w:ascii="Times New Roman" w:hAnsi="Times New Roman" w:eastAsia="宋体" w:cs="Times New Roman"/>
                <w:color w:val="auto"/>
                <w:sz w:val="21"/>
                <w:szCs w:val="21"/>
                <w:lang w:val="en-US" w:eastAsia="zh-CN"/>
              </w:rPr>
              <w:t>间隔扩建工程</w:t>
            </w:r>
            <w:r>
              <w:rPr>
                <w:rFonts w:hint="default" w:ascii="Times New Roman" w:hAnsi="Times New Roman" w:eastAsia="宋体" w:cs="Times New Roman"/>
                <w:color w:val="auto"/>
                <w:sz w:val="21"/>
                <w:szCs w:val="21"/>
                <w:highlight w:val="none"/>
                <w:lang w:val="en-US" w:eastAsia="zh-CN"/>
              </w:rPr>
              <w:t>施工过程开挖产生的</w:t>
            </w:r>
            <w:r>
              <w:rPr>
                <w:rFonts w:hint="eastAsia" w:cs="Times New Roman"/>
                <w:color w:val="auto"/>
                <w:sz w:val="21"/>
                <w:szCs w:val="21"/>
                <w:highlight w:val="none"/>
                <w:vertAlign w:val="baseline"/>
                <w:lang w:val="en-US" w:eastAsia="zh-CN"/>
              </w:rPr>
              <w:t>余</w:t>
            </w:r>
            <w:r>
              <w:rPr>
                <w:rFonts w:hint="default" w:ascii="Times New Roman" w:hAnsi="Times New Roman" w:cs="Times New Roman"/>
                <w:color w:val="auto"/>
                <w:sz w:val="21"/>
                <w:szCs w:val="21"/>
                <w:highlight w:val="none"/>
                <w:vertAlign w:val="baseline"/>
                <w:lang w:val="en-US" w:eastAsia="zh-CN"/>
              </w:rPr>
              <w:t>方由施工单位运至</w:t>
            </w:r>
            <w:r>
              <w:rPr>
                <w:rFonts w:hint="default" w:ascii="Times New Roman" w:hAnsi="Times New Roman" w:cs="Times New Roman"/>
                <w:color w:val="auto"/>
                <w:sz w:val="21"/>
                <w:szCs w:val="21"/>
                <w:highlight w:val="none"/>
                <w:lang w:val="en-US" w:eastAsia="zh-CN"/>
              </w:rPr>
              <w:t>输电线路塔基及施工作业区</w:t>
            </w:r>
            <w:r>
              <w:rPr>
                <w:rFonts w:hint="eastAsia" w:cs="Times New Roman"/>
                <w:color w:val="auto"/>
                <w:sz w:val="21"/>
                <w:szCs w:val="21"/>
                <w:highlight w:val="none"/>
                <w:lang w:val="en-US" w:eastAsia="zh-CN"/>
              </w:rPr>
              <w:t>场地平整使用</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塔基基础开挖出的土石方全部用于回填及塔基周围培土，无弃土产生</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②建筑垃圾由施工单位收集后统一清运至政府指定地点处置</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③</w:t>
            </w:r>
            <w:r>
              <w:rPr>
                <w:rFonts w:hint="default" w:ascii="Times New Roman" w:hAnsi="Times New Roman" w:cs="Times New Roman"/>
                <w:color w:val="auto"/>
                <w:sz w:val="21"/>
                <w:szCs w:val="21"/>
                <w:highlight w:val="none"/>
                <w:lang w:val="en-US" w:eastAsia="zh-CN"/>
              </w:rPr>
              <w:t>变电站内施工人员产生的</w:t>
            </w:r>
            <w:r>
              <w:rPr>
                <w:rFonts w:hint="default" w:ascii="Times New Roman" w:hAnsi="Times New Roman" w:eastAsia="宋体" w:cs="Times New Roman"/>
                <w:color w:val="auto"/>
                <w:sz w:val="21"/>
                <w:szCs w:val="21"/>
                <w:highlight w:val="none"/>
                <w:lang w:val="en-US" w:eastAsia="zh-CN"/>
              </w:rPr>
              <w:t>生活垃圾</w:t>
            </w:r>
            <w:r>
              <w:rPr>
                <w:rFonts w:hint="default" w:ascii="Times New Roman" w:hAnsi="Times New Roman" w:cs="Times New Roman"/>
                <w:color w:val="auto"/>
                <w:sz w:val="21"/>
                <w:szCs w:val="21"/>
                <w:highlight w:val="none"/>
                <w:lang w:val="en-US" w:eastAsia="zh-CN"/>
              </w:rPr>
              <w:t>依托站内</w:t>
            </w:r>
            <w:r>
              <w:rPr>
                <w:rFonts w:hint="default" w:ascii="Times New Roman" w:hAnsi="Times New Roman" w:eastAsia="宋体" w:cs="Times New Roman"/>
                <w:color w:val="auto"/>
                <w:sz w:val="21"/>
                <w:szCs w:val="21"/>
                <w:highlight w:val="none"/>
                <w:lang w:val="en-US" w:eastAsia="zh-CN"/>
              </w:rPr>
              <w:t>生活</w:t>
            </w:r>
            <w:r>
              <w:rPr>
                <w:rFonts w:hint="default" w:ascii="Times New Roman" w:hAnsi="Times New Roman" w:cs="Times New Roman"/>
                <w:color w:val="auto"/>
                <w:sz w:val="21"/>
                <w:szCs w:val="21"/>
                <w:highlight w:val="none"/>
                <w:lang w:val="en-US" w:eastAsia="zh-CN"/>
              </w:rPr>
              <w:t>垃圾桶分类收集</w:t>
            </w:r>
            <w:r>
              <w:rPr>
                <w:rFonts w:hint="eastAsia" w:cs="Times New Roman"/>
                <w:color w:val="auto"/>
                <w:sz w:val="21"/>
                <w:szCs w:val="21"/>
                <w:highlight w:val="none"/>
                <w:lang w:val="en-US" w:eastAsia="zh-CN"/>
              </w:rPr>
              <w:t>后送附近垃圾收集点收集处置</w:t>
            </w:r>
            <w:r>
              <w:rPr>
                <w:rFonts w:hint="default" w:ascii="Times New Roman" w:hAnsi="Times New Roman" w:cs="Times New Roman"/>
                <w:color w:val="auto"/>
                <w:sz w:val="21"/>
                <w:szCs w:val="21"/>
                <w:highlight w:val="none"/>
                <w:lang w:val="en-US" w:eastAsia="zh-CN"/>
              </w:rPr>
              <w:t>。输电线路</w:t>
            </w:r>
            <w:r>
              <w:rPr>
                <w:rFonts w:hint="default" w:ascii="Times New Roman" w:hAnsi="Times New Roman" w:eastAsia="宋体" w:cs="Times New Roman"/>
                <w:color w:val="auto"/>
                <w:sz w:val="21"/>
                <w:szCs w:val="21"/>
                <w:highlight w:val="none"/>
                <w:lang w:val="en-US" w:eastAsia="zh-CN"/>
              </w:rPr>
              <w:t>施工人员产生的生活垃圾依托</w:t>
            </w:r>
            <w:r>
              <w:rPr>
                <w:rFonts w:hint="default" w:ascii="Times New Roman" w:hAnsi="Times New Roman" w:cs="Times New Roman"/>
                <w:color w:val="auto"/>
                <w:spacing w:val="-11"/>
                <w:sz w:val="21"/>
                <w:szCs w:val="21"/>
                <w:highlight w:val="none"/>
                <w:lang w:val="en-US" w:eastAsia="zh-CN"/>
              </w:rPr>
              <w:t>居住地</w:t>
            </w:r>
            <w:r>
              <w:rPr>
                <w:rFonts w:hint="default" w:ascii="Times New Roman" w:hAnsi="Times New Roman" w:eastAsia="宋体" w:cs="Times New Roman"/>
                <w:color w:val="auto"/>
                <w:sz w:val="21"/>
                <w:szCs w:val="21"/>
                <w:highlight w:val="none"/>
                <w:lang w:val="en-US" w:eastAsia="zh-CN"/>
              </w:rPr>
              <w:t>现有的垃圾桶</w:t>
            </w:r>
            <w:r>
              <w:rPr>
                <w:rFonts w:hint="default" w:ascii="Times New Roman" w:hAnsi="Times New Roman" w:eastAsia="宋体" w:cs="Times New Roman"/>
                <w:color w:val="auto"/>
                <w:kern w:val="0"/>
                <w:sz w:val="21"/>
                <w:szCs w:val="21"/>
                <w:highlight w:val="none"/>
              </w:rPr>
              <w:t>集中收集</w:t>
            </w:r>
            <w:r>
              <w:rPr>
                <w:rFonts w:hint="eastAsia" w:cs="Times New Roman"/>
                <w:color w:val="auto"/>
                <w:sz w:val="21"/>
                <w:szCs w:val="21"/>
                <w:highlight w:val="none"/>
                <w:lang w:val="en-US" w:eastAsia="zh-CN"/>
              </w:rPr>
              <w:t>后送附近垃圾收集点收集处置</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cs="Times New Roman"/>
                <w:color w:val="auto"/>
                <w:sz w:val="21"/>
                <w:szCs w:val="21"/>
                <w:highlight w:val="none"/>
              </w:rPr>
              <w:t>④</w:t>
            </w:r>
            <w:r>
              <w:rPr>
                <w:rFonts w:hint="default" w:ascii="Times New Roman" w:hAnsi="Times New Roman" w:eastAsia="宋体" w:cs="Times New Roman"/>
                <w:color w:val="auto"/>
                <w:sz w:val="21"/>
                <w:szCs w:val="21"/>
                <w:highlight w:val="none"/>
                <w:lang w:val="en-US" w:eastAsia="zh-CN"/>
              </w:rPr>
              <w:t>拆除下来的导线、地线、附件及其他可回收的铁塔部件交由建管单位回收利用；基础破除产生的混凝土块，集中收集后运至当地环境卫生主管部门指定的地点处置。</w:t>
            </w:r>
          </w:p>
        </w:tc>
        <w:tc>
          <w:tcPr>
            <w:tcW w:w="1105" w:type="dxa"/>
            <w:noWrap w:val="0"/>
            <w:vAlign w:val="center"/>
          </w:tcPr>
          <w:p w14:paraId="00B85224">
            <w:pPr>
              <w:adjustRightInd w:val="0"/>
              <w:snapToGrid w:val="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按要求处置</w:t>
            </w:r>
            <w:r>
              <w:rPr>
                <w:rFonts w:hint="default" w:ascii="Times New Roman" w:hAnsi="Times New Roman" w:cs="Times New Roman"/>
                <w:color w:val="auto"/>
                <w:sz w:val="21"/>
                <w:szCs w:val="21"/>
                <w:highlight w:val="none"/>
                <w:lang w:eastAsia="zh-CN"/>
              </w:rPr>
              <w:t>。</w:t>
            </w:r>
          </w:p>
        </w:tc>
        <w:tc>
          <w:tcPr>
            <w:tcW w:w="1560" w:type="dxa"/>
            <w:noWrap w:val="0"/>
            <w:vAlign w:val="center"/>
          </w:tcPr>
          <w:p w14:paraId="773F55A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46" w:type="dxa"/>
            <w:noWrap w:val="0"/>
            <w:vAlign w:val="center"/>
          </w:tcPr>
          <w:p w14:paraId="3BE224BD">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66EDE6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dxa"/>
            <w:noWrap w:val="0"/>
            <w:vAlign w:val="center"/>
          </w:tcPr>
          <w:p w14:paraId="5B62FB4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电磁</w:t>
            </w:r>
          </w:p>
          <w:p w14:paraId="44B30E7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w:t>
            </w:r>
          </w:p>
        </w:tc>
        <w:tc>
          <w:tcPr>
            <w:tcW w:w="4121" w:type="dxa"/>
            <w:noWrap w:val="0"/>
            <w:vAlign w:val="center"/>
          </w:tcPr>
          <w:p w14:paraId="36002542">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05" w:type="dxa"/>
            <w:noWrap w:val="0"/>
            <w:vAlign w:val="center"/>
          </w:tcPr>
          <w:p w14:paraId="4E30366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60" w:type="dxa"/>
            <w:noWrap w:val="0"/>
            <w:vAlign w:val="center"/>
          </w:tcPr>
          <w:p w14:paraId="2E0A95E9">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kern w:val="0"/>
                <w:szCs w:val="21"/>
                <w:lang w:val="en-US" w:eastAsia="zh-CN"/>
              </w:rPr>
              <w:t>间隔扩建工程</w:t>
            </w:r>
            <w:r>
              <w:rPr>
                <w:rFonts w:hint="default" w:ascii="Times New Roman" w:hAnsi="Times New Roman" w:cs="Times New Roman"/>
                <w:color w:val="auto"/>
                <w:kern w:val="0"/>
                <w:szCs w:val="21"/>
              </w:rPr>
              <w:t>合理选择电气设备、设施</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输电线路</w:t>
            </w:r>
            <w:r>
              <w:rPr>
                <w:rFonts w:hint="default" w:ascii="Times New Roman" w:hAnsi="Times New Roman" w:cs="Times New Roman"/>
                <w:color w:val="auto"/>
                <w:sz w:val="21"/>
                <w:szCs w:val="21"/>
                <w:highlight w:val="none"/>
              </w:rPr>
              <w:t>采用合理的导线截面及结构，提高导线、金具加工工艺及控制导线对地距离；②加强项目日常监督管理及运营期工频电场、工频磁场的监测工作；③加强对项目周围居民的科普宣传工作。④定期对输电线路进行巡视和环境影响监测。</w:t>
            </w:r>
            <w:r>
              <w:rPr>
                <w:rFonts w:hint="default" w:ascii="Times New Roman" w:hAnsi="Times New Roman" w:cs="Times New Roman"/>
                <w:color w:val="auto"/>
                <w:sz w:val="21"/>
                <w:szCs w:val="21"/>
                <w:highlight w:val="none"/>
                <w:lang w:val="en-US" w:eastAsia="zh-CN"/>
              </w:rPr>
              <w:t>设置</w:t>
            </w:r>
            <w:r>
              <w:rPr>
                <w:rFonts w:hint="default" w:ascii="Times New Roman" w:hAnsi="Times New Roman" w:cs="Times New Roman"/>
                <w:color w:val="auto"/>
                <w:sz w:val="21"/>
                <w:szCs w:val="21"/>
                <w:highlight w:val="none"/>
              </w:rPr>
              <w:t>警示和防护指示标志，避免意外事故发生。</w:t>
            </w:r>
          </w:p>
        </w:tc>
        <w:tc>
          <w:tcPr>
            <w:tcW w:w="1746" w:type="dxa"/>
            <w:noWrap w:val="0"/>
            <w:vAlign w:val="center"/>
          </w:tcPr>
          <w:p w14:paraId="62E4B6F3">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输电线路满足《电磁环境控制限值》（GB8702-2014）相应标准限值。</w:t>
            </w:r>
          </w:p>
        </w:tc>
      </w:tr>
      <w:tr w14:paraId="57630F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dxa"/>
            <w:noWrap w:val="0"/>
            <w:vAlign w:val="center"/>
          </w:tcPr>
          <w:p w14:paraId="1E235988">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w:t>
            </w:r>
          </w:p>
          <w:p w14:paraId="154AA62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风险</w:t>
            </w:r>
          </w:p>
        </w:tc>
        <w:tc>
          <w:tcPr>
            <w:tcW w:w="4121" w:type="dxa"/>
            <w:noWrap w:val="0"/>
            <w:vAlign w:val="center"/>
          </w:tcPr>
          <w:p w14:paraId="4F4B288D">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05" w:type="dxa"/>
            <w:noWrap w:val="0"/>
            <w:vAlign w:val="center"/>
          </w:tcPr>
          <w:p w14:paraId="5615C28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60" w:type="dxa"/>
            <w:noWrap w:val="0"/>
            <w:vAlign w:val="center"/>
          </w:tcPr>
          <w:p w14:paraId="45A99B04">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46" w:type="dxa"/>
            <w:noWrap w:val="0"/>
            <w:vAlign w:val="center"/>
          </w:tcPr>
          <w:p w14:paraId="3409F13A">
            <w:pPr>
              <w:adjustRightInd w:val="0"/>
              <w:snapToGrid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267A3F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dxa"/>
            <w:noWrap w:val="0"/>
            <w:vAlign w:val="center"/>
          </w:tcPr>
          <w:p w14:paraId="2FE907C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w:t>
            </w:r>
          </w:p>
          <w:p w14:paraId="5500A43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w:t>
            </w:r>
          </w:p>
        </w:tc>
        <w:tc>
          <w:tcPr>
            <w:tcW w:w="4121" w:type="dxa"/>
            <w:noWrap w:val="0"/>
            <w:vAlign w:val="center"/>
          </w:tcPr>
          <w:p w14:paraId="389AC28A">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05" w:type="dxa"/>
            <w:noWrap w:val="0"/>
            <w:vAlign w:val="center"/>
          </w:tcPr>
          <w:p w14:paraId="11AF7B73">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60" w:type="dxa"/>
            <w:noWrap w:val="0"/>
            <w:vAlign w:val="center"/>
          </w:tcPr>
          <w:p w14:paraId="6B7128A0">
            <w:pPr>
              <w:adjustRightInd w:val="0"/>
              <w:snapToGrid w:val="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按照运行期环境监测计划对项目进行电磁环境、声环境监测</w:t>
            </w:r>
            <w:r>
              <w:rPr>
                <w:rFonts w:hint="default" w:ascii="Times New Roman" w:hAnsi="Times New Roman" w:cs="Times New Roman"/>
                <w:color w:val="auto"/>
                <w:sz w:val="21"/>
                <w:szCs w:val="21"/>
                <w:highlight w:val="none"/>
                <w:lang w:eastAsia="zh-CN"/>
              </w:rPr>
              <w:t>。</w:t>
            </w:r>
          </w:p>
        </w:tc>
        <w:tc>
          <w:tcPr>
            <w:tcW w:w="1746" w:type="dxa"/>
            <w:noWrap w:val="0"/>
            <w:vAlign w:val="center"/>
          </w:tcPr>
          <w:p w14:paraId="4587DB56">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云雾山110千伏</w:t>
            </w:r>
            <w:r>
              <w:rPr>
                <w:rFonts w:hint="default" w:ascii="Times New Roman" w:hAnsi="Times New Roman" w:cs="Times New Roman"/>
                <w:color w:val="auto"/>
                <w:lang w:val="en-US" w:eastAsia="zh-CN"/>
              </w:rPr>
              <w:t>间隔扩建工</w:t>
            </w:r>
            <w:r>
              <w:rPr>
                <w:rFonts w:hint="default" w:ascii="Times New Roman" w:hAnsi="Times New Roman" w:cs="Times New Roman"/>
                <w:color w:val="auto"/>
                <w:kern w:val="0"/>
                <w:szCs w:val="21"/>
                <w:lang w:val="en-US" w:eastAsia="zh-CN"/>
              </w:rPr>
              <w:t>程</w:t>
            </w:r>
            <w:r>
              <w:rPr>
                <w:rFonts w:hint="default" w:ascii="Times New Roman" w:hAnsi="Times New Roman" w:cs="Times New Roman"/>
                <w:color w:val="auto"/>
                <w:sz w:val="21"/>
                <w:szCs w:val="21"/>
                <w:highlight w:val="none"/>
              </w:rPr>
              <w:t>噪声满足《《工业企业厂界环境噪声排放标准》</w:t>
            </w:r>
            <w:r>
              <w:rPr>
                <w:rFonts w:hint="default" w:ascii="Times New Roman" w:hAnsi="Times New Roman" w:cs="Times New Roman"/>
                <w:color w:val="auto"/>
                <w:sz w:val="21"/>
                <w:szCs w:val="21"/>
                <w:highlight w:val="none"/>
                <w:lang w:eastAsia="zh-CN"/>
              </w:rPr>
              <w:t>（GB12348-2008）2类标准</w:t>
            </w:r>
            <w:r>
              <w:rPr>
                <w:rFonts w:hint="default" w:ascii="Times New Roman" w:hAnsi="Times New Roman" w:cs="Times New Roman"/>
                <w:color w:val="auto"/>
                <w:sz w:val="21"/>
                <w:szCs w:val="21"/>
                <w:highlight w:val="none"/>
                <w:lang w:val="en-US" w:eastAsia="zh-CN"/>
              </w:rPr>
              <w:t>限值要求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输电线路沿线噪声满足《声环境质量标准》（GB3096-2008）</w:t>
            </w:r>
            <w:r>
              <w:rPr>
                <w:rFonts w:hint="default" w:ascii="Times New Roman" w:hAnsi="Times New Roman" w:cs="Times New Roman"/>
                <w:color w:val="auto"/>
                <w:sz w:val="21"/>
                <w:szCs w:val="21"/>
                <w:highlight w:val="none"/>
                <w:lang w:val="en-US" w:eastAsia="zh-CN"/>
              </w:rPr>
              <w:t>相应声环境功能区的限值要求</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lang w:val="en-US" w:eastAsia="zh-CN"/>
              </w:rPr>
              <w:t>声环境敏感目标处噪声满足</w:t>
            </w:r>
            <w:r>
              <w:rPr>
                <w:rFonts w:hint="default" w:ascii="Times New Roman" w:hAnsi="Times New Roman" w:cs="Times New Roman"/>
                <w:color w:val="auto"/>
                <w:sz w:val="21"/>
                <w:szCs w:val="21"/>
                <w:lang w:eastAsia="zh-CN"/>
              </w:rPr>
              <w:t>《声环境质量标准》（GB3096-2008）</w:t>
            </w:r>
            <w:r>
              <w:rPr>
                <w:rFonts w:hint="default" w:ascii="Times New Roman" w:hAnsi="Times New Roman" w:cs="Times New Roman"/>
                <w:color w:val="auto"/>
                <w:sz w:val="21"/>
                <w:szCs w:val="21"/>
                <w:lang w:val="en-US" w:eastAsia="zh-CN"/>
              </w:rPr>
              <w:t>1类声环境功能区标准限值要求。</w:t>
            </w:r>
          </w:p>
        </w:tc>
      </w:tr>
      <w:tr w14:paraId="77868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861" w:type="dxa"/>
            <w:noWrap w:val="0"/>
            <w:vAlign w:val="center"/>
          </w:tcPr>
          <w:p w14:paraId="0666114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w:t>
            </w:r>
          </w:p>
        </w:tc>
        <w:tc>
          <w:tcPr>
            <w:tcW w:w="4121" w:type="dxa"/>
            <w:noWrap w:val="0"/>
            <w:vAlign w:val="center"/>
          </w:tcPr>
          <w:p w14:paraId="7584867D">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05" w:type="dxa"/>
            <w:noWrap w:val="0"/>
            <w:vAlign w:val="center"/>
          </w:tcPr>
          <w:p w14:paraId="7DF3AD1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60" w:type="dxa"/>
            <w:noWrap w:val="0"/>
            <w:vAlign w:val="center"/>
          </w:tcPr>
          <w:p w14:paraId="295B2FC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46" w:type="dxa"/>
            <w:noWrap w:val="0"/>
            <w:vAlign w:val="center"/>
          </w:tcPr>
          <w:p w14:paraId="635D38B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bl>
    <w:p w14:paraId="6E52A2FC">
      <w:pPr>
        <w:pStyle w:val="29"/>
        <w:spacing w:before="0" w:beforeAutospacing="0" w:line="14" w:lineRule="auto"/>
        <w:jc w:val="center"/>
        <w:outlineLvl w:val="0"/>
        <w:rPr>
          <w:rFonts w:hint="default" w:ascii="Times New Roman" w:hAnsi="Times New Roman" w:eastAsia="黑体" w:cs="Times New Roman"/>
          <w:snapToGrid w:val="0"/>
          <w:color w:val="auto"/>
          <w:sz w:val="30"/>
          <w:szCs w:val="30"/>
          <w:highlight w:val="none"/>
        </w:rPr>
        <w:sectPr>
          <w:footerReference r:id="rId7" w:type="default"/>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3A0C38D7">
      <w:pPr>
        <w:pStyle w:val="29"/>
        <w:spacing w:before="0" w:beforeAutospacing="0" w:after="0" w:afterAutospacing="0" w:line="240" w:lineRule="auto"/>
        <w:jc w:val="center"/>
        <w:outlineLvl w:val="0"/>
        <w:rPr>
          <w:rFonts w:hint="default" w:ascii="Times New Roman" w:hAnsi="Times New Roman" w:eastAsia="黑体" w:cs="Times New Roman"/>
          <w:snapToGrid w:val="0"/>
          <w:color w:val="auto"/>
          <w:sz w:val="30"/>
          <w:szCs w:val="30"/>
          <w:highlight w:val="none"/>
        </w:rPr>
      </w:pPr>
      <w:bookmarkStart w:id="252" w:name="_Toc13533"/>
      <w:bookmarkStart w:id="253" w:name="_Toc6381"/>
      <w:bookmarkStart w:id="254" w:name="_Toc15188"/>
      <w:bookmarkStart w:id="255" w:name="_Toc23338"/>
      <w:bookmarkStart w:id="256" w:name="_Toc23517"/>
      <w:bookmarkStart w:id="257" w:name="_Toc31688"/>
      <w:bookmarkStart w:id="258" w:name="_Toc11623"/>
      <w:bookmarkStart w:id="259" w:name="_Toc22830"/>
      <w:bookmarkStart w:id="260" w:name="_Toc32528"/>
      <w:bookmarkStart w:id="261" w:name="_Toc16537"/>
      <w:bookmarkStart w:id="262" w:name="_Toc2238"/>
      <w:bookmarkStart w:id="263" w:name="_Toc152582993"/>
      <w:r>
        <w:rPr>
          <w:rFonts w:hint="default" w:ascii="Times New Roman" w:hAnsi="Times New Roman" w:eastAsia="黑体" w:cs="Times New Roman"/>
          <w:b/>
          <w:bCs/>
          <w:snapToGrid w:val="0"/>
          <w:color w:val="auto"/>
          <w:sz w:val="30"/>
          <w:szCs w:val="30"/>
          <w:highlight w:val="none"/>
        </w:rPr>
        <w:t>七、结论</w:t>
      </w:r>
      <w:bookmarkEnd w:id="252"/>
      <w:bookmarkEnd w:id="253"/>
      <w:bookmarkEnd w:id="254"/>
      <w:bookmarkEnd w:id="255"/>
      <w:bookmarkEnd w:id="256"/>
      <w:bookmarkEnd w:id="257"/>
      <w:bookmarkEnd w:id="258"/>
      <w:bookmarkEnd w:id="259"/>
      <w:bookmarkEnd w:id="260"/>
      <w:bookmarkEnd w:id="261"/>
      <w:bookmarkEnd w:id="262"/>
      <w:bookmarkEnd w:id="263"/>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425"/>
      </w:tblGrid>
      <w:tr w14:paraId="3F1691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89" w:hRule="atLeast"/>
          <w:jc w:val="center"/>
        </w:trPr>
        <w:tc>
          <w:tcPr>
            <w:tcW w:w="9425" w:type="dxa"/>
            <w:noWrap w:val="0"/>
            <w:vAlign w:val="top"/>
          </w:tcPr>
          <w:p w14:paraId="1211238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本项目符合国家和地方产业政策，符合相关规划，项目选线合理，符合</w:t>
            </w:r>
            <w:r>
              <w:rPr>
                <w:rFonts w:hint="default" w:ascii="Times New Roman" w:hAnsi="Times New Roman" w:cs="Times New Roman"/>
                <w:color w:val="auto"/>
                <w:sz w:val="24"/>
                <w:highlight w:val="none"/>
                <w:lang w:val="en-US" w:eastAsia="zh-CN"/>
              </w:rPr>
              <w:t>固原</w:t>
            </w:r>
            <w:r>
              <w:rPr>
                <w:rFonts w:hint="default" w:ascii="Times New Roman" w:hAnsi="Times New Roman" w:cs="Times New Roman"/>
                <w:color w:val="auto"/>
                <w:sz w:val="24"/>
                <w:highlight w:val="none"/>
              </w:rPr>
              <w:t>市“三线一单”分区管控要求。本项目针对施工期和运行期产生的环境污染采取相应的防治措施，对评价区域环境质量影响较小。因此，建设单位</w:t>
            </w:r>
            <w:r>
              <w:rPr>
                <w:rFonts w:hint="default" w:ascii="Times New Roman" w:hAnsi="Times New Roman" w:cs="Times New Roman"/>
                <w:color w:val="auto"/>
                <w:sz w:val="24"/>
                <w:highlight w:val="none"/>
                <w:lang w:val="en-US" w:eastAsia="zh-CN"/>
              </w:rPr>
              <w:t>应</w:t>
            </w:r>
            <w:r>
              <w:rPr>
                <w:rFonts w:hint="default" w:ascii="Times New Roman" w:hAnsi="Times New Roman" w:cs="Times New Roman"/>
                <w:color w:val="auto"/>
                <w:sz w:val="24"/>
                <w:highlight w:val="none"/>
              </w:rPr>
              <w:t>认真落实设计和本报告表中的环保措施，从环境保护角度分析，</w:t>
            </w:r>
            <w:r>
              <w:rPr>
                <w:rFonts w:hint="default" w:ascii="Times New Roman" w:hAnsi="Times New Roman" w:cs="Times New Roman"/>
                <w:color w:val="auto"/>
                <w:sz w:val="24"/>
                <w:highlight w:val="none"/>
                <w:lang w:eastAsia="zh-CN"/>
              </w:rPr>
              <w:t>宁夏固原华电彭阳200兆瓦风电项目110千伏送出工程</w:t>
            </w:r>
            <w:r>
              <w:rPr>
                <w:rFonts w:hint="default" w:ascii="Times New Roman" w:hAnsi="Times New Roman" w:cs="Times New Roman"/>
                <w:color w:val="auto"/>
                <w:sz w:val="24"/>
                <w:highlight w:val="none"/>
              </w:rPr>
              <w:t>的建设是可行的。</w:t>
            </w:r>
          </w:p>
          <w:p w14:paraId="2D525F21">
            <w:pPr>
              <w:spacing w:line="360" w:lineRule="auto"/>
              <w:ind w:firstLine="480" w:firstLineChars="200"/>
              <w:rPr>
                <w:rFonts w:hint="default" w:ascii="Times New Roman" w:hAnsi="Times New Roman" w:cs="Times New Roman"/>
                <w:color w:val="auto"/>
                <w:sz w:val="24"/>
                <w:highlight w:val="none"/>
              </w:rPr>
            </w:pPr>
          </w:p>
          <w:p w14:paraId="2844B3E8">
            <w:pPr>
              <w:spacing w:line="360" w:lineRule="auto"/>
              <w:ind w:firstLine="480" w:firstLineChars="200"/>
              <w:rPr>
                <w:rFonts w:hint="default" w:ascii="Times New Roman" w:hAnsi="Times New Roman" w:cs="Times New Roman"/>
                <w:color w:val="auto"/>
                <w:sz w:val="24"/>
                <w:highlight w:val="none"/>
              </w:rPr>
            </w:pPr>
          </w:p>
          <w:p w14:paraId="0DA4DFB0">
            <w:pPr>
              <w:spacing w:line="360" w:lineRule="auto"/>
              <w:ind w:firstLine="480" w:firstLineChars="200"/>
              <w:rPr>
                <w:rFonts w:hint="default" w:ascii="Times New Roman" w:hAnsi="Times New Roman" w:cs="Times New Roman"/>
                <w:color w:val="auto"/>
                <w:sz w:val="24"/>
                <w:highlight w:val="none"/>
              </w:rPr>
            </w:pPr>
          </w:p>
          <w:p w14:paraId="7694D50C">
            <w:pPr>
              <w:spacing w:line="360" w:lineRule="auto"/>
              <w:ind w:firstLine="480" w:firstLineChars="200"/>
              <w:rPr>
                <w:rFonts w:hint="default" w:ascii="Times New Roman" w:hAnsi="Times New Roman" w:cs="Times New Roman"/>
                <w:color w:val="auto"/>
                <w:sz w:val="24"/>
                <w:highlight w:val="none"/>
              </w:rPr>
            </w:pPr>
          </w:p>
          <w:p w14:paraId="12EBCA94">
            <w:pPr>
              <w:spacing w:line="360" w:lineRule="auto"/>
              <w:ind w:firstLine="480" w:firstLineChars="200"/>
              <w:rPr>
                <w:rFonts w:hint="default" w:ascii="Times New Roman" w:hAnsi="Times New Roman" w:cs="Times New Roman"/>
                <w:color w:val="auto"/>
                <w:sz w:val="24"/>
                <w:highlight w:val="none"/>
              </w:rPr>
            </w:pPr>
          </w:p>
          <w:p w14:paraId="13CE1BB7">
            <w:pPr>
              <w:spacing w:line="360" w:lineRule="auto"/>
              <w:ind w:firstLine="480" w:firstLineChars="200"/>
              <w:rPr>
                <w:rFonts w:hint="default" w:ascii="Times New Roman" w:hAnsi="Times New Roman" w:cs="Times New Roman"/>
                <w:color w:val="auto"/>
                <w:sz w:val="24"/>
                <w:highlight w:val="none"/>
              </w:rPr>
            </w:pPr>
          </w:p>
          <w:p w14:paraId="3BD9FAF1">
            <w:pPr>
              <w:spacing w:line="360" w:lineRule="auto"/>
              <w:ind w:firstLine="480" w:firstLineChars="200"/>
              <w:rPr>
                <w:rFonts w:hint="default" w:ascii="Times New Roman" w:hAnsi="Times New Roman" w:cs="Times New Roman"/>
                <w:color w:val="auto"/>
                <w:sz w:val="24"/>
                <w:highlight w:val="none"/>
              </w:rPr>
            </w:pPr>
          </w:p>
          <w:p w14:paraId="05ECBB76">
            <w:pPr>
              <w:spacing w:line="360" w:lineRule="auto"/>
              <w:ind w:firstLine="480" w:firstLineChars="200"/>
              <w:rPr>
                <w:rFonts w:hint="default" w:ascii="Times New Roman" w:hAnsi="Times New Roman" w:cs="Times New Roman"/>
                <w:color w:val="auto"/>
                <w:sz w:val="24"/>
                <w:highlight w:val="none"/>
              </w:rPr>
            </w:pPr>
          </w:p>
          <w:p w14:paraId="31A1943C">
            <w:pPr>
              <w:spacing w:line="360" w:lineRule="auto"/>
              <w:ind w:firstLine="480" w:firstLineChars="200"/>
              <w:rPr>
                <w:rFonts w:hint="default" w:ascii="Times New Roman" w:hAnsi="Times New Roman" w:cs="Times New Roman"/>
                <w:color w:val="auto"/>
                <w:sz w:val="24"/>
                <w:highlight w:val="none"/>
              </w:rPr>
            </w:pPr>
          </w:p>
          <w:p w14:paraId="7246AE1F">
            <w:pPr>
              <w:spacing w:line="360" w:lineRule="auto"/>
              <w:ind w:firstLine="480" w:firstLineChars="200"/>
              <w:rPr>
                <w:rFonts w:hint="default" w:ascii="Times New Roman" w:hAnsi="Times New Roman" w:cs="Times New Roman"/>
                <w:color w:val="auto"/>
                <w:sz w:val="24"/>
                <w:highlight w:val="none"/>
              </w:rPr>
            </w:pPr>
          </w:p>
          <w:p w14:paraId="622EFA4E">
            <w:pPr>
              <w:spacing w:line="360" w:lineRule="auto"/>
              <w:ind w:firstLine="480" w:firstLineChars="200"/>
              <w:rPr>
                <w:rFonts w:hint="default" w:ascii="Times New Roman" w:hAnsi="Times New Roman" w:cs="Times New Roman"/>
                <w:color w:val="auto"/>
                <w:sz w:val="24"/>
                <w:highlight w:val="none"/>
              </w:rPr>
            </w:pPr>
          </w:p>
          <w:p w14:paraId="325D5E86">
            <w:pPr>
              <w:spacing w:line="360" w:lineRule="auto"/>
              <w:ind w:firstLine="480" w:firstLineChars="200"/>
              <w:rPr>
                <w:rFonts w:hint="default" w:ascii="Times New Roman" w:hAnsi="Times New Roman" w:cs="Times New Roman"/>
                <w:color w:val="auto"/>
                <w:sz w:val="24"/>
                <w:highlight w:val="none"/>
              </w:rPr>
            </w:pPr>
          </w:p>
          <w:p w14:paraId="4AB95016">
            <w:pPr>
              <w:spacing w:line="360" w:lineRule="auto"/>
              <w:ind w:firstLine="480" w:firstLineChars="200"/>
              <w:rPr>
                <w:rFonts w:hint="default" w:ascii="Times New Roman" w:hAnsi="Times New Roman" w:cs="Times New Roman"/>
                <w:color w:val="auto"/>
                <w:sz w:val="24"/>
                <w:highlight w:val="none"/>
              </w:rPr>
            </w:pPr>
          </w:p>
          <w:p w14:paraId="46101A0D">
            <w:pPr>
              <w:spacing w:line="360" w:lineRule="auto"/>
              <w:ind w:firstLine="480" w:firstLineChars="200"/>
              <w:rPr>
                <w:rFonts w:hint="default" w:ascii="Times New Roman" w:hAnsi="Times New Roman" w:cs="Times New Roman"/>
                <w:color w:val="auto"/>
                <w:sz w:val="24"/>
                <w:highlight w:val="none"/>
              </w:rPr>
            </w:pPr>
          </w:p>
          <w:p w14:paraId="7D927583">
            <w:pPr>
              <w:spacing w:line="360" w:lineRule="auto"/>
              <w:ind w:firstLine="480" w:firstLineChars="200"/>
              <w:rPr>
                <w:rFonts w:hint="default" w:ascii="Times New Roman" w:hAnsi="Times New Roman" w:cs="Times New Roman"/>
                <w:color w:val="auto"/>
                <w:sz w:val="24"/>
                <w:highlight w:val="none"/>
              </w:rPr>
            </w:pPr>
          </w:p>
          <w:p w14:paraId="312BA57E">
            <w:pPr>
              <w:spacing w:line="360" w:lineRule="auto"/>
              <w:ind w:firstLine="480" w:firstLineChars="200"/>
              <w:rPr>
                <w:rFonts w:hint="default" w:ascii="Times New Roman" w:hAnsi="Times New Roman" w:cs="Times New Roman"/>
                <w:color w:val="auto"/>
                <w:sz w:val="24"/>
                <w:highlight w:val="none"/>
              </w:rPr>
            </w:pPr>
          </w:p>
          <w:p w14:paraId="1CDA9DA9">
            <w:pPr>
              <w:spacing w:line="360" w:lineRule="auto"/>
              <w:ind w:firstLine="480" w:firstLineChars="200"/>
              <w:rPr>
                <w:rFonts w:hint="default" w:ascii="Times New Roman" w:hAnsi="Times New Roman" w:cs="Times New Roman"/>
                <w:color w:val="auto"/>
                <w:sz w:val="24"/>
                <w:highlight w:val="none"/>
              </w:rPr>
            </w:pPr>
          </w:p>
          <w:p w14:paraId="25933C5D">
            <w:pPr>
              <w:spacing w:line="360" w:lineRule="auto"/>
              <w:ind w:firstLine="480" w:firstLineChars="200"/>
              <w:rPr>
                <w:rFonts w:hint="default" w:ascii="Times New Roman" w:hAnsi="Times New Roman" w:cs="Times New Roman"/>
                <w:color w:val="auto"/>
                <w:sz w:val="24"/>
                <w:highlight w:val="none"/>
              </w:rPr>
            </w:pPr>
          </w:p>
          <w:p w14:paraId="061E84E8">
            <w:pPr>
              <w:spacing w:line="360" w:lineRule="auto"/>
              <w:ind w:firstLine="480" w:firstLineChars="200"/>
              <w:rPr>
                <w:rFonts w:hint="default" w:ascii="Times New Roman" w:hAnsi="Times New Roman" w:cs="Times New Roman"/>
                <w:color w:val="auto"/>
                <w:sz w:val="24"/>
                <w:highlight w:val="none"/>
              </w:rPr>
            </w:pPr>
          </w:p>
          <w:p w14:paraId="390A37AE">
            <w:pPr>
              <w:spacing w:line="360" w:lineRule="auto"/>
              <w:ind w:firstLine="480" w:firstLineChars="200"/>
              <w:rPr>
                <w:rFonts w:hint="default" w:ascii="Times New Roman" w:hAnsi="Times New Roman" w:cs="Times New Roman"/>
                <w:color w:val="auto"/>
                <w:sz w:val="24"/>
                <w:highlight w:val="none"/>
              </w:rPr>
            </w:pPr>
          </w:p>
          <w:p w14:paraId="6B6A341C">
            <w:pPr>
              <w:spacing w:line="360" w:lineRule="auto"/>
              <w:ind w:firstLine="480" w:firstLineChars="200"/>
              <w:rPr>
                <w:rFonts w:hint="default" w:ascii="Times New Roman" w:hAnsi="Times New Roman" w:cs="Times New Roman"/>
                <w:color w:val="auto"/>
                <w:sz w:val="24"/>
                <w:highlight w:val="none"/>
              </w:rPr>
            </w:pPr>
          </w:p>
          <w:p w14:paraId="4486BAE1">
            <w:pPr>
              <w:spacing w:line="360" w:lineRule="auto"/>
              <w:ind w:firstLine="480" w:firstLineChars="200"/>
              <w:rPr>
                <w:rFonts w:hint="default" w:ascii="Times New Roman" w:hAnsi="Times New Roman" w:cs="Times New Roman"/>
                <w:color w:val="auto"/>
                <w:sz w:val="24"/>
                <w:highlight w:val="none"/>
              </w:rPr>
            </w:pPr>
          </w:p>
          <w:p w14:paraId="1E91FA5D">
            <w:pPr>
              <w:spacing w:line="360" w:lineRule="auto"/>
              <w:ind w:firstLine="480" w:firstLineChars="200"/>
              <w:rPr>
                <w:rFonts w:hint="default" w:ascii="Times New Roman" w:hAnsi="Times New Roman" w:cs="Times New Roman"/>
                <w:color w:val="auto"/>
                <w:sz w:val="24"/>
                <w:highlight w:val="none"/>
              </w:rPr>
            </w:pPr>
          </w:p>
          <w:p w14:paraId="0FFFB1CA">
            <w:pPr>
              <w:spacing w:line="360" w:lineRule="auto"/>
              <w:ind w:firstLine="480" w:firstLineChars="200"/>
              <w:rPr>
                <w:rFonts w:hint="default" w:ascii="Times New Roman" w:hAnsi="Times New Roman" w:cs="Times New Roman"/>
                <w:color w:val="auto"/>
                <w:sz w:val="24"/>
                <w:highlight w:val="none"/>
              </w:rPr>
            </w:pPr>
          </w:p>
          <w:p w14:paraId="201A4E24">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br w:type="textWrapping"/>
            </w:r>
          </w:p>
          <w:p w14:paraId="62A2CA0F">
            <w:pPr>
              <w:pStyle w:val="10"/>
              <w:rPr>
                <w:rFonts w:hint="default" w:ascii="Times New Roman" w:hAnsi="Times New Roman" w:cs="Times New Roman"/>
                <w:color w:val="auto"/>
                <w:highlight w:val="none"/>
              </w:rPr>
            </w:pPr>
          </w:p>
        </w:tc>
      </w:tr>
    </w:tbl>
    <w:p w14:paraId="0D49D2C5">
      <w:pPr>
        <w:spacing w:line="360" w:lineRule="auto"/>
        <w:jc w:val="center"/>
        <w:rPr>
          <w:rFonts w:hint="default" w:ascii="Times New Roman" w:hAnsi="Times New Roman" w:eastAsia="黑体" w:cs="Times New Roman"/>
          <w:snapToGrid w:val="0"/>
          <w:color w:val="auto"/>
          <w:sz w:val="32"/>
          <w:szCs w:val="32"/>
          <w:highlight w:val="none"/>
        </w:rPr>
        <w:sectPr>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bookmarkStart w:id="264" w:name="_Toc8394"/>
    </w:p>
    <w:bookmarkEnd w:id="264"/>
    <w:p w14:paraId="78EC9ABE">
      <w:pPr>
        <w:adjustRightInd w:val="0"/>
        <w:snapToGrid w:val="0"/>
        <w:jc w:val="center"/>
        <w:outlineLvl w:val="9"/>
        <w:rPr>
          <w:rFonts w:hint="default" w:ascii="Times New Roman" w:hAnsi="Times New Roman" w:cs="Times New Roman"/>
          <w:b/>
          <w:bCs/>
          <w:color w:val="auto"/>
          <w:sz w:val="44"/>
          <w:szCs w:val="44"/>
          <w:highlight w:val="none"/>
          <w:lang w:eastAsia="zh-CN"/>
        </w:rPr>
      </w:pPr>
      <w:bookmarkStart w:id="265" w:name="_Toc7141"/>
      <w:bookmarkStart w:id="266" w:name="_Toc24889"/>
      <w:bookmarkStart w:id="267" w:name="_Toc27837"/>
      <w:bookmarkStart w:id="268" w:name="_Toc20574"/>
      <w:bookmarkStart w:id="269" w:name="_Toc152582994"/>
      <w:bookmarkStart w:id="270" w:name="_Toc2724"/>
      <w:bookmarkStart w:id="271" w:name="_Toc20040"/>
      <w:bookmarkStart w:id="272" w:name="_Toc2304"/>
      <w:bookmarkStart w:id="273" w:name="_Toc3966"/>
      <w:bookmarkStart w:id="274" w:name="_Toc17953"/>
      <w:bookmarkStart w:id="275" w:name="_Toc25212"/>
      <w:bookmarkStart w:id="276" w:name="_Toc20298"/>
      <w:bookmarkStart w:id="277" w:name="_Toc26289"/>
      <w:bookmarkStart w:id="278" w:name="_Toc23685"/>
    </w:p>
    <w:p w14:paraId="38478C1A">
      <w:pPr>
        <w:adjustRightInd w:val="0"/>
        <w:snapToGrid w:val="0"/>
        <w:jc w:val="center"/>
        <w:outlineLvl w:val="9"/>
        <w:rPr>
          <w:rFonts w:hint="default" w:ascii="Times New Roman" w:hAnsi="Times New Roman" w:cs="Times New Roman"/>
          <w:b/>
          <w:bCs/>
          <w:color w:val="auto"/>
          <w:sz w:val="44"/>
          <w:szCs w:val="44"/>
          <w:highlight w:val="none"/>
          <w:lang w:eastAsia="zh-CN"/>
        </w:rPr>
      </w:pPr>
    </w:p>
    <w:p w14:paraId="4DB1952B">
      <w:pPr>
        <w:adjustRightInd w:val="0"/>
        <w:snapToGrid w:val="0"/>
        <w:jc w:val="center"/>
        <w:outlineLvl w:val="9"/>
        <w:rPr>
          <w:rFonts w:hint="default" w:ascii="Times New Roman" w:hAnsi="Times New Roman" w:cs="Times New Roman"/>
          <w:b/>
          <w:bCs/>
          <w:color w:val="auto"/>
          <w:sz w:val="44"/>
          <w:szCs w:val="44"/>
          <w:highlight w:val="none"/>
          <w:lang w:eastAsia="zh-CN"/>
        </w:rPr>
      </w:pPr>
    </w:p>
    <w:p w14:paraId="52675529">
      <w:pPr>
        <w:adjustRightInd w:val="0"/>
        <w:snapToGrid w:val="0"/>
        <w:jc w:val="center"/>
        <w:outlineLvl w:val="9"/>
        <w:rPr>
          <w:rFonts w:hint="default" w:ascii="Times New Roman" w:hAnsi="Times New Roman" w:cs="Times New Roman"/>
          <w:b/>
          <w:bCs/>
          <w:color w:val="auto"/>
          <w:sz w:val="44"/>
          <w:szCs w:val="44"/>
          <w:highlight w:val="none"/>
          <w:lang w:eastAsia="zh-CN"/>
        </w:rPr>
      </w:pPr>
    </w:p>
    <w:p w14:paraId="6863A1BF">
      <w:pPr>
        <w:adjustRightInd w:val="0"/>
        <w:snapToGrid w:val="0"/>
        <w:jc w:val="center"/>
        <w:outlineLvl w:val="9"/>
        <w:rPr>
          <w:rFonts w:hint="default" w:ascii="Times New Roman" w:hAnsi="Times New Roman" w:cs="Times New Roman"/>
          <w:b/>
          <w:bCs/>
          <w:color w:val="auto"/>
          <w:sz w:val="44"/>
          <w:szCs w:val="44"/>
          <w:highlight w:val="none"/>
          <w:lang w:eastAsia="zh-CN"/>
        </w:rPr>
        <w:sectPr>
          <w:footerReference r:id="rId8" w:type="default"/>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25EF3B6A">
      <w:pPr>
        <w:adjustRightInd w:val="0"/>
        <w:snapToGrid w:val="0"/>
        <w:jc w:val="center"/>
        <w:outlineLvl w:val="9"/>
        <w:rPr>
          <w:rFonts w:hint="default" w:ascii="Times New Roman" w:hAnsi="Times New Roman" w:cs="Times New Roman"/>
          <w:b/>
          <w:bCs/>
          <w:color w:val="auto"/>
          <w:sz w:val="44"/>
          <w:szCs w:val="44"/>
          <w:highlight w:val="none"/>
          <w:lang w:eastAsia="zh-CN"/>
        </w:rPr>
      </w:pPr>
      <w:r>
        <w:rPr>
          <w:rFonts w:hint="default" w:ascii="Times New Roman" w:hAnsi="Times New Roman" w:cs="Times New Roman"/>
          <w:b/>
          <w:bCs/>
          <w:color w:val="auto"/>
          <w:sz w:val="44"/>
          <w:szCs w:val="44"/>
          <w:highlight w:val="none"/>
          <w:lang w:eastAsia="zh-CN"/>
        </w:rPr>
        <w:t>宁夏固原华电彭阳200兆瓦风电项目110千伏送出工程</w:t>
      </w:r>
    </w:p>
    <w:p w14:paraId="69C22EB8">
      <w:pPr>
        <w:adjustRightInd w:val="0"/>
        <w:snapToGrid w:val="0"/>
        <w:jc w:val="center"/>
        <w:outlineLvl w:val="0"/>
        <w:rPr>
          <w:rFonts w:hint="default" w:ascii="Times New Roman" w:hAnsi="Times New Roman" w:eastAsia="宋体" w:cs="Times New Roman"/>
          <w:b/>
          <w:bCs w:val="0"/>
          <w:color w:val="auto"/>
          <w:sz w:val="72"/>
          <w:szCs w:val="72"/>
          <w:highlight w:val="none"/>
        </w:rPr>
      </w:pPr>
      <w:bookmarkStart w:id="279" w:name="_Toc25206"/>
      <w:bookmarkStart w:id="280" w:name="_Toc375"/>
      <w:bookmarkStart w:id="281" w:name="_Toc11782"/>
      <w:bookmarkStart w:id="282" w:name="_Toc19214"/>
      <w:bookmarkStart w:id="283" w:name="_Toc12320"/>
      <w:r>
        <w:rPr>
          <w:rFonts w:hint="default" w:ascii="Times New Roman" w:hAnsi="Times New Roman" w:eastAsia="宋体" w:cs="Times New Roman"/>
          <w:b/>
          <w:bCs w:val="0"/>
          <w:color w:val="auto"/>
          <w:sz w:val="72"/>
          <w:szCs w:val="72"/>
          <w:highlight w:val="none"/>
        </w:rPr>
        <w:t>电磁环境影响专</w:t>
      </w:r>
      <w:r>
        <w:rPr>
          <w:rFonts w:hint="default" w:ascii="Times New Roman" w:hAnsi="Times New Roman" w:eastAsia="宋体" w:cs="Times New Roman"/>
          <w:b/>
          <w:bCs w:val="0"/>
          <w:color w:val="auto"/>
          <w:sz w:val="72"/>
          <w:szCs w:val="72"/>
          <w:highlight w:val="none"/>
          <w:lang w:val="en-US" w:eastAsia="zh-CN"/>
        </w:rPr>
        <w:t>题</w:t>
      </w:r>
      <w:r>
        <w:rPr>
          <w:rFonts w:hint="default" w:ascii="Times New Roman" w:hAnsi="Times New Roman" w:eastAsia="宋体" w:cs="Times New Roman"/>
          <w:b/>
          <w:bCs w:val="0"/>
          <w:color w:val="auto"/>
          <w:sz w:val="72"/>
          <w:szCs w:val="72"/>
          <w:highlight w:val="none"/>
        </w:rPr>
        <w:t>评价</w:t>
      </w:r>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14:paraId="38B1592D">
      <w:pPr>
        <w:rPr>
          <w:rFonts w:hint="default" w:ascii="Times New Roman" w:hAnsi="Times New Roman" w:eastAsia="仿宋_GB2312" w:cs="Times New Roman"/>
          <w:b/>
          <w:color w:val="auto"/>
          <w:sz w:val="72"/>
          <w:szCs w:val="72"/>
          <w:highlight w:val="none"/>
        </w:rPr>
      </w:pPr>
    </w:p>
    <w:p w14:paraId="66E35D7A">
      <w:pPr>
        <w:pStyle w:val="14"/>
        <w:ind w:firstLine="723"/>
        <w:rPr>
          <w:rFonts w:hint="default" w:ascii="Times New Roman" w:hAnsi="Times New Roman" w:eastAsia="仿宋_GB2312" w:cs="Times New Roman"/>
          <w:b/>
          <w:color w:val="auto"/>
          <w:sz w:val="72"/>
          <w:szCs w:val="72"/>
          <w:highlight w:val="none"/>
        </w:rPr>
      </w:pPr>
    </w:p>
    <w:p w14:paraId="467D6EDD">
      <w:pPr>
        <w:pStyle w:val="14"/>
        <w:ind w:firstLine="723"/>
        <w:rPr>
          <w:rFonts w:hint="default" w:ascii="Times New Roman" w:hAnsi="Times New Roman" w:eastAsia="仿宋_GB2312" w:cs="Times New Roman"/>
          <w:b/>
          <w:color w:val="auto"/>
          <w:sz w:val="72"/>
          <w:szCs w:val="72"/>
          <w:highlight w:val="none"/>
        </w:rPr>
      </w:pPr>
    </w:p>
    <w:p w14:paraId="26963EFA">
      <w:pPr>
        <w:pStyle w:val="14"/>
        <w:ind w:firstLine="723"/>
        <w:rPr>
          <w:rFonts w:hint="default" w:ascii="Times New Roman" w:hAnsi="Times New Roman" w:eastAsia="仿宋_GB2312" w:cs="Times New Roman"/>
          <w:b/>
          <w:color w:val="auto"/>
          <w:sz w:val="72"/>
          <w:szCs w:val="72"/>
          <w:highlight w:val="none"/>
        </w:rPr>
      </w:pPr>
    </w:p>
    <w:p w14:paraId="372C797B">
      <w:pPr>
        <w:pStyle w:val="14"/>
        <w:ind w:firstLine="723"/>
        <w:rPr>
          <w:rFonts w:hint="default" w:ascii="Times New Roman" w:hAnsi="Times New Roman" w:eastAsia="仿宋_GB2312" w:cs="Times New Roman"/>
          <w:b/>
          <w:color w:val="auto"/>
          <w:sz w:val="72"/>
          <w:szCs w:val="72"/>
          <w:highlight w:val="none"/>
        </w:rPr>
      </w:pPr>
    </w:p>
    <w:p w14:paraId="66284435">
      <w:pPr>
        <w:rPr>
          <w:rFonts w:hint="default" w:ascii="Times New Roman" w:hAnsi="Times New Roman" w:eastAsia="仿宋_GB2312" w:cs="Times New Roman"/>
          <w:b/>
          <w:color w:val="auto"/>
          <w:sz w:val="72"/>
          <w:szCs w:val="72"/>
          <w:highlight w:val="none"/>
        </w:rPr>
      </w:pPr>
    </w:p>
    <w:p w14:paraId="516DD4BE">
      <w:pPr>
        <w:pStyle w:val="53"/>
        <w:rPr>
          <w:rFonts w:hint="default" w:ascii="Times New Roman" w:hAnsi="Times New Roman" w:cs="Times New Roman"/>
          <w:color w:val="auto"/>
          <w:highlight w:val="none"/>
        </w:rPr>
      </w:pPr>
    </w:p>
    <w:p w14:paraId="6624C803">
      <w:pPr>
        <w:pStyle w:val="14"/>
        <w:ind w:firstLine="723"/>
        <w:rPr>
          <w:rFonts w:hint="default" w:ascii="Times New Roman" w:hAnsi="Times New Roman" w:eastAsia="仿宋_GB2312" w:cs="Times New Roman"/>
          <w:b/>
          <w:color w:val="auto"/>
          <w:sz w:val="72"/>
          <w:szCs w:val="72"/>
          <w:highlight w:val="none"/>
        </w:rPr>
      </w:pPr>
    </w:p>
    <w:p w14:paraId="6E4DD00C">
      <w:pPr>
        <w:rPr>
          <w:rFonts w:hint="default" w:ascii="Times New Roman" w:hAnsi="Times New Roman" w:cs="Times New Roman"/>
          <w:color w:val="auto"/>
          <w:highlight w:val="none"/>
        </w:rPr>
      </w:pPr>
    </w:p>
    <w:tbl>
      <w:tblPr>
        <w:tblStyle w:val="31"/>
        <w:tblW w:w="7212" w:type="dxa"/>
        <w:jc w:val="center"/>
        <w:tblLayout w:type="fixed"/>
        <w:tblCellMar>
          <w:top w:w="0" w:type="dxa"/>
          <w:left w:w="108" w:type="dxa"/>
          <w:bottom w:w="0" w:type="dxa"/>
          <w:right w:w="108" w:type="dxa"/>
        </w:tblCellMar>
      </w:tblPr>
      <w:tblGrid>
        <w:gridCol w:w="1711"/>
        <w:gridCol w:w="5501"/>
      </w:tblGrid>
      <w:tr w14:paraId="32384948">
        <w:tblPrEx>
          <w:tblCellMar>
            <w:top w:w="0" w:type="dxa"/>
            <w:left w:w="108" w:type="dxa"/>
            <w:bottom w:w="0" w:type="dxa"/>
            <w:right w:w="108" w:type="dxa"/>
          </w:tblCellMar>
        </w:tblPrEx>
        <w:trPr>
          <w:jc w:val="center"/>
        </w:trPr>
        <w:tc>
          <w:tcPr>
            <w:tcW w:w="1711" w:type="dxa"/>
            <w:noWrap w:val="0"/>
            <w:vAlign w:val="top"/>
          </w:tcPr>
          <w:p w14:paraId="045A727C">
            <w:pPr>
              <w:rPr>
                <w:rFonts w:hint="default" w:ascii="Times New Roman" w:hAnsi="Times New Roman" w:cs="Times New Roman"/>
                <w:b/>
                <w:color w:val="auto"/>
                <w:sz w:val="30"/>
                <w:szCs w:val="30"/>
                <w:highlight w:val="none"/>
              </w:rPr>
            </w:pPr>
            <w:r>
              <w:rPr>
                <w:rFonts w:hint="default" w:ascii="Times New Roman" w:hAnsi="Times New Roman" w:cs="Times New Roman"/>
                <w:b/>
                <w:color w:val="auto"/>
                <w:sz w:val="30"/>
                <w:szCs w:val="30"/>
                <w:highlight w:val="none"/>
              </w:rPr>
              <w:t>建设单位：</w:t>
            </w:r>
          </w:p>
        </w:tc>
        <w:tc>
          <w:tcPr>
            <w:tcW w:w="5501" w:type="dxa"/>
            <w:noWrap w:val="0"/>
            <w:vAlign w:val="top"/>
          </w:tcPr>
          <w:p w14:paraId="4232932F">
            <w:pPr>
              <w:tabs>
                <w:tab w:val="left" w:pos="4410"/>
              </w:tabs>
              <w:spacing w:line="360" w:lineRule="auto"/>
              <w:jc w:val="distribute"/>
              <w:rPr>
                <w:rFonts w:hint="default" w:ascii="Times New Roman" w:hAnsi="Times New Roman" w:cs="Times New Roman"/>
                <w:b/>
                <w:color w:val="auto"/>
                <w:sz w:val="30"/>
                <w:szCs w:val="30"/>
                <w:highlight w:val="none"/>
              </w:rPr>
            </w:pPr>
            <w:r>
              <w:rPr>
                <w:rFonts w:hint="default" w:ascii="Times New Roman" w:hAnsi="Times New Roman" w:cs="Times New Roman"/>
                <w:b/>
                <w:color w:val="auto"/>
                <w:sz w:val="30"/>
                <w:szCs w:val="30"/>
                <w:highlight w:val="none"/>
                <w:lang w:eastAsia="zh-CN"/>
              </w:rPr>
              <w:t>国网宁夏电力有限公司固原供电公司</w:t>
            </w:r>
          </w:p>
        </w:tc>
      </w:tr>
      <w:tr w14:paraId="12E507A6">
        <w:tblPrEx>
          <w:tblCellMar>
            <w:top w:w="0" w:type="dxa"/>
            <w:left w:w="108" w:type="dxa"/>
            <w:bottom w:w="0" w:type="dxa"/>
            <w:right w:w="108" w:type="dxa"/>
          </w:tblCellMar>
        </w:tblPrEx>
        <w:trPr>
          <w:jc w:val="center"/>
        </w:trPr>
        <w:tc>
          <w:tcPr>
            <w:tcW w:w="1711" w:type="dxa"/>
            <w:noWrap w:val="0"/>
            <w:vAlign w:val="top"/>
          </w:tcPr>
          <w:p w14:paraId="05878F4D">
            <w:pPr>
              <w:rPr>
                <w:rFonts w:hint="default" w:ascii="Times New Roman" w:hAnsi="Times New Roman" w:cs="Times New Roman"/>
                <w:b/>
                <w:color w:val="auto"/>
                <w:sz w:val="30"/>
                <w:szCs w:val="30"/>
                <w:highlight w:val="none"/>
              </w:rPr>
            </w:pPr>
            <w:r>
              <w:rPr>
                <w:rFonts w:hint="default" w:ascii="Times New Roman" w:hAnsi="Times New Roman" w:cs="Times New Roman"/>
                <w:b/>
                <w:color w:val="auto"/>
                <w:sz w:val="30"/>
                <w:szCs w:val="30"/>
                <w:highlight w:val="none"/>
              </w:rPr>
              <w:t>编制单位：</w:t>
            </w:r>
          </w:p>
        </w:tc>
        <w:tc>
          <w:tcPr>
            <w:tcW w:w="5501" w:type="dxa"/>
            <w:noWrap w:val="0"/>
            <w:vAlign w:val="top"/>
          </w:tcPr>
          <w:p w14:paraId="48A175B3">
            <w:pPr>
              <w:spacing w:line="360" w:lineRule="auto"/>
              <w:jc w:val="distribute"/>
              <w:rPr>
                <w:rFonts w:hint="default" w:ascii="Times New Roman" w:hAnsi="Times New Roman" w:cs="Times New Roman"/>
                <w:b/>
                <w:color w:val="auto"/>
                <w:sz w:val="30"/>
                <w:szCs w:val="30"/>
                <w:highlight w:val="none"/>
              </w:rPr>
            </w:pPr>
            <w:r>
              <w:rPr>
                <w:rFonts w:hint="default" w:ascii="Times New Roman" w:hAnsi="Times New Roman" w:cs="Times New Roman"/>
                <w:b/>
                <w:color w:val="auto"/>
                <w:sz w:val="30"/>
                <w:szCs w:val="30"/>
                <w:highlight w:val="none"/>
              </w:rPr>
              <w:t>宁夏</w:t>
            </w:r>
            <w:r>
              <w:rPr>
                <w:rFonts w:hint="default" w:ascii="Times New Roman" w:hAnsi="Times New Roman" w:cs="Times New Roman"/>
                <w:b/>
                <w:color w:val="auto"/>
                <w:sz w:val="30"/>
                <w:szCs w:val="30"/>
                <w:highlight w:val="none"/>
                <w:lang w:val="en-US" w:eastAsia="zh-CN"/>
              </w:rPr>
              <w:t>致清</w:t>
            </w:r>
            <w:r>
              <w:rPr>
                <w:rFonts w:hint="default" w:ascii="Times New Roman" w:hAnsi="Times New Roman" w:cs="Times New Roman"/>
                <w:b/>
                <w:color w:val="auto"/>
                <w:sz w:val="30"/>
                <w:szCs w:val="30"/>
                <w:highlight w:val="none"/>
              </w:rPr>
              <w:t>环</w:t>
            </w:r>
            <w:r>
              <w:rPr>
                <w:rFonts w:hint="default" w:ascii="Times New Roman" w:hAnsi="Times New Roman" w:cs="Times New Roman"/>
                <w:b/>
                <w:color w:val="auto"/>
                <w:sz w:val="30"/>
                <w:szCs w:val="30"/>
                <w:highlight w:val="none"/>
                <w:lang w:val="en-US" w:eastAsia="zh-CN"/>
              </w:rPr>
              <w:t>境</w:t>
            </w:r>
            <w:r>
              <w:rPr>
                <w:rFonts w:hint="default" w:ascii="Times New Roman" w:hAnsi="Times New Roman" w:cs="Times New Roman"/>
                <w:b/>
                <w:color w:val="auto"/>
                <w:sz w:val="30"/>
                <w:szCs w:val="30"/>
                <w:highlight w:val="none"/>
              </w:rPr>
              <w:t>科技有限公司</w:t>
            </w:r>
          </w:p>
        </w:tc>
      </w:tr>
    </w:tbl>
    <w:p w14:paraId="3CA4860C">
      <w:pPr>
        <w:pStyle w:val="14"/>
        <w:ind w:firstLine="320"/>
        <w:rPr>
          <w:rFonts w:hint="default" w:ascii="Times New Roman" w:hAnsi="Times New Roman" w:cs="Times New Roman"/>
          <w:color w:val="auto"/>
          <w:highlight w:val="none"/>
        </w:rPr>
      </w:pPr>
    </w:p>
    <w:p w14:paraId="19C61F60">
      <w:pPr>
        <w:rPr>
          <w:rFonts w:hint="default" w:ascii="Times New Roman" w:hAnsi="Times New Roman" w:cs="Times New Roman"/>
          <w:color w:val="auto"/>
          <w:highlight w:val="none"/>
        </w:rPr>
      </w:pPr>
    </w:p>
    <w:p w14:paraId="5C4142CB">
      <w:pPr>
        <w:pStyle w:val="14"/>
        <w:ind w:firstLine="320"/>
        <w:rPr>
          <w:rFonts w:hint="default" w:ascii="Times New Roman" w:hAnsi="Times New Roman" w:eastAsia="黑体" w:cs="Times New Roman"/>
          <w:snapToGrid w:val="0"/>
          <w:color w:val="auto"/>
          <w:szCs w:val="32"/>
          <w:highlight w:val="none"/>
        </w:rPr>
        <w:sectPr>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2C2335B6">
      <w:pPr>
        <w:rPr>
          <w:rFonts w:hint="default" w:ascii="Times New Roman" w:hAnsi="Times New Roman" w:cs="Times New Roman"/>
          <w:color w:val="auto"/>
          <w:highlight w:val="none"/>
        </w:rPr>
      </w:pPr>
    </w:p>
    <w:p w14:paraId="1227E616">
      <w:pPr>
        <w:rPr>
          <w:rFonts w:hint="default" w:ascii="Times New Roman" w:hAnsi="Times New Roman" w:cs="Times New Roman"/>
          <w:color w:val="auto"/>
          <w:highlight w:val="none"/>
        </w:rPr>
        <w:sectPr>
          <w:footerReference r:id="rId9" w:type="default"/>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0485D19C">
      <w:pPr>
        <w:spacing w:line="360" w:lineRule="auto"/>
        <w:jc w:val="center"/>
        <w:rPr>
          <w:rFonts w:hint="default" w:ascii="Times New Roman" w:hAnsi="Times New Roman" w:cs="Times New Roman"/>
          <w:b/>
          <w:color w:val="auto"/>
          <w:kern w:val="0"/>
          <w:sz w:val="32"/>
          <w:szCs w:val="32"/>
          <w:highlight w:val="none"/>
        </w:rPr>
      </w:pPr>
      <w:r>
        <w:rPr>
          <w:rFonts w:hint="default" w:ascii="Times New Roman" w:hAnsi="Times New Roman" w:cs="Times New Roman"/>
          <w:b/>
          <w:color w:val="auto"/>
          <w:kern w:val="0"/>
          <w:sz w:val="32"/>
          <w:szCs w:val="32"/>
          <w:highlight w:val="none"/>
        </w:rPr>
        <w:t xml:space="preserve">目   </w:t>
      </w:r>
      <w:r>
        <w:rPr>
          <w:rFonts w:hint="default" w:ascii="Times New Roman" w:hAnsi="Times New Roman" w:cs="Times New Roman"/>
          <w:b/>
          <w:color w:val="auto"/>
          <w:kern w:val="0"/>
          <w:sz w:val="32"/>
          <w:szCs w:val="32"/>
          <w:highlight w:val="none"/>
          <w:lang w:val="en-US" w:eastAsia="zh-CN"/>
        </w:rPr>
        <w:t xml:space="preserve"> </w:t>
      </w:r>
      <w:r>
        <w:rPr>
          <w:rFonts w:hint="default" w:ascii="Times New Roman" w:hAnsi="Times New Roman" w:cs="Times New Roman"/>
          <w:b/>
          <w:color w:val="auto"/>
          <w:kern w:val="0"/>
          <w:sz w:val="32"/>
          <w:szCs w:val="32"/>
          <w:highlight w:val="none"/>
        </w:rPr>
        <w:t>录</w:t>
      </w:r>
    </w:p>
    <w:p w14:paraId="35223353">
      <w:pPr>
        <w:pStyle w:val="21"/>
        <w:tabs>
          <w:tab w:val="right" w:leader="dot" w:pos="9071"/>
        </w:tabs>
        <w:rPr>
          <w:color w:val="auto"/>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TOC \o "1-2" \h \u </w:instrText>
      </w:r>
      <w:r>
        <w:rPr>
          <w:rFonts w:hint="default" w:ascii="Times New Roman" w:hAnsi="Times New Roman" w:cs="Times New Roman"/>
          <w:color w:val="auto"/>
          <w:sz w:val="24"/>
          <w:szCs w:val="24"/>
          <w:highlight w:val="none"/>
        </w:rPr>
        <w:fldChar w:fldCharType="separate"/>
      </w:r>
    </w:p>
    <w:p w14:paraId="4E46AE69">
      <w:pPr>
        <w:pStyle w:val="21"/>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_Toc14261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zCs w:val="28"/>
          <w:highlight w:val="none"/>
        </w:rPr>
        <w:t>1</w:t>
      </w:r>
      <w:r>
        <w:rPr>
          <w:rFonts w:hint="default" w:ascii="Times New Roman" w:hAnsi="Times New Roman" w:eastAsia="宋体" w:cs="Times New Roman"/>
          <w:bCs w:val="0"/>
          <w:color w:val="auto"/>
          <w:szCs w:val="28"/>
          <w:highlight w:val="none"/>
          <w:lang w:val="en-US" w:eastAsia="zh-CN"/>
        </w:rPr>
        <w:t>.</w:t>
      </w:r>
      <w:r>
        <w:rPr>
          <w:rFonts w:hint="default" w:ascii="Times New Roman" w:hAnsi="Times New Roman" w:eastAsia="宋体" w:cs="Times New Roman"/>
          <w:bCs w:val="0"/>
          <w:color w:val="auto"/>
          <w:szCs w:val="28"/>
          <w:highlight w:val="none"/>
        </w:rPr>
        <w:t>项目概况</w:t>
      </w:r>
      <w:r>
        <w:rPr>
          <w:color w:val="auto"/>
        </w:rPr>
        <w:tab/>
      </w:r>
      <w:r>
        <w:rPr>
          <w:color w:val="auto"/>
        </w:rPr>
        <w:fldChar w:fldCharType="begin"/>
      </w:r>
      <w:r>
        <w:rPr>
          <w:color w:val="auto"/>
        </w:rPr>
        <w:instrText xml:space="preserve"> PAGEREF _Toc14261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szCs w:val="24"/>
          <w:highlight w:val="none"/>
        </w:rPr>
        <w:fldChar w:fldCharType="end"/>
      </w:r>
    </w:p>
    <w:p w14:paraId="023008FA">
      <w:pPr>
        <w:pStyle w:val="21"/>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_Toc6407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zCs w:val="28"/>
          <w:highlight w:val="none"/>
        </w:rPr>
        <w:t>2</w:t>
      </w:r>
      <w:r>
        <w:rPr>
          <w:rFonts w:hint="default" w:ascii="Times New Roman" w:hAnsi="Times New Roman" w:eastAsia="宋体" w:cs="Times New Roman"/>
          <w:bCs w:val="0"/>
          <w:color w:val="auto"/>
          <w:szCs w:val="28"/>
          <w:highlight w:val="none"/>
          <w:lang w:val="en-US" w:eastAsia="zh-CN"/>
        </w:rPr>
        <w:t>.</w:t>
      </w:r>
      <w:r>
        <w:rPr>
          <w:rFonts w:hint="default" w:ascii="Times New Roman" w:hAnsi="Times New Roman" w:eastAsia="宋体" w:cs="Times New Roman"/>
          <w:bCs w:val="0"/>
          <w:color w:val="auto"/>
          <w:szCs w:val="28"/>
          <w:highlight w:val="none"/>
        </w:rPr>
        <w:t>电磁评价因子和评价标准</w:t>
      </w:r>
      <w:r>
        <w:rPr>
          <w:color w:val="auto"/>
        </w:rPr>
        <w:tab/>
      </w:r>
      <w:r>
        <w:rPr>
          <w:color w:val="auto"/>
        </w:rPr>
        <w:fldChar w:fldCharType="begin"/>
      </w:r>
      <w:r>
        <w:rPr>
          <w:color w:val="auto"/>
        </w:rPr>
        <w:instrText xml:space="preserve"> PAGEREF _Toc6407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szCs w:val="24"/>
          <w:highlight w:val="none"/>
        </w:rPr>
        <w:fldChar w:fldCharType="end"/>
      </w:r>
    </w:p>
    <w:p w14:paraId="3FAABA2C">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_Toc15713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2.1评价因子</w:t>
      </w:r>
      <w:r>
        <w:rPr>
          <w:color w:val="auto"/>
        </w:rPr>
        <w:tab/>
      </w:r>
      <w:r>
        <w:rPr>
          <w:color w:val="auto"/>
        </w:rPr>
        <w:fldChar w:fldCharType="begin"/>
      </w:r>
      <w:r>
        <w:rPr>
          <w:color w:val="auto"/>
        </w:rPr>
        <w:instrText xml:space="preserve"> PAGEREF _Toc15713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szCs w:val="24"/>
          <w:highlight w:val="none"/>
        </w:rPr>
        <w:fldChar w:fldCharType="end"/>
      </w:r>
    </w:p>
    <w:p w14:paraId="7F68A305">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_Toc14863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2.2评价标准</w:t>
      </w:r>
      <w:r>
        <w:rPr>
          <w:color w:val="auto"/>
        </w:rPr>
        <w:tab/>
      </w:r>
      <w:r>
        <w:rPr>
          <w:color w:val="auto"/>
        </w:rPr>
        <w:fldChar w:fldCharType="begin"/>
      </w:r>
      <w:r>
        <w:rPr>
          <w:color w:val="auto"/>
        </w:rPr>
        <w:instrText xml:space="preserve"> PAGEREF _Toc14863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szCs w:val="24"/>
          <w:highlight w:val="none"/>
        </w:rPr>
        <w:fldChar w:fldCharType="end"/>
      </w:r>
    </w:p>
    <w:p w14:paraId="0B61CFF0">
      <w:pPr>
        <w:pStyle w:val="21"/>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_Toc32446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zCs w:val="28"/>
          <w:highlight w:val="none"/>
        </w:rPr>
        <w:t>3</w:t>
      </w:r>
      <w:r>
        <w:rPr>
          <w:rFonts w:hint="default" w:ascii="Times New Roman" w:hAnsi="Times New Roman" w:eastAsia="宋体" w:cs="Times New Roman"/>
          <w:bCs w:val="0"/>
          <w:color w:val="auto"/>
          <w:szCs w:val="28"/>
          <w:highlight w:val="none"/>
          <w:lang w:val="en-US" w:eastAsia="zh-CN"/>
        </w:rPr>
        <w:t>.</w:t>
      </w:r>
      <w:r>
        <w:rPr>
          <w:rFonts w:hint="default" w:ascii="Times New Roman" w:hAnsi="Times New Roman" w:eastAsia="宋体" w:cs="Times New Roman"/>
          <w:bCs w:val="0"/>
          <w:color w:val="auto"/>
          <w:szCs w:val="28"/>
          <w:highlight w:val="none"/>
        </w:rPr>
        <w:t>电磁评价工作等级和评价范围</w:t>
      </w:r>
      <w:r>
        <w:rPr>
          <w:color w:val="auto"/>
        </w:rPr>
        <w:tab/>
      </w:r>
      <w:r>
        <w:rPr>
          <w:color w:val="auto"/>
        </w:rPr>
        <w:fldChar w:fldCharType="begin"/>
      </w:r>
      <w:r>
        <w:rPr>
          <w:color w:val="auto"/>
        </w:rPr>
        <w:instrText xml:space="preserve"> PAGEREF _Toc32446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szCs w:val="24"/>
          <w:highlight w:val="none"/>
        </w:rPr>
        <w:fldChar w:fldCharType="end"/>
      </w:r>
    </w:p>
    <w:p w14:paraId="7CDBE6A3">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_Toc22713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3.1评价工作等级</w:t>
      </w:r>
      <w:r>
        <w:rPr>
          <w:color w:val="auto"/>
        </w:rPr>
        <w:tab/>
      </w:r>
      <w:r>
        <w:rPr>
          <w:color w:val="auto"/>
        </w:rPr>
        <w:fldChar w:fldCharType="begin"/>
      </w:r>
      <w:r>
        <w:rPr>
          <w:color w:val="auto"/>
        </w:rPr>
        <w:instrText xml:space="preserve"> PAGEREF _Toc22713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szCs w:val="24"/>
          <w:highlight w:val="none"/>
        </w:rPr>
        <w:fldChar w:fldCharType="end"/>
      </w:r>
    </w:p>
    <w:p w14:paraId="1890F2F8">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_Toc2595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pacing w:val="0"/>
          <w:kern w:val="2"/>
          <w:szCs w:val="24"/>
          <w:highlight w:val="none"/>
        </w:rPr>
        <w:t>3.2评价范围</w:t>
      </w:r>
      <w:r>
        <w:rPr>
          <w:color w:val="auto"/>
        </w:rPr>
        <w:tab/>
      </w:r>
      <w:r>
        <w:rPr>
          <w:color w:val="auto"/>
        </w:rPr>
        <w:fldChar w:fldCharType="begin"/>
      </w:r>
      <w:r>
        <w:rPr>
          <w:color w:val="auto"/>
        </w:rPr>
        <w:instrText xml:space="preserve"> PAGEREF _Toc2595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szCs w:val="24"/>
          <w:highlight w:val="none"/>
        </w:rPr>
        <w:fldChar w:fldCharType="end"/>
      </w:r>
    </w:p>
    <w:p w14:paraId="638F8AB7">
      <w:pPr>
        <w:pStyle w:val="21"/>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_Toc20869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zCs w:val="28"/>
          <w:highlight w:val="none"/>
        </w:rPr>
        <w:t>4</w:t>
      </w:r>
      <w:r>
        <w:rPr>
          <w:rFonts w:hint="default" w:ascii="Times New Roman" w:hAnsi="Times New Roman" w:eastAsia="宋体" w:cs="Times New Roman"/>
          <w:bCs w:val="0"/>
          <w:color w:val="auto"/>
          <w:szCs w:val="28"/>
          <w:highlight w:val="none"/>
          <w:lang w:val="en-US" w:eastAsia="zh-CN"/>
        </w:rPr>
        <w:t>.</w:t>
      </w:r>
      <w:r>
        <w:rPr>
          <w:rFonts w:hint="default" w:ascii="Times New Roman" w:hAnsi="Times New Roman" w:eastAsia="宋体" w:cs="Times New Roman"/>
          <w:bCs w:val="0"/>
          <w:color w:val="auto"/>
          <w:szCs w:val="28"/>
          <w:highlight w:val="none"/>
        </w:rPr>
        <w:t>电磁环境敏感目标</w:t>
      </w:r>
      <w:r>
        <w:rPr>
          <w:color w:val="auto"/>
        </w:rPr>
        <w:tab/>
      </w:r>
      <w:r>
        <w:rPr>
          <w:color w:val="auto"/>
        </w:rPr>
        <w:fldChar w:fldCharType="begin"/>
      </w:r>
      <w:r>
        <w:rPr>
          <w:color w:val="auto"/>
        </w:rPr>
        <w:instrText xml:space="preserve"> PAGEREF _Toc20869 \h </w:instrText>
      </w:r>
      <w:r>
        <w:rPr>
          <w:color w:val="auto"/>
        </w:rPr>
        <w:fldChar w:fldCharType="separate"/>
      </w:r>
      <w:r>
        <w:rPr>
          <w:color w:val="auto"/>
        </w:rPr>
        <w:t>3</w:t>
      </w:r>
      <w:r>
        <w:rPr>
          <w:color w:val="auto"/>
        </w:rPr>
        <w:fldChar w:fldCharType="end"/>
      </w:r>
      <w:r>
        <w:rPr>
          <w:rFonts w:hint="default" w:ascii="Times New Roman" w:hAnsi="Times New Roman" w:cs="Times New Roman"/>
          <w:color w:val="auto"/>
          <w:szCs w:val="24"/>
          <w:highlight w:val="none"/>
        </w:rPr>
        <w:fldChar w:fldCharType="end"/>
      </w:r>
    </w:p>
    <w:p w14:paraId="71BBB899">
      <w:pPr>
        <w:pStyle w:val="21"/>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_Toc23407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zCs w:val="28"/>
          <w:highlight w:val="none"/>
        </w:rPr>
        <w:t>5</w:t>
      </w:r>
      <w:r>
        <w:rPr>
          <w:rFonts w:hint="default" w:ascii="Times New Roman" w:hAnsi="Times New Roman" w:eastAsia="宋体" w:cs="Times New Roman"/>
          <w:bCs w:val="0"/>
          <w:color w:val="auto"/>
          <w:szCs w:val="28"/>
          <w:highlight w:val="none"/>
          <w:lang w:val="en-US" w:eastAsia="zh-CN"/>
        </w:rPr>
        <w:t>.</w:t>
      </w:r>
      <w:r>
        <w:rPr>
          <w:rFonts w:hint="default" w:ascii="Times New Roman" w:hAnsi="Times New Roman" w:eastAsia="宋体" w:cs="Times New Roman"/>
          <w:bCs w:val="0"/>
          <w:color w:val="auto"/>
          <w:szCs w:val="28"/>
          <w:highlight w:val="none"/>
        </w:rPr>
        <w:t>电磁环境现状评价</w:t>
      </w:r>
      <w:r>
        <w:rPr>
          <w:color w:val="auto"/>
        </w:rPr>
        <w:tab/>
      </w:r>
      <w:r>
        <w:rPr>
          <w:color w:val="auto"/>
        </w:rPr>
        <w:fldChar w:fldCharType="begin"/>
      </w:r>
      <w:r>
        <w:rPr>
          <w:color w:val="auto"/>
        </w:rPr>
        <w:instrText xml:space="preserve"> PAGEREF _Toc23407 \h </w:instrText>
      </w:r>
      <w:r>
        <w:rPr>
          <w:color w:val="auto"/>
        </w:rPr>
        <w:fldChar w:fldCharType="separate"/>
      </w:r>
      <w:r>
        <w:rPr>
          <w:color w:val="auto"/>
        </w:rPr>
        <w:t>3</w:t>
      </w:r>
      <w:r>
        <w:rPr>
          <w:color w:val="auto"/>
        </w:rPr>
        <w:fldChar w:fldCharType="end"/>
      </w:r>
      <w:r>
        <w:rPr>
          <w:rFonts w:hint="default" w:ascii="Times New Roman" w:hAnsi="Times New Roman" w:cs="Times New Roman"/>
          <w:color w:val="auto"/>
          <w:szCs w:val="24"/>
          <w:highlight w:val="none"/>
        </w:rPr>
        <w:fldChar w:fldCharType="end"/>
      </w:r>
    </w:p>
    <w:p w14:paraId="1DDF3A34">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_Toc1199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5.1监测因子</w:t>
      </w:r>
      <w:r>
        <w:rPr>
          <w:color w:val="auto"/>
        </w:rPr>
        <w:tab/>
      </w:r>
      <w:r>
        <w:rPr>
          <w:color w:val="auto"/>
        </w:rPr>
        <w:fldChar w:fldCharType="begin"/>
      </w:r>
      <w:r>
        <w:rPr>
          <w:color w:val="auto"/>
        </w:rPr>
        <w:instrText xml:space="preserve"> PAGEREF _Toc1199 \h </w:instrText>
      </w:r>
      <w:r>
        <w:rPr>
          <w:color w:val="auto"/>
        </w:rPr>
        <w:fldChar w:fldCharType="separate"/>
      </w:r>
      <w:r>
        <w:rPr>
          <w:color w:val="auto"/>
        </w:rPr>
        <w:t>3</w:t>
      </w:r>
      <w:r>
        <w:rPr>
          <w:color w:val="auto"/>
        </w:rPr>
        <w:fldChar w:fldCharType="end"/>
      </w:r>
      <w:r>
        <w:rPr>
          <w:rFonts w:hint="default" w:ascii="Times New Roman" w:hAnsi="Times New Roman" w:cs="Times New Roman"/>
          <w:color w:val="auto"/>
          <w:szCs w:val="24"/>
          <w:highlight w:val="none"/>
        </w:rPr>
        <w:fldChar w:fldCharType="end"/>
      </w:r>
    </w:p>
    <w:p w14:paraId="5D68F937">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_Toc15968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5.2监测时间及频次</w:t>
      </w:r>
      <w:r>
        <w:rPr>
          <w:color w:val="auto"/>
        </w:rPr>
        <w:tab/>
      </w:r>
      <w:r>
        <w:rPr>
          <w:color w:val="auto"/>
        </w:rPr>
        <w:fldChar w:fldCharType="begin"/>
      </w:r>
      <w:r>
        <w:rPr>
          <w:color w:val="auto"/>
        </w:rPr>
        <w:instrText xml:space="preserve"> PAGEREF _Toc15968 \h </w:instrText>
      </w:r>
      <w:r>
        <w:rPr>
          <w:color w:val="auto"/>
        </w:rPr>
        <w:fldChar w:fldCharType="separate"/>
      </w:r>
      <w:r>
        <w:rPr>
          <w:color w:val="auto"/>
        </w:rPr>
        <w:t>3</w:t>
      </w:r>
      <w:r>
        <w:rPr>
          <w:color w:val="auto"/>
        </w:rPr>
        <w:fldChar w:fldCharType="end"/>
      </w:r>
      <w:r>
        <w:rPr>
          <w:rFonts w:hint="default" w:ascii="Times New Roman" w:hAnsi="Times New Roman" w:cs="Times New Roman"/>
          <w:color w:val="auto"/>
          <w:szCs w:val="24"/>
          <w:highlight w:val="none"/>
        </w:rPr>
        <w:fldChar w:fldCharType="end"/>
      </w:r>
    </w:p>
    <w:p w14:paraId="4D105F68">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_Toc4525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5.3监测方法及监测仪器</w:t>
      </w:r>
      <w:r>
        <w:rPr>
          <w:color w:val="auto"/>
        </w:rPr>
        <w:tab/>
      </w:r>
      <w:r>
        <w:rPr>
          <w:color w:val="auto"/>
        </w:rPr>
        <w:fldChar w:fldCharType="begin"/>
      </w:r>
      <w:r>
        <w:rPr>
          <w:color w:val="auto"/>
        </w:rPr>
        <w:instrText xml:space="preserve"> PAGEREF _Toc4525 \h </w:instrText>
      </w:r>
      <w:r>
        <w:rPr>
          <w:color w:val="auto"/>
        </w:rPr>
        <w:fldChar w:fldCharType="separate"/>
      </w:r>
      <w:r>
        <w:rPr>
          <w:color w:val="auto"/>
        </w:rPr>
        <w:t>3</w:t>
      </w:r>
      <w:r>
        <w:rPr>
          <w:color w:val="auto"/>
        </w:rPr>
        <w:fldChar w:fldCharType="end"/>
      </w:r>
      <w:r>
        <w:rPr>
          <w:rFonts w:hint="default" w:ascii="Times New Roman" w:hAnsi="Times New Roman" w:cs="Times New Roman"/>
          <w:color w:val="auto"/>
          <w:szCs w:val="24"/>
          <w:highlight w:val="none"/>
        </w:rPr>
        <w:fldChar w:fldCharType="end"/>
      </w:r>
    </w:p>
    <w:p w14:paraId="0BA38F47">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_Toc29851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pacing w:val="0"/>
          <w:kern w:val="2"/>
          <w:szCs w:val="24"/>
          <w:highlight w:val="none"/>
          <w:lang w:val="en-US" w:eastAsia="zh-CN" w:bidi="ar"/>
        </w:rPr>
        <w:t>5.</w:t>
      </w:r>
      <w:r>
        <w:rPr>
          <w:rFonts w:hint="default" w:ascii="Times New Roman" w:hAnsi="Times New Roman" w:cs="Times New Roman"/>
          <w:bCs w:val="0"/>
          <w:color w:val="auto"/>
          <w:spacing w:val="0"/>
          <w:kern w:val="2"/>
          <w:szCs w:val="24"/>
          <w:highlight w:val="none"/>
          <w:lang w:val="en-US" w:eastAsia="zh-CN" w:bidi="ar"/>
        </w:rPr>
        <w:t>4</w:t>
      </w:r>
      <w:r>
        <w:rPr>
          <w:rFonts w:hint="default" w:ascii="Times New Roman" w:hAnsi="Times New Roman" w:eastAsia="宋体" w:cs="Times New Roman"/>
          <w:bCs w:val="0"/>
          <w:color w:val="auto"/>
          <w:spacing w:val="0"/>
          <w:kern w:val="2"/>
          <w:szCs w:val="24"/>
          <w:highlight w:val="none"/>
          <w:lang w:val="en-US" w:eastAsia="zh-CN" w:bidi="ar"/>
        </w:rPr>
        <w:t>监测期间气象参数</w:t>
      </w:r>
      <w:r>
        <w:rPr>
          <w:color w:val="auto"/>
        </w:rPr>
        <w:tab/>
      </w:r>
      <w:r>
        <w:rPr>
          <w:color w:val="auto"/>
        </w:rPr>
        <w:fldChar w:fldCharType="begin"/>
      </w:r>
      <w:r>
        <w:rPr>
          <w:color w:val="auto"/>
        </w:rPr>
        <w:instrText xml:space="preserve"> PAGEREF _Toc29851 \h </w:instrText>
      </w:r>
      <w:r>
        <w:rPr>
          <w:color w:val="auto"/>
        </w:rPr>
        <w:fldChar w:fldCharType="separate"/>
      </w:r>
      <w:r>
        <w:rPr>
          <w:color w:val="auto"/>
        </w:rPr>
        <w:t>3</w:t>
      </w:r>
      <w:r>
        <w:rPr>
          <w:color w:val="auto"/>
        </w:rPr>
        <w:fldChar w:fldCharType="end"/>
      </w:r>
      <w:r>
        <w:rPr>
          <w:rFonts w:hint="default" w:ascii="Times New Roman" w:hAnsi="Times New Roman" w:cs="Times New Roman"/>
          <w:color w:val="auto"/>
          <w:szCs w:val="24"/>
          <w:highlight w:val="none"/>
        </w:rPr>
        <w:fldChar w:fldCharType="end"/>
      </w:r>
    </w:p>
    <w:p w14:paraId="14DEA1C5">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_Toc23430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5.</w:t>
      </w:r>
      <w:r>
        <w:rPr>
          <w:rFonts w:hint="default" w:ascii="Times New Roman" w:hAnsi="Times New Roman" w:cs="Times New Roman"/>
          <w:bCs w:val="0"/>
          <w:color w:val="auto"/>
          <w:spacing w:val="0"/>
          <w:kern w:val="2"/>
          <w:szCs w:val="24"/>
          <w:highlight w:val="none"/>
          <w:lang w:val="en-US" w:eastAsia="zh-CN"/>
        </w:rPr>
        <w:t>5</w:t>
      </w:r>
      <w:r>
        <w:rPr>
          <w:rFonts w:hint="default" w:ascii="Times New Roman" w:hAnsi="Times New Roman" w:cs="Times New Roman"/>
          <w:bCs w:val="0"/>
          <w:color w:val="auto"/>
          <w:spacing w:val="0"/>
          <w:kern w:val="2"/>
          <w:szCs w:val="24"/>
          <w:highlight w:val="none"/>
        </w:rPr>
        <w:t>质量控制</w:t>
      </w:r>
      <w:r>
        <w:rPr>
          <w:color w:val="auto"/>
        </w:rPr>
        <w:tab/>
      </w:r>
      <w:r>
        <w:rPr>
          <w:color w:val="auto"/>
        </w:rPr>
        <w:fldChar w:fldCharType="begin"/>
      </w:r>
      <w:r>
        <w:rPr>
          <w:color w:val="auto"/>
        </w:rPr>
        <w:instrText xml:space="preserve"> PAGEREF _Toc23430 \h </w:instrText>
      </w:r>
      <w:r>
        <w:rPr>
          <w:color w:val="auto"/>
        </w:rPr>
        <w:fldChar w:fldCharType="separate"/>
      </w:r>
      <w:r>
        <w:rPr>
          <w:color w:val="auto"/>
        </w:rPr>
        <w:t>3</w:t>
      </w:r>
      <w:r>
        <w:rPr>
          <w:color w:val="auto"/>
        </w:rPr>
        <w:fldChar w:fldCharType="end"/>
      </w:r>
      <w:r>
        <w:rPr>
          <w:rFonts w:hint="default" w:ascii="Times New Roman" w:hAnsi="Times New Roman" w:cs="Times New Roman"/>
          <w:color w:val="auto"/>
          <w:szCs w:val="24"/>
          <w:highlight w:val="none"/>
        </w:rPr>
        <w:fldChar w:fldCharType="end"/>
      </w:r>
    </w:p>
    <w:p w14:paraId="4E52B715">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_Toc17686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5.</w:t>
      </w:r>
      <w:r>
        <w:rPr>
          <w:rFonts w:hint="default" w:ascii="Times New Roman" w:hAnsi="Times New Roman" w:cs="Times New Roman"/>
          <w:bCs w:val="0"/>
          <w:color w:val="auto"/>
          <w:spacing w:val="0"/>
          <w:kern w:val="2"/>
          <w:szCs w:val="24"/>
          <w:highlight w:val="none"/>
          <w:lang w:val="en-US" w:eastAsia="zh-CN"/>
        </w:rPr>
        <w:t>6监测布点及监测结果</w:t>
      </w:r>
      <w:r>
        <w:rPr>
          <w:color w:val="auto"/>
        </w:rPr>
        <w:tab/>
      </w:r>
      <w:r>
        <w:rPr>
          <w:color w:val="auto"/>
        </w:rPr>
        <w:fldChar w:fldCharType="begin"/>
      </w:r>
      <w:r>
        <w:rPr>
          <w:color w:val="auto"/>
        </w:rPr>
        <w:instrText xml:space="preserve"> PAGEREF _Toc17686 \h </w:instrText>
      </w:r>
      <w:r>
        <w:rPr>
          <w:color w:val="auto"/>
        </w:rPr>
        <w:fldChar w:fldCharType="separate"/>
      </w:r>
      <w:r>
        <w:rPr>
          <w:color w:val="auto"/>
        </w:rPr>
        <w:t>4</w:t>
      </w:r>
      <w:r>
        <w:rPr>
          <w:color w:val="auto"/>
        </w:rPr>
        <w:fldChar w:fldCharType="end"/>
      </w:r>
      <w:r>
        <w:rPr>
          <w:rFonts w:hint="default" w:ascii="Times New Roman" w:hAnsi="Times New Roman" w:cs="Times New Roman"/>
          <w:color w:val="auto"/>
          <w:szCs w:val="24"/>
          <w:highlight w:val="none"/>
        </w:rPr>
        <w:fldChar w:fldCharType="end"/>
      </w:r>
    </w:p>
    <w:p w14:paraId="74FF8DB9">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_Toc1310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5.</w:t>
      </w:r>
      <w:r>
        <w:rPr>
          <w:rFonts w:hint="default" w:ascii="Times New Roman" w:hAnsi="Times New Roman" w:cs="Times New Roman"/>
          <w:bCs w:val="0"/>
          <w:color w:val="auto"/>
          <w:spacing w:val="0"/>
          <w:kern w:val="2"/>
          <w:szCs w:val="24"/>
          <w:highlight w:val="none"/>
          <w:lang w:val="en-US" w:eastAsia="zh-CN"/>
        </w:rPr>
        <w:t>7</w:t>
      </w:r>
      <w:r>
        <w:rPr>
          <w:rFonts w:hint="default" w:ascii="Times New Roman" w:hAnsi="Times New Roman" w:cs="Times New Roman"/>
          <w:bCs w:val="0"/>
          <w:color w:val="auto"/>
          <w:spacing w:val="0"/>
          <w:kern w:val="2"/>
          <w:szCs w:val="24"/>
          <w:highlight w:val="none"/>
        </w:rPr>
        <w:t>监测结果分析</w:t>
      </w:r>
      <w:r>
        <w:rPr>
          <w:color w:val="auto"/>
        </w:rPr>
        <w:tab/>
      </w:r>
      <w:r>
        <w:rPr>
          <w:color w:val="auto"/>
        </w:rPr>
        <w:fldChar w:fldCharType="begin"/>
      </w:r>
      <w:r>
        <w:rPr>
          <w:color w:val="auto"/>
        </w:rPr>
        <w:instrText xml:space="preserve"> PAGEREF _Toc1310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szCs w:val="24"/>
          <w:highlight w:val="none"/>
        </w:rPr>
        <w:fldChar w:fldCharType="end"/>
      </w:r>
    </w:p>
    <w:p w14:paraId="52E066B1">
      <w:pPr>
        <w:pStyle w:val="21"/>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_Toc1994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zCs w:val="28"/>
          <w:highlight w:val="none"/>
        </w:rPr>
        <w:t>6</w:t>
      </w:r>
      <w:r>
        <w:rPr>
          <w:rFonts w:hint="default" w:ascii="Times New Roman" w:hAnsi="Times New Roman" w:eastAsia="宋体" w:cs="Times New Roman"/>
          <w:bCs w:val="0"/>
          <w:color w:val="auto"/>
          <w:szCs w:val="28"/>
          <w:highlight w:val="none"/>
          <w:lang w:val="en-US" w:eastAsia="zh-CN"/>
        </w:rPr>
        <w:t>.</w:t>
      </w:r>
      <w:r>
        <w:rPr>
          <w:rFonts w:hint="default" w:ascii="Times New Roman" w:hAnsi="Times New Roman" w:eastAsia="宋体" w:cs="Times New Roman"/>
          <w:bCs w:val="0"/>
          <w:color w:val="auto"/>
          <w:szCs w:val="28"/>
          <w:highlight w:val="none"/>
        </w:rPr>
        <w:t>电磁环境影响预测与评价</w:t>
      </w:r>
      <w:r>
        <w:rPr>
          <w:color w:val="auto"/>
        </w:rPr>
        <w:tab/>
      </w:r>
      <w:r>
        <w:rPr>
          <w:color w:val="auto"/>
        </w:rPr>
        <w:fldChar w:fldCharType="begin"/>
      </w:r>
      <w:r>
        <w:rPr>
          <w:color w:val="auto"/>
        </w:rPr>
        <w:instrText xml:space="preserve"> PAGEREF _Toc1994 \h </w:instrText>
      </w:r>
      <w:r>
        <w:rPr>
          <w:color w:val="auto"/>
        </w:rPr>
        <w:fldChar w:fldCharType="separate"/>
      </w:r>
      <w:r>
        <w:rPr>
          <w:color w:val="auto"/>
        </w:rPr>
        <w:t>8</w:t>
      </w:r>
      <w:r>
        <w:rPr>
          <w:color w:val="auto"/>
        </w:rPr>
        <w:fldChar w:fldCharType="end"/>
      </w:r>
      <w:r>
        <w:rPr>
          <w:rFonts w:hint="default" w:ascii="Times New Roman" w:hAnsi="Times New Roman" w:cs="Times New Roman"/>
          <w:color w:val="auto"/>
          <w:szCs w:val="24"/>
          <w:highlight w:val="none"/>
        </w:rPr>
        <w:fldChar w:fldCharType="end"/>
      </w:r>
    </w:p>
    <w:p w14:paraId="2256B17E">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_Toc19628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pacing w:val="0"/>
          <w:kern w:val="2"/>
          <w:szCs w:val="24"/>
          <w:highlight w:val="none"/>
          <w:lang w:val="en-US"/>
        </w:rPr>
        <w:t>6.</w:t>
      </w:r>
      <w:r>
        <w:rPr>
          <w:rFonts w:hint="default" w:ascii="Times New Roman" w:hAnsi="Times New Roman" w:eastAsia="宋体" w:cs="Times New Roman"/>
          <w:bCs w:val="0"/>
          <w:color w:val="auto"/>
          <w:spacing w:val="0"/>
          <w:kern w:val="2"/>
          <w:szCs w:val="24"/>
          <w:highlight w:val="none"/>
          <w:lang w:val="en-US" w:eastAsia="zh-CN"/>
        </w:rPr>
        <w:t>1云雾山330</w:t>
      </w:r>
      <w:r>
        <w:rPr>
          <w:rFonts w:hint="eastAsia" w:ascii="Times New Roman" w:hAnsi="Times New Roman" w:cs="Times New Roman"/>
          <w:bCs w:val="0"/>
          <w:color w:val="auto"/>
          <w:spacing w:val="0"/>
          <w:kern w:val="2"/>
          <w:szCs w:val="24"/>
          <w:highlight w:val="none"/>
          <w:lang w:val="en-US" w:eastAsia="zh-CN"/>
        </w:rPr>
        <w:t>千伏</w:t>
      </w:r>
      <w:r>
        <w:rPr>
          <w:rFonts w:hint="default" w:ascii="Times New Roman" w:hAnsi="Times New Roman" w:eastAsia="宋体" w:cs="Times New Roman"/>
          <w:bCs w:val="0"/>
          <w:color w:val="auto"/>
          <w:spacing w:val="0"/>
          <w:kern w:val="2"/>
          <w:szCs w:val="24"/>
          <w:highlight w:val="none"/>
          <w:lang w:val="en-US" w:eastAsia="zh-CN"/>
        </w:rPr>
        <w:t>变电站新建工程</w:t>
      </w:r>
      <w:r>
        <w:rPr>
          <w:color w:val="auto"/>
        </w:rPr>
        <w:tab/>
      </w:r>
      <w:r>
        <w:rPr>
          <w:color w:val="auto"/>
        </w:rPr>
        <w:fldChar w:fldCharType="begin"/>
      </w:r>
      <w:r>
        <w:rPr>
          <w:color w:val="auto"/>
        </w:rPr>
        <w:instrText xml:space="preserve"> PAGEREF _Toc19628 \h </w:instrText>
      </w:r>
      <w:r>
        <w:rPr>
          <w:color w:val="auto"/>
        </w:rPr>
        <w:fldChar w:fldCharType="separate"/>
      </w:r>
      <w:r>
        <w:rPr>
          <w:color w:val="auto"/>
        </w:rPr>
        <w:t>8</w:t>
      </w:r>
      <w:r>
        <w:rPr>
          <w:color w:val="auto"/>
        </w:rPr>
        <w:fldChar w:fldCharType="end"/>
      </w:r>
      <w:r>
        <w:rPr>
          <w:rFonts w:hint="default" w:ascii="Times New Roman" w:hAnsi="Times New Roman" w:cs="Times New Roman"/>
          <w:color w:val="auto"/>
          <w:szCs w:val="24"/>
          <w:highlight w:val="none"/>
        </w:rPr>
        <w:fldChar w:fldCharType="end"/>
      </w:r>
    </w:p>
    <w:p w14:paraId="2ABB18A5">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_Toc6087 </w:instrText>
      </w:r>
      <w:r>
        <w:rPr>
          <w:rFonts w:hint="default" w:ascii="Times New Roman" w:hAnsi="Times New Roman" w:cs="Times New Roman"/>
          <w:color w:val="auto"/>
          <w:szCs w:val="24"/>
          <w:highlight w:val="none"/>
        </w:rPr>
        <w:fldChar w:fldCharType="separate"/>
      </w:r>
      <w:r>
        <w:rPr>
          <w:rFonts w:hint="default" w:ascii="Times New Roman" w:hAnsi="Times New Roman" w:cs="Times New Roman"/>
          <w:bCs w:val="0"/>
          <w:color w:val="auto"/>
          <w:spacing w:val="0"/>
          <w:kern w:val="2"/>
          <w:szCs w:val="24"/>
          <w:highlight w:val="none"/>
        </w:rPr>
        <w:t>6.</w:t>
      </w:r>
      <w:r>
        <w:rPr>
          <w:rFonts w:hint="default" w:ascii="Times New Roman" w:hAnsi="Times New Roman" w:cs="Times New Roman"/>
          <w:bCs w:val="0"/>
          <w:color w:val="auto"/>
          <w:spacing w:val="0"/>
          <w:kern w:val="2"/>
          <w:szCs w:val="24"/>
          <w:highlight w:val="none"/>
          <w:lang w:val="en-US" w:eastAsia="zh-CN"/>
        </w:rPr>
        <w:t>2</w:t>
      </w:r>
      <w:r>
        <w:rPr>
          <w:rFonts w:hint="default" w:ascii="Times New Roman" w:hAnsi="Times New Roman" w:cs="Times New Roman"/>
          <w:bCs w:val="0"/>
          <w:color w:val="auto"/>
          <w:spacing w:val="0"/>
          <w:kern w:val="2"/>
          <w:szCs w:val="24"/>
          <w:highlight w:val="none"/>
        </w:rPr>
        <w:t>新建架空线路电磁环境影响模式预测</w:t>
      </w:r>
      <w:r>
        <w:rPr>
          <w:color w:val="auto"/>
        </w:rPr>
        <w:tab/>
      </w:r>
      <w:r>
        <w:rPr>
          <w:color w:val="auto"/>
        </w:rPr>
        <w:fldChar w:fldCharType="begin"/>
      </w:r>
      <w:r>
        <w:rPr>
          <w:color w:val="auto"/>
        </w:rPr>
        <w:instrText xml:space="preserve"> PAGEREF _Toc6087 \h </w:instrText>
      </w:r>
      <w:r>
        <w:rPr>
          <w:color w:val="auto"/>
        </w:rPr>
        <w:fldChar w:fldCharType="separate"/>
      </w:r>
      <w:r>
        <w:rPr>
          <w:color w:val="auto"/>
        </w:rPr>
        <w:t>12</w:t>
      </w:r>
      <w:r>
        <w:rPr>
          <w:color w:val="auto"/>
        </w:rPr>
        <w:fldChar w:fldCharType="end"/>
      </w:r>
      <w:r>
        <w:rPr>
          <w:rFonts w:hint="default" w:ascii="Times New Roman" w:hAnsi="Times New Roman" w:cs="Times New Roman"/>
          <w:color w:val="auto"/>
          <w:szCs w:val="24"/>
          <w:highlight w:val="none"/>
        </w:rPr>
        <w:fldChar w:fldCharType="end"/>
      </w:r>
    </w:p>
    <w:p w14:paraId="3B06CC6F">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_Toc10214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color w:val="auto"/>
          <w:spacing w:val="0"/>
          <w:kern w:val="2"/>
          <w:szCs w:val="24"/>
          <w:highlight w:val="none"/>
        </w:rPr>
        <w:t>6.</w:t>
      </w:r>
      <w:r>
        <w:rPr>
          <w:rFonts w:hint="default" w:ascii="Times New Roman" w:hAnsi="Times New Roman" w:eastAsia="宋体" w:cs="Times New Roman"/>
          <w:bCs/>
          <w:color w:val="auto"/>
          <w:spacing w:val="0"/>
          <w:kern w:val="2"/>
          <w:szCs w:val="24"/>
          <w:highlight w:val="none"/>
          <w:lang w:val="en-US" w:eastAsia="zh-CN"/>
        </w:rPr>
        <w:t>3</w:t>
      </w:r>
      <w:r>
        <w:rPr>
          <w:rFonts w:hint="default" w:ascii="Times New Roman" w:hAnsi="Times New Roman" w:eastAsia="宋体" w:cs="Times New Roman"/>
          <w:bCs/>
          <w:color w:val="auto"/>
          <w:spacing w:val="0"/>
          <w:kern w:val="2"/>
          <w:szCs w:val="24"/>
          <w:highlight w:val="none"/>
        </w:rPr>
        <w:t>电磁环境敏感目标的预测分析</w:t>
      </w:r>
      <w:r>
        <w:rPr>
          <w:color w:val="auto"/>
        </w:rPr>
        <w:tab/>
      </w:r>
      <w:r>
        <w:rPr>
          <w:color w:val="auto"/>
        </w:rPr>
        <w:fldChar w:fldCharType="begin"/>
      </w:r>
      <w:r>
        <w:rPr>
          <w:color w:val="auto"/>
        </w:rPr>
        <w:instrText xml:space="preserve"> PAGEREF _Toc10214 \h </w:instrText>
      </w:r>
      <w:r>
        <w:rPr>
          <w:color w:val="auto"/>
        </w:rPr>
        <w:fldChar w:fldCharType="separate"/>
      </w:r>
      <w:r>
        <w:rPr>
          <w:color w:val="auto"/>
        </w:rPr>
        <w:t>35</w:t>
      </w:r>
      <w:r>
        <w:rPr>
          <w:color w:val="auto"/>
        </w:rPr>
        <w:fldChar w:fldCharType="end"/>
      </w:r>
      <w:r>
        <w:rPr>
          <w:rFonts w:hint="default" w:ascii="Times New Roman" w:hAnsi="Times New Roman" w:cs="Times New Roman"/>
          <w:color w:val="auto"/>
          <w:szCs w:val="24"/>
          <w:highlight w:val="none"/>
        </w:rPr>
        <w:fldChar w:fldCharType="end"/>
      </w:r>
    </w:p>
    <w:p w14:paraId="14DF91E8">
      <w:pPr>
        <w:pStyle w:val="21"/>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_Toc10022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val="0"/>
          <w:color w:val="auto"/>
          <w:szCs w:val="28"/>
          <w:highlight w:val="none"/>
        </w:rPr>
        <w:t>7</w:t>
      </w:r>
      <w:r>
        <w:rPr>
          <w:rFonts w:hint="default" w:ascii="Times New Roman" w:hAnsi="Times New Roman" w:eastAsia="宋体" w:cs="Times New Roman"/>
          <w:bCs w:val="0"/>
          <w:color w:val="auto"/>
          <w:szCs w:val="28"/>
          <w:highlight w:val="none"/>
          <w:lang w:val="en-US" w:eastAsia="zh-CN"/>
        </w:rPr>
        <w:t>.</w:t>
      </w:r>
      <w:r>
        <w:rPr>
          <w:rFonts w:hint="default" w:ascii="Times New Roman" w:hAnsi="Times New Roman" w:eastAsia="宋体" w:cs="Times New Roman"/>
          <w:bCs w:val="0"/>
          <w:color w:val="auto"/>
          <w:szCs w:val="28"/>
          <w:highlight w:val="none"/>
        </w:rPr>
        <w:t>电磁环境影响评价结论</w:t>
      </w:r>
      <w:r>
        <w:rPr>
          <w:color w:val="auto"/>
        </w:rPr>
        <w:tab/>
      </w:r>
      <w:r>
        <w:rPr>
          <w:color w:val="auto"/>
        </w:rPr>
        <w:fldChar w:fldCharType="begin"/>
      </w:r>
      <w:r>
        <w:rPr>
          <w:color w:val="auto"/>
        </w:rPr>
        <w:instrText xml:space="preserve"> PAGEREF _Toc10022 \h </w:instrText>
      </w:r>
      <w:r>
        <w:rPr>
          <w:color w:val="auto"/>
        </w:rPr>
        <w:fldChar w:fldCharType="separate"/>
      </w:r>
      <w:r>
        <w:rPr>
          <w:color w:val="auto"/>
        </w:rPr>
        <w:t>37</w:t>
      </w:r>
      <w:r>
        <w:rPr>
          <w:color w:val="auto"/>
        </w:rPr>
        <w:fldChar w:fldCharType="end"/>
      </w:r>
      <w:r>
        <w:rPr>
          <w:rFonts w:hint="default" w:ascii="Times New Roman" w:hAnsi="Times New Roman" w:cs="Times New Roman"/>
          <w:color w:val="auto"/>
          <w:szCs w:val="24"/>
          <w:highlight w:val="none"/>
        </w:rPr>
        <w:fldChar w:fldCharType="end"/>
      </w:r>
    </w:p>
    <w:p w14:paraId="0DF10969">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_Toc20153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color w:val="auto"/>
          <w:spacing w:val="0"/>
          <w:kern w:val="2"/>
          <w:szCs w:val="24"/>
          <w:highlight w:val="none"/>
          <w:lang w:val="en-US" w:eastAsia="zh-CN" w:bidi="ar"/>
        </w:rPr>
        <w:t>7.1电磁环境现状评价结论</w:t>
      </w:r>
      <w:r>
        <w:rPr>
          <w:color w:val="auto"/>
        </w:rPr>
        <w:tab/>
      </w:r>
      <w:r>
        <w:rPr>
          <w:color w:val="auto"/>
        </w:rPr>
        <w:fldChar w:fldCharType="begin"/>
      </w:r>
      <w:r>
        <w:rPr>
          <w:color w:val="auto"/>
        </w:rPr>
        <w:instrText xml:space="preserve"> PAGEREF _Toc20153 \h </w:instrText>
      </w:r>
      <w:r>
        <w:rPr>
          <w:color w:val="auto"/>
        </w:rPr>
        <w:fldChar w:fldCharType="separate"/>
      </w:r>
      <w:r>
        <w:rPr>
          <w:color w:val="auto"/>
        </w:rPr>
        <w:t>37</w:t>
      </w:r>
      <w:r>
        <w:rPr>
          <w:color w:val="auto"/>
        </w:rPr>
        <w:fldChar w:fldCharType="end"/>
      </w:r>
      <w:r>
        <w:rPr>
          <w:rFonts w:hint="default" w:ascii="Times New Roman" w:hAnsi="Times New Roman" w:cs="Times New Roman"/>
          <w:color w:val="auto"/>
          <w:szCs w:val="24"/>
          <w:highlight w:val="none"/>
        </w:rPr>
        <w:fldChar w:fldCharType="end"/>
      </w:r>
    </w:p>
    <w:p w14:paraId="0E3A02C9">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_Toc2937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color w:val="auto"/>
          <w:spacing w:val="0"/>
          <w:kern w:val="2"/>
          <w:szCs w:val="24"/>
          <w:highlight w:val="none"/>
          <w:lang w:val="en-US" w:eastAsia="zh-CN" w:bidi="ar"/>
        </w:rPr>
        <w:t>7.2新建</w:t>
      </w:r>
      <w:r>
        <w:rPr>
          <w:rFonts w:hint="default" w:ascii="Times New Roman" w:hAnsi="Times New Roman" w:cs="Times New Roman"/>
          <w:bCs/>
          <w:color w:val="auto"/>
          <w:highlight w:val="none"/>
        </w:rPr>
        <w:t>架空</w:t>
      </w:r>
      <w:r>
        <w:rPr>
          <w:rFonts w:hint="default" w:ascii="Times New Roman" w:hAnsi="Times New Roman" w:cs="Times New Roman"/>
          <w:bCs/>
          <w:color w:val="auto"/>
          <w:kern w:val="0"/>
          <w:highlight w:val="none"/>
        </w:rPr>
        <w:t>输电线路工程电磁环境预测结论</w:t>
      </w:r>
      <w:r>
        <w:rPr>
          <w:color w:val="auto"/>
        </w:rPr>
        <w:tab/>
      </w:r>
      <w:r>
        <w:rPr>
          <w:color w:val="auto"/>
        </w:rPr>
        <w:fldChar w:fldCharType="begin"/>
      </w:r>
      <w:r>
        <w:rPr>
          <w:color w:val="auto"/>
        </w:rPr>
        <w:instrText xml:space="preserve"> PAGEREF _Toc2937 \h </w:instrText>
      </w:r>
      <w:r>
        <w:rPr>
          <w:color w:val="auto"/>
        </w:rPr>
        <w:fldChar w:fldCharType="separate"/>
      </w:r>
      <w:r>
        <w:rPr>
          <w:color w:val="auto"/>
        </w:rPr>
        <w:t>37</w:t>
      </w:r>
      <w:r>
        <w:rPr>
          <w:color w:val="auto"/>
        </w:rPr>
        <w:fldChar w:fldCharType="end"/>
      </w:r>
      <w:r>
        <w:rPr>
          <w:rFonts w:hint="default" w:ascii="Times New Roman" w:hAnsi="Times New Roman" w:cs="Times New Roman"/>
          <w:color w:val="auto"/>
          <w:szCs w:val="24"/>
          <w:highlight w:val="none"/>
        </w:rPr>
        <w:fldChar w:fldCharType="end"/>
      </w:r>
    </w:p>
    <w:p w14:paraId="56D074DC">
      <w:pPr>
        <w:pStyle w:val="26"/>
        <w:tabs>
          <w:tab w:val="right" w:leader="dot" w:pos="9071"/>
        </w:tabs>
        <w:rPr>
          <w:color w:val="auto"/>
        </w:rPr>
      </w:pPr>
      <w:r>
        <w:rPr>
          <w:rFonts w:hint="default" w:ascii="Times New Roman" w:hAnsi="Times New Roman" w:cs="Times New Roman"/>
          <w:color w:val="auto"/>
          <w:szCs w:val="24"/>
          <w:highlight w:val="none"/>
        </w:rPr>
        <w:fldChar w:fldCharType="begin"/>
      </w:r>
      <w:r>
        <w:rPr>
          <w:rFonts w:hint="default" w:ascii="Times New Roman" w:hAnsi="Times New Roman" w:cs="Times New Roman"/>
          <w:color w:val="auto"/>
          <w:szCs w:val="24"/>
          <w:highlight w:val="none"/>
        </w:rPr>
        <w:instrText xml:space="preserve"> HYPERLINK \l _Toc4221 </w:instrText>
      </w:r>
      <w:r>
        <w:rPr>
          <w:rFonts w:hint="default" w:ascii="Times New Roman" w:hAnsi="Times New Roman" w:cs="Times New Roman"/>
          <w:color w:val="auto"/>
          <w:szCs w:val="24"/>
          <w:highlight w:val="none"/>
        </w:rPr>
        <w:fldChar w:fldCharType="separate"/>
      </w:r>
      <w:r>
        <w:rPr>
          <w:rFonts w:hint="default" w:ascii="Times New Roman" w:hAnsi="Times New Roman" w:eastAsia="宋体" w:cs="Times New Roman"/>
          <w:bCs/>
          <w:color w:val="auto"/>
          <w:spacing w:val="0"/>
          <w:kern w:val="2"/>
          <w:szCs w:val="24"/>
          <w:highlight w:val="none"/>
          <w:lang w:val="en-US" w:eastAsia="zh-CN"/>
        </w:rPr>
        <w:t>7.3</w:t>
      </w:r>
      <w:r>
        <w:rPr>
          <w:rFonts w:hint="default" w:ascii="Times New Roman" w:hAnsi="Times New Roman" w:eastAsia="宋体" w:cs="Times New Roman"/>
          <w:bCs/>
          <w:color w:val="auto"/>
          <w:spacing w:val="0"/>
          <w:kern w:val="2"/>
          <w:szCs w:val="24"/>
          <w:highlight w:val="none"/>
        </w:rPr>
        <w:t>电磁环境敏感目标预测</w:t>
      </w:r>
      <w:r>
        <w:rPr>
          <w:rFonts w:hint="default" w:ascii="Times New Roman" w:hAnsi="Times New Roman" w:eastAsia="宋体" w:cs="Times New Roman"/>
          <w:bCs/>
          <w:color w:val="auto"/>
          <w:spacing w:val="0"/>
          <w:kern w:val="2"/>
          <w:szCs w:val="24"/>
          <w:highlight w:val="none"/>
          <w:lang w:val="en-US" w:eastAsia="zh-CN"/>
        </w:rPr>
        <w:t>结论</w:t>
      </w:r>
      <w:r>
        <w:rPr>
          <w:color w:val="auto"/>
        </w:rPr>
        <w:tab/>
      </w:r>
      <w:r>
        <w:rPr>
          <w:color w:val="auto"/>
        </w:rPr>
        <w:fldChar w:fldCharType="begin"/>
      </w:r>
      <w:r>
        <w:rPr>
          <w:color w:val="auto"/>
        </w:rPr>
        <w:instrText xml:space="preserve"> PAGEREF _Toc4221 \h </w:instrText>
      </w:r>
      <w:r>
        <w:rPr>
          <w:color w:val="auto"/>
        </w:rPr>
        <w:fldChar w:fldCharType="separate"/>
      </w:r>
      <w:r>
        <w:rPr>
          <w:color w:val="auto"/>
        </w:rPr>
        <w:t>38</w:t>
      </w:r>
      <w:r>
        <w:rPr>
          <w:color w:val="auto"/>
        </w:rPr>
        <w:fldChar w:fldCharType="end"/>
      </w:r>
      <w:r>
        <w:rPr>
          <w:rFonts w:hint="default" w:ascii="Times New Roman" w:hAnsi="Times New Roman" w:cs="Times New Roman"/>
          <w:color w:val="auto"/>
          <w:szCs w:val="24"/>
          <w:highlight w:val="none"/>
        </w:rPr>
        <w:fldChar w:fldCharType="end"/>
      </w:r>
    </w:p>
    <w:p w14:paraId="1D86AAFB">
      <w:pPr>
        <w:pStyle w:val="26"/>
        <w:tabs>
          <w:tab w:val="right" w:leader="dot" w:pos="9071"/>
        </w:tabs>
        <w:rPr>
          <w:color w:val="auto"/>
        </w:rPr>
      </w:pPr>
    </w:p>
    <w:p w14:paraId="33B6D60B">
      <w:pPr>
        <w:pStyle w:val="21"/>
        <w:tabs>
          <w:tab w:val="right" w:leader="dot" w:pos="8306"/>
        </w:tabs>
        <w:spacing w:line="360" w:lineRule="auto"/>
        <w:rPr>
          <w:rFonts w:hint="default" w:ascii="Times New Roman" w:hAnsi="Times New Roman" w:cs="Times New Roman"/>
          <w:color w:val="auto"/>
          <w:sz w:val="24"/>
          <w:szCs w:val="24"/>
          <w:highlight w:val="none"/>
        </w:rPr>
        <w:sectPr>
          <w:footerReference r:id="rId10" w:type="default"/>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r>
        <w:rPr>
          <w:rFonts w:hint="default" w:ascii="Times New Roman" w:hAnsi="Times New Roman" w:cs="Times New Roman"/>
          <w:color w:val="auto"/>
          <w:szCs w:val="24"/>
          <w:highlight w:val="none"/>
        </w:rPr>
        <w:fldChar w:fldCharType="end"/>
      </w:r>
    </w:p>
    <w:p w14:paraId="7BA04566">
      <w:pPr>
        <w:pStyle w:val="53"/>
        <w:rPr>
          <w:rFonts w:hint="default" w:ascii="Times New Roman" w:hAnsi="Times New Roman" w:cs="Times New Roman"/>
          <w:color w:val="auto"/>
          <w:highlight w:val="none"/>
        </w:rPr>
      </w:pPr>
    </w:p>
    <w:p w14:paraId="7511486A">
      <w:pPr>
        <w:pStyle w:val="13"/>
        <w:spacing w:after="0" w:line="360" w:lineRule="auto"/>
        <w:ind w:left="0" w:leftChars="0" w:firstLine="0"/>
        <w:rPr>
          <w:rFonts w:hint="default" w:ascii="Times New Roman" w:hAnsi="Times New Roman" w:cs="Times New Roman"/>
          <w:color w:val="auto"/>
          <w:highlight w:val="none"/>
        </w:rPr>
        <w:sectPr>
          <w:footerReference r:id="rId11" w:type="default"/>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41612A6E">
      <w:pPr>
        <w:pStyle w:val="2"/>
        <w:keepLines/>
        <w:overflowPunct/>
        <w:snapToGrid/>
        <w:spacing w:before="0" w:after="0" w:line="360" w:lineRule="auto"/>
        <w:ind w:left="0" w:firstLine="0"/>
        <w:rPr>
          <w:rFonts w:hint="default" w:ascii="Times New Roman" w:hAnsi="Times New Roman" w:eastAsia="宋体" w:cs="Times New Roman"/>
          <w:bCs w:val="0"/>
          <w:color w:val="auto"/>
          <w:sz w:val="28"/>
          <w:szCs w:val="28"/>
          <w:highlight w:val="none"/>
        </w:rPr>
      </w:pPr>
      <w:bookmarkStart w:id="284" w:name="_Toc4030"/>
      <w:bookmarkStart w:id="285" w:name="_Toc8699"/>
      <w:bookmarkStart w:id="286" w:name="_Toc14261"/>
      <w:r>
        <w:rPr>
          <w:rFonts w:hint="default" w:ascii="Times New Roman" w:hAnsi="Times New Roman" w:eastAsia="宋体" w:cs="Times New Roman"/>
          <w:bCs w:val="0"/>
          <w:color w:val="auto"/>
          <w:sz w:val="28"/>
          <w:szCs w:val="28"/>
          <w:highlight w:val="none"/>
        </w:rPr>
        <w:t>1</w:t>
      </w:r>
      <w:r>
        <w:rPr>
          <w:rFonts w:hint="default" w:ascii="Times New Roman" w:hAnsi="Times New Roman" w:eastAsia="宋体" w:cs="Times New Roman"/>
          <w:bCs w:val="0"/>
          <w:color w:val="auto"/>
          <w:sz w:val="28"/>
          <w:szCs w:val="28"/>
          <w:highlight w:val="none"/>
          <w:lang w:val="en-US" w:eastAsia="zh-CN"/>
        </w:rPr>
        <w:t>.</w:t>
      </w:r>
      <w:r>
        <w:rPr>
          <w:rFonts w:hint="default" w:ascii="Times New Roman" w:hAnsi="Times New Roman" w:eastAsia="宋体" w:cs="Times New Roman"/>
          <w:bCs w:val="0"/>
          <w:color w:val="auto"/>
          <w:sz w:val="28"/>
          <w:szCs w:val="28"/>
          <w:highlight w:val="none"/>
        </w:rPr>
        <w:t>项目概况</w:t>
      </w:r>
      <w:bookmarkEnd w:id="284"/>
      <w:bookmarkEnd w:id="285"/>
      <w:bookmarkEnd w:id="286"/>
    </w:p>
    <w:p w14:paraId="78F9767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宁夏固原华电彭阳200兆瓦风电项目110千伏送出工程</w:t>
      </w:r>
      <w:r>
        <w:rPr>
          <w:rFonts w:hint="default" w:ascii="Times New Roman" w:hAnsi="Times New Roman" w:cs="Times New Roman"/>
          <w:color w:val="auto"/>
          <w:sz w:val="24"/>
          <w:highlight w:val="none"/>
        </w:rPr>
        <w:t>位于</w:t>
      </w:r>
      <w:r>
        <w:rPr>
          <w:rFonts w:hint="default" w:ascii="Times New Roman" w:hAnsi="Times New Roman" w:cs="Times New Roman"/>
          <w:color w:val="auto"/>
          <w:sz w:val="24"/>
          <w:highlight w:val="none"/>
          <w:lang w:eastAsia="zh-CN"/>
        </w:rPr>
        <w:t>宁夏回族自治区固原市原州区、彭阳县，</w:t>
      </w:r>
      <w:bookmarkStart w:id="287" w:name="_Toc21602"/>
      <w:r>
        <w:rPr>
          <w:rFonts w:hint="default" w:ascii="Times New Roman" w:hAnsi="Times New Roman" w:cs="Times New Roman"/>
          <w:color w:val="auto"/>
          <w:sz w:val="24"/>
          <w:highlight w:val="none"/>
          <w:lang w:val="en-US" w:eastAsia="zh-CN"/>
        </w:rPr>
        <w:t>项目</w:t>
      </w:r>
      <w:r>
        <w:rPr>
          <w:rFonts w:hint="default" w:ascii="Times New Roman" w:hAnsi="Times New Roman" w:cs="Times New Roman"/>
          <w:color w:val="auto"/>
          <w:sz w:val="24"/>
          <w:highlight w:val="none"/>
          <w:lang w:eastAsia="zh-CN"/>
        </w:rPr>
        <w:t>主要建设内容</w:t>
      </w:r>
      <w:r>
        <w:rPr>
          <w:rFonts w:hint="default" w:ascii="Times New Roman" w:hAnsi="Times New Roman" w:cs="Times New Roman"/>
          <w:color w:val="auto"/>
          <w:sz w:val="24"/>
          <w:highlight w:val="none"/>
          <w:lang w:val="en-US" w:eastAsia="zh-CN"/>
        </w:rPr>
        <w:t>包含</w:t>
      </w:r>
      <w:r>
        <w:rPr>
          <w:rFonts w:hint="default" w:ascii="Times New Roman" w:hAnsi="Times New Roman" w:cs="Times New Roman"/>
          <w:color w:val="auto"/>
          <w:sz w:val="24"/>
          <w:highlight w:val="none"/>
          <w:lang w:eastAsia="zh-CN"/>
        </w:rPr>
        <w:t>：</w:t>
      </w:r>
    </w:p>
    <w:p w14:paraId="1335264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⑴新建云雾山330千伏变电站本期扩建110千伏出线间隔1个。</w:t>
      </w:r>
    </w:p>
    <w:p w14:paraId="5970D87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⑵新建华电彭阳200兆瓦风电～云雾山330千伏变电站110千伏架空线路1×24.2</w:t>
      </w:r>
      <w:r>
        <w:rPr>
          <w:rFonts w:hint="eastAsia" w:cs="Times New Roman"/>
          <w:color w:val="auto"/>
          <w:sz w:val="24"/>
          <w:highlight w:val="none"/>
          <w:lang w:val="en-US" w:eastAsia="zh-CN"/>
        </w:rPr>
        <w:t>km</w:t>
      </w:r>
      <w:r>
        <w:rPr>
          <w:rFonts w:hint="default" w:ascii="Times New Roman" w:hAnsi="Times New Roman" w:cs="Times New Roman"/>
          <w:color w:val="auto"/>
          <w:sz w:val="24"/>
          <w:highlight w:val="none"/>
          <w:lang w:val="en-US" w:eastAsia="zh-CN"/>
        </w:rPr>
        <w:t>（架空）。其中</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1×24.</w:t>
      </w:r>
      <w:r>
        <w:rPr>
          <w:rFonts w:hint="eastAsia" w:cs="Times New Roman"/>
          <w:color w:val="auto"/>
          <w:sz w:val="24"/>
          <w:highlight w:val="none"/>
          <w:lang w:val="en-US" w:eastAsia="zh-CN"/>
        </w:rPr>
        <w:t>15</w:t>
      </w:r>
      <w:r>
        <w:rPr>
          <w:rFonts w:hint="default" w:ascii="Times New Roman" w:hAnsi="Times New Roman" w:cs="Times New Roman"/>
          <w:color w:val="auto"/>
          <w:sz w:val="24"/>
          <w:highlight w:val="none"/>
          <w:lang w:val="en-US" w:eastAsia="zh-CN"/>
        </w:rPr>
        <w:t>km单回路架空+2×0.050km同塔双回架设单侧挂线，另一侧预留，电压等级为110千伏。</w:t>
      </w:r>
      <w:r>
        <w:rPr>
          <w:rFonts w:hint="default" w:ascii="Times New Roman" w:hAnsi="Times New Roman" w:cs="Times New Roman"/>
          <w:color w:val="auto"/>
          <w:sz w:val="24"/>
          <w:szCs w:val="24"/>
          <w:highlight w:val="none"/>
          <w:lang w:val="en-US" w:eastAsia="zh-CN"/>
        </w:rPr>
        <w:t>除云雾山330千伏变电站出线第一基采用双回路铁塔，其余均采用单回路架设。</w:t>
      </w:r>
    </w:p>
    <w:p w14:paraId="054DCB5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lang w:val="en-US" w:eastAsia="zh-CN"/>
        </w:rPr>
        <w:t>⑶抬高改造工程</w:t>
      </w:r>
      <w:r>
        <w:rPr>
          <w:rFonts w:hint="eastAsia" w:cs="Times New Roman"/>
          <w:color w:val="auto"/>
          <w:sz w:val="24"/>
          <w:szCs w:val="24"/>
          <w:highlight w:val="none"/>
          <w:lang w:val="en-US" w:eastAsia="zh-CN"/>
        </w:rPr>
        <w:t>：对110千伏清李Ⅰ线117#、118#直线塔、110千伏至李线96#、97#直线塔进行抬高改造。其中，110千伏清李I线：新建直线铁塔2基，导线、地线利旧，紧线长度2.04km，拆除直线塔2基。110千伏至李线：新建直线铁塔2基，导线、地线利旧，紧线长度 2.06km，拆除直线塔2基。</w:t>
      </w:r>
    </w:p>
    <w:p w14:paraId="2B2BF9B3">
      <w:pPr>
        <w:keepNext w:val="0"/>
        <w:keepLines w:val="0"/>
        <w:widowControl/>
        <w:suppressLineNumbers w:val="0"/>
        <w:spacing w:line="360" w:lineRule="auto"/>
        <w:ind w:firstLine="480" w:firstLineChars="200"/>
        <w:jc w:val="both"/>
        <w:rPr>
          <w:rFonts w:hint="default" w:ascii="Times New Roman" w:hAnsi="Times New Roman" w:cs="Times New Roman"/>
          <w:color w:val="auto"/>
          <w:sz w:val="24"/>
          <w:highlight w:val="none"/>
          <w:lang w:val="en-US" w:eastAsia="zh-CN"/>
        </w:rPr>
      </w:pPr>
      <w:r>
        <w:rPr>
          <w:rFonts w:hint="eastAsia" w:cs="Times New Roman"/>
          <w:color w:val="auto"/>
          <w:sz w:val="24"/>
          <w:highlight w:val="none"/>
          <w:lang w:val="en-US" w:eastAsia="zh-CN"/>
        </w:rPr>
        <w:t>输电线路路径：</w:t>
      </w:r>
      <w:r>
        <w:rPr>
          <w:rFonts w:hint="default" w:ascii="Times New Roman" w:hAnsi="Times New Roman" w:cs="Times New Roman"/>
          <w:color w:val="auto"/>
          <w:sz w:val="24"/>
          <w:highlight w:val="none"/>
          <w:lang w:val="en-US" w:eastAsia="zh-CN"/>
        </w:rPr>
        <w:t>本工程线路自拟建华电彭阳升压站110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构架间隔出线，线路以单回路向南架设从交岔乡关口村西侧经过，跨越G85银昆高速，继续向南架设钻越110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清李Ⅰ线</w:t>
      </w:r>
      <w:r>
        <w:rPr>
          <w:rFonts w:hint="eastAsia" w:cs="Times New Roman"/>
          <w:color w:val="auto"/>
          <w:sz w:val="24"/>
          <w:highlight w:val="none"/>
          <w:lang w:val="en-US" w:eastAsia="zh-CN"/>
        </w:rPr>
        <w:t>、110千伏至李线</w:t>
      </w:r>
      <w:r>
        <w:rPr>
          <w:rFonts w:hint="default" w:ascii="Times New Roman" w:hAnsi="Times New Roman" w:cs="Times New Roman"/>
          <w:color w:val="auto"/>
          <w:sz w:val="24"/>
          <w:highlight w:val="none"/>
          <w:lang w:val="en-US" w:eastAsia="zh-CN"/>
        </w:rPr>
        <w:t>，继续向南架设至交岔乡交岔村东侧跨越35</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官王线，向南架设钻越±1100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吉泉线，继续向南架设与规划云雾山至王洼变110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线路西侧平行，线路一直平行架设至本次线路终点云雾山变电站110</w:t>
      </w:r>
      <w:r>
        <w:rPr>
          <w:rFonts w:hint="default" w:ascii="Times New Roman" w:hAnsi="Times New Roman" w:eastAsia="宋体" w:cs="Times New Roman"/>
          <w:color w:val="auto"/>
          <w:kern w:val="2"/>
          <w:sz w:val="24"/>
          <w:szCs w:val="24"/>
          <w:highlight w:val="none"/>
          <w:lang w:val="en-US" w:eastAsia="zh-CN"/>
        </w:rPr>
        <w:t>千伏</w:t>
      </w:r>
      <w:r>
        <w:rPr>
          <w:rFonts w:hint="default" w:ascii="Times New Roman" w:hAnsi="Times New Roman" w:cs="Times New Roman"/>
          <w:color w:val="auto"/>
          <w:sz w:val="24"/>
          <w:highlight w:val="none"/>
          <w:lang w:val="en-US" w:eastAsia="zh-CN"/>
        </w:rPr>
        <w:t>间隔架构外侧终止。</w:t>
      </w:r>
    </w:p>
    <w:p w14:paraId="1F1888D3">
      <w:pPr>
        <w:pStyle w:val="2"/>
        <w:keepLines/>
        <w:overflowPunct/>
        <w:snapToGrid/>
        <w:spacing w:before="0" w:after="0" w:line="360" w:lineRule="auto"/>
        <w:ind w:left="0" w:firstLine="0"/>
        <w:rPr>
          <w:rFonts w:hint="default" w:ascii="Times New Roman" w:hAnsi="Times New Roman" w:eastAsia="宋体" w:cs="Times New Roman"/>
          <w:bCs w:val="0"/>
          <w:color w:val="auto"/>
          <w:sz w:val="28"/>
          <w:szCs w:val="28"/>
          <w:highlight w:val="none"/>
        </w:rPr>
      </w:pPr>
      <w:bookmarkStart w:id="288" w:name="_Toc6407"/>
      <w:bookmarkStart w:id="289" w:name="_Toc26575"/>
      <w:r>
        <w:rPr>
          <w:rFonts w:hint="default" w:ascii="Times New Roman" w:hAnsi="Times New Roman" w:eastAsia="宋体" w:cs="Times New Roman"/>
          <w:bCs w:val="0"/>
          <w:color w:val="auto"/>
          <w:sz w:val="28"/>
          <w:szCs w:val="28"/>
          <w:highlight w:val="none"/>
        </w:rPr>
        <w:t>2</w:t>
      </w:r>
      <w:r>
        <w:rPr>
          <w:rFonts w:hint="default" w:ascii="Times New Roman" w:hAnsi="Times New Roman" w:eastAsia="宋体" w:cs="Times New Roman"/>
          <w:bCs w:val="0"/>
          <w:color w:val="auto"/>
          <w:sz w:val="28"/>
          <w:szCs w:val="28"/>
          <w:highlight w:val="none"/>
          <w:lang w:val="en-US" w:eastAsia="zh-CN"/>
        </w:rPr>
        <w:t>.</w:t>
      </w:r>
      <w:r>
        <w:rPr>
          <w:rFonts w:hint="default" w:ascii="Times New Roman" w:hAnsi="Times New Roman" w:eastAsia="宋体" w:cs="Times New Roman"/>
          <w:bCs w:val="0"/>
          <w:color w:val="auto"/>
          <w:sz w:val="28"/>
          <w:szCs w:val="28"/>
          <w:highlight w:val="none"/>
        </w:rPr>
        <w:t>电磁评价因子和评价标准</w:t>
      </w:r>
      <w:bookmarkEnd w:id="287"/>
      <w:bookmarkEnd w:id="288"/>
      <w:bookmarkEnd w:id="289"/>
    </w:p>
    <w:p w14:paraId="09FA11D8">
      <w:pPr>
        <w:pStyle w:val="3"/>
        <w:keepNext/>
        <w:keepLines/>
        <w:spacing w:before="0" w:beforeAutospacing="0" w:after="0" w:afterAutospacing="0" w:line="360" w:lineRule="auto"/>
        <w:jc w:val="both"/>
        <w:rPr>
          <w:rFonts w:hint="default" w:ascii="Times New Roman" w:hAnsi="Times New Roman" w:cs="Times New Roman"/>
          <w:bCs w:val="0"/>
          <w:color w:val="auto"/>
          <w:spacing w:val="0"/>
          <w:kern w:val="2"/>
          <w:sz w:val="24"/>
          <w:szCs w:val="24"/>
          <w:highlight w:val="none"/>
        </w:rPr>
      </w:pPr>
      <w:bookmarkStart w:id="290" w:name="_Toc15713"/>
      <w:bookmarkStart w:id="291" w:name="_Toc910"/>
      <w:r>
        <w:rPr>
          <w:rFonts w:hint="default" w:ascii="Times New Roman" w:hAnsi="Times New Roman" w:cs="Times New Roman"/>
          <w:bCs w:val="0"/>
          <w:color w:val="auto"/>
          <w:spacing w:val="0"/>
          <w:kern w:val="2"/>
          <w:sz w:val="24"/>
          <w:szCs w:val="24"/>
          <w:highlight w:val="none"/>
        </w:rPr>
        <w:t>2.1评价因子</w:t>
      </w:r>
      <w:bookmarkEnd w:id="290"/>
      <w:bookmarkEnd w:id="291"/>
    </w:p>
    <w:p w14:paraId="01290281">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根据《环境影响评价技术导则 输变电》（HJ24-2020），选取工频电场、工频磁场作为评价因子。</w:t>
      </w:r>
    </w:p>
    <w:p w14:paraId="354E78BF">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⑴工频电场</w:t>
      </w:r>
    </w:p>
    <w:p w14:paraId="3110CF52">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工频电场强度，单位kV/m或V/m。</w:t>
      </w:r>
    </w:p>
    <w:p w14:paraId="292BB060">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⑵工频磁场</w:t>
      </w:r>
    </w:p>
    <w:p w14:paraId="22B7FE18">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工频磁感应强度，单位μT。</w:t>
      </w:r>
    </w:p>
    <w:p w14:paraId="34F5CB5F">
      <w:pPr>
        <w:pStyle w:val="3"/>
        <w:keepNext/>
        <w:keepLines/>
        <w:spacing w:before="0" w:beforeAutospacing="0" w:after="0" w:afterAutospacing="0" w:line="360" w:lineRule="auto"/>
        <w:jc w:val="both"/>
        <w:rPr>
          <w:rFonts w:hint="default" w:ascii="Times New Roman" w:hAnsi="Times New Roman" w:cs="Times New Roman"/>
          <w:bCs w:val="0"/>
          <w:color w:val="auto"/>
          <w:spacing w:val="0"/>
          <w:kern w:val="2"/>
          <w:sz w:val="24"/>
          <w:szCs w:val="24"/>
          <w:highlight w:val="none"/>
        </w:rPr>
      </w:pPr>
      <w:bookmarkStart w:id="292" w:name="_Toc14863"/>
      <w:bookmarkStart w:id="293" w:name="_Toc27246"/>
      <w:r>
        <w:rPr>
          <w:rFonts w:hint="default" w:ascii="Times New Roman" w:hAnsi="Times New Roman" w:cs="Times New Roman"/>
          <w:bCs w:val="0"/>
          <w:color w:val="auto"/>
          <w:spacing w:val="0"/>
          <w:kern w:val="2"/>
          <w:sz w:val="24"/>
          <w:szCs w:val="24"/>
          <w:highlight w:val="none"/>
        </w:rPr>
        <w:t>2.2评价标准</w:t>
      </w:r>
      <w:bookmarkEnd w:id="292"/>
      <w:bookmarkEnd w:id="293"/>
    </w:p>
    <w:p w14:paraId="58555330">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w:t>
      </w:r>
      <w:r>
        <w:rPr>
          <w:rFonts w:hint="default" w:ascii="Times New Roman" w:hAnsi="Times New Roman" w:cs="Times New Roman"/>
          <w:bCs/>
          <w:color w:val="auto"/>
          <w:kern w:val="0"/>
          <w:sz w:val="24"/>
          <w:highlight w:val="none"/>
        </w:rPr>
        <w:t>《电磁环境控制限值》（GB8702-2014）</w:t>
      </w:r>
      <w:r>
        <w:rPr>
          <w:rFonts w:hint="default" w:ascii="Times New Roman" w:hAnsi="Times New Roman" w:cs="Times New Roman"/>
          <w:color w:val="auto"/>
          <w:kern w:val="0"/>
          <w:sz w:val="24"/>
          <w:highlight w:val="none"/>
        </w:rPr>
        <w:t>中频率0.025kHz-1.2kHz的公众曝露控制限值的规定，确定电磁环境影响评价标准如下：</w:t>
      </w:r>
    </w:p>
    <w:p w14:paraId="7E4F3334">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bCs/>
          <w:color w:val="auto"/>
          <w:kern w:val="0"/>
          <w:sz w:val="24"/>
          <w:highlight w:val="none"/>
          <w:lang w:eastAsia="zh-CN"/>
        </w:rPr>
        <w:t>⑴</w:t>
      </w:r>
      <w:r>
        <w:rPr>
          <w:rFonts w:hint="default" w:ascii="Times New Roman" w:hAnsi="Times New Roman" w:cs="Times New Roman"/>
          <w:bCs/>
          <w:color w:val="auto"/>
          <w:kern w:val="0"/>
          <w:sz w:val="24"/>
          <w:highlight w:val="none"/>
        </w:rPr>
        <w:t>工频电场：200/f为输变电工程评价标准，即频率f=50Hz时，工频电场强度E=4000</w:t>
      </w:r>
      <w:r>
        <w:rPr>
          <w:rFonts w:hint="default" w:ascii="Times New Roman" w:hAnsi="Times New Roman" w:cs="Times New Roman"/>
          <w:color w:val="auto"/>
          <w:kern w:val="0"/>
          <w:sz w:val="24"/>
          <w:highlight w:val="none"/>
        </w:rPr>
        <w:t>V/m。</w:t>
      </w:r>
    </w:p>
    <w:p w14:paraId="72C70913">
      <w:pPr>
        <w:spacing w:line="360" w:lineRule="auto"/>
        <w:ind w:firstLine="480" w:firstLineChars="200"/>
        <w:rPr>
          <w:rFonts w:hint="default" w:ascii="Times New Roman" w:hAnsi="Times New Roman" w:cs="Times New Roman"/>
          <w:bCs/>
          <w:color w:val="auto"/>
          <w:kern w:val="0"/>
          <w:sz w:val="24"/>
          <w:highlight w:val="none"/>
        </w:rPr>
      </w:pPr>
      <w:r>
        <w:rPr>
          <w:rFonts w:hint="default" w:ascii="Times New Roman" w:hAnsi="Times New Roman" w:cs="Times New Roman"/>
          <w:bCs/>
          <w:color w:val="auto"/>
          <w:kern w:val="0"/>
          <w:sz w:val="24"/>
          <w:highlight w:val="none"/>
          <w:lang w:eastAsia="zh-CN"/>
        </w:rPr>
        <w:t>⑵</w:t>
      </w:r>
      <w:r>
        <w:rPr>
          <w:rFonts w:hint="default" w:ascii="Times New Roman" w:hAnsi="Times New Roman" w:cs="Times New Roman"/>
          <w:bCs/>
          <w:color w:val="auto"/>
          <w:kern w:val="0"/>
          <w:sz w:val="24"/>
          <w:highlight w:val="none"/>
        </w:rPr>
        <w:t>工频磁场：5/f为输变电工程评价标准，即频率f=50</w:t>
      </w:r>
      <w:r>
        <w:rPr>
          <w:rFonts w:hint="default" w:ascii="Times New Roman" w:hAnsi="Times New Roman" w:cs="Times New Roman"/>
          <w:bCs/>
          <w:color w:val="auto"/>
          <w:kern w:val="0"/>
          <w:sz w:val="24"/>
          <w:highlight w:val="none"/>
          <w:lang w:eastAsia="zh-CN"/>
        </w:rPr>
        <w:t>Hz</w:t>
      </w:r>
      <w:r>
        <w:rPr>
          <w:rFonts w:hint="default" w:ascii="Times New Roman" w:hAnsi="Times New Roman" w:cs="Times New Roman"/>
          <w:bCs/>
          <w:color w:val="auto"/>
          <w:kern w:val="0"/>
          <w:sz w:val="24"/>
          <w:highlight w:val="none"/>
        </w:rPr>
        <w:t>时，工频磁感应强度B=100μT。</w:t>
      </w:r>
    </w:p>
    <w:p w14:paraId="52697782">
      <w:pPr>
        <w:spacing w:line="360" w:lineRule="auto"/>
        <w:ind w:firstLine="480" w:firstLineChars="200"/>
        <w:rPr>
          <w:rFonts w:hint="default" w:ascii="Times New Roman" w:hAnsi="Times New Roman" w:cs="Times New Roman"/>
          <w:bCs/>
          <w:color w:val="auto"/>
          <w:kern w:val="0"/>
          <w:sz w:val="24"/>
          <w:highlight w:val="none"/>
        </w:rPr>
      </w:pPr>
      <w:r>
        <w:rPr>
          <w:rFonts w:hint="default" w:ascii="Times New Roman" w:hAnsi="Times New Roman" w:cs="Times New Roman"/>
          <w:bCs/>
          <w:color w:val="auto"/>
          <w:kern w:val="0"/>
          <w:sz w:val="24"/>
          <w:highlight w:val="none"/>
          <w:lang w:eastAsia="zh-CN"/>
        </w:rPr>
        <w:t>⑶</w:t>
      </w:r>
      <w:r>
        <w:rPr>
          <w:rFonts w:hint="default" w:ascii="Times New Roman" w:hAnsi="Times New Roman" w:cs="Times New Roman"/>
          <w:bCs/>
          <w:color w:val="auto"/>
          <w:kern w:val="0"/>
          <w:sz w:val="24"/>
          <w:highlight w:val="none"/>
        </w:rPr>
        <w:t>架空输电线路下的耕地、园地、牧草地、畜禽饲养地、养殖水面、道路等场所，其频率50Hz的工频电场强度控制限值为10kV/m，且应给出警示和防护指示标识。</w:t>
      </w:r>
    </w:p>
    <w:p w14:paraId="3E202254">
      <w:pPr>
        <w:pStyle w:val="2"/>
        <w:keepLines/>
        <w:overflowPunct/>
        <w:snapToGrid/>
        <w:spacing w:before="0" w:after="0" w:line="360" w:lineRule="auto"/>
        <w:ind w:left="0" w:firstLine="0"/>
        <w:rPr>
          <w:rFonts w:hint="default" w:ascii="Times New Roman" w:hAnsi="Times New Roman" w:eastAsia="宋体" w:cs="Times New Roman"/>
          <w:bCs w:val="0"/>
          <w:color w:val="auto"/>
          <w:sz w:val="28"/>
          <w:szCs w:val="28"/>
          <w:highlight w:val="none"/>
        </w:rPr>
      </w:pPr>
      <w:bookmarkStart w:id="294" w:name="_Toc21926"/>
      <w:bookmarkStart w:id="295" w:name="_Toc5655"/>
      <w:bookmarkStart w:id="296" w:name="_Toc32446"/>
      <w:r>
        <w:rPr>
          <w:rFonts w:hint="default" w:ascii="Times New Roman" w:hAnsi="Times New Roman" w:eastAsia="宋体" w:cs="Times New Roman"/>
          <w:bCs w:val="0"/>
          <w:color w:val="auto"/>
          <w:sz w:val="28"/>
          <w:szCs w:val="28"/>
          <w:highlight w:val="none"/>
        </w:rPr>
        <w:t>3</w:t>
      </w:r>
      <w:r>
        <w:rPr>
          <w:rFonts w:hint="default" w:ascii="Times New Roman" w:hAnsi="Times New Roman" w:eastAsia="宋体" w:cs="Times New Roman"/>
          <w:bCs w:val="0"/>
          <w:color w:val="auto"/>
          <w:sz w:val="28"/>
          <w:szCs w:val="28"/>
          <w:highlight w:val="none"/>
          <w:lang w:val="en-US" w:eastAsia="zh-CN"/>
        </w:rPr>
        <w:t>.</w:t>
      </w:r>
      <w:r>
        <w:rPr>
          <w:rFonts w:hint="default" w:ascii="Times New Roman" w:hAnsi="Times New Roman" w:eastAsia="宋体" w:cs="Times New Roman"/>
          <w:bCs w:val="0"/>
          <w:color w:val="auto"/>
          <w:sz w:val="28"/>
          <w:szCs w:val="28"/>
          <w:highlight w:val="none"/>
        </w:rPr>
        <w:t>电磁评价工作等级和评价范围</w:t>
      </w:r>
      <w:bookmarkEnd w:id="294"/>
      <w:bookmarkEnd w:id="295"/>
      <w:bookmarkEnd w:id="296"/>
    </w:p>
    <w:p w14:paraId="3E74BBA3">
      <w:pPr>
        <w:pStyle w:val="3"/>
        <w:keepNext/>
        <w:keepLines/>
        <w:spacing w:before="0" w:beforeAutospacing="0" w:after="0" w:afterAutospacing="0" w:line="360" w:lineRule="auto"/>
        <w:jc w:val="both"/>
        <w:rPr>
          <w:rFonts w:hint="default" w:ascii="Times New Roman" w:hAnsi="Times New Roman" w:cs="Times New Roman"/>
          <w:bCs w:val="0"/>
          <w:color w:val="auto"/>
          <w:spacing w:val="0"/>
          <w:kern w:val="2"/>
          <w:sz w:val="24"/>
          <w:szCs w:val="24"/>
          <w:highlight w:val="none"/>
        </w:rPr>
      </w:pPr>
      <w:bookmarkStart w:id="297" w:name="_Toc22713"/>
      <w:bookmarkStart w:id="298" w:name="_Toc2537"/>
      <w:r>
        <w:rPr>
          <w:rFonts w:hint="default" w:ascii="Times New Roman" w:hAnsi="Times New Roman" w:cs="Times New Roman"/>
          <w:bCs w:val="0"/>
          <w:color w:val="auto"/>
          <w:spacing w:val="0"/>
          <w:kern w:val="2"/>
          <w:sz w:val="24"/>
          <w:szCs w:val="24"/>
          <w:highlight w:val="none"/>
        </w:rPr>
        <w:t>3.1评价工作等级</w:t>
      </w:r>
      <w:bookmarkEnd w:id="297"/>
      <w:bookmarkEnd w:id="298"/>
    </w:p>
    <w:p w14:paraId="39EEC371">
      <w:pPr>
        <w:pStyle w:val="10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3"/>
          <w:lang w:eastAsia="zh-CN"/>
        </w:rPr>
      </w:pPr>
      <w:r>
        <w:rPr>
          <w:rFonts w:hint="default" w:ascii="Times New Roman" w:hAnsi="Times New Roman" w:cs="Times New Roman"/>
          <w:color w:val="auto"/>
          <w:sz w:val="24"/>
          <w:highlight w:val="none"/>
        </w:rPr>
        <w:t>根据《环境影响评价技术导则 输变电》（HJ24-2020），本项目输电线路电压等级为</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val="en-US" w:eastAsia="zh-CN"/>
        </w:rPr>
        <w:t>千伏</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架空输电线路</w:t>
      </w:r>
      <w:r>
        <w:rPr>
          <w:rFonts w:hint="default" w:ascii="Times New Roman" w:hAnsi="Times New Roman" w:cs="Times New Roman"/>
          <w:color w:val="auto"/>
          <w:sz w:val="24"/>
          <w:highlight w:val="none"/>
        </w:rPr>
        <w:t>边导线地面投影外两侧各1</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m范围内</w:t>
      </w:r>
      <w:r>
        <w:rPr>
          <w:rFonts w:hint="default" w:ascii="Times New Roman" w:hAnsi="Times New Roman" w:cs="Times New Roman"/>
          <w:color w:val="auto"/>
          <w:sz w:val="24"/>
          <w:highlight w:val="none"/>
          <w:lang w:val="en-US" w:eastAsia="zh-CN"/>
        </w:rPr>
        <w:t>无</w:t>
      </w:r>
      <w:r>
        <w:rPr>
          <w:rFonts w:hint="default" w:ascii="Times New Roman" w:hAnsi="Times New Roman" w:cs="Times New Roman"/>
          <w:color w:val="auto"/>
          <w:sz w:val="24"/>
          <w:highlight w:val="none"/>
        </w:rPr>
        <w:t>电磁环境敏感目标</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因此可</w:t>
      </w:r>
      <w:r>
        <w:rPr>
          <w:rFonts w:hint="default" w:ascii="Times New Roman" w:hAnsi="Times New Roman" w:cs="Times New Roman"/>
          <w:color w:val="auto"/>
          <w:sz w:val="24"/>
          <w:highlight w:val="none"/>
        </w:rPr>
        <w:t>确定</w:t>
      </w:r>
      <w:r>
        <w:rPr>
          <w:rFonts w:hint="default" w:ascii="Times New Roman" w:hAnsi="Times New Roman" w:cs="Times New Roman"/>
          <w:color w:val="auto"/>
          <w:sz w:val="24"/>
          <w:highlight w:val="none"/>
          <w:lang w:val="en-US" w:eastAsia="zh-CN"/>
        </w:rPr>
        <w:t>架空输电线路</w:t>
      </w:r>
      <w:r>
        <w:rPr>
          <w:rFonts w:hint="default" w:ascii="Times New Roman" w:hAnsi="Times New Roman" w:cs="Times New Roman"/>
          <w:color w:val="auto"/>
          <w:sz w:val="24"/>
          <w:highlight w:val="none"/>
        </w:rPr>
        <w:t>环境影响评价等级为</w:t>
      </w:r>
      <w:r>
        <w:rPr>
          <w:rFonts w:hint="default" w:ascii="Times New Roman" w:hAnsi="Times New Roman" w:cs="Times New Roman"/>
          <w:color w:val="auto"/>
          <w:sz w:val="24"/>
          <w:highlight w:val="none"/>
          <w:lang w:val="en-US" w:eastAsia="zh-CN"/>
        </w:rPr>
        <w:t>三</w:t>
      </w:r>
      <w:r>
        <w:rPr>
          <w:rFonts w:hint="default" w:ascii="Times New Roman" w:hAnsi="Times New Roman" w:cs="Times New Roman"/>
          <w:color w:val="auto"/>
          <w:sz w:val="24"/>
          <w:highlight w:val="none"/>
        </w:rPr>
        <w:t>级</w:t>
      </w:r>
      <w:r>
        <w:rPr>
          <w:rFonts w:hint="default" w:ascii="Times New Roman" w:hAnsi="Times New Roman" w:cs="Times New Roman"/>
          <w:color w:val="auto"/>
          <w:spacing w:val="-3"/>
          <w:lang w:eastAsia="zh-CN"/>
        </w:rPr>
        <w:t>。</w:t>
      </w:r>
      <w:r>
        <w:rPr>
          <w:rFonts w:hint="default" w:ascii="Times New Roman" w:hAnsi="Times New Roman" w:cs="Times New Roman"/>
          <w:color w:val="auto"/>
          <w:spacing w:val="-3"/>
          <w:lang w:val="en-US" w:eastAsia="zh-CN"/>
        </w:rPr>
        <w:t>云雾山330千伏变电站电压等级为330千伏，采用户外布置，但本期扩建工程仅为110千伏间隔扩建工程，未涉及330千伏高电压等级设施设备扩建工程。</w:t>
      </w:r>
      <w:r>
        <w:rPr>
          <w:rFonts w:hint="default" w:ascii="Times New Roman" w:hAnsi="Times New Roman" w:cs="Times New Roman"/>
          <w:color w:val="auto"/>
          <w:spacing w:val="-3"/>
          <w:lang w:eastAsia="zh-CN"/>
        </w:rPr>
        <w:t>因此，</w:t>
      </w:r>
      <w:r>
        <w:rPr>
          <w:rFonts w:hint="default" w:ascii="Times New Roman" w:hAnsi="Times New Roman" w:cs="Times New Roman"/>
          <w:color w:val="auto"/>
          <w:sz w:val="24"/>
          <w:highlight w:val="none"/>
          <w:lang w:val="en-US" w:eastAsia="zh-CN"/>
        </w:rPr>
        <w:t>可</w:t>
      </w:r>
      <w:r>
        <w:rPr>
          <w:rFonts w:hint="default" w:ascii="Times New Roman" w:hAnsi="Times New Roman" w:cs="Times New Roman"/>
          <w:color w:val="auto"/>
          <w:spacing w:val="-3"/>
          <w:lang w:eastAsia="zh-CN"/>
        </w:rPr>
        <w:t>确定</w:t>
      </w:r>
      <w:r>
        <w:rPr>
          <w:rFonts w:hint="default" w:ascii="Times New Roman" w:hAnsi="Times New Roman" w:cs="Times New Roman"/>
          <w:color w:val="auto"/>
          <w:spacing w:val="-3"/>
          <w:lang w:val="en-US" w:eastAsia="zh-CN"/>
        </w:rPr>
        <w:t>本项目间隔扩建工程电磁</w:t>
      </w:r>
      <w:r>
        <w:rPr>
          <w:rFonts w:hint="default" w:ascii="Times New Roman" w:hAnsi="Times New Roman" w:cs="Times New Roman"/>
          <w:color w:val="auto"/>
          <w:sz w:val="24"/>
          <w:highlight w:val="none"/>
        </w:rPr>
        <w:t>环境影响评价等级为</w:t>
      </w:r>
      <w:r>
        <w:rPr>
          <w:rFonts w:hint="default" w:ascii="Times New Roman" w:hAnsi="Times New Roman" w:cs="Times New Roman"/>
          <w:color w:val="auto"/>
          <w:sz w:val="24"/>
          <w:highlight w:val="none"/>
          <w:lang w:val="en-US" w:eastAsia="zh-CN"/>
        </w:rPr>
        <w:t>二</w:t>
      </w:r>
      <w:r>
        <w:rPr>
          <w:rFonts w:hint="default" w:ascii="Times New Roman" w:hAnsi="Times New Roman" w:cs="Times New Roman"/>
          <w:color w:val="auto"/>
          <w:sz w:val="24"/>
          <w:highlight w:val="none"/>
        </w:rPr>
        <w:t>级</w:t>
      </w:r>
      <w:r>
        <w:rPr>
          <w:rFonts w:hint="default" w:ascii="Times New Roman" w:hAnsi="Times New Roman" w:cs="Times New Roman"/>
          <w:color w:val="auto"/>
          <w:sz w:val="24"/>
          <w:highlight w:val="none"/>
          <w:lang w:eastAsia="zh-CN"/>
        </w:rPr>
        <w:t>。</w:t>
      </w:r>
    </w:p>
    <w:p w14:paraId="48B3A49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根据《环境影响评价技术导则 输变电》（HJ24-2020）</w:t>
      </w:r>
      <w:r>
        <w:rPr>
          <w:rFonts w:hint="default" w:ascii="Times New Roman" w:hAnsi="Times New Roman" w:cs="Times New Roman"/>
          <w:color w:val="auto"/>
          <w:sz w:val="24"/>
          <w:highlight w:val="none"/>
          <w:lang w:val="en-US" w:eastAsia="zh-CN"/>
        </w:rPr>
        <w:t>4.6.1</w:t>
      </w:r>
      <w:r>
        <w:rPr>
          <w:rFonts w:hint="default" w:ascii="Times New Roman" w:hAnsi="Times New Roman" w:cs="Times New Roman"/>
          <w:color w:val="auto"/>
          <w:sz w:val="24"/>
          <w:highlight w:val="none"/>
        </w:rPr>
        <w:t>，如建设项目包含多个电压等级，或交、直流，或站、线的子项目时，按最高电压等级确定评价工作等级。</w:t>
      </w:r>
      <w:r>
        <w:rPr>
          <w:rFonts w:hint="default" w:ascii="Times New Roman" w:hAnsi="Times New Roman" w:cs="Times New Roman"/>
          <w:color w:val="auto"/>
          <w:sz w:val="24"/>
          <w:highlight w:val="none"/>
          <w:lang w:val="en-US" w:eastAsia="zh-CN"/>
        </w:rPr>
        <w:t>综上，本项目电磁环境影响评价工作等级为二级</w:t>
      </w:r>
      <w:r>
        <w:rPr>
          <w:rFonts w:hint="default" w:ascii="Times New Roman" w:hAnsi="Times New Roman" w:cs="Times New Roman"/>
          <w:color w:val="auto"/>
          <w:sz w:val="24"/>
          <w:highlight w:val="none"/>
        </w:rPr>
        <w:t>。</w:t>
      </w:r>
    </w:p>
    <w:p w14:paraId="223FFBCE">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本项目</w:t>
      </w:r>
      <w:r>
        <w:rPr>
          <w:rFonts w:hint="default" w:ascii="Times New Roman" w:hAnsi="Times New Roman" w:cs="Times New Roman"/>
          <w:color w:val="auto"/>
          <w:sz w:val="24"/>
          <w:highlight w:val="none"/>
        </w:rPr>
        <w:t>电磁环境影响评价工作等级判定依据见专题表3-1。</w:t>
      </w:r>
    </w:p>
    <w:p w14:paraId="7ADF65C3">
      <w:pPr>
        <w:spacing w:line="240" w:lineRule="auto"/>
        <w:jc w:val="center"/>
        <w:rPr>
          <w:rFonts w:hint="default" w:ascii="Times New Roman" w:hAnsi="Times New Roman" w:eastAsia="黑体" w:cs="Times New Roman"/>
          <w:b/>
          <w:color w:val="auto"/>
          <w:sz w:val="24"/>
          <w:highlight w:val="none"/>
        </w:rPr>
      </w:pPr>
      <w:r>
        <w:rPr>
          <w:rFonts w:hint="default" w:ascii="Times New Roman" w:hAnsi="Times New Roman" w:eastAsia="黑体" w:cs="Times New Roman"/>
          <w:b/>
          <w:color w:val="auto"/>
          <w:sz w:val="24"/>
          <w:highlight w:val="none"/>
        </w:rPr>
        <w:t>专题表3-1    输电线路工程电磁环境影响评价工作等级判据</w:t>
      </w:r>
    </w:p>
    <w:tbl>
      <w:tblPr>
        <w:tblStyle w:val="31"/>
        <w:tblW w:w="901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28"/>
        <w:gridCol w:w="672"/>
        <w:gridCol w:w="1064"/>
        <w:gridCol w:w="2237"/>
        <w:gridCol w:w="530"/>
        <w:gridCol w:w="2346"/>
        <w:gridCol w:w="718"/>
        <w:gridCol w:w="819"/>
      </w:tblGrid>
      <w:tr w14:paraId="58F8B9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3" w:type="dxa"/>
            <w:tcBorders>
              <w:tl2br w:val="nil"/>
              <w:tr2bl w:val="nil"/>
            </w:tcBorders>
            <w:noWrap w:val="0"/>
            <w:vAlign w:val="center"/>
          </w:tcPr>
          <w:p w14:paraId="00DBF11D">
            <w:pPr>
              <w:pStyle w:val="78"/>
              <w:adjustRightInd/>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分类</w:t>
            </w:r>
          </w:p>
        </w:tc>
        <w:tc>
          <w:tcPr>
            <w:tcW w:w="634" w:type="dxa"/>
            <w:tcBorders>
              <w:tl2br w:val="nil"/>
              <w:tr2bl w:val="nil"/>
            </w:tcBorders>
            <w:noWrap w:val="0"/>
            <w:vAlign w:val="center"/>
          </w:tcPr>
          <w:p w14:paraId="65268CFE">
            <w:pPr>
              <w:pStyle w:val="78"/>
              <w:adjustRightInd/>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电压等级</w:t>
            </w:r>
          </w:p>
        </w:tc>
        <w:tc>
          <w:tcPr>
            <w:tcW w:w="1004" w:type="dxa"/>
            <w:tcBorders>
              <w:tl2br w:val="nil"/>
              <w:tr2bl w:val="nil"/>
            </w:tcBorders>
            <w:noWrap w:val="0"/>
            <w:vAlign w:val="center"/>
          </w:tcPr>
          <w:p w14:paraId="119EEA03">
            <w:pPr>
              <w:pStyle w:val="78"/>
              <w:adjustRightInd/>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工程</w:t>
            </w:r>
          </w:p>
        </w:tc>
        <w:tc>
          <w:tcPr>
            <w:tcW w:w="2610" w:type="dxa"/>
            <w:gridSpan w:val="2"/>
            <w:tcBorders>
              <w:tl2br w:val="nil"/>
              <w:tr2bl w:val="nil"/>
            </w:tcBorders>
            <w:noWrap w:val="0"/>
            <w:vAlign w:val="center"/>
          </w:tcPr>
          <w:p w14:paraId="7C1F3BF3">
            <w:pPr>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判定依据</w:t>
            </w:r>
          </w:p>
        </w:tc>
        <w:tc>
          <w:tcPr>
            <w:tcW w:w="2890" w:type="dxa"/>
            <w:gridSpan w:val="2"/>
            <w:tcBorders>
              <w:tl2br w:val="nil"/>
              <w:tr2bl w:val="nil"/>
            </w:tcBorders>
            <w:noWrap w:val="0"/>
            <w:vAlign w:val="center"/>
          </w:tcPr>
          <w:p w14:paraId="3512D6A4">
            <w:pPr>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本项目</w:t>
            </w:r>
          </w:p>
        </w:tc>
        <w:tc>
          <w:tcPr>
            <w:tcW w:w="773" w:type="dxa"/>
            <w:tcBorders>
              <w:tl2br w:val="nil"/>
              <w:tr2bl w:val="nil"/>
            </w:tcBorders>
            <w:noWrap w:val="0"/>
            <w:vAlign w:val="center"/>
          </w:tcPr>
          <w:p w14:paraId="6A3B3C44">
            <w:pPr>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评价工作等级</w:t>
            </w:r>
          </w:p>
        </w:tc>
      </w:tr>
      <w:tr w14:paraId="75792A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579" w:hRule="atLeast"/>
          <w:jc w:val="center"/>
        </w:trPr>
        <w:tc>
          <w:tcPr>
            <w:tcW w:w="593" w:type="dxa"/>
            <w:vMerge w:val="restart"/>
            <w:tcBorders>
              <w:tl2br w:val="nil"/>
              <w:tr2bl w:val="nil"/>
            </w:tcBorders>
            <w:noWrap w:val="0"/>
            <w:vAlign w:val="center"/>
          </w:tcPr>
          <w:p w14:paraId="60DD439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交流</w:t>
            </w:r>
          </w:p>
        </w:tc>
        <w:tc>
          <w:tcPr>
            <w:tcW w:w="634" w:type="dxa"/>
            <w:tcBorders>
              <w:tl2br w:val="nil"/>
              <w:tr2bl w:val="nil"/>
            </w:tcBorders>
            <w:noWrap w:val="0"/>
            <w:vAlign w:val="center"/>
          </w:tcPr>
          <w:p w14:paraId="4F7B15D8">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11</w:t>
            </w:r>
            <w:r>
              <w:rPr>
                <w:rFonts w:hint="default" w:ascii="Times New Roman" w:hAnsi="Times New Roman" w:cs="Times New Roman"/>
                <w:color w:val="auto"/>
                <w:szCs w:val="21"/>
                <w:highlight w:val="none"/>
              </w:rPr>
              <w:t>0kV</w:t>
            </w:r>
          </w:p>
        </w:tc>
        <w:tc>
          <w:tcPr>
            <w:tcW w:w="1004" w:type="dxa"/>
            <w:tcBorders>
              <w:tl2br w:val="nil"/>
              <w:tr2bl w:val="nil"/>
            </w:tcBorders>
            <w:noWrap w:val="0"/>
            <w:vAlign w:val="center"/>
          </w:tcPr>
          <w:p w14:paraId="313CE7A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变电站</w:t>
            </w:r>
          </w:p>
        </w:tc>
        <w:tc>
          <w:tcPr>
            <w:tcW w:w="2110" w:type="dxa"/>
            <w:tcBorders>
              <w:tl2br w:val="nil"/>
              <w:tr2bl w:val="nil"/>
            </w:tcBorders>
            <w:noWrap w:val="0"/>
            <w:vAlign w:val="center"/>
          </w:tcPr>
          <w:p w14:paraId="03E5E099">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val="en-US" w:eastAsia="zh-CN"/>
              </w:rPr>
              <w:t>户外式</w:t>
            </w:r>
          </w:p>
        </w:tc>
        <w:tc>
          <w:tcPr>
            <w:tcW w:w="500" w:type="dxa"/>
            <w:tcBorders>
              <w:tl2br w:val="nil"/>
              <w:tr2bl w:val="nil"/>
            </w:tcBorders>
            <w:noWrap w:val="0"/>
            <w:vAlign w:val="center"/>
          </w:tcPr>
          <w:p w14:paraId="5172BC91">
            <w:pPr>
              <w:jc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kern w:val="0"/>
                <w:szCs w:val="21"/>
                <w:highlight w:val="none"/>
              </w:rPr>
              <w:t>二</w:t>
            </w:r>
            <w:r>
              <w:rPr>
                <w:rFonts w:hint="default" w:ascii="Times New Roman" w:hAnsi="Times New Roman" w:cs="Times New Roman"/>
                <w:color w:val="auto"/>
                <w:kern w:val="0"/>
                <w:szCs w:val="21"/>
                <w:highlight w:val="none"/>
              </w:rPr>
              <w:t>级</w:t>
            </w:r>
          </w:p>
        </w:tc>
        <w:tc>
          <w:tcPr>
            <w:tcW w:w="2213" w:type="dxa"/>
            <w:tcBorders>
              <w:right w:val="single" w:color="auto" w:sz="4" w:space="0"/>
              <w:tl2br w:val="nil"/>
              <w:tr2bl w:val="nil"/>
            </w:tcBorders>
            <w:noWrap w:val="0"/>
            <w:vAlign w:val="center"/>
          </w:tcPr>
          <w:p w14:paraId="3217A304">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户外式</w:t>
            </w:r>
          </w:p>
        </w:tc>
        <w:tc>
          <w:tcPr>
            <w:tcW w:w="677" w:type="dxa"/>
            <w:tcBorders>
              <w:left w:val="single" w:color="auto" w:sz="4" w:space="0"/>
              <w:tl2br w:val="nil"/>
              <w:tr2bl w:val="nil"/>
            </w:tcBorders>
            <w:noWrap w:val="0"/>
            <w:vAlign w:val="center"/>
          </w:tcPr>
          <w:p w14:paraId="32CD6649">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二</w:t>
            </w:r>
            <w:r>
              <w:rPr>
                <w:rFonts w:hint="default" w:ascii="Times New Roman" w:hAnsi="Times New Roman" w:cs="Times New Roman"/>
                <w:color w:val="auto"/>
                <w:kern w:val="0"/>
                <w:szCs w:val="21"/>
                <w:highlight w:val="none"/>
              </w:rPr>
              <w:t>级</w:t>
            </w:r>
          </w:p>
        </w:tc>
        <w:tc>
          <w:tcPr>
            <w:tcW w:w="773" w:type="dxa"/>
            <w:vMerge w:val="restart"/>
            <w:tcBorders>
              <w:tl2br w:val="nil"/>
              <w:tr2bl w:val="nil"/>
            </w:tcBorders>
            <w:noWrap w:val="0"/>
            <w:vAlign w:val="center"/>
          </w:tcPr>
          <w:p w14:paraId="6F47242B">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二</w:t>
            </w:r>
            <w:r>
              <w:rPr>
                <w:rFonts w:hint="default" w:ascii="Times New Roman" w:hAnsi="Times New Roman" w:cs="Times New Roman"/>
                <w:color w:val="auto"/>
                <w:kern w:val="0"/>
                <w:szCs w:val="21"/>
                <w:highlight w:val="none"/>
              </w:rPr>
              <w:t>级</w:t>
            </w:r>
          </w:p>
        </w:tc>
      </w:tr>
      <w:tr w14:paraId="3E6D43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9" w:hRule="atLeast"/>
          <w:jc w:val="center"/>
        </w:trPr>
        <w:tc>
          <w:tcPr>
            <w:tcW w:w="593" w:type="dxa"/>
            <w:vMerge w:val="continue"/>
            <w:tcBorders>
              <w:tl2br w:val="nil"/>
              <w:tr2bl w:val="nil"/>
            </w:tcBorders>
            <w:noWrap w:val="0"/>
            <w:vAlign w:val="center"/>
          </w:tcPr>
          <w:p w14:paraId="7C7C670C">
            <w:pPr>
              <w:jc w:val="center"/>
              <w:rPr>
                <w:rFonts w:hint="default" w:ascii="Times New Roman" w:hAnsi="Times New Roman" w:cs="Times New Roman"/>
                <w:color w:val="auto"/>
                <w:szCs w:val="21"/>
                <w:highlight w:val="none"/>
              </w:rPr>
            </w:pPr>
          </w:p>
        </w:tc>
        <w:tc>
          <w:tcPr>
            <w:tcW w:w="634" w:type="dxa"/>
            <w:vMerge w:val="restart"/>
            <w:tcBorders>
              <w:tl2br w:val="nil"/>
              <w:tr2bl w:val="nil"/>
            </w:tcBorders>
            <w:noWrap w:val="0"/>
            <w:vAlign w:val="center"/>
          </w:tcPr>
          <w:p w14:paraId="6552E09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11</w:t>
            </w:r>
            <w:r>
              <w:rPr>
                <w:rFonts w:hint="default" w:ascii="Times New Roman" w:hAnsi="Times New Roman" w:cs="Times New Roman"/>
                <w:color w:val="auto"/>
                <w:szCs w:val="21"/>
                <w:highlight w:val="none"/>
              </w:rPr>
              <w:t>0kV</w:t>
            </w:r>
          </w:p>
        </w:tc>
        <w:tc>
          <w:tcPr>
            <w:tcW w:w="1004" w:type="dxa"/>
            <w:vMerge w:val="restart"/>
            <w:tcBorders>
              <w:tl2br w:val="nil"/>
              <w:tr2bl w:val="nil"/>
            </w:tcBorders>
            <w:noWrap w:val="0"/>
            <w:vAlign w:val="center"/>
          </w:tcPr>
          <w:p w14:paraId="1533850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输电线路</w:t>
            </w:r>
          </w:p>
        </w:tc>
        <w:tc>
          <w:tcPr>
            <w:tcW w:w="2110" w:type="dxa"/>
            <w:vMerge w:val="restart"/>
            <w:tcBorders>
              <w:tl2br w:val="nil"/>
              <w:tr2bl w:val="nil"/>
            </w:tcBorders>
            <w:noWrap w:val="0"/>
            <w:vAlign w:val="center"/>
          </w:tcPr>
          <w:p w14:paraId="368B727F">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地下电缆</w:t>
            </w:r>
          </w:p>
          <w:p w14:paraId="57AC624A">
            <w:pPr>
              <w:jc w:val="left"/>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2</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边导线地面投影外两侧各1</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m范围内无电磁环境敏感目标的架空线</w:t>
            </w:r>
          </w:p>
        </w:tc>
        <w:tc>
          <w:tcPr>
            <w:tcW w:w="500" w:type="dxa"/>
            <w:vMerge w:val="restart"/>
            <w:tcBorders>
              <w:tl2br w:val="nil"/>
              <w:tr2bl w:val="nil"/>
            </w:tcBorders>
            <w:noWrap w:val="0"/>
            <w:vAlign w:val="center"/>
          </w:tcPr>
          <w:p w14:paraId="545C63C0">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三级</w:t>
            </w:r>
          </w:p>
        </w:tc>
        <w:tc>
          <w:tcPr>
            <w:tcW w:w="2213" w:type="dxa"/>
            <w:tcBorders>
              <w:right w:val="single" w:color="auto" w:sz="4" w:space="0"/>
              <w:tl2br w:val="nil"/>
              <w:tr2bl w:val="nil"/>
            </w:tcBorders>
            <w:noWrap w:val="0"/>
            <w:vAlign w:val="center"/>
          </w:tcPr>
          <w:p w14:paraId="45AA5ECA">
            <w:pPr>
              <w:jc w:val="center"/>
              <w:rPr>
                <w:rFonts w:hint="default" w:ascii="Times New Roman" w:hAnsi="Times New Roman" w:eastAsia="宋体" w:cs="Times New Roman"/>
                <w:bCs/>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w:t>
            </w:r>
          </w:p>
        </w:tc>
        <w:tc>
          <w:tcPr>
            <w:tcW w:w="677" w:type="dxa"/>
            <w:tcBorders>
              <w:left w:val="single" w:color="auto" w:sz="4" w:space="0"/>
              <w:tl2br w:val="nil"/>
              <w:tr2bl w:val="nil"/>
            </w:tcBorders>
            <w:noWrap w:val="0"/>
            <w:vAlign w:val="center"/>
          </w:tcPr>
          <w:p w14:paraId="177FAACB">
            <w:pPr>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w:t>
            </w:r>
          </w:p>
        </w:tc>
        <w:tc>
          <w:tcPr>
            <w:tcW w:w="773" w:type="dxa"/>
            <w:vMerge w:val="continue"/>
            <w:tcBorders>
              <w:tl2br w:val="nil"/>
              <w:tr2bl w:val="nil"/>
            </w:tcBorders>
            <w:noWrap w:val="0"/>
            <w:vAlign w:val="center"/>
          </w:tcPr>
          <w:p w14:paraId="5B9F81E8">
            <w:pPr>
              <w:jc w:val="center"/>
              <w:rPr>
                <w:rFonts w:hint="default" w:ascii="Times New Roman" w:hAnsi="Times New Roman" w:cs="Times New Roman"/>
                <w:color w:val="auto"/>
                <w:kern w:val="0"/>
                <w:szCs w:val="21"/>
                <w:highlight w:val="none"/>
              </w:rPr>
            </w:pPr>
          </w:p>
        </w:tc>
      </w:tr>
      <w:tr w14:paraId="212139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3" w:type="dxa"/>
            <w:vMerge w:val="continue"/>
            <w:tcBorders>
              <w:tl2br w:val="nil"/>
              <w:tr2bl w:val="nil"/>
            </w:tcBorders>
            <w:noWrap w:val="0"/>
            <w:vAlign w:val="center"/>
          </w:tcPr>
          <w:p w14:paraId="1699CEC0">
            <w:pPr>
              <w:jc w:val="center"/>
              <w:rPr>
                <w:rFonts w:hint="default" w:ascii="Times New Roman" w:hAnsi="Times New Roman" w:cs="Times New Roman"/>
                <w:color w:val="auto"/>
                <w:highlight w:val="none"/>
              </w:rPr>
            </w:pPr>
          </w:p>
        </w:tc>
        <w:tc>
          <w:tcPr>
            <w:tcW w:w="634" w:type="dxa"/>
            <w:vMerge w:val="continue"/>
            <w:tcBorders>
              <w:tl2br w:val="nil"/>
              <w:tr2bl w:val="nil"/>
            </w:tcBorders>
            <w:noWrap w:val="0"/>
            <w:vAlign w:val="center"/>
          </w:tcPr>
          <w:p w14:paraId="2D8B133C">
            <w:pPr>
              <w:jc w:val="center"/>
              <w:rPr>
                <w:rFonts w:hint="default" w:ascii="Times New Roman" w:hAnsi="Times New Roman" w:cs="Times New Roman"/>
                <w:color w:val="auto"/>
                <w:highlight w:val="none"/>
              </w:rPr>
            </w:pPr>
          </w:p>
        </w:tc>
        <w:tc>
          <w:tcPr>
            <w:tcW w:w="1004" w:type="dxa"/>
            <w:vMerge w:val="continue"/>
            <w:tcBorders>
              <w:tl2br w:val="nil"/>
              <w:tr2bl w:val="nil"/>
            </w:tcBorders>
            <w:noWrap w:val="0"/>
            <w:vAlign w:val="center"/>
          </w:tcPr>
          <w:p w14:paraId="5CFE58BF">
            <w:pPr>
              <w:jc w:val="center"/>
              <w:rPr>
                <w:rFonts w:hint="default" w:ascii="Times New Roman" w:hAnsi="Times New Roman" w:cs="Times New Roman"/>
                <w:color w:val="auto"/>
                <w:highlight w:val="none"/>
              </w:rPr>
            </w:pPr>
          </w:p>
        </w:tc>
        <w:tc>
          <w:tcPr>
            <w:tcW w:w="2110" w:type="dxa"/>
            <w:vMerge w:val="continue"/>
            <w:tcBorders>
              <w:tl2br w:val="nil"/>
              <w:tr2bl w:val="nil"/>
            </w:tcBorders>
            <w:noWrap w:val="0"/>
            <w:vAlign w:val="center"/>
          </w:tcPr>
          <w:p w14:paraId="66FD2A30">
            <w:pPr>
              <w:jc w:val="center"/>
              <w:rPr>
                <w:rFonts w:hint="default" w:ascii="Times New Roman" w:hAnsi="Times New Roman" w:cs="Times New Roman"/>
                <w:color w:val="auto"/>
                <w:highlight w:val="none"/>
              </w:rPr>
            </w:pPr>
          </w:p>
        </w:tc>
        <w:tc>
          <w:tcPr>
            <w:tcW w:w="500" w:type="dxa"/>
            <w:vMerge w:val="continue"/>
            <w:tcBorders>
              <w:tl2br w:val="nil"/>
              <w:tr2bl w:val="nil"/>
            </w:tcBorders>
            <w:noWrap w:val="0"/>
            <w:vAlign w:val="center"/>
          </w:tcPr>
          <w:p w14:paraId="7FDAD77F">
            <w:pPr>
              <w:jc w:val="center"/>
              <w:rPr>
                <w:rFonts w:hint="default" w:ascii="Times New Roman" w:hAnsi="Times New Roman" w:cs="Times New Roman"/>
                <w:color w:val="auto"/>
                <w:highlight w:val="none"/>
              </w:rPr>
            </w:pPr>
          </w:p>
        </w:tc>
        <w:tc>
          <w:tcPr>
            <w:tcW w:w="2213" w:type="dxa"/>
            <w:tcBorders>
              <w:right w:val="single" w:color="auto" w:sz="4" w:space="0"/>
              <w:tl2br w:val="nil"/>
              <w:tr2bl w:val="nil"/>
            </w:tcBorders>
            <w:noWrap w:val="0"/>
            <w:vAlign w:val="center"/>
          </w:tcPr>
          <w:p w14:paraId="63152945">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szCs w:val="21"/>
                <w:highlight w:val="none"/>
              </w:rPr>
              <w:t>边导线地面投影外两侧各1</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m范围内</w:t>
            </w:r>
            <w:r>
              <w:rPr>
                <w:rFonts w:hint="default" w:ascii="Times New Roman" w:hAnsi="Times New Roman" w:cs="Times New Roman"/>
                <w:color w:val="auto"/>
                <w:szCs w:val="21"/>
                <w:highlight w:val="none"/>
                <w:lang w:val="en-US" w:eastAsia="zh-CN"/>
              </w:rPr>
              <w:t>无</w:t>
            </w:r>
            <w:r>
              <w:rPr>
                <w:rFonts w:hint="default" w:ascii="Times New Roman" w:hAnsi="Times New Roman" w:cs="Times New Roman"/>
                <w:color w:val="auto"/>
                <w:szCs w:val="21"/>
                <w:highlight w:val="none"/>
              </w:rPr>
              <w:t>电磁环境敏感目标的架空线</w:t>
            </w:r>
            <w:r>
              <w:rPr>
                <w:rFonts w:hint="default" w:ascii="Times New Roman" w:hAnsi="Times New Roman" w:cs="Times New Roman"/>
                <w:color w:val="auto"/>
                <w:szCs w:val="21"/>
                <w:highlight w:val="none"/>
                <w:lang w:eastAsia="zh-CN"/>
              </w:rPr>
              <w:t>。</w:t>
            </w:r>
          </w:p>
        </w:tc>
        <w:tc>
          <w:tcPr>
            <w:tcW w:w="677" w:type="dxa"/>
            <w:tcBorders>
              <w:left w:val="single" w:color="auto" w:sz="4" w:space="0"/>
              <w:tl2br w:val="nil"/>
              <w:tr2bl w:val="nil"/>
            </w:tcBorders>
            <w:noWrap w:val="0"/>
            <w:vAlign w:val="center"/>
          </w:tcPr>
          <w:p w14:paraId="577C2B71">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三</w:t>
            </w:r>
            <w:r>
              <w:rPr>
                <w:rFonts w:hint="default" w:ascii="Times New Roman" w:hAnsi="Times New Roman" w:cs="Times New Roman"/>
                <w:color w:val="auto"/>
                <w:kern w:val="0"/>
                <w:szCs w:val="21"/>
                <w:highlight w:val="none"/>
              </w:rPr>
              <w:t>级</w:t>
            </w:r>
          </w:p>
        </w:tc>
        <w:tc>
          <w:tcPr>
            <w:tcW w:w="773" w:type="dxa"/>
            <w:vMerge w:val="continue"/>
            <w:tcBorders>
              <w:tl2br w:val="nil"/>
              <w:tr2bl w:val="nil"/>
            </w:tcBorders>
            <w:noWrap w:val="0"/>
            <w:vAlign w:val="center"/>
          </w:tcPr>
          <w:p w14:paraId="67E4E800">
            <w:pPr>
              <w:jc w:val="right"/>
              <w:rPr>
                <w:rFonts w:hint="default" w:ascii="Times New Roman" w:hAnsi="Times New Roman" w:cs="Times New Roman"/>
                <w:color w:val="auto"/>
                <w:kern w:val="0"/>
                <w:szCs w:val="21"/>
                <w:highlight w:val="none"/>
                <w:lang w:val="en-US" w:eastAsia="zh-CN"/>
              </w:rPr>
            </w:pPr>
          </w:p>
        </w:tc>
      </w:tr>
      <w:tr w14:paraId="2A1EAA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593" w:type="dxa"/>
            <w:vMerge w:val="continue"/>
            <w:tcBorders>
              <w:tl2br w:val="nil"/>
              <w:tr2bl w:val="nil"/>
            </w:tcBorders>
            <w:noWrap w:val="0"/>
            <w:vAlign w:val="center"/>
          </w:tcPr>
          <w:p w14:paraId="33C7DBC9">
            <w:pPr>
              <w:jc w:val="center"/>
              <w:rPr>
                <w:rFonts w:hint="default" w:ascii="Times New Roman" w:hAnsi="Times New Roman" w:cs="Times New Roman"/>
                <w:color w:val="auto"/>
                <w:szCs w:val="21"/>
                <w:highlight w:val="none"/>
              </w:rPr>
            </w:pPr>
          </w:p>
        </w:tc>
        <w:tc>
          <w:tcPr>
            <w:tcW w:w="634" w:type="dxa"/>
            <w:vMerge w:val="continue"/>
            <w:tcBorders>
              <w:tl2br w:val="nil"/>
              <w:tr2bl w:val="nil"/>
            </w:tcBorders>
            <w:noWrap w:val="0"/>
            <w:vAlign w:val="center"/>
          </w:tcPr>
          <w:p w14:paraId="7A3EBD90">
            <w:pPr>
              <w:jc w:val="center"/>
              <w:rPr>
                <w:rFonts w:hint="default" w:ascii="Times New Roman" w:hAnsi="Times New Roman" w:cs="Times New Roman"/>
                <w:color w:val="auto"/>
                <w:szCs w:val="21"/>
                <w:highlight w:val="none"/>
              </w:rPr>
            </w:pPr>
          </w:p>
        </w:tc>
        <w:tc>
          <w:tcPr>
            <w:tcW w:w="1004" w:type="dxa"/>
            <w:vMerge w:val="continue"/>
            <w:tcBorders>
              <w:tl2br w:val="nil"/>
              <w:tr2bl w:val="nil"/>
            </w:tcBorders>
            <w:noWrap w:val="0"/>
            <w:vAlign w:val="center"/>
          </w:tcPr>
          <w:p w14:paraId="35488BFC">
            <w:pPr>
              <w:jc w:val="center"/>
              <w:rPr>
                <w:rFonts w:hint="default" w:ascii="Times New Roman" w:hAnsi="Times New Roman" w:cs="Times New Roman"/>
                <w:color w:val="auto"/>
                <w:szCs w:val="21"/>
                <w:highlight w:val="none"/>
              </w:rPr>
            </w:pPr>
          </w:p>
        </w:tc>
        <w:tc>
          <w:tcPr>
            <w:tcW w:w="2110" w:type="dxa"/>
            <w:tcBorders>
              <w:tl2br w:val="nil"/>
              <w:tr2bl w:val="nil"/>
            </w:tcBorders>
            <w:noWrap w:val="0"/>
            <w:vAlign w:val="center"/>
          </w:tcPr>
          <w:p w14:paraId="1EE5F7EF">
            <w:pPr>
              <w:jc w:val="left"/>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边导线地面投影外两侧各1</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m范围内有电磁环境敏感目标的架空线</w:t>
            </w:r>
          </w:p>
        </w:tc>
        <w:tc>
          <w:tcPr>
            <w:tcW w:w="500" w:type="dxa"/>
            <w:tcBorders>
              <w:tl2br w:val="nil"/>
              <w:tr2bl w:val="nil"/>
            </w:tcBorders>
            <w:noWrap w:val="0"/>
            <w:vAlign w:val="center"/>
          </w:tcPr>
          <w:p w14:paraId="7C4689EA">
            <w:pPr>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二</w:t>
            </w:r>
            <w:r>
              <w:rPr>
                <w:rFonts w:hint="default" w:ascii="Times New Roman" w:hAnsi="Times New Roman" w:cs="Times New Roman"/>
                <w:color w:val="auto"/>
                <w:kern w:val="0"/>
                <w:szCs w:val="21"/>
                <w:highlight w:val="none"/>
              </w:rPr>
              <w:t>级</w:t>
            </w:r>
          </w:p>
        </w:tc>
        <w:tc>
          <w:tcPr>
            <w:tcW w:w="2213" w:type="dxa"/>
            <w:tcBorders>
              <w:right w:val="single" w:color="auto" w:sz="4" w:space="0"/>
              <w:tl2br w:val="nil"/>
              <w:tr2bl w:val="nil"/>
            </w:tcBorders>
            <w:noWrap w:val="0"/>
            <w:vAlign w:val="center"/>
          </w:tcPr>
          <w:p w14:paraId="69894772">
            <w:pPr>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c>
          <w:tcPr>
            <w:tcW w:w="677" w:type="dxa"/>
            <w:tcBorders>
              <w:left w:val="single" w:color="auto" w:sz="4" w:space="0"/>
              <w:tl2br w:val="nil"/>
              <w:tr2bl w:val="nil"/>
            </w:tcBorders>
            <w:noWrap w:val="0"/>
            <w:vAlign w:val="center"/>
          </w:tcPr>
          <w:p w14:paraId="37F050C6">
            <w:pPr>
              <w:jc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bCs/>
                <w:color w:val="auto"/>
                <w:kern w:val="0"/>
                <w:szCs w:val="21"/>
                <w:highlight w:val="none"/>
                <w:lang w:val="en-US" w:eastAsia="zh-CN"/>
              </w:rPr>
              <w:t>/</w:t>
            </w:r>
          </w:p>
        </w:tc>
        <w:tc>
          <w:tcPr>
            <w:tcW w:w="773" w:type="dxa"/>
            <w:vMerge w:val="continue"/>
            <w:tcBorders>
              <w:tl2br w:val="nil"/>
              <w:tr2bl w:val="nil"/>
            </w:tcBorders>
            <w:noWrap w:val="0"/>
            <w:vAlign w:val="center"/>
          </w:tcPr>
          <w:p w14:paraId="4584086C">
            <w:pPr>
              <w:jc w:val="right"/>
              <w:rPr>
                <w:rFonts w:hint="default" w:ascii="Times New Roman" w:hAnsi="Times New Roman" w:cs="Times New Roman"/>
                <w:bCs/>
                <w:color w:val="auto"/>
                <w:kern w:val="0"/>
                <w:szCs w:val="21"/>
                <w:highlight w:val="none"/>
              </w:rPr>
            </w:pPr>
          </w:p>
        </w:tc>
      </w:tr>
    </w:tbl>
    <w:p w14:paraId="2D24EA9A">
      <w:pPr>
        <w:pStyle w:val="3"/>
        <w:keepNext/>
        <w:keepLines/>
        <w:pageBreakBefore w:val="0"/>
        <w:widowControl w:val="0"/>
        <w:kinsoku/>
        <w:wordWrap/>
        <w:overflowPunct/>
        <w:topLinePunct w:val="0"/>
        <w:autoSpaceDE/>
        <w:autoSpaceDN/>
        <w:bidi w:val="0"/>
        <w:adjustRightInd w:val="0"/>
        <w:snapToGrid w:val="0"/>
        <w:spacing w:before="157" w:beforeLines="50" w:beforeAutospacing="0" w:after="0" w:afterAutospacing="0" w:line="360" w:lineRule="auto"/>
        <w:jc w:val="both"/>
        <w:textAlignment w:val="auto"/>
        <w:rPr>
          <w:rFonts w:hint="default" w:ascii="Times New Roman" w:hAnsi="Times New Roman" w:eastAsia="宋体" w:cs="Times New Roman"/>
          <w:bCs w:val="0"/>
          <w:color w:val="auto"/>
          <w:spacing w:val="0"/>
          <w:kern w:val="2"/>
          <w:sz w:val="24"/>
          <w:szCs w:val="24"/>
          <w:highlight w:val="none"/>
        </w:rPr>
      </w:pPr>
      <w:bookmarkStart w:id="299" w:name="_Toc2595"/>
      <w:bookmarkStart w:id="300" w:name="_Toc19211"/>
      <w:r>
        <w:rPr>
          <w:rFonts w:hint="default" w:ascii="Times New Roman" w:hAnsi="Times New Roman" w:eastAsia="宋体" w:cs="Times New Roman"/>
          <w:bCs w:val="0"/>
          <w:color w:val="auto"/>
          <w:spacing w:val="0"/>
          <w:kern w:val="2"/>
          <w:sz w:val="24"/>
          <w:szCs w:val="24"/>
          <w:highlight w:val="none"/>
        </w:rPr>
        <w:t>3.2评价范围</w:t>
      </w:r>
      <w:bookmarkEnd w:id="299"/>
      <w:bookmarkEnd w:id="300"/>
    </w:p>
    <w:p w14:paraId="402CFD51">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bCs/>
          <w:color w:val="auto"/>
          <w:kern w:val="0"/>
          <w:sz w:val="24"/>
          <w:highlight w:val="none"/>
        </w:rPr>
        <w:t>根据《环境影响评价技术导则 输变电》（HJ24-2020）要求，确定</w:t>
      </w:r>
      <w:r>
        <w:rPr>
          <w:rFonts w:hint="default" w:ascii="Times New Roman" w:hAnsi="Times New Roman" w:cs="Times New Roman"/>
          <w:color w:val="auto"/>
          <w:kern w:val="0"/>
          <w:sz w:val="24"/>
          <w:highlight w:val="none"/>
        </w:rPr>
        <w:t>以</w:t>
      </w:r>
      <w:r>
        <w:rPr>
          <w:rFonts w:hint="default" w:ascii="Times New Roman" w:hAnsi="Times New Roman" w:cs="Times New Roman"/>
          <w:color w:val="auto"/>
          <w:kern w:val="0"/>
          <w:sz w:val="24"/>
          <w:highlight w:val="none"/>
          <w:lang w:val="en-US" w:eastAsia="zh-CN"/>
        </w:rPr>
        <w:t>11</w:t>
      </w:r>
      <w:r>
        <w:rPr>
          <w:rFonts w:hint="default" w:ascii="Times New Roman" w:hAnsi="Times New Roman" w:cs="Times New Roman"/>
          <w:color w:val="auto"/>
          <w:kern w:val="0"/>
          <w:sz w:val="24"/>
          <w:highlight w:val="none"/>
        </w:rPr>
        <w:t>0</w:t>
      </w:r>
      <w:r>
        <w:rPr>
          <w:rFonts w:hint="default" w:ascii="Times New Roman" w:hAnsi="Times New Roman" w:cs="Times New Roman"/>
          <w:color w:val="auto"/>
          <w:sz w:val="24"/>
          <w:highlight w:val="none"/>
          <w:lang w:val="en-US" w:eastAsia="zh-CN"/>
        </w:rPr>
        <w:t>千伏</w:t>
      </w:r>
      <w:r>
        <w:rPr>
          <w:rFonts w:hint="default" w:ascii="Times New Roman" w:hAnsi="Times New Roman" w:cs="Times New Roman"/>
          <w:color w:val="auto"/>
          <w:sz w:val="24"/>
          <w:highlight w:val="none"/>
        </w:rPr>
        <w:t>架空线路边导线地面投影外两侧各</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0m；</w:t>
      </w:r>
      <w:r>
        <w:rPr>
          <w:rFonts w:hint="default" w:ascii="Times New Roman" w:hAnsi="Times New Roman" w:cs="Times New Roman"/>
          <w:color w:val="auto"/>
          <w:sz w:val="24"/>
          <w:highlight w:val="none"/>
          <w:lang w:val="en-US" w:eastAsia="zh-CN"/>
        </w:rPr>
        <w:t>33</w:t>
      </w:r>
      <w:r>
        <w:rPr>
          <w:rFonts w:hint="default" w:ascii="Times New Roman" w:hAnsi="Times New Roman" w:cs="Times New Roman"/>
          <w:color w:val="auto"/>
          <w:sz w:val="24"/>
          <w:highlight w:val="none"/>
        </w:rPr>
        <w:t>0</w:t>
      </w:r>
      <w:r>
        <w:rPr>
          <w:rFonts w:hint="eastAsia" w:cs="Times New Roman"/>
          <w:color w:val="auto"/>
          <w:sz w:val="24"/>
          <w:highlight w:val="none"/>
          <w:lang w:val="en-US" w:eastAsia="zh-CN"/>
        </w:rPr>
        <w:t>千伏</w:t>
      </w:r>
      <w:r>
        <w:rPr>
          <w:rFonts w:hint="default" w:ascii="Times New Roman" w:hAnsi="Times New Roman" w:cs="Times New Roman"/>
          <w:color w:val="auto"/>
          <w:sz w:val="24"/>
          <w:highlight w:val="none"/>
        </w:rPr>
        <w:t>变电站为站界外</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0m内</w:t>
      </w:r>
      <w:r>
        <w:rPr>
          <w:rFonts w:hint="eastAsia" w:cs="Times New Roman"/>
          <w:color w:val="auto"/>
          <w:sz w:val="24"/>
          <w:highlight w:val="none"/>
          <w:lang w:val="en-US" w:eastAsia="zh-CN"/>
        </w:rPr>
        <w:t>（重点评价本期110</w:t>
      </w:r>
      <w:r>
        <w:rPr>
          <w:rFonts w:hint="default" w:ascii="Times New Roman" w:hAnsi="Times New Roman" w:eastAsia="宋体" w:cs="Times New Roman"/>
          <w:b w:val="0"/>
          <w:bCs w:val="0"/>
          <w:color w:val="auto"/>
          <w:sz w:val="24"/>
          <w:highlight w:val="none"/>
          <w:lang w:val="en-US" w:eastAsia="zh-CN"/>
        </w:rPr>
        <w:t>千伏</w:t>
      </w:r>
      <w:r>
        <w:rPr>
          <w:rFonts w:hint="eastAsia" w:cs="Times New Roman"/>
          <w:color w:val="auto"/>
          <w:sz w:val="24"/>
          <w:highlight w:val="none"/>
          <w:lang w:val="en-US" w:eastAsia="zh-CN"/>
        </w:rPr>
        <w:t>间隔扩建侧）</w:t>
      </w:r>
      <w:r>
        <w:rPr>
          <w:rFonts w:hint="default" w:ascii="Times New Roman" w:hAnsi="Times New Roman" w:cs="Times New Roman"/>
          <w:color w:val="auto"/>
          <w:sz w:val="24"/>
          <w:highlight w:val="none"/>
          <w:lang w:val="en-US" w:eastAsia="zh-CN"/>
        </w:rPr>
        <w:t>作为电磁环境影响</w:t>
      </w:r>
      <w:r>
        <w:rPr>
          <w:rFonts w:hint="default" w:ascii="Times New Roman" w:hAnsi="Times New Roman" w:cs="Times New Roman"/>
          <w:bCs/>
          <w:color w:val="auto"/>
          <w:kern w:val="0"/>
          <w:sz w:val="24"/>
          <w:highlight w:val="none"/>
        </w:rPr>
        <w:t>评价范围。</w:t>
      </w:r>
    </w:p>
    <w:p w14:paraId="0872E926">
      <w:pPr>
        <w:pStyle w:val="2"/>
        <w:keepLines/>
        <w:overflowPunct/>
        <w:snapToGrid/>
        <w:spacing w:before="0" w:after="0" w:line="360" w:lineRule="auto"/>
        <w:ind w:left="0" w:firstLine="0"/>
        <w:rPr>
          <w:rFonts w:hint="default" w:ascii="Times New Roman" w:hAnsi="Times New Roman" w:eastAsia="宋体" w:cs="Times New Roman"/>
          <w:bCs w:val="0"/>
          <w:color w:val="auto"/>
          <w:sz w:val="28"/>
          <w:szCs w:val="28"/>
          <w:highlight w:val="none"/>
        </w:rPr>
      </w:pPr>
      <w:bookmarkStart w:id="301" w:name="_Toc25518"/>
      <w:bookmarkStart w:id="302" w:name="_Toc20869"/>
      <w:bookmarkStart w:id="303" w:name="_Toc28371"/>
      <w:r>
        <w:rPr>
          <w:rFonts w:hint="default" w:ascii="Times New Roman" w:hAnsi="Times New Roman" w:eastAsia="宋体" w:cs="Times New Roman"/>
          <w:bCs w:val="0"/>
          <w:color w:val="auto"/>
          <w:sz w:val="28"/>
          <w:szCs w:val="28"/>
          <w:highlight w:val="none"/>
        </w:rPr>
        <w:t>4</w:t>
      </w:r>
      <w:r>
        <w:rPr>
          <w:rFonts w:hint="default" w:ascii="Times New Roman" w:hAnsi="Times New Roman" w:eastAsia="宋体" w:cs="Times New Roman"/>
          <w:bCs w:val="0"/>
          <w:color w:val="auto"/>
          <w:sz w:val="28"/>
          <w:szCs w:val="28"/>
          <w:highlight w:val="none"/>
          <w:lang w:val="en-US" w:eastAsia="zh-CN"/>
        </w:rPr>
        <w:t>.</w:t>
      </w:r>
      <w:r>
        <w:rPr>
          <w:rFonts w:hint="default" w:ascii="Times New Roman" w:hAnsi="Times New Roman" w:eastAsia="宋体" w:cs="Times New Roman"/>
          <w:bCs w:val="0"/>
          <w:color w:val="auto"/>
          <w:sz w:val="28"/>
          <w:szCs w:val="28"/>
          <w:highlight w:val="none"/>
        </w:rPr>
        <w:t>电磁环境敏感目标</w:t>
      </w:r>
      <w:bookmarkEnd w:id="301"/>
      <w:bookmarkEnd w:id="302"/>
      <w:bookmarkEnd w:id="303"/>
    </w:p>
    <w:p w14:paraId="449FCE67">
      <w:pPr>
        <w:spacing w:line="360" w:lineRule="auto"/>
        <w:ind w:firstLine="480" w:firstLineChars="200"/>
        <w:jc w:val="both"/>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本项目位于</w:t>
      </w:r>
      <w:r>
        <w:rPr>
          <w:rFonts w:hint="default" w:ascii="Times New Roman" w:hAnsi="Times New Roman" w:cs="Times New Roman"/>
          <w:bCs/>
          <w:color w:val="auto"/>
          <w:sz w:val="24"/>
          <w:highlight w:val="none"/>
          <w:lang w:eastAsia="zh-CN"/>
        </w:rPr>
        <w:t>宁夏回族自治区固原市原州区、彭阳县</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电磁环境影响</w:t>
      </w:r>
      <w:r>
        <w:rPr>
          <w:rFonts w:hint="default" w:ascii="Times New Roman" w:hAnsi="Times New Roman" w:cs="Times New Roman"/>
          <w:color w:val="auto"/>
          <w:sz w:val="24"/>
          <w:highlight w:val="none"/>
        </w:rPr>
        <w:t>评价范围内</w:t>
      </w:r>
      <w:r>
        <w:rPr>
          <w:rFonts w:hint="default" w:ascii="Times New Roman" w:hAnsi="Times New Roman" w:cs="Times New Roman"/>
          <w:bCs/>
          <w:color w:val="auto"/>
          <w:sz w:val="24"/>
          <w:highlight w:val="none"/>
          <w:lang w:eastAsia="zh-CN"/>
        </w:rPr>
        <w:t>涉及</w:t>
      </w:r>
      <w:r>
        <w:rPr>
          <w:rFonts w:hint="default" w:ascii="Times New Roman" w:hAnsi="Times New Roman" w:cs="Times New Roman"/>
          <w:bCs/>
          <w:color w:val="auto"/>
          <w:sz w:val="24"/>
          <w:highlight w:val="none"/>
          <w:lang w:val="en-US" w:eastAsia="zh-CN"/>
        </w:rPr>
        <w:t>住宅</w:t>
      </w:r>
      <w:r>
        <w:rPr>
          <w:rFonts w:hint="default" w:ascii="Times New Roman" w:hAnsi="Times New Roman" w:cs="Times New Roman"/>
          <w:bCs/>
          <w:color w:val="auto"/>
          <w:sz w:val="24"/>
          <w:highlight w:val="none"/>
        </w:rPr>
        <w:t>等有公众居住、工作或者学习的建筑物等电磁环境敏感目标</w:t>
      </w:r>
      <w:r>
        <w:rPr>
          <w:rFonts w:hint="default" w:ascii="Times New Roman" w:hAnsi="Times New Roman" w:cs="Times New Roman"/>
          <w:bCs/>
          <w:color w:val="auto"/>
          <w:sz w:val="24"/>
          <w:highlight w:val="none"/>
          <w:lang w:eastAsia="zh-CN"/>
        </w:rPr>
        <w:t>，</w:t>
      </w:r>
      <w:r>
        <w:rPr>
          <w:rFonts w:hint="default" w:ascii="Times New Roman" w:hAnsi="Times New Roman" w:cs="Times New Roman"/>
          <w:color w:val="auto"/>
          <w:sz w:val="24"/>
          <w:highlight w:val="none"/>
          <w:lang w:val="en-US" w:eastAsia="zh-CN"/>
        </w:rPr>
        <w:t>具体见</w:t>
      </w:r>
      <w:r>
        <w:rPr>
          <w:rFonts w:hint="default" w:ascii="Times New Roman" w:hAnsi="Times New Roman" w:cs="Times New Roman"/>
          <w:color w:val="auto"/>
          <w:sz w:val="24"/>
          <w:highlight w:val="none"/>
        </w:rPr>
        <w:t>正文</w:t>
      </w:r>
      <w:r>
        <w:rPr>
          <w:rFonts w:hint="default" w:ascii="Times New Roman" w:hAnsi="Times New Roman" w:cs="Times New Roman"/>
          <w:color w:val="auto"/>
          <w:sz w:val="24"/>
          <w:highlight w:val="none"/>
          <w:lang w:eastAsia="zh-CN"/>
        </w:rPr>
        <w:t>表</w:t>
      </w:r>
      <w:r>
        <w:rPr>
          <w:rFonts w:hint="default" w:ascii="Times New Roman" w:hAnsi="Times New Roman" w:cs="Times New Roman"/>
          <w:color w:val="auto"/>
          <w:sz w:val="24"/>
          <w:highlight w:val="none"/>
          <w:lang w:val="en-US" w:eastAsia="zh-CN"/>
        </w:rPr>
        <w:t>3-12。</w:t>
      </w:r>
    </w:p>
    <w:p w14:paraId="64240BF6">
      <w:pPr>
        <w:pStyle w:val="2"/>
        <w:keepLines/>
        <w:overflowPunct/>
        <w:snapToGrid/>
        <w:spacing w:before="0" w:after="0" w:line="360" w:lineRule="auto"/>
        <w:ind w:left="0" w:firstLine="0"/>
        <w:rPr>
          <w:rFonts w:hint="default" w:ascii="Times New Roman" w:hAnsi="Times New Roman" w:eastAsia="宋体" w:cs="Times New Roman"/>
          <w:bCs w:val="0"/>
          <w:color w:val="auto"/>
          <w:sz w:val="28"/>
          <w:szCs w:val="28"/>
          <w:highlight w:val="none"/>
        </w:rPr>
      </w:pPr>
      <w:bookmarkStart w:id="304" w:name="_Toc2851"/>
      <w:bookmarkStart w:id="305" w:name="_Toc23407"/>
      <w:bookmarkStart w:id="306" w:name="_Toc10870"/>
      <w:r>
        <w:rPr>
          <w:rFonts w:hint="default" w:ascii="Times New Roman" w:hAnsi="Times New Roman" w:eastAsia="宋体" w:cs="Times New Roman"/>
          <w:bCs w:val="0"/>
          <w:color w:val="auto"/>
          <w:sz w:val="28"/>
          <w:szCs w:val="28"/>
          <w:highlight w:val="none"/>
        </w:rPr>
        <w:t>5</w:t>
      </w:r>
      <w:r>
        <w:rPr>
          <w:rFonts w:hint="default" w:ascii="Times New Roman" w:hAnsi="Times New Roman" w:eastAsia="宋体" w:cs="Times New Roman"/>
          <w:bCs w:val="0"/>
          <w:color w:val="auto"/>
          <w:sz w:val="28"/>
          <w:szCs w:val="28"/>
          <w:highlight w:val="none"/>
          <w:lang w:val="en-US" w:eastAsia="zh-CN"/>
        </w:rPr>
        <w:t>.</w:t>
      </w:r>
      <w:r>
        <w:rPr>
          <w:rFonts w:hint="default" w:ascii="Times New Roman" w:hAnsi="Times New Roman" w:eastAsia="宋体" w:cs="Times New Roman"/>
          <w:bCs w:val="0"/>
          <w:color w:val="auto"/>
          <w:sz w:val="28"/>
          <w:szCs w:val="28"/>
          <w:highlight w:val="none"/>
        </w:rPr>
        <w:t>电磁环境现状评价</w:t>
      </w:r>
      <w:bookmarkEnd w:id="304"/>
      <w:bookmarkEnd w:id="305"/>
      <w:bookmarkEnd w:id="306"/>
    </w:p>
    <w:p w14:paraId="1791196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为了解本项目运行前的电磁环境质量现状，我单位委托宁夏盛世蓝天环保技术有限公司于</w:t>
      </w:r>
      <w:r>
        <w:rPr>
          <w:rFonts w:hint="default" w:ascii="Times New Roman" w:hAnsi="Times New Roman" w:cs="Times New Roman"/>
          <w:color w:val="auto"/>
          <w:kern w:val="0"/>
          <w:sz w:val="24"/>
          <w:highlight w:val="none"/>
        </w:rPr>
        <w:t>202</w:t>
      </w:r>
      <w:r>
        <w:rPr>
          <w:rFonts w:hint="default" w:ascii="Times New Roman" w:hAnsi="Times New Roman" w:cs="Times New Roman"/>
          <w:color w:val="auto"/>
          <w:kern w:val="0"/>
          <w:sz w:val="24"/>
          <w:highlight w:val="none"/>
          <w:lang w:val="en-US" w:eastAsia="zh-CN"/>
        </w:rPr>
        <w:t>5</w:t>
      </w:r>
      <w:r>
        <w:rPr>
          <w:rFonts w:hint="default" w:ascii="Times New Roman" w:hAnsi="Times New Roman" w:cs="Times New Roman"/>
          <w:color w:val="auto"/>
          <w:kern w:val="0"/>
          <w:sz w:val="24"/>
          <w:highlight w:val="none"/>
        </w:rPr>
        <w:t>年</w:t>
      </w:r>
      <w:r>
        <w:rPr>
          <w:rFonts w:hint="default" w:ascii="Times New Roman" w:hAnsi="Times New Roman" w:cs="Times New Roman"/>
          <w:color w:val="auto"/>
          <w:kern w:val="0"/>
          <w:sz w:val="24"/>
          <w:highlight w:val="none"/>
          <w:lang w:val="en-US" w:eastAsia="zh-CN"/>
        </w:rPr>
        <w:t>9</w:t>
      </w:r>
      <w:r>
        <w:rPr>
          <w:rFonts w:hint="default" w:ascii="Times New Roman" w:hAnsi="Times New Roman" w:cs="Times New Roman"/>
          <w:color w:val="auto"/>
          <w:kern w:val="0"/>
          <w:sz w:val="24"/>
          <w:highlight w:val="none"/>
        </w:rPr>
        <w:t>月</w:t>
      </w:r>
      <w:r>
        <w:rPr>
          <w:rFonts w:hint="default" w:ascii="Times New Roman" w:hAnsi="Times New Roman" w:cs="Times New Roman"/>
          <w:color w:val="auto"/>
          <w:kern w:val="0"/>
          <w:sz w:val="24"/>
          <w:highlight w:val="none"/>
          <w:lang w:val="en-US" w:eastAsia="zh-CN"/>
        </w:rPr>
        <w:t>24日</w:t>
      </w:r>
      <w:r>
        <w:rPr>
          <w:rFonts w:hint="default" w:ascii="Times New Roman" w:hAnsi="Times New Roman" w:cs="Times New Roman"/>
          <w:color w:val="auto"/>
          <w:sz w:val="24"/>
          <w:highlight w:val="none"/>
        </w:rPr>
        <w:t>对项目周边的电磁环境进行了现状监测，具体详见</w:t>
      </w:r>
      <w:r>
        <w:rPr>
          <w:rFonts w:hint="default" w:ascii="Times New Roman" w:hAnsi="Times New Roman" w:cs="Times New Roman"/>
          <w:b/>
          <w:bCs/>
          <w:color w:val="auto"/>
          <w:sz w:val="24"/>
          <w:highlight w:val="none"/>
        </w:rPr>
        <w:t>附件</w:t>
      </w:r>
      <w:r>
        <w:rPr>
          <w:rFonts w:hint="eastAsia" w:cs="Times New Roman"/>
          <w:b/>
          <w:bCs/>
          <w:color w:val="auto"/>
          <w:sz w:val="24"/>
          <w:highlight w:val="none"/>
          <w:lang w:val="en-US" w:eastAsia="zh-CN"/>
        </w:rPr>
        <w:t>8</w:t>
      </w:r>
      <w:r>
        <w:rPr>
          <w:rFonts w:hint="default" w:ascii="Times New Roman" w:hAnsi="Times New Roman" w:cs="Times New Roman"/>
          <w:color w:val="auto"/>
          <w:sz w:val="24"/>
          <w:highlight w:val="none"/>
        </w:rPr>
        <w:t>。</w:t>
      </w:r>
    </w:p>
    <w:p w14:paraId="1DDDCE4E">
      <w:pPr>
        <w:pStyle w:val="3"/>
        <w:keepNext/>
        <w:keepLines/>
        <w:spacing w:before="0" w:beforeAutospacing="0" w:after="0" w:afterAutospacing="0" w:line="360" w:lineRule="auto"/>
        <w:jc w:val="both"/>
        <w:rPr>
          <w:rFonts w:hint="default" w:ascii="Times New Roman" w:hAnsi="Times New Roman" w:cs="Times New Roman"/>
          <w:bCs w:val="0"/>
          <w:color w:val="auto"/>
          <w:spacing w:val="0"/>
          <w:kern w:val="2"/>
          <w:sz w:val="24"/>
          <w:szCs w:val="24"/>
          <w:highlight w:val="none"/>
        </w:rPr>
      </w:pPr>
      <w:bookmarkStart w:id="307" w:name="_Toc1199"/>
      <w:bookmarkStart w:id="308" w:name="_Toc10156"/>
      <w:r>
        <w:rPr>
          <w:rFonts w:hint="default" w:ascii="Times New Roman" w:hAnsi="Times New Roman" w:cs="Times New Roman"/>
          <w:bCs w:val="0"/>
          <w:color w:val="auto"/>
          <w:spacing w:val="0"/>
          <w:kern w:val="2"/>
          <w:sz w:val="24"/>
          <w:szCs w:val="24"/>
          <w:highlight w:val="none"/>
        </w:rPr>
        <w:t>5.1监测因子</w:t>
      </w:r>
      <w:bookmarkEnd w:id="307"/>
      <w:bookmarkEnd w:id="308"/>
    </w:p>
    <w:p w14:paraId="5FE5010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测量离地1.5m高度处的工频电场、工频磁场。</w:t>
      </w:r>
    </w:p>
    <w:p w14:paraId="23098443">
      <w:pPr>
        <w:pStyle w:val="3"/>
        <w:keepNext/>
        <w:keepLines/>
        <w:spacing w:before="0" w:beforeAutospacing="0" w:after="0" w:afterAutospacing="0" w:line="360" w:lineRule="auto"/>
        <w:jc w:val="both"/>
        <w:rPr>
          <w:rFonts w:hint="default" w:ascii="Times New Roman" w:hAnsi="Times New Roman" w:cs="Times New Roman"/>
          <w:bCs w:val="0"/>
          <w:color w:val="auto"/>
          <w:spacing w:val="0"/>
          <w:kern w:val="2"/>
          <w:sz w:val="24"/>
          <w:szCs w:val="24"/>
          <w:highlight w:val="none"/>
        </w:rPr>
      </w:pPr>
      <w:bookmarkStart w:id="309" w:name="_Toc15968"/>
      <w:bookmarkStart w:id="310" w:name="_Toc9300"/>
      <w:r>
        <w:rPr>
          <w:rFonts w:hint="default" w:ascii="Times New Roman" w:hAnsi="Times New Roman" w:cs="Times New Roman"/>
          <w:bCs w:val="0"/>
          <w:color w:val="auto"/>
          <w:spacing w:val="0"/>
          <w:kern w:val="2"/>
          <w:sz w:val="24"/>
          <w:szCs w:val="24"/>
          <w:highlight w:val="none"/>
        </w:rPr>
        <w:t>5.2监测时间及频次</w:t>
      </w:r>
      <w:bookmarkEnd w:id="309"/>
      <w:bookmarkEnd w:id="310"/>
    </w:p>
    <w:p w14:paraId="7FC49B3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监测时间为</w:t>
      </w:r>
      <w:r>
        <w:rPr>
          <w:rFonts w:hint="default" w:ascii="Times New Roman" w:hAnsi="Times New Roman" w:cs="Times New Roman"/>
          <w:color w:val="auto"/>
          <w:kern w:val="0"/>
          <w:sz w:val="24"/>
          <w:highlight w:val="none"/>
        </w:rPr>
        <w:t>202</w:t>
      </w:r>
      <w:r>
        <w:rPr>
          <w:rFonts w:hint="default" w:ascii="Times New Roman" w:hAnsi="Times New Roman" w:cs="Times New Roman"/>
          <w:color w:val="auto"/>
          <w:kern w:val="0"/>
          <w:sz w:val="24"/>
          <w:highlight w:val="none"/>
          <w:lang w:val="en-US" w:eastAsia="zh-CN"/>
        </w:rPr>
        <w:t>5</w:t>
      </w:r>
      <w:r>
        <w:rPr>
          <w:rFonts w:hint="default" w:ascii="Times New Roman" w:hAnsi="Times New Roman" w:cs="Times New Roman"/>
          <w:color w:val="auto"/>
          <w:kern w:val="0"/>
          <w:sz w:val="24"/>
          <w:highlight w:val="none"/>
        </w:rPr>
        <w:t>年</w:t>
      </w:r>
      <w:r>
        <w:rPr>
          <w:rFonts w:hint="default" w:ascii="Times New Roman" w:hAnsi="Times New Roman" w:cs="Times New Roman"/>
          <w:color w:val="auto"/>
          <w:kern w:val="0"/>
          <w:sz w:val="24"/>
          <w:highlight w:val="none"/>
          <w:lang w:val="en-US" w:eastAsia="zh-CN"/>
        </w:rPr>
        <w:t>9</w:t>
      </w:r>
      <w:r>
        <w:rPr>
          <w:rFonts w:hint="default" w:ascii="Times New Roman" w:hAnsi="Times New Roman" w:cs="Times New Roman"/>
          <w:color w:val="auto"/>
          <w:kern w:val="0"/>
          <w:sz w:val="24"/>
          <w:highlight w:val="none"/>
        </w:rPr>
        <w:t>月</w:t>
      </w:r>
      <w:r>
        <w:rPr>
          <w:rFonts w:hint="default" w:ascii="Times New Roman" w:hAnsi="Times New Roman" w:cs="Times New Roman"/>
          <w:color w:val="auto"/>
          <w:kern w:val="0"/>
          <w:sz w:val="24"/>
          <w:highlight w:val="none"/>
          <w:lang w:val="en-US" w:eastAsia="zh-CN"/>
        </w:rPr>
        <w:t>24日</w:t>
      </w:r>
      <w:r>
        <w:rPr>
          <w:rFonts w:hint="default" w:ascii="Times New Roman" w:hAnsi="Times New Roman" w:cs="Times New Roman"/>
          <w:color w:val="auto"/>
          <w:sz w:val="24"/>
          <w:highlight w:val="none"/>
        </w:rPr>
        <w:t>，各监测点位监测一次。</w:t>
      </w:r>
    </w:p>
    <w:p w14:paraId="1E161714">
      <w:pPr>
        <w:pStyle w:val="3"/>
        <w:keepNext/>
        <w:keepLines/>
        <w:spacing w:before="0" w:beforeAutospacing="0" w:after="0" w:afterAutospacing="0" w:line="360" w:lineRule="auto"/>
        <w:jc w:val="both"/>
        <w:rPr>
          <w:rFonts w:hint="default" w:ascii="Times New Roman" w:hAnsi="Times New Roman" w:cs="Times New Roman"/>
          <w:bCs w:val="0"/>
          <w:color w:val="auto"/>
          <w:spacing w:val="0"/>
          <w:kern w:val="2"/>
          <w:sz w:val="24"/>
          <w:szCs w:val="24"/>
          <w:highlight w:val="none"/>
        </w:rPr>
      </w:pPr>
      <w:bookmarkStart w:id="311" w:name="_Toc902"/>
      <w:bookmarkStart w:id="312" w:name="_Toc4525"/>
      <w:r>
        <w:rPr>
          <w:rFonts w:hint="default" w:ascii="Times New Roman" w:hAnsi="Times New Roman" w:cs="Times New Roman"/>
          <w:bCs w:val="0"/>
          <w:color w:val="auto"/>
          <w:spacing w:val="0"/>
          <w:kern w:val="2"/>
          <w:sz w:val="24"/>
          <w:szCs w:val="24"/>
          <w:highlight w:val="none"/>
        </w:rPr>
        <w:t>5.3监测方法及监测仪器</w:t>
      </w:r>
      <w:bookmarkEnd w:id="311"/>
      <w:bookmarkEnd w:id="312"/>
    </w:p>
    <w:p w14:paraId="61498C82">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工频电磁场监测执行《交流输变电工程电磁环境监测方法（试行）》（HJ681-2013），具体测量范围见专题表5-1。</w:t>
      </w:r>
    </w:p>
    <w:p w14:paraId="5612EA02">
      <w:pPr>
        <w:spacing w:line="240" w:lineRule="auto"/>
        <w:jc w:val="center"/>
        <w:rPr>
          <w:rFonts w:hint="default" w:ascii="Times New Roman" w:hAnsi="Times New Roman" w:eastAsia="黑体" w:cs="Times New Roman"/>
          <w:b/>
          <w:color w:val="auto"/>
          <w:sz w:val="24"/>
          <w:highlight w:val="none"/>
          <w:lang w:eastAsia="zh-CN"/>
        </w:rPr>
      </w:pPr>
      <w:r>
        <w:rPr>
          <w:rFonts w:hint="default" w:ascii="Times New Roman" w:hAnsi="Times New Roman" w:eastAsia="黑体" w:cs="Times New Roman"/>
          <w:b/>
          <w:color w:val="auto"/>
          <w:sz w:val="24"/>
          <w:highlight w:val="none"/>
        </w:rPr>
        <w:t>专题表5-1    监测仪器一览表</w:t>
      </w:r>
    </w:p>
    <w:tbl>
      <w:tblPr>
        <w:tblStyle w:val="31"/>
        <w:tblW w:w="901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82"/>
        <w:gridCol w:w="1832"/>
        <w:gridCol w:w="1784"/>
        <w:gridCol w:w="1074"/>
        <w:gridCol w:w="3242"/>
      </w:tblGrid>
      <w:tr w14:paraId="29CD12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82" w:type="dxa"/>
            <w:vMerge w:val="restart"/>
            <w:noWrap w:val="0"/>
            <w:vAlign w:val="center"/>
          </w:tcPr>
          <w:p w14:paraId="45DB06E4">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监测单位</w:t>
            </w:r>
          </w:p>
        </w:tc>
        <w:tc>
          <w:tcPr>
            <w:tcW w:w="7932" w:type="dxa"/>
            <w:gridSpan w:val="4"/>
            <w:noWrap w:val="0"/>
            <w:vAlign w:val="center"/>
          </w:tcPr>
          <w:p w14:paraId="12D90DF3">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工频电场、工频磁场</w:t>
            </w:r>
          </w:p>
        </w:tc>
      </w:tr>
      <w:tr w14:paraId="45111D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4" w:hRule="atLeast"/>
          <w:jc w:val="center"/>
        </w:trPr>
        <w:tc>
          <w:tcPr>
            <w:tcW w:w="1082" w:type="dxa"/>
            <w:vMerge w:val="continue"/>
            <w:noWrap w:val="0"/>
            <w:vAlign w:val="center"/>
          </w:tcPr>
          <w:p w14:paraId="7857F9C6">
            <w:pPr>
              <w:adjustRightInd w:val="0"/>
              <w:snapToGrid w:val="0"/>
              <w:jc w:val="center"/>
              <w:rPr>
                <w:rFonts w:hint="default" w:ascii="Times New Roman" w:hAnsi="Times New Roman" w:cs="Times New Roman"/>
                <w:bCs/>
                <w:color w:val="auto"/>
                <w:szCs w:val="21"/>
                <w:highlight w:val="none"/>
              </w:rPr>
            </w:pPr>
          </w:p>
        </w:tc>
        <w:tc>
          <w:tcPr>
            <w:tcW w:w="1832" w:type="dxa"/>
            <w:noWrap w:val="0"/>
            <w:vAlign w:val="center"/>
          </w:tcPr>
          <w:p w14:paraId="7440BBD5">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仪器名称及型号</w:t>
            </w:r>
          </w:p>
        </w:tc>
        <w:tc>
          <w:tcPr>
            <w:tcW w:w="1784" w:type="dxa"/>
            <w:noWrap w:val="0"/>
            <w:vAlign w:val="center"/>
          </w:tcPr>
          <w:p w14:paraId="6FA427DD">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测量范围</w:t>
            </w:r>
          </w:p>
        </w:tc>
        <w:tc>
          <w:tcPr>
            <w:tcW w:w="1074" w:type="dxa"/>
            <w:noWrap w:val="0"/>
            <w:vAlign w:val="center"/>
          </w:tcPr>
          <w:p w14:paraId="7B872E4C">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生产厂家</w:t>
            </w:r>
          </w:p>
        </w:tc>
        <w:tc>
          <w:tcPr>
            <w:tcW w:w="3242" w:type="dxa"/>
            <w:noWrap w:val="0"/>
            <w:vAlign w:val="center"/>
          </w:tcPr>
          <w:p w14:paraId="2AD116B7">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检定与校准</w:t>
            </w:r>
          </w:p>
        </w:tc>
      </w:tr>
      <w:tr w14:paraId="3B9F70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82" w:type="dxa"/>
            <w:noWrap w:val="0"/>
            <w:vAlign w:val="center"/>
          </w:tcPr>
          <w:p w14:paraId="1D8D861C">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宁夏盛世蓝天环保技术有限公司</w:t>
            </w:r>
          </w:p>
        </w:tc>
        <w:tc>
          <w:tcPr>
            <w:tcW w:w="1832" w:type="dxa"/>
            <w:noWrap w:val="0"/>
            <w:vAlign w:val="center"/>
          </w:tcPr>
          <w:p w14:paraId="13D38C1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SEM-600/LF-01</w:t>
            </w:r>
            <w:r>
              <w:rPr>
                <w:rFonts w:hint="default" w:ascii="Times New Roman" w:hAnsi="Times New Roman" w:cs="Times New Roman"/>
                <w:color w:val="auto"/>
                <w:szCs w:val="21"/>
                <w:highlight w:val="none"/>
                <w:lang w:val="en-US" w:eastAsia="zh-CN"/>
              </w:rPr>
              <w:t>D</w:t>
            </w:r>
          </w:p>
          <w:p w14:paraId="63A9C455">
            <w:pPr>
              <w:jc w:val="center"/>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电磁场探头和读出装置</w:t>
            </w:r>
          </w:p>
        </w:tc>
        <w:tc>
          <w:tcPr>
            <w:tcW w:w="1784" w:type="dxa"/>
            <w:noWrap w:val="0"/>
            <w:vAlign w:val="center"/>
          </w:tcPr>
          <w:p w14:paraId="7748FE4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工频电场：</w:t>
            </w:r>
          </w:p>
          <w:p w14:paraId="7694372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rPr>
              <w:t>V/m~100</w:t>
            </w:r>
            <w:r>
              <w:rPr>
                <w:rFonts w:hint="default" w:ascii="Times New Roman" w:hAnsi="Times New Roman" w:cs="Times New Roman"/>
                <w:color w:val="auto"/>
                <w:szCs w:val="21"/>
                <w:highlight w:val="none"/>
                <w:lang w:eastAsia="zh-CN"/>
              </w:rPr>
              <w:t>kV</w:t>
            </w:r>
            <w:r>
              <w:rPr>
                <w:rFonts w:hint="default" w:ascii="Times New Roman" w:hAnsi="Times New Roman" w:cs="Times New Roman"/>
                <w:color w:val="auto"/>
                <w:szCs w:val="21"/>
                <w:highlight w:val="none"/>
              </w:rPr>
              <w:t>/m</w:t>
            </w:r>
          </w:p>
          <w:p w14:paraId="0CABCBA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工频磁场：</w:t>
            </w:r>
          </w:p>
          <w:p w14:paraId="5EF67B83">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0.1</w:t>
            </w:r>
            <w:r>
              <w:rPr>
                <w:rFonts w:hint="default" w:ascii="Times New Roman" w:hAnsi="Times New Roman" w:cs="Times New Roman"/>
                <w:bCs/>
                <w:color w:val="auto"/>
                <w:szCs w:val="21"/>
                <w:highlight w:val="none"/>
              </w:rPr>
              <w:t>nT~</w:t>
            </w:r>
            <w:r>
              <w:rPr>
                <w:rFonts w:hint="default" w:ascii="Times New Roman" w:hAnsi="Times New Roman" w:cs="Times New Roman"/>
                <w:bCs/>
                <w:color w:val="auto"/>
                <w:szCs w:val="21"/>
                <w:highlight w:val="none"/>
                <w:lang w:val="en-US" w:eastAsia="zh-CN"/>
              </w:rPr>
              <w:t>10</w:t>
            </w:r>
            <w:r>
              <w:rPr>
                <w:rFonts w:hint="default" w:ascii="Times New Roman" w:hAnsi="Times New Roman" w:cs="Times New Roman"/>
                <w:bCs/>
                <w:color w:val="auto"/>
                <w:szCs w:val="21"/>
                <w:highlight w:val="none"/>
              </w:rPr>
              <w:t>mT</w:t>
            </w:r>
          </w:p>
        </w:tc>
        <w:tc>
          <w:tcPr>
            <w:tcW w:w="1074" w:type="dxa"/>
            <w:noWrap w:val="0"/>
            <w:vAlign w:val="center"/>
          </w:tcPr>
          <w:p w14:paraId="476058F4">
            <w:pPr>
              <w:jc w:val="center"/>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北京森馥科技有限公司</w:t>
            </w:r>
          </w:p>
        </w:tc>
        <w:tc>
          <w:tcPr>
            <w:tcW w:w="3242" w:type="dxa"/>
            <w:noWrap w:val="0"/>
            <w:vAlign w:val="center"/>
          </w:tcPr>
          <w:p w14:paraId="5CF1E140">
            <w:pPr>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出厂编号：G-2240/D-2238</w:t>
            </w:r>
          </w:p>
          <w:p w14:paraId="791690A8">
            <w:pPr>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设备编号：LT-DC03-1</w:t>
            </w:r>
          </w:p>
          <w:p w14:paraId="19960549">
            <w:pPr>
              <w:jc w:val="left"/>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rPr>
              <w:t>检定单位：</w:t>
            </w:r>
            <w:r>
              <w:rPr>
                <w:rFonts w:hint="default" w:ascii="Times New Roman" w:hAnsi="Times New Roman" w:cs="Times New Roman"/>
                <w:bCs/>
                <w:color w:val="auto"/>
                <w:szCs w:val="21"/>
                <w:highlight w:val="none"/>
                <w:lang w:eastAsia="zh-CN"/>
              </w:rPr>
              <w:t>深圳市计量质量检测研究院</w:t>
            </w:r>
          </w:p>
          <w:p w14:paraId="0335D048">
            <w:pPr>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检定证书号：JL2509223471</w:t>
            </w:r>
          </w:p>
          <w:p w14:paraId="3607FFBE">
            <w:pPr>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检定有效期：2025.9.22-2026.9.21</w:t>
            </w:r>
          </w:p>
        </w:tc>
      </w:tr>
    </w:tbl>
    <w:p w14:paraId="5DD7E20E">
      <w:pPr>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outlineLvl w:val="1"/>
        <w:rPr>
          <w:rFonts w:hint="default" w:ascii="Times New Roman" w:hAnsi="Times New Roman" w:eastAsia="宋体" w:cs="Times New Roman"/>
          <w:b/>
          <w:bCs w:val="0"/>
          <w:color w:val="auto"/>
          <w:spacing w:val="0"/>
          <w:kern w:val="2"/>
          <w:sz w:val="24"/>
          <w:szCs w:val="24"/>
          <w:highlight w:val="none"/>
          <w:lang w:val="en-US" w:eastAsia="zh-CN" w:bidi="ar"/>
        </w:rPr>
      </w:pPr>
      <w:bookmarkStart w:id="313" w:name="_Toc29851"/>
      <w:bookmarkStart w:id="314" w:name="_Toc17060"/>
      <w:r>
        <w:rPr>
          <w:rFonts w:hint="default" w:ascii="Times New Roman" w:hAnsi="Times New Roman" w:eastAsia="宋体" w:cs="Times New Roman"/>
          <w:b/>
          <w:bCs w:val="0"/>
          <w:color w:val="auto"/>
          <w:spacing w:val="0"/>
          <w:kern w:val="2"/>
          <w:sz w:val="24"/>
          <w:szCs w:val="24"/>
          <w:highlight w:val="none"/>
          <w:lang w:val="en-US" w:eastAsia="zh-CN" w:bidi="ar"/>
        </w:rPr>
        <w:t>5.</w:t>
      </w:r>
      <w:r>
        <w:rPr>
          <w:rFonts w:hint="default" w:ascii="Times New Roman" w:hAnsi="Times New Roman" w:cs="Times New Roman"/>
          <w:b/>
          <w:bCs w:val="0"/>
          <w:color w:val="auto"/>
          <w:spacing w:val="0"/>
          <w:kern w:val="2"/>
          <w:sz w:val="24"/>
          <w:szCs w:val="24"/>
          <w:highlight w:val="none"/>
          <w:lang w:val="en-US" w:eastAsia="zh-CN" w:bidi="ar"/>
        </w:rPr>
        <w:t>4</w:t>
      </w:r>
      <w:r>
        <w:rPr>
          <w:rFonts w:hint="default" w:ascii="Times New Roman" w:hAnsi="Times New Roman" w:eastAsia="宋体" w:cs="Times New Roman"/>
          <w:b/>
          <w:bCs w:val="0"/>
          <w:color w:val="auto"/>
          <w:spacing w:val="0"/>
          <w:kern w:val="2"/>
          <w:sz w:val="24"/>
          <w:szCs w:val="24"/>
          <w:highlight w:val="none"/>
          <w:lang w:val="en-US" w:eastAsia="zh-CN" w:bidi="ar"/>
        </w:rPr>
        <w:t>监测期间气象参数</w:t>
      </w:r>
      <w:bookmarkEnd w:id="313"/>
      <w:bookmarkEnd w:id="314"/>
    </w:p>
    <w:p w14:paraId="6E7E21A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电磁环境监测期</w:t>
      </w:r>
      <w:r>
        <w:rPr>
          <w:rFonts w:hint="default" w:ascii="Times New Roman" w:hAnsi="Times New Roman" w:cs="Times New Roman"/>
          <w:color w:val="auto"/>
          <w:sz w:val="24"/>
          <w:highlight w:val="none"/>
          <w:lang w:val="en-US" w:eastAsia="zh-CN"/>
        </w:rPr>
        <w:t>间</w:t>
      </w:r>
      <w:r>
        <w:rPr>
          <w:rFonts w:hint="default" w:ascii="Times New Roman" w:hAnsi="Times New Roman" w:cs="Times New Roman"/>
          <w:color w:val="auto"/>
          <w:sz w:val="24"/>
          <w:highlight w:val="none"/>
        </w:rPr>
        <w:t>气象参数见专题表5-</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w:t>
      </w:r>
    </w:p>
    <w:p w14:paraId="022F642D">
      <w:pPr>
        <w:spacing w:line="240" w:lineRule="auto"/>
        <w:ind w:firstLine="482" w:firstLineChars="200"/>
        <w:jc w:val="center"/>
        <w:rPr>
          <w:rFonts w:hint="default" w:ascii="Times New Roman" w:hAnsi="Times New Roman" w:eastAsia="黑体" w:cs="Times New Roman"/>
          <w:b/>
          <w:color w:val="auto"/>
          <w:sz w:val="24"/>
          <w:highlight w:val="none"/>
        </w:rPr>
      </w:pPr>
      <w:r>
        <w:rPr>
          <w:rFonts w:hint="default" w:ascii="Times New Roman" w:hAnsi="Times New Roman" w:eastAsia="黑体" w:cs="Times New Roman"/>
          <w:b/>
          <w:color w:val="auto"/>
          <w:sz w:val="24"/>
          <w:highlight w:val="none"/>
        </w:rPr>
        <w:t>专题表5-</w:t>
      </w:r>
      <w:r>
        <w:rPr>
          <w:rFonts w:hint="default" w:ascii="Times New Roman" w:hAnsi="Times New Roman" w:eastAsia="黑体" w:cs="Times New Roman"/>
          <w:b/>
          <w:color w:val="auto"/>
          <w:sz w:val="24"/>
          <w:highlight w:val="none"/>
          <w:lang w:val="en-US" w:eastAsia="zh-CN"/>
        </w:rPr>
        <w:t>2</w:t>
      </w:r>
      <w:r>
        <w:rPr>
          <w:rFonts w:hint="default" w:ascii="Times New Roman" w:hAnsi="Times New Roman" w:eastAsia="黑体" w:cs="Times New Roman"/>
          <w:b/>
          <w:color w:val="auto"/>
          <w:sz w:val="24"/>
          <w:highlight w:val="none"/>
        </w:rPr>
        <w:t xml:space="preserve">    电磁环境监测期</w:t>
      </w:r>
      <w:r>
        <w:rPr>
          <w:rFonts w:hint="default" w:ascii="Times New Roman" w:hAnsi="Times New Roman" w:eastAsia="黑体" w:cs="Times New Roman"/>
          <w:b/>
          <w:color w:val="auto"/>
          <w:sz w:val="24"/>
          <w:highlight w:val="none"/>
          <w:lang w:val="en-US" w:eastAsia="zh-CN"/>
        </w:rPr>
        <w:t>间</w:t>
      </w:r>
      <w:r>
        <w:rPr>
          <w:rFonts w:hint="default" w:ascii="Times New Roman" w:hAnsi="Times New Roman" w:eastAsia="黑体" w:cs="Times New Roman"/>
          <w:b/>
          <w:color w:val="auto"/>
          <w:sz w:val="24"/>
          <w:highlight w:val="none"/>
        </w:rPr>
        <w:t>气象参数表</w:t>
      </w:r>
    </w:p>
    <w:tbl>
      <w:tblPr>
        <w:tblStyle w:val="32"/>
        <w:tblW w:w="9014" w:type="dxa"/>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0"/>
        <w:gridCol w:w="1152"/>
        <w:gridCol w:w="742"/>
        <w:gridCol w:w="1266"/>
        <w:gridCol w:w="1793"/>
        <w:gridCol w:w="1433"/>
        <w:gridCol w:w="1408"/>
      </w:tblGrid>
      <w:tr w14:paraId="08BFCBE9">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792164B8">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监测日期</w:t>
            </w:r>
          </w:p>
        </w:tc>
        <w:tc>
          <w:tcPr>
            <w:tcW w:w="1087" w:type="dxa"/>
            <w:tcBorders>
              <w:tl2br w:val="nil"/>
              <w:tr2bl w:val="nil"/>
            </w:tcBorders>
            <w:noWrap w:val="0"/>
            <w:vAlign w:val="center"/>
          </w:tcPr>
          <w:p w14:paraId="3C64AA8E">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监测时段</w:t>
            </w:r>
          </w:p>
        </w:tc>
        <w:tc>
          <w:tcPr>
            <w:tcW w:w="700" w:type="dxa"/>
            <w:tcBorders>
              <w:tl2br w:val="nil"/>
              <w:tr2bl w:val="nil"/>
            </w:tcBorders>
            <w:noWrap w:val="0"/>
            <w:vAlign w:val="center"/>
          </w:tcPr>
          <w:p w14:paraId="71334E82">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天气</w:t>
            </w:r>
          </w:p>
        </w:tc>
        <w:tc>
          <w:tcPr>
            <w:tcW w:w="1194" w:type="dxa"/>
            <w:tcBorders>
              <w:tl2br w:val="nil"/>
              <w:tr2bl w:val="nil"/>
            </w:tcBorders>
            <w:noWrap w:val="0"/>
            <w:vAlign w:val="center"/>
          </w:tcPr>
          <w:p w14:paraId="7670926A">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气温（℃）</w:t>
            </w:r>
          </w:p>
        </w:tc>
        <w:tc>
          <w:tcPr>
            <w:tcW w:w="1692" w:type="dxa"/>
            <w:tcBorders>
              <w:tl2br w:val="nil"/>
              <w:tr2bl w:val="nil"/>
            </w:tcBorders>
            <w:noWrap w:val="0"/>
            <w:vAlign w:val="center"/>
          </w:tcPr>
          <w:p w14:paraId="5D019C9C">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相对湿度（%）</w:t>
            </w:r>
          </w:p>
        </w:tc>
        <w:tc>
          <w:tcPr>
            <w:tcW w:w="1352" w:type="dxa"/>
            <w:tcBorders>
              <w:tl2br w:val="nil"/>
              <w:tr2bl w:val="nil"/>
            </w:tcBorders>
            <w:noWrap w:val="0"/>
            <w:vAlign w:val="center"/>
          </w:tcPr>
          <w:p w14:paraId="4AC926E9">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气压（hPa）</w:t>
            </w:r>
          </w:p>
        </w:tc>
        <w:tc>
          <w:tcPr>
            <w:tcW w:w="1328" w:type="dxa"/>
            <w:tcBorders>
              <w:tl2br w:val="nil"/>
              <w:tr2bl w:val="nil"/>
            </w:tcBorders>
            <w:noWrap w:val="0"/>
            <w:vAlign w:val="center"/>
          </w:tcPr>
          <w:p w14:paraId="6BD68467">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u w:val="none" w:color="auto"/>
                <w:lang w:val="en-US" w:eastAsia="en-US"/>
              </w:rPr>
            </w:pPr>
            <w:r>
              <w:rPr>
                <w:rFonts w:hint="default" w:ascii="Times New Roman" w:hAnsi="Times New Roman" w:eastAsia="宋体" w:cs="Times New Roman"/>
                <w:b/>
                <w:bCs/>
                <w:color w:val="auto"/>
                <w:sz w:val="21"/>
                <w:szCs w:val="21"/>
                <w:u w:val="none" w:color="auto"/>
                <w:lang w:val="en-US" w:eastAsia="zh-CN"/>
              </w:rPr>
              <w:t>风速（m/s）</w:t>
            </w:r>
          </w:p>
        </w:tc>
      </w:tr>
      <w:tr w14:paraId="2991142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5D9F6CEF">
            <w:pPr>
              <w:keepNext w:val="0"/>
              <w:keepLines w:val="0"/>
              <w:pageBreakBefore w:val="0"/>
              <w:widowControl w:val="0"/>
              <w:kinsoku w:val="0"/>
              <w:wordWrap/>
              <w:overflowPunct/>
              <w:topLinePunct w:val="0"/>
              <w:autoSpaceDE w:val="0"/>
              <w:autoSpaceDN w:val="0"/>
              <w:bidi w:val="0"/>
              <w:adjustRightInd w:val="0"/>
              <w:snapToGrid w:val="0"/>
              <w:spacing w:line="22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2025.9.23</w:t>
            </w:r>
          </w:p>
        </w:tc>
        <w:tc>
          <w:tcPr>
            <w:tcW w:w="1087" w:type="dxa"/>
            <w:tcBorders>
              <w:tl2br w:val="nil"/>
              <w:tr2bl w:val="nil"/>
            </w:tcBorders>
            <w:noWrap w:val="0"/>
            <w:vAlign w:val="center"/>
          </w:tcPr>
          <w:p w14:paraId="454E6582">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昼间</w:t>
            </w:r>
          </w:p>
        </w:tc>
        <w:tc>
          <w:tcPr>
            <w:tcW w:w="700" w:type="dxa"/>
            <w:tcBorders>
              <w:tl2br w:val="nil"/>
              <w:tr2bl w:val="nil"/>
            </w:tcBorders>
            <w:noWrap w:val="0"/>
            <w:vAlign w:val="center"/>
          </w:tcPr>
          <w:p w14:paraId="6C4E8F4D">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晴</w:t>
            </w:r>
          </w:p>
        </w:tc>
        <w:tc>
          <w:tcPr>
            <w:tcW w:w="1194" w:type="dxa"/>
            <w:tcBorders>
              <w:tl2br w:val="nil"/>
              <w:tr2bl w:val="nil"/>
            </w:tcBorders>
            <w:noWrap w:val="0"/>
            <w:vAlign w:val="center"/>
          </w:tcPr>
          <w:p w14:paraId="74A20E4A">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27.4-29.5</w:t>
            </w:r>
          </w:p>
        </w:tc>
        <w:tc>
          <w:tcPr>
            <w:tcW w:w="1692" w:type="dxa"/>
            <w:tcBorders>
              <w:tl2br w:val="nil"/>
              <w:tr2bl w:val="nil"/>
            </w:tcBorders>
            <w:noWrap w:val="0"/>
            <w:vAlign w:val="center"/>
          </w:tcPr>
          <w:p w14:paraId="7727E0F7">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36.2-38.6</w:t>
            </w:r>
          </w:p>
        </w:tc>
        <w:tc>
          <w:tcPr>
            <w:tcW w:w="1352" w:type="dxa"/>
            <w:tcBorders>
              <w:tl2br w:val="nil"/>
              <w:tr2bl w:val="nil"/>
            </w:tcBorders>
            <w:noWrap w:val="0"/>
            <w:vAlign w:val="center"/>
          </w:tcPr>
          <w:p w14:paraId="6DD07B52">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812.3-814.1</w:t>
            </w:r>
          </w:p>
        </w:tc>
        <w:tc>
          <w:tcPr>
            <w:tcW w:w="1328" w:type="dxa"/>
            <w:tcBorders>
              <w:tl2br w:val="nil"/>
              <w:tr2bl w:val="nil"/>
            </w:tcBorders>
            <w:noWrap w:val="0"/>
            <w:vAlign w:val="center"/>
          </w:tcPr>
          <w:p w14:paraId="0F85C83E">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0.3-0.6</w:t>
            </w:r>
          </w:p>
        </w:tc>
      </w:tr>
      <w:tr w14:paraId="2FB4F6D4">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255663E1">
            <w:pPr>
              <w:keepNext w:val="0"/>
              <w:keepLines w:val="0"/>
              <w:pageBreakBefore w:val="0"/>
              <w:widowControl w:val="0"/>
              <w:kinsoku w:val="0"/>
              <w:wordWrap/>
              <w:overflowPunct/>
              <w:topLinePunct w:val="0"/>
              <w:autoSpaceDE w:val="0"/>
              <w:autoSpaceDN w:val="0"/>
              <w:bidi w:val="0"/>
              <w:adjustRightInd w:val="0"/>
              <w:snapToGrid w:val="0"/>
              <w:spacing w:line="22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2025.9.23</w:t>
            </w:r>
          </w:p>
        </w:tc>
        <w:tc>
          <w:tcPr>
            <w:tcW w:w="1087" w:type="dxa"/>
            <w:tcBorders>
              <w:tl2br w:val="nil"/>
              <w:tr2bl w:val="nil"/>
            </w:tcBorders>
            <w:noWrap w:val="0"/>
            <w:vAlign w:val="center"/>
          </w:tcPr>
          <w:p w14:paraId="30331462">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夜间</w:t>
            </w:r>
          </w:p>
        </w:tc>
        <w:tc>
          <w:tcPr>
            <w:tcW w:w="700" w:type="dxa"/>
            <w:tcBorders>
              <w:tl2br w:val="nil"/>
              <w:tr2bl w:val="nil"/>
            </w:tcBorders>
            <w:noWrap w:val="0"/>
            <w:vAlign w:val="center"/>
          </w:tcPr>
          <w:p w14:paraId="539A3349">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晴</w:t>
            </w:r>
          </w:p>
        </w:tc>
        <w:tc>
          <w:tcPr>
            <w:tcW w:w="1194" w:type="dxa"/>
            <w:tcBorders>
              <w:tl2br w:val="nil"/>
              <w:tr2bl w:val="nil"/>
            </w:tcBorders>
            <w:noWrap w:val="0"/>
            <w:vAlign w:val="center"/>
          </w:tcPr>
          <w:p w14:paraId="30DF8492">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23.3-25.1</w:t>
            </w:r>
          </w:p>
        </w:tc>
        <w:tc>
          <w:tcPr>
            <w:tcW w:w="1692" w:type="dxa"/>
            <w:tcBorders>
              <w:tl2br w:val="nil"/>
              <w:tr2bl w:val="nil"/>
            </w:tcBorders>
            <w:noWrap w:val="0"/>
            <w:vAlign w:val="center"/>
          </w:tcPr>
          <w:p w14:paraId="1C77214B">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39.5-41.4</w:t>
            </w:r>
          </w:p>
        </w:tc>
        <w:tc>
          <w:tcPr>
            <w:tcW w:w="1352" w:type="dxa"/>
            <w:tcBorders>
              <w:tl2br w:val="nil"/>
              <w:tr2bl w:val="nil"/>
            </w:tcBorders>
            <w:noWrap w:val="0"/>
            <w:vAlign w:val="center"/>
          </w:tcPr>
          <w:p w14:paraId="06D95F77">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815.7-817.3</w:t>
            </w:r>
          </w:p>
        </w:tc>
        <w:tc>
          <w:tcPr>
            <w:tcW w:w="1328" w:type="dxa"/>
            <w:tcBorders>
              <w:tl2br w:val="nil"/>
              <w:tr2bl w:val="nil"/>
            </w:tcBorders>
            <w:noWrap w:val="0"/>
            <w:vAlign w:val="center"/>
          </w:tcPr>
          <w:p w14:paraId="57E0AB73">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0.4-0.8</w:t>
            </w:r>
          </w:p>
        </w:tc>
      </w:tr>
      <w:tr w14:paraId="6B19835E">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79647E7E">
            <w:pPr>
              <w:keepNext w:val="0"/>
              <w:keepLines w:val="0"/>
              <w:pageBreakBefore w:val="0"/>
              <w:widowControl w:val="0"/>
              <w:kinsoku w:val="0"/>
              <w:wordWrap/>
              <w:overflowPunct/>
              <w:topLinePunct w:val="0"/>
              <w:autoSpaceDE w:val="0"/>
              <w:autoSpaceDN w:val="0"/>
              <w:bidi w:val="0"/>
              <w:adjustRightInd w:val="0"/>
              <w:snapToGrid w:val="0"/>
              <w:spacing w:line="22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2025.9.24</w:t>
            </w:r>
          </w:p>
        </w:tc>
        <w:tc>
          <w:tcPr>
            <w:tcW w:w="1087" w:type="dxa"/>
            <w:tcBorders>
              <w:tl2br w:val="nil"/>
              <w:tr2bl w:val="nil"/>
            </w:tcBorders>
            <w:noWrap w:val="0"/>
            <w:vAlign w:val="center"/>
          </w:tcPr>
          <w:p w14:paraId="4CC34DC9">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昼间</w:t>
            </w:r>
          </w:p>
        </w:tc>
        <w:tc>
          <w:tcPr>
            <w:tcW w:w="700" w:type="dxa"/>
            <w:tcBorders>
              <w:tl2br w:val="nil"/>
              <w:tr2bl w:val="nil"/>
            </w:tcBorders>
            <w:noWrap w:val="0"/>
            <w:vAlign w:val="center"/>
          </w:tcPr>
          <w:p w14:paraId="452DAE2D">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晴</w:t>
            </w:r>
          </w:p>
        </w:tc>
        <w:tc>
          <w:tcPr>
            <w:tcW w:w="1194" w:type="dxa"/>
            <w:tcBorders>
              <w:tl2br w:val="nil"/>
              <w:tr2bl w:val="nil"/>
            </w:tcBorders>
            <w:noWrap w:val="0"/>
            <w:vAlign w:val="center"/>
          </w:tcPr>
          <w:p w14:paraId="6D0534F7">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26.5-28.7</w:t>
            </w:r>
          </w:p>
        </w:tc>
        <w:tc>
          <w:tcPr>
            <w:tcW w:w="1692" w:type="dxa"/>
            <w:tcBorders>
              <w:tl2br w:val="nil"/>
              <w:tr2bl w:val="nil"/>
            </w:tcBorders>
            <w:noWrap w:val="0"/>
            <w:vAlign w:val="center"/>
          </w:tcPr>
          <w:p w14:paraId="1C5053A8">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39.2-41.7</w:t>
            </w:r>
          </w:p>
        </w:tc>
        <w:tc>
          <w:tcPr>
            <w:tcW w:w="1352" w:type="dxa"/>
            <w:tcBorders>
              <w:tl2br w:val="nil"/>
              <w:tr2bl w:val="nil"/>
            </w:tcBorders>
            <w:noWrap w:val="0"/>
            <w:vAlign w:val="center"/>
          </w:tcPr>
          <w:p w14:paraId="40573EB3">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813.8-815.6</w:t>
            </w:r>
          </w:p>
        </w:tc>
        <w:tc>
          <w:tcPr>
            <w:tcW w:w="1328" w:type="dxa"/>
            <w:tcBorders>
              <w:tl2br w:val="nil"/>
              <w:tr2bl w:val="nil"/>
            </w:tcBorders>
            <w:noWrap w:val="0"/>
            <w:vAlign w:val="center"/>
          </w:tcPr>
          <w:p w14:paraId="006579E1">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1.2-1.5</w:t>
            </w:r>
          </w:p>
        </w:tc>
      </w:tr>
      <w:tr w14:paraId="5A541E50">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1" w:type="dxa"/>
            <w:tcBorders>
              <w:tl2br w:val="nil"/>
              <w:tr2bl w:val="nil"/>
            </w:tcBorders>
            <w:noWrap w:val="0"/>
            <w:vAlign w:val="center"/>
          </w:tcPr>
          <w:p w14:paraId="74A2DAD4">
            <w:pPr>
              <w:keepNext w:val="0"/>
              <w:keepLines w:val="0"/>
              <w:pageBreakBefore w:val="0"/>
              <w:widowControl w:val="0"/>
              <w:kinsoku w:val="0"/>
              <w:wordWrap/>
              <w:overflowPunct/>
              <w:topLinePunct w:val="0"/>
              <w:autoSpaceDE w:val="0"/>
              <w:autoSpaceDN w:val="0"/>
              <w:bidi w:val="0"/>
              <w:adjustRightInd w:val="0"/>
              <w:snapToGrid w:val="0"/>
              <w:spacing w:line="22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2025.9.24</w:t>
            </w:r>
          </w:p>
        </w:tc>
        <w:tc>
          <w:tcPr>
            <w:tcW w:w="1087" w:type="dxa"/>
            <w:tcBorders>
              <w:tl2br w:val="nil"/>
              <w:tr2bl w:val="nil"/>
            </w:tcBorders>
            <w:noWrap w:val="0"/>
            <w:vAlign w:val="center"/>
          </w:tcPr>
          <w:p w14:paraId="5405C9C5">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夜间</w:t>
            </w:r>
          </w:p>
        </w:tc>
        <w:tc>
          <w:tcPr>
            <w:tcW w:w="700" w:type="dxa"/>
            <w:tcBorders>
              <w:tl2br w:val="nil"/>
              <w:tr2bl w:val="nil"/>
            </w:tcBorders>
            <w:noWrap w:val="0"/>
            <w:vAlign w:val="center"/>
          </w:tcPr>
          <w:p w14:paraId="47CFA186">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晴</w:t>
            </w:r>
          </w:p>
        </w:tc>
        <w:tc>
          <w:tcPr>
            <w:tcW w:w="1194" w:type="dxa"/>
            <w:tcBorders>
              <w:tl2br w:val="nil"/>
              <w:tr2bl w:val="nil"/>
            </w:tcBorders>
            <w:noWrap w:val="0"/>
            <w:vAlign w:val="center"/>
          </w:tcPr>
          <w:p w14:paraId="4A9DA26F">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22.4-24.8</w:t>
            </w:r>
          </w:p>
        </w:tc>
        <w:tc>
          <w:tcPr>
            <w:tcW w:w="1692" w:type="dxa"/>
            <w:tcBorders>
              <w:tl2br w:val="nil"/>
              <w:tr2bl w:val="nil"/>
            </w:tcBorders>
            <w:noWrap w:val="0"/>
            <w:vAlign w:val="center"/>
          </w:tcPr>
          <w:p w14:paraId="55CE2CC6">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42.4-44.6</w:t>
            </w:r>
          </w:p>
        </w:tc>
        <w:tc>
          <w:tcPr>
            <w:tcW w:w="1352" w:type="dxa"/>
            <w:tcBorders>
              <w:tl2br w:val="nil"/>
              <w:tr2bl w:val="nil"/>
            </w:tcBorders>
            <w:noWrap w:val="0"/>
            <w:vAlign w:val="center"/>
          </w:tcPr>
          <w:p w14:paraId="4ACB49BF">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816.8-818.5</w:t>
            </w:r>
          </w:p>
        </w:tc>
        <w:tc>
          <w:tcPr>
            <w:tcW w:w="1328" w:type="dxa"/>
            <w:tcBorders>
              <w:tl2br w:val="nil"/>
              <w:tr2bl w:val="nil"/>
            </w:tcBorders>
            <w:noWrap w:val="0"/>
            <w:vAlign w:val="center"/>
          </w:tcPr>
          <w:p w14:paraId="0B0C223B">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1.1-1.4</w:t>
            </w:r>
          </w:p>
        </w:tc>
      </w:tr>
    </w:tbl>
    <w:p w14:paraId="37742979">
      <w:pPr>
        <w:pStyle w:val="3"/>
        <w:keepNext/>
        <w:keepLines/>
        <w:pageBreakBefore w:val="0"/>
        <w:widowControl w:val="0"/>
        <w:kinsoku/>
        <w:wordWrap/>
        <w:overflowPunct/>
        <w:topLinePunct w:val="0"/>
        <w:autoSpaceDE/>
        <w:autoSpaceDN/>
        <w:bidi w:val="0"/>
        <w:adjustRightInd w:val="0"/>
        <w:snapToGrid w:val="0"/>
        <w:spacing w:before="157" w:beforeLines="50" w:beforeAutospacing="0" w:after="0" w:afterAutospacing="0" w:line="360" w:lineRule="auto"/>
        <w:jc w:val="both"/>
        <w:textAlignment w:val="auto"/>
        <w:rPr>
          <w:rFonts w:hint="default" w:ascii="Times New Roman" w:hAnsi="Times New Roman" w:cs="Times New Roman"/>
          <w:bCs w:val="0"/>
          <w:color w:val="auto"/>
          <w:spacing w:val="0"/>
          <w:kern w:val="2"/>
          <w:sz w:val="24"/>
          <w:szCs w:val="24"/>
          <w:highlight w:val="none"/>
        </w:rPr>
      </w:pPr>
      <w:bookmarkStart w:id="315" w:name="_Toc23430"/>
      <w:bookmarkStart w:id="316" w:name="_Toc6813"/>
      <w:r>
        <w:rPr>
          <w:rFonts w:hint="default" w:ascii="Times New Roman" w:hAnsi="Times New Roman" w:cs="Times New Roman"/>
          <w:bCs w:val="0"/>
          <w:color w:val="auto"/>
          <w:spacing w:val="0"/>
          <w:kern w:val="2"/>
          <w:sz w:val="24"/>
          <w:szCs w:val="24"/>
          <w:highlight w:val="none"/>
        </w:rPr>
        <w:t>5.</w:t>
      </w:r>
      <w:r>
        <w:rPr>
          <w:rFonts w:hint="default" w:ascii="Times New Roman" w:hAnsi="Times New Roman" w:cs="Times New Roman"/>
          <w:bCs w:val="0"/>
          <w:color w:val="auto"/>
          <w:spacing w:val="0"/>
          <w:kern w:val="2"/>
          <w:sz w:val="24"/>
          <w:szCs w:val="24"/>
          <w:highlight w:val="none"/>
          <w:lang w:val="en-US" w:eastAsia="zh-CN"/>
        </w:rPr>
        <w:t>5</w:t>
      </w:r>
      <w:r>
        <w:rPr>
          <w:rFonts w:hint="default" w:ascii="Times New Roman" w:hAnsi="Times New Roman" w:cs="Times New Roman"/>
          <w:bCs w:val="0"/>
          <w:color w:val="auto"/>
          <w:spacing w:val="0"/>
          <w:kern w:val="2"/>
          <w:sz w:val="24"/>
          <w:szCs w:val="24"/>
          <w:highlight w:val="none"/>
        </w:rPr>
        <w:t>质量控制</w:t>
      </w:r>
      <w:bookmarkEnd w:id="315"/>
      <w:bookmarkEnd w:id="316"/>
    </w:p>
    <w:p w14:paraId="3E4D1BC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⑴</w:t>
      </w:r>
      <w:r>
        <w:rPr>
          <w:rFonts w:hint="default" w:ascii="Times New Roman" w:hAnsi="Times New Roman" w:cs="Times New Roman"/>
          <w:color w:val="auto"/>
          <w:sz w:val="24"/>
          <w:highlight w:val="none"/>
        </w:rPr>
        <w:t>每次监测前，按仪器使用要求，对仪器进行校准。</w:t>
      </w:r>
    </w:p>
    <w:p w14:paraId="58E4D7D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⑵</w:t>
      </w:r>
      <w:r>
        <w:rPr>
          <w:rFonts w:hint="default" w:ascii="Times New Roman" w:hAnsi="Times New Roman" w:cs="Times New Roman"/>
          <w:color w:val="auto"/>
          <w:sz w:val="24"/>
          <w:highlight w:val="none"/>
        </w:rPr>
        <w:t>监测地点选在地势较平坦，尽量远离高大建筑物和树木、电力线和通信设施的地方。</w:t>
      </w:r>
    </w:p>
    <w:p w14:paraId="6E8532F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⑶</w:t>
      </w:r>
      <w:r>
        <w:rPr>
          <w:rFonts w:hint="default" w:ascii="Times New Roman" w:hAnsi="Times New Roman" w:cs="Times New Roman"/>
          <w:color w:val="auto"/>
          <w:sz w:val="24"/>
          <w:highlight w:val="none"/>
        </w:rPr>
        <w:t>监测人员与天线的相对位置应不影响测量读数，其他人员和设备应远离测试场地。</w:t>
      </w:r>
    </w:p>
    <w:p w14:paraId="4B597C8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⑷</w:t>
      </w:r>
      <w:r>
        <w:rPr>
          <w:rFonts w:hint="default" w:ascii="Times New Roman" w:hAnsi="Times New Roman" w:cs="Times New Roman"/>
          <w:color w:val="auto"/>
          <w:sz w:val="24"/>
          <w:highlight w:val="none"/>
        </w:rPr>
        <w:t>监测仪器经校验，并在有效期内。</w:t>
      </w:r>
    </w:p>
    <w:p w14:paraId="70BA6BF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⑸</w:t>
      </w:r>
      <w:r>
        <w:rPr>
          <w:rFonts w:hint="default" w:ascii="Times New Roman" w:hAnsi="Times New Roman" w:cs="Times New Roman"/>
          <w:color w:val="auto"/>
          <w:sz w:val="24"/>
          <w:highlight w:val="none"/>
        </w:rPr>
        <w:t>监测的条件符合技术规范的要求。</w:t>
      </w:r>
    </w:p>
    <w:p w14:paraId="402639B9">
      <w:pPr>
        <w:pStyle w:val="3"/>
        <w:keepNext/>
        <w:keepLines/>
        <w:spacing w:before="0" w:beforeAutospacing="0" w:after="0" w:afterAutospacing="0" w:line="360" w:lineRule="auto"/>
        <w:jc w:val="both"/>
        <w:rPr>
          <w:rFonts w:hint="default" w:ascii="Times New Roman" w:hAnsi="Times New Roman" w:cs="Times New Roman"/>
          <w:bCs w:val="0"/>
          <w:color w:val="auto"/>
          <w:spacing w:val="0"/>
          <w:kern w:val="2"/>
          <w:sz w:val="24"/>
          <w:szCs w:val="24"/>
          <w:highlight w:val="none"/>
        </w:rPr>
      </w:pPr>
      <w:bookmarkStart w:id="317" w:name="_Toc4198"/>
      <w:bookmarkStart w:id="318" w:name="_Toc17686"/>
      <w:r>
        <w:rPr>
          <w:rFonts w:hint="default" w:ascii="Times New Roman" w:hAnsi="Times New Roman" w:cs="Times New Roman"/>
          <w:bCs w:val="0"/>
          <w:color w:val="auto"/>
          <w:spacing w:val="0"/>
          <w:kern w:val="2"/>
          <w:sz w:val="24"/>
          <w:szCs w:val="24"/>
          <w:highlight w:val="none"/>
        </w:rPr>
        <w:t>5.</w:t>
      </w:r>
      <w:r>
        <w:rPr>
          <w:rFonts w:hint="default" w:ascii="Times New Roman" w:hAnsi="Times New Roman" w:cs="Times New Roman"/>
          <w:bCs w:val="0"/>
          <w:color w:val="auto"/>
          <w:spacing w:val="0"/>
          <w:kern w:val="2"/>
          <w:sz w:val="24"/>
          <w:szCs w:val="24"/>
          <w:highlight w:val="none"/>
          <w:lang w:val="en-US" w:eastAsia="zh-CN"/>
        </w:rPr>
        <w:t>6监测布点及监测结果</w:t>
      </w:r>
      <w:bookmarkEnd w:id="317"/>
      <w:bookmarkEnd w:id="318"/>
    </w:p>
    <w:p w14:paraId="71149D8B">
      <w:pPr>
        <w:spacing w:line="360" w:lineRule="auto"/>
        <w:ind w:firstLine="46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根据《环境影响评价技术导则 输变电》（HJ24-2020）要求，监测点位包括电磁环境敏感目标、输电线路路径，需对沿线电磁环境现状进行监测，尽量沿线路路径均匀布点，兼顾行政区、环境特征及各子工程的代表性，本次共布设</w:t>
      </w:r>
      <w:r>
        <w:rPr>
          <w:rFonts w:hint="default" w:ascii="Times New Roman" w:hAnsi="Times New Roman" w:cs="Times New Roman"/>
          <w:color w:val="auto"/>
          <w:sz w:val="24"/>
          <w:highlight w:val="none"/>
          <w:lang w:val="en-US" w:eastAsia="zh-CN"/>
        </w:rPr>
        <w:t>14</w:t>
      </w:r>
      <w:r>
        <w:rPr>
          <w:rFonts w:hint="default" w:ascii="Times New Roman" w:hAnsi="Times New Roman" w:cs="Times New Roman"/>
          <w:color w:val="auto"/>
          <w:sz w:val="24"/>
          <w:highlight w:val="none"/>
        </w:rPr>
        <w:t>个监测点。</w:t>
      </w:r>
    </w:p>
    <w:p w14:paraId="0373B609">
      <w:pPr>
        <w:adjustRightInd w:val="0"/>
        <w:snapToGrid w:val="0"/>
        <w:spacing w:line="360" w:lineRule="auto"/>
        <w:ind w:firstLine="480" w:firstLineChars="200"/>
        <w:jc w:val="both"/>
        <w:rPr>
          <w:rFonts w:hint="default" w:ascii="Times New Roman" w:hAnsi="Times New Roman" w:cs="Times New Roman"/>
          <w:color w:val="auto"/>
          <w:kern w:val="0"/>
          <w:sz w:val="24"/>
        </w:rPr>
      </w:pPr>
      <w:r>
        <w:rPr>
          <w:rFonts w:hint="default" w:ascii="Times New Roman" w:hAnsi="Times New Roman" w:cs="Times New Roman"/>
          <w:color w:val="auto"/>
          <w:sz w:val="24"/>
          <w:highlight w:val="none"/>
          <w:lang w:eastAsia="zh-CN"/>
        </w:rPr>
        <w:t>⑴</w:t>
      </w:r>
      <w:r>
        <w:rPr>
          <w:rFonts w:hint="default" w:ascii="Times New Roman" w:hAnsi="Times New Roman" w:eastAsia="宋体" w:cs="Times New Roman"/>
          <w:color w:val="auto"/>
          <w:sz w:val="24"/>
          <w:highlight w:val="none"/>
          <w:lang w:val="en-US" w:eastAsia="zh-CN"/>
        </w:rPr>
        <w:t>间隔扩建：</w:t>
      </w:r>
      <w:r>
        <w:rPr>
          <w:rFonts w:hint="default" w:ascii="Times New Roman" w:hAnsi="Times New Roman" w:cs="Times New Roman"/>
          <w:color w:val="auto"/>
          <w:kern w:val="0"/>
          <w:sz w:val="24"/>
        </w:rPr>
        <w:t>在</w:t>
      </w:r>
      <w:r>
        <w:rPr>
          <w:rFonts w:hint="default" w:ascii="Times New Roman" w:hAnsi="Times New Roman" w:cs="Times New Roman"/>
          <w:color w:val="auto"/>
          <w:kern w:val="0"/>
          <w:sz w:val="24"/>
          <w:lang w:val="en-US" w:eastAsia="zh-CN"/>
        </w:rPr>
        <w:t>云雾山</w:t>
      </w:r>
      <w:r>
        <w:rPr>
          <w:rFonts w:hint="default" w:ascii="Times New Roman" w:hAnsi="Times New Roman" w:cs="Times New Roman"/>
          <w:color w:val="auto"/>
          <w:kern w:val="0"/>
          <w:sz w:val="24"/>
        </w:rPr>
        <w:t>330</w:t>
      </w:r>
      <w:r>
        <w:rPr>
          <w:rFonts w:hint="default" w:ascii="Times New Roman" w:hAnsi="Times New Roman" w:cs="Times New Roman"/>
          <w:color w:val="auto"/>
          <w:sz w:val="24"/>
          <w:lang w:eastAsia="zh-CN"/>
        </w:rPr>
        <w:t>千伏</w:t>
      </w:r>
      <w:r>
        <w:rPr>
          <w:rFonts w:hint="default" w:ascii="Times New Roman" w:hAnsi="Times New Roman" w:cs="Times New Roman"/>
          <w:color w:val="auto"/>
          <w:kern w:val="0"/>
          <w:sz w:val="24"/>
        </w:rPr>
        <w:t>变电站厂界外侧1m处</w:t>
      </w:r>
      <w:r>
        <w:rPr>
          <w:rFonts w:hint="default" w:ascii="Times New Roman" w:hAnsi="Times New Roman" w:eastAsia="宋体" w:cs="Times New Roman"/>
          <w:color w:val="auto"/>
          <w:kern w:val="0"/>
          <w:sz w:val="24"/>
          <w:highlight w:val="none"/>
          <w:lang w:val="en-US" w:eastAsia="zh-CN"/>
        </w:rPr>
        <w:t>布设监测点</w:t>
      </w:r>
      <w:r>
        <w:rPr>
          <w:rFonts w:hint="default" w:ascii="Times New Roman" w:hAnsi="Times New Roman" w:cs="Times New Roman"/>
          <w:color w:val="auto"/>
          <w:kern w:val="0"/>
          <w:sz w:val="24"/>
        </w:rPr>
        <w:t>，共布设</w:t>
      </w:r>
      <w:r>
        <w:rPr>
          <w:rFonts w:hint="default" w:ascii="Times New Roman" w:hAnsi="Times New Roman" w:cs="Times New Roman"/>
          <w:color w:val="auto"/>
          <w:kern w:val="0"/>
          <w:sz w:val="24"/>
          <w:lang w:val="en-US" w:eastAsia="zh-CN"/>
        </w:rPr>
        <w:t>4</w:t>
      </w:r>
      <w:r>
        <w:rPr>
          <w:rFonts w:hint="default" w:ascii="Times New Roman" w:hAnsi="Times New Roman" w:cs="Times New Roman"/>
          <w:color w:val="auto"/>
          <w:kern w:val="0"/>
          <w:sz w:val="24"/>
        </w:rPr>
        <w:t>个监测点。</w:t>
      </w:r>
    </w:p>
    <w:p w14:paraId="3F26D145">
      <w:pPr>
        <w:adjustRightInd w:val="0"/>
        <w:snapToGrid w:val="0"/>
        <w:spacing w:line="240" w:lineRule="auto"/>
        <w:jc w:val="both"/>
        <w:rPr>
          <w:rFonts w:hint="eastAsia" w:ascii="Times New Roman" w:hAnsi="Times New Roman" w:eastAsia="宋体" w:cs="Times New Roman"/>
          <w:color w:val="auto"/>
          <w:kern w:val="0"/>
          <w:sz w:val="24"/>
          <w:lang w:eastAsia="zh-CN"/>
        </w:rPr>
      </w:pPr>
      <w:r>
        <w:rPr>
          <w:rFonts w:hint="eastAsia" w:ascii="Times New Roman" w:hAnsi="Times New Roman" w:eastAsia="宋体" w:cs="Times New Roman"/>
          <w:color w:val="auto"/>
          <w:kern w:val="0"/>
          <w:sz w:val="24"/>
          <w:lang w:eastAsia="zh-CN"/>
        </w:rPr>
        <w:drawing>
          <wp:inline distT="0" distB="0" distL="114300" distR="114300">
            <wp:extent cx="5754370" cy="4034155"/>
            <wp:effectExtent l="0" t="0" r="17780" b="4445"/>
            <wp:docPr id="53" name="图片 53" descr="电磁专题图5-1  云雾山变电站电磁环境现状监测点位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电磁专题图5-1  云雾山变电站电磁环境现状监测点位图副本"/>
                    <pic:cNvPicPr>
                      <a:picLocks noChangeAspect="1"/>
                    </pic:cNvPicPr>
                  </pic:nvPicPr>
                  <pic:blipFill>
                    <a:blip r:embed="rId62"/>
                    <a:stretch>
                      <a:fillRect/>
                    </a:stretch>
                  </pic:blipFill>
                  <pic:spPr>
                    <a:xfrm>
                      <a:off x="0" y="0"/>
                      <a:ext cx="5754370" cy="4034155"/>
                    </a:xfrm>
                    <a:prstGeom prst="rect">
                      <a:avLst/>
                    </a:prstGeom>
                  </pic:spPr>
                </pic:pic>
              </a:graphicData>
            </a:graphic>
          </wp:inline>
        </w:drawing>
      </w:r>
    </w:p>
    <w:p w14:paraId="7C09DB1C">
      <w:pPr>
        <w:adjustRightInd w:val="0"/>
        <w:snapToGrid w:val="0"/>
        <w:spacing w:line="360" w:lineRule="auto"/>
        <w:jc w:val="center"/>
        <w:rPr>
          <w:rFonts w:hint="default" w:ascii="Times New Roman" w:hAnsi="Times New Roman" w:eastAsia="宋体" w:cs="Times New Roman"/>
          <w:color w:val="auto"/>
          <w:kern w:val="0"/>
          <w:sz w:val="24"/>
          <w:lang w:val="en-US" w:eastAsia="zh-CN"/>
        </w:rPr>
      </w:pPr>
      <w:r>
        <w:rPr>
          <w:rFonts w:hint="eastAsia" w:cs="Times New Roman"/>
          <w:b/>
          <w:bCs/>
          <w:color w:val="auto"/>
          <w:kern w:val="0"/>
          <w:sz w:val="24"/>
          <w:lang w:val="en-US" w:eastAsia="zh-CN"/>
        </w:rPr>
        <w:t xml:space="preserve">图5-1  </w:t>
      </w:r>
      <w:r>
        <w:rPr>
          <w:rFonts w:hint="default" w:ascii="Times New Roman" w:hAnsi="Times New Roman" w:cs="Times New Roman"/>
          <w:b/>
          <w:bCs/>
          <w:color w:val="auto"/>
          <w:kern w:val="0"/>
          <w:sz w:val="24"/>
          <w:lang w:val="en-US" w:eastAsia="zh-CN"/>
        </w:rPr>
        <w:t>云雾山</w:t>
      </w:r>
      <w:r>
        <w:rPr>
          <w:rFonts w:hint="default" w:ascii="Times New Roman" w:hAnsi="Times New Roman" w:cs="Times New Roman"/>
          <w:b/>
          <w:bCs/>
          <w:color w:val="auto"/>
          <w:kern w:val="0"/>
          <w:sz w:val="24"/>
        </w:rPr>
        <w:t>330</w:t>
      </w:r>
      <w:r>
        <w:rPr>
          <w:rFonts w:hint="default" w:ascii="Times New Roman" w:hAnsi="Times New Roman" w:cs="Times New Roman"/>
          <w:b/>
          <w:bCs/>
          <w:color w:val="auto"/>
          <w:sz w:val="24"/>
          <w:lang w:eastAsia="zh-CN"/>
        </w:rPr>
        <w:t>千伏</w:t>
      </w:r>
      <w:r>
        <w:rPr>
          <w:rFonts w:hint="default" w:ascii="Times New Roman" w:hAnsi="Times New Roman" w:cs="Times New Roman"/>
          <w:b/>
          <w:bCs/>
          <w:color w:val="auto"/>
          <w:kern w:val="0"/>
          <w:sz w:val="24"/>
        </w:rPr>
        <w:t>变电站</w:t>
      </w:r>
      <w:r>
        <w:rPr>
          <w:rFonts w:hint="eastAsia" w:cs="Times New Roman"/>
          <w:b/>
          <w:bCs/>
          <w:color w:val="auto"/>
          <w:kern w:val="0"/>
          <w:sz w:val="24"/>
          <w:lang w:val="en-US" w:eastAsia="zh-CN"/>
        </w:rPr>
        <w:t>电磁环境监测点位图</w:t>
      </w:r>
    </w:p>
    <w:p w14:paraId="4A354DC2">
      <w:pPr>
        <w:spacing w:line="360" w:lineRule="auto"/>
        <w:ind w:firstLine="465"/>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sz w:val="24"/>
          <w:highlight w:val="none"/>
          <w:lang w:eastAsia="zh-CN"/>
        </w:rPr>
        <w:t>⑵</w:t>
      </w:r>
      <w:r>
        <w:rPr>
          <w:rFonts w:hint="default" w:ascii="Times New Roman" w:hAnsi="Times New Roman" w:eastAsia="宋体" w:cs="Times New Roman"/>
          <w:color w:val="auto"/>
          <w:sz w:val="24"/>
          <w:highlight w:val="none"/>
          <w:lang w:val="en-US" w:eastAsia="zh-CN"/>
        </w:rPr>
        <w:t>输电线路</w:t>
      </w:r>
      <w:r>
        <w:rPr>
          <w:rFonts w:hint="default" w:ascii="Times New Roman" w:hAnsi="Times New Roman" w:eastAsia="宋体" w:cs="Times New Roman"/>
          <w:color w:val="auto"/>
          <w:kern w:val="0"/>
          <w:sz w:val="24"/>
          <w:highlight w:val="none"/>
        </w:rPr>
        <w:t>：</w:t>
      </w:r>
      <w:r>
        <w:rPr>
          <w:rFonts w:hint="default" w:ascii="Times New Roman" w:hAnsi="Times New Roman" w:cs="Times New Roman"/>
          <w:color w:val="auto"/>
          <w:kern w:val="0"/>
          <w:sz w:val="24"/>
          <w:highlight w:val="none"/>
          <w:lang w:val="en-US" w:eastAsia="zh-CN"/>
        </w:rPr>
        <w:t>本项目</w:t>
      </w:r>
      <w:r>
        <w:rPr>
          <w:rFonts w:hint="default" w:ascii="Times New Roman" w:hAnsi="Times New Roman" w:eastAsia="宋体" w:cs="Times New Roman"/>
          <w:color w:val="auto"/>
          <w:sz w:val="24"/>
          <w:highlight w:val="none"/>
        </w:rPr>
        <w:t>输电线路</w:t>
      </w:r>
      <w:r>
        <w:rPr>
          <w:rFonts w:hint="default" w:ascii="Times New Roman" w:hAnsi="Times New Roman" w:cs="Times New Roman"/>
          <w:color w:val="auto"/>
          <w:kern w:val="0"/>
          <w:sz w:val="24"/>
          <w:highlight w:val="none"/>
          <w:lang w:val="en-US" w:eastAsia="zh-CN"/>
        </w:rPr>
        <w:t>位于宁夏回族自治区固原市原州区、彭阳县，行政区划涉及固原市原州区河川乡、彭阳县王洼镇和交岔乡</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监测点布设尽量沿线路路径均匀布点，距离地面1.5m的位置，</w:t>
      </w:r>
      <w:r>
        <w:rPr>
          <w:rFonts w:hint="default" w:ascii="Times New Roman" w:hAnsi="Times New Roman" w:eastAsia="宋体" w:cs="Times New Roman"/>
          <w:color w:val="auto"/>
          <w:kern w:val="0"/>
          <w:sz w:val="24"/>
          <w:highlight w:val="none"/>
          <w:lang w:val="en-US" w:eastAsia="zh-CN"/>
        </w:rPr>
        <w:t>选择有代表性的监测点进行监测，本次在拟建架空线路双回路单侧挂线段（</w:t>
      </w:r>
      <w:r>
        <w:rPr>
          <w:rFonts w:hint="default" w:ascii="Times New Roman" w:hAnsi="Times New Roman" w:cs="Times New Roman"/>
          <w:color w:val="auto"/>
          <w:kern w:val="0"/>
          <w:sz w:val="24"/>
          <w:highlight w:val="none"/>
          <w:lang w:val="en-US" w:eastAsia="zh-CN"/>
        </w:rPr>
        <w:t>原州区河川乡</w:t>
      </w:r>
      <w:r>
        <w:rPr>
          <w:rFonts w:hint="default" w:ascii="Times New Roman" w:hAnsi="Times New Roman" w:eastAsia="宋体" w:cs="Times New Roman"/>
          <w:color w:val="auto"/>
          <w:kern w:val="0"/>
          <w:sz w:val="24"/>
          <w:highlight w:val="none"/>
          <w:lang w:val="en-US" w:eastAsia="zh-CN"/>
        </w:rPr>
        <w:t>）、单回路段（</w:t>
      </w:r>
      <w:r>
        <w:rPr>
          <w:rFonts w:hint="default" w:ascii="Times New Roman" w:hAnsi="Times New Roman" w:cs="Times New Roman"/>
          <w:color w:val="auto"/>
          <w:kern w:val="0"/>
          <w:sz w:val="24"/>
          <w:highlight w:val="none"/>
          <w:lang w:val="en-US" w:eastAsia="zh-CN"/>
        </w:rPr>
        <w:t>彭阳县</w:t>
      </w:r>
      <w:r>
        <w:rPr>
          <w:rFonts w:hint="default" w:ascii="Times New Roman" w:hAnsi="Times New Roman" w:eastAsia="宋体" w:cs="Times New Roman"/>
          <w:snapToGrid w:val="0"/>
          <w:color w:val="auto"/>
          <w:kern w:val="0"/>
          <w:sz w:val="24"/>
          <w:szCs w:val="24"/>
          <w:lang w:val="en-US" w:eastAsia="zh-CN" w:bidi="ar-SA"/>
        </w:rPr>
        <w:t>王洼镇</w:t>
      </w:r>
      <w:r>
        <w:rPr>
          <w:rFonts w:hint="default" w:ascii="Times New Roman" w:hAnsi="Times New Roman" w:eastAsia="宋体" w:cs="Times New Roman"/>
          <w:color w:val="auto"/>
          <w:kern w:val="0"/>
          <w:sz w:val="24"/>
          <w:highlight w:val="none"/>
          <w:lang w:val="en-US" w:eastAsia="zh-CN"/>
        </w:rPr>
        <w:t>）、单回路段（</w:t>
      </w:r>
      <w:r>
        <w:rPr>
          <w:rFonts w:hint="default" w:ascii="Times New Roman" w:hAnsi="Times New Roman" w:cs="Times New Roman"/>
          <w:color w:val="auto"/>
          <w:kern w:val="0"/>
          <w:sz w:val="24"/>
          <w:highlight w:val="none"/>
          <w:lang w:val="en-US" w:eastAsia="zh-CN"/>
        </w:rPr>
        <w:t>彭阳县交岔乡</w:t>
      </w:r>
      <w:r>
        <w:rPr>
          <w:rFonts w:hint="default" w:ascii="Times New Roman" w:hAnsi="Times New Roman" w:eastAsia="宋体"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zh-CN" w:bidi="ar-SA"/>
        </w:rPr>
        <w:t>钻越±1100</w:t>
      </w:r>
      <w:r>
        <w:rPr>
          <w:rFonts w:hint="default" w:ascii="Times New Roman" w:hAnsi="Times New Roman" w:cs="Times New Roman"/>
          <w:color w:val="auto"/>
          <w:sz w:val="24"/>
          <w:szCs w:val="24"/>
          <w:lang w:val="en-US" w:eastAsia="zh-CN"/>
        </w:rPr>
        <w:t>千伏</w:t>
      </w:r>
      <w:r>
        <w:rPr>
          <w:rFonts w:hint="default" w:ascii="Times New Roman" w:hAnsi="Times New Roman" w:eastAsia="宋体" w:cs="Times New Roman"/>
          <w:snapToGrid w:val="0"/>
          <w:color w:val="auto"/>
          <w:kern w:val="0"/>
          <w:sz w:val="24"/>
          <w:szCs w:val="24"/>
          <w:lang w:val="en-US" w:eastAsia="zh-CN" w:bidi="ar-SA"/>
        </w:rPr>
        <w:t>吉泉线处</w:t>
      </w:r>
      <w:r>
        <w:rPr>
          <w:rFonts w:hint="default" w:ascii="Times New Roman" w:hAnsi="Times New Roman" w:eastAsia="宋体"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zh-CN" w:bidi="ar-SA"/>
        </w:rPr>
        <w:t>钻越110</w:t>
      </w:r>
      <w:r>
        <w:rPr>
          <w:rFonts w:hint="default" w:ascii="Times New Roman" w:hAnsi="Times New Roman" w:cs="Times New Roman"/>
          <w:color w:val="auto"/>
          <w:sz w:val="24"/>
          <w:szCs w:val="24"/>
          <w:lang w:val="en-US" w:eastAsia="zh-CN"/>
        </w:rPr>
        <w:t>千伏</w:t>
      </w:r>
      <w:r>
        <w:rPr>
          <w:rFonts w:hint="default" w:ascii="Times New Roman" w:hAnsi="Times New Roman" w:eastAsia="宋体" w:cs="Times New Roman"/>
          <w:snapToGrid w:val="0"/>
          <w:color w:val="auto"/>
          <w:kern w:val="0"/>
          <w:sz w:val="24"/>
          <w:szCs w:val="24"/>
          <w:lang w:val="en-US" w:eastAsia="zh-CN" w:bidi="ar-SA"/>
        </w:rPr>
        <w:t>清李I线处</w:t>
      </w:r>
      <w:r>
        <w:rPr>
          <w:rFonts w:hint="default" w:ascii="Times New Roman" w:hAnsi="Times New Roman" w:eastAsia="宋体"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zh-CN" w:bidi="ar-SA"/>
        </w:rPr>
        <w:t>钻越110</w:t>
      </w:r>
      <w:r>
        <w:rPr>
          <w:rFonts w:hint="default" w:ascii="Times New Roman" w:hAnsi="Times New Roman" w:cs="Times New Roman"/>
          <w:color w:val="auto"/>
          <w:sz w:val="24"/>
          <w:szCs w:val="24"/>
          <w:lang w:val="en-US" w:eastAsia="zh-CN"/>
        </w:rPr>
        <w:t>千伏</w:t>
      </w:r>
      <w:r>
        <w:rPr>
          <w:rFonts w:hint="default" w:ascii="Times New Roman" w:hAnsi="Times New Roman" w:eastAsia="宋体" w:cs="Times New Roman"/>
          <w:snapToGrid w:val="0"/>
          <w:color w:val="auto"/>
          <w:kern w:val="0"/>
          <w:sz w:val="24"/>
          <w:szCs w:val="24"/>
          <w:lang w:val="en-US" w:eastAsia="zh-CN" w:bidi="ar-SA"/>
        </w:rPr>
        <w:t>至李线</w:t>
      </w:r>
      <w:r>
        <w:rPr>
          <w:rFonts w:hint="default" w:ascii="Times New Roman" w:hAnsi="Times New Roman" w:eastAsia="宋体" w:cs="Times New Roman"/>
          <w:color w:val="auto"/>
          <w:kern w:val="0"/>
          <w:sz w:val="24"/>
          <w:highlight w:val="none"/>
          <w:lang w:val="en-US" w:eastAsia="zh-CN"/>
        </w:rPr>
        <w:t>布设监测点，共计6个监测点。</w:t>
      </w:r>
    </w:p>
    <w:p w14:paraId="7F5ED9F0">
      <w:pPr>
        <w:adjustRightInd w:val="0"/>
        <w:snapToGrid w:val="0"/>
        <w:spacing w:line="360" w:lineRule="auto"/>
        <w:ind w:firstLine="480" w:firstLineChars="200"/>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sz w:val="24"/>
          <w:highlight w:val="none"/>
          <w:lang w:val="en-US" w:eastAsia="zh-CN"/>
        </w:rPr>
        <w:t>⑶电磁环境敏感目标：</w:t>
      </w:r>
      <w:r>
        <w:rPr>
          <w:rFonts w:hint="default" w:ascii="Times New Roman" w:hAnsi="Times New Roman" w:cs="Times New Roman"/>
          <w:color w:val="auto"/>
          <w:kern w:val="0"/>
          <w:sz w:val="24"/>
          <w:highlight w:val="none"/>
        </w:rPr>
        <w:t>①</w:t>
      </w:r>
      <w:r>
        <w:rPr>
          <w:rFonts w:hint="eastAsia" w:cs="Times New Roman"/>
          <w:color w:val="auto"/>
          <w:kern w:val="0"/>
          <w:sz w:val="24"/>
          <w:highlight w:val="none"/>
          <w:lang w:val="en-US" w:eastAsia="zh-CN"/>
        </w:rPr>
        <w:t>云雾山330千伏变电站电磁评价范围内不涉及电磁敏感目标。</w:t>
      </w:r>
      <w:r>
        <w:rPr>
          <w:rFonts w:hint="default" w:ascii="Times New Roman" w:hAnsi="Times New Roman" w:cs="Times New Roman"/>
          <w:color w:val="auto"/>
          <w:kern w:val="0"/>
          <w:sz w:val="24"/>
          <w:highlight w:val="none"/>
        </w:rPr>
        <w:t>②</w:t>
      </w:r>
      <w:r>
        <w:rPr>
          <w:rFonts w:hint="eastAsia" w:cs="Times New Roman"/>
          <w:color w:val="auto"/>
          <w:kern w:val="0"/>
          <w:sz w:val="24"/>
          <w:highlight w:val="none"/>
          <w:lang w:val="en-US" w:eastAsia="zh-CN"/>
        </w:rPr>
        <w:t>输电线路：新建线路在固原市原州区不涉及电磁敏感目标，但在彭阳县王洼镇和彭阳县王洼乡均涉及电磁敏感目标，本次在新建线路电磁敏感目标处</w:t>
      </w:r>
      <w:r>
        <w:rPr>
          <w:rFonts w:hint="default" w:ascii="Times New Roman" w:hAnsi="Times New Roman" w:eastAsia="宋体" w:cs="Times New Roman"/>
          <w:color w:val="auto"/>
          <w:kern w:val="0"/>
          <w:sz w:val="24"/>
          <w:highlight w:val="none"/>
          <w:lang w:val="en-US" w:eastAsia="zh-CN"/>
        </w:rPr>
        <w:t>布设监测点</w:t>
      </w:r>
      <w:r>
        <w:rPr>
          <w:rFonts w:hint="eastAsia" w:eastAsia="宋体" w:cs="Times New Roman"/>
          <w:color w:val="auto"/>
          <w:kern w:val="0"/>
          <w:sz w:val="24"/>
          <w:highlight w:val="none"/>
          <w:lang w:val="en-US" w:eastAsia="zh-CN"/>
        </w:rPr>
        <w:t>，共布设4</w:t>
      </w:r>
      <w:r>
        <w:rPr>
          <w:rFonts w:hint="default" w:ascii="Times New Roman" w:hAnsi="Times New Roman" w:eastAsia="宋体" w:cs="Times New Roman"/>
          <w:color w:val="auto"/>
          <w:kern w:val="0"/>
          <w:sz w:val="24"/>
          <w:highlight w:val="none"/>
          <w:lang w:val="en-US" w:eastAsia="zh-CN"/>
        </w:rPr>
        <w:t>个监测点</w:t>
      </w:r>
      <w:r>
        <w:rPr>
          <w:rFonts w:hint="eastAsia" w:cs="Times New Roman"/>
          <w:color w:val="auto"/>
          <w:kern w:val="0"/>
          <w:sz w:val="24"/>
          <w:highlight w:val="none"/>
          <w:lang w:val="en-US" w:eastAsia="zh-CN"/>
        </w:rPr>
        <w:t>。</w:t>
      </w:r>
      <w:r>
        <w:rPr>
          <w:rFonts w:hint="default" w:ascii="Times New Roman" w:hAnsi="Times New Roman" w:eastAsia="宋体" w:cs="Times New Roman"/>
          <w:color w:val="auto"/>
          <w:sz w:val="24"/>
          <w:highlight w:val="none"/>
          <w:lang w:eastAsia="zh-CN"/>
        </w:rPr>
        <w:t>③</w:t>
      </w:r>
      <w:r>
        <w:rPr>
          <w:rFonts w:hint="eastAsia" w:cs="Times New Roman"/>
          <w:color w:val="auto"/>
          <w:kern w:val="0"/>
          <w:sz w:val="24"/>
          <w:highlight w:val="none"/>
          <w:lang w:val="en-US" w:eastAsia="zh-CN"/>
        </w:rPr>
        <w:t>抬高改造工程位于彭阳县境内，不涉及电磁环境敏感目标。因此，本项目共设置4个声敏感目标监测点，具体</w:t>
      </w:r>
      <w:r>
        <w:rPr>
          <w:rFonts w:hint="default" w:ascii="Times New Roman" w:hAnsi="Times New Roman" w:cs="Times New Roman"/>
          <w:color w:val="auto"/>
          <w:sz w:val="24"/>
          <w:highlight w:val="none"/>
          <w:lang w:val="en-US" w:eastAsia="zh-CN"/>
        </w:rPr>
        <w:t>在声敏感目标处</w:t>
      </w:r>
      <w:r>
        <w:rPr>
          <w:rFonts w:hint="default" w:ascii="Times New Roman" w:hAnsi="Times New Roman" w:eastAsia="宋体" w:cs="Times New Roman"/>
          <w:color w:val="auto"/>
          <w:kern w:val="0"/>
          <w:sz w:val="24"/>
          <w:highlight w:val="none"/>
          <w:lang w:val="en-US" w:eastAsia="zh-CN"/>
        </w:rPr>
        <w:t>布设监测点，监测点选在距离本项目较近的环境敏感目标建筑物户外，距离墙壁1m处，距离地面1.5m的位置。</w:t>
      </w:r>
    </w:p>
    <w:p w14:paraId="6D68A875">
      <w:pPr>
        <w:adjustRightInd w:val="0"/>
        <w:snapToGrid w:val="0"/>
        <w:spacing w:line="240" w:lineRule="auto"/>
        <w:jc w:val="center"/>
        <w:rPr>
          <w:rFonts w:hint="eastAsia" w:cs="Times New Roman"/>
          <w:b/>
          <w:bCs/>
          <w:color w:val="auto"/>
          <w:kern w:val="0"/>
          <w:sz w:val="24"/>
          <w:lang w:val="en-US" w:eastAsia="zh-CN"/>
        </w:rPr>
      </w:pPr>
      <w:r>
        <w:rPr>
          <w:rFonts w:hint="eastAsia" w:cs="Times New Roman"/>
          <w:b/>
          <w:bCs/>
          <w:color w:val="auto"/>
          <w:kern w:val="0"/>
          <w:sz w:val="24"/>
          <w:lang w:val="en-US" w:eastAsia="zh-CN"/>
        </w:rPr>
        <w:drawing>
          <wp:inline distT="0" distB="0" distL="114300" distR="114300">
            <wp:extent cx="5759450" cy="7452995"/>
            <wp:effectExtent l="0" t="0" r="12700" b="14605"/>
            <wp:docPr id="54" name="图片 54" descr="电磁专题图5-2  输电线路电磁环境现状监测点位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电磁专题图5-2  输电线路电磁环境现状监测点位图副本"/>
                    <pic:cNvPicPr>
                      <a:picLocks noChangeAspect="1"/>
                    </pic:cNvPicPr>
                  </pic:nvPicPr>
                  <pic:blipFill>
                    <a:blip r:embed="rId63"/>
                    <a:stretch>
                      <a:fillRect/>
                    </a:stretch>
                  </pic:blipFill>
                  <pic:spPr>
                    <a:xfrm>
                      <a:off x="0" y="0"/>
                      <a:ext cx="5759450" cy="7452995"/>
                    </a:xfrm>
                    <a:prstGeom prst="rect">
                      <a:avLst/>
                    </a:prstGeom>
                  </pic:spPr>
                </pic:pic>
              </a:graphicData>
            </a:graphic>
          </wp:inline>
        </w:drawing>
      </w:r>
    </w:p>
    <w:p w14:paraId="2C6F0F49">
      <w:pPr>
        <w:adjustRightInd w:val="0"/>
        <w:snapToGrid w:val="0"/>
        <w:spacing w:line="360" w:lineRule="auto"/>
        <w:jc w:val="center"/>
        <w:rPr>
          <w:rFonts w:hint="default" w:ascii="Times New Roman" w:hAnsi="Times New Roman" w:eastAsia="宋体" w:cs="Times New Roman"/>
          <w:color w:val="auto"/>
          <w:kern w:val="0"/>
          <w:sz w:val="24"/>
          <w:lang w:val="en-US" w:eastAsia="zh-CN"/>
        </w:rPr>
      </w:pPr>
      <w:r>
        <w:rPr>
          <w:rFonts w:hint="eastAsia" w:cs="Times New Roman"/>
          <w:b/>
          <w:bCs/>
          <w:color w:val="auto"/>
          <w:kern w:val="0"/>
          <w:sz w:val="24"/>
          <w:lang w:val="en-US" w:eastAsia="zh-CN"/>
        </w:rPr>
        <w:t>图5-2  输电线路电磁环境监测点位图</w:t>
      </w:r>
    </w:p>
    <w:p w14:paraId="318DF7E7">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电磁环境现状监测结果见专题表5-</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w:t>
      </w:r>
    </w:p>
    <w:p w14:paraId="2DB43DA5">
      <w:pPr>
        <w:adjustRightInd w:val="0"/>
        <w:snapToGrid w:val="0"/>
        <w:spacing w:line="240" w:lineRule="auto"/>
        <w:jc w:val="center"/>
        <w:rPr>
          <w:rFonts w:hint="default" w:ascii="Times New Roman" w:hAnsi="Times New Roman" w:eastAsia="黑体" w:cs="Times New Roman"/>
          <w:b/>
          <w:color w:val="auto"/>
          <w:sz w:val="24"/>
          <w:highlight w:val="none"/>
        </w:rPr>
      </w:pPr>
      <w:r>
        <w:rPr>
          <w:rFonts w:hint="default" w:ascii="Times New Roman" w:hAnsi="Times New Roman" w:eastAsia="黑体" w:cs="Times New Roman"/>
          <w:b/>
          <w:color w:val="auto"/>
          <w:sz w:val="24"/>
          <w:highlight w:val="none"/>
        </w:rPr>
        <w:t>专题表5-</w:t>
      </w:r>
      <w:r>
        <w:rPr>
          <w:rFonts w:hint="default" w:ascii="Times New Roman" w:hAnsi="Times New Roman" w:eastAsia="黑体" w:cs="Times New Roman"/>
          <w:b/>
          <w:color w:val="auto"/>
          <w:sz w:val="24"/>
          <w:highlight w:val="none"/>
          <w:lang w:val="en-US" w:eastAsia="zh-CN"/>
        </w:rPr>
        <w:t>3</w:t>
      </w:r>
      <w:r>
        <w:rPr>
          <w:rFonts w:hint="default" w:ascii="Times New Roman" w:hAnsi="Times New Roman" w:eastAsia="黑体" w:cs="Times New Roman"/>
          <w:b/>
          <w:color w:val="auto"/>
          <w:sz w:val="24"/>
          <w:highlight w:val="none"/>
        </w:rPr>
        <w:t xml:space="preserve">  </w:t>
      </w:r>
      <w:r>
        <w:rPr>
          <w:rFonts w:hint="default" w:ascii="Times New Roman" w:hAnsi="Times New Roman" w:eastAsia="黑体" w:cs="Times New Roman"/>
          <w:b/>
          <w:color w:val="auto"/>
          <w:sz w:val="24"/>
          <w:highlight w:val="none"/>
          <w:lang w:val="en-US" w:eastAsia="zh-CN"/>
        </w:rPr>
        <w:t xml:space="preserve"> </w:t>
      </w:r>
      <w:r>
        <w:rPr>
          <w:rFonts w:hint="default" w:ascii="Times New Roman" w:hAnsi="Times New Roman" w:eastAsia="黑体" w:cs="Times New Roman"/>
          <w:b/>
          <w:color w:val="auto"/>
          <w:sz w:val="24"/>
          <w:highlight w:val="none"/>
        </w:rPr>
        <w:t xml:space="preserve"> 本项目电磁环境现状监测结果统计表</w:t>
      </w:r>
    </w:p>
    <w:tbl>
      <w:tblPr>
        <w:tblStyle w:val="31"/>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3"/>
        <w:gridCol w:w="724"/>
        <w:gridCol w:w="783"/>
        <w:gridCol w:w="2737"/>
        <w:gridCol w:w="738"/>
        <w:gridCol w:w="884"/>
        <w:gridCol w:w="805"/>
        <w:gridCol w:w="819"/>
        <w:gridCol w:w="691"/>
      </w:tblGrid>
      <w:tr w14:paraId="3E686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173" w:type="dxa"/>
            <w:vMerge w:val="restart"/>
            <w:noWrap w:val="0"/>
            <w:vAlign w:val="center"/>
          </w:tcPr>
          <w:p w14:paraId="71F9E99F">
            <w:pPr>
              <w:adjustRightInd w:val="0"/>
              <w:snapToGrid w:val="0"/>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线路所在</w:t>
            </w:r>
            <w:r>
              <w:rPr>
                <w:rFonts w:hint="default" w:ascii="Times New Roman" w:hAnsi="Times New Roman" w:eastAsia="宋体" w:cs="Times New Roman"/>
                <w:b/>
                <w:bCs/>
                <w:color w:val="auto"/>
                <w:kern w:val="0"/>
                <w:sz w:val="21"/>
                <w:szCs w:val="21"/>
                <w:highlight w:val="none"/>
                <w:lang w:eastAsia="zh-CN"/>
              </w:rPr>
              <w:t>行政区域</w:t>
            </w:r>
          </w:p>
        </w:tc>
        <w:tc>
          <w:tcPr>
            <w:tcW w:w="724" w:type="dxa"/>
            <w:vMerge w:val="restart"/>
            <w:noWrap w:val="0"/>
            <w:vAlign w:val="center"/>
          </w:tcPr>
          <w:p w14:paraId="7B7A5DEB">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测点</w:t>
            </w:r>
          </w:p>
          <w:p w14:paraId="73118C22">
            <w:pPr>
              <w:adjustRightInd w:val="0"/>
              <w:snapToGrid w:val="0"/>
              <w:jc w:val="center"/>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rPr>
              <w:t>序号</w:t>
            </w:r>
          </w:p>
        </w:tc>
        <w:tc>
          <w:tcPr>
            <w:tcW w:w="3520" w:type="dxa"/>
            <w:gridSpan w:val="2"/>
            <w:vMerge w:val="restart"/>
            <w:noWrap w:val="0"/>
            <w:vAlign w:val="center"/>
          </w:tcPr>
          <w:p w14:paraId="1AD5ABA6">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lang w:eastAsia="zh-CN"/>
              </w:rPr>
              <w:t>监测</w:t>
            </w:r>
            <w:r>
              <w:rPr>
                <w:rFonts w:hint="default" w:ascii="Times New Roman" w:hAnsi="Times New Roman" w:eastAsia="宋体" w:cs="Times New Roman"/>
                <w:b/>
                <w:bCs/>
                <w:color w:val="auto"/>
                <w:kern w:val="0"/>
                <w:sz w:val="21"/>
                <w:szCs w:val="21"/>
                <w:highlight w:val="none"/>
              </w:rPr>
              <w:t>点位</w:t>
            </w:r>
          </w:p>
        </w:tc>
        <w:tc>
          <w:tcPr>
            <w:tcW w:w="738" w:type="dxa"/>
            <w:vMerge w:val="restart"/>
            <w:noWrap w:val="0"/>
            <w:vAlign w:val="center"/>
          </w:tcPr>
          <w:p w14:paraId="33287C73">
            <w:pPr>
              <w:adjustRightInd w:val="0"/>
              <w:snapToGrid w:val="0"/>
              <w:jc w:val="center"/>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eastAsia="zh-CN"/>
              </w:rPr>
              <w:t>测量</w:t>
            </w:r>
          </w:p>
          <w:p w14:paraId="28B14E11">
            <w:pPr>
              <w:adjustRightInd w:val="0"/>
              <w:snapToGrid w:val="0"/>
              <w:jc w:val="center"/>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eastAsia="zh-CN"/>
              </w:rPr>
              <w:t>高度（</w:t>
            </w:r>
            <w:r>
              <w:rPr>
                <w:rFonts w:hint="default" w:ascii="Times New Roman" w:hAnsi="Times New Roman" w:eastAsia="宋体" w:cs="Times New Roman"/>
                <w:b/>
                <w:bCs/>
                <w:color w:val="auto"/>
                <w:kern w:val="0"/>
                <w:sz w:val="21"/>
                <w:szCs w:val="21"/>
                <w:highlight w:val="none"/>
                <w:lang w:val="en-US" w:eastAsia="zh-CN"/>
              </w:rPr>
              <w:t>m</w:t>
            </w:r>
            <w:r>
              <w:rPr>
                <w:rFonts w:hint="default" w:ascii="Times New Roman" w:hAnsi="Times New Roman" w:eastAsia="宋体" w:cs="Times New Roman"/>
                <w:b/>
                <w:bCs/>
                <w:color w:val="auto"/>
                <w:kern w:val="0"/>
                <w:sz w:val="21"/>
                <w:szCs w:val="21"/>
                <w:highlight w:val="none"/>
                <w:lang w:eastAsia="zh-CN"/>
              </w:rPr>
              <w:t>）</w:t>
            </w:r>
          </w:p>
        </w:tc>
        <w:tc>
          <w:tcPr>
            <w:tcW w:w="1689" w:type="dxa"/>
            <w:gridSpan w:val="2"/>
            <w:noWrap w:val="0"/>
            <w:vAlign w:val="center"/>
          </w:tcPr>
          <w:p w14:paraId="4C15504C">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工频电场强度（V/m）</w:t>
            </w:r>
          </w:p>
        </w:tc>
        <w:tc>
          <w:tcPr>
            <w:tcW w:w="1510" w:type="dxa"/>
            <w:gridSpan w:val="2"/>
            <w:noWrap w:val="0"/>
            <w:vAlign w:val="center"/>
          </w:tcPr>
          <w:p w14:paraId="46C69B61">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工频磁场强度（μT）</w:t>
            </w:r>
          </w:p>
        </w:tc>
      </w:tr>
      <w:tr w14:paraId="73C09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173" w:type="dxa"/>
            <w:vMerge w:val="continue"/>
            <w:noWrap w:val="0"/>
            <w:vAlign w:val="center"/>
          </w:tcPr>
          <w:p w14:paraId="5E6AC73D">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724" w:type="dxa"/>
            <w:vMerge w:val="continue"/>
            <w:noWrap w:val="0"/>
            <w:vAlign w:val="center"/>
          </w:tcPr>
          <w:p w14:paraId="7470A831">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3520" w:type="dxa"/>
            <w:gridSpan w:val="2"/>
            <w:vMerge w:val="continue"/>
            <w:noWrap w:val="0"/>
            <w:vAlign w:val="center"/>
          </w:tcPr>
          <w:p w14:paraId="7AA43132">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738" w:type="dxa"/>
            <w:vMerge w:val="continue"/>
            <w:noWrap w:val="0"/>
            <w:vAlign w:val="center"/>
          </w:tcPr>
          <w:p w14:paraId="2D87149E">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884" w:type="dxa"/>
            <w:noWrap w:val="0"/>
            <w:vAlign w:val="center"/>
          </w:tcPr>
          <w:p w14:paraId="6077C918">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监测值</w:t>
            </w:r>
          </w:p>
        </w:tc>
        <w:tc>
          <w:tcPr>
            <w:tcW w:w="805" w:type="dxa"/>
            <w:noWrap w:val="0"/>
            <w:vAlign w:val="center"/>
          </w:tcPr>
          <w:p w14:paraId="72847E48">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标准值</w:t>
            </w:r>
          </w:p>
        </w:tc>
        <w:tc>
          <w:tcPr>
            <w:tcW w:w="819" w:type="dxa"/>
            <w:noWrap w:val="0"/>
            <w:vAlign w:val="center"/>
          </w:tcPr>
          <w:p w14:paraId="285EB66B">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监测值</w:t>
            </w:r>
          </w:p>
        </w:tc>
        <w:tc>
          <w:tcPr>
            <w:tcW w:w="691" w:type="dxa"/>
            <w:noWrap w:val="0"/>
            <w:vAlign w:val="center"/>
          </w:tcPr>
          <w:p w14:paraId="54199667">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标准值</w:t>
            </w:r>
          </w:p>
        </w:tc>
      </w:tr>
      <w:tr w14:paraId="6C004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173" w:type="dxa"/>
            <w:vMerge w:val="restart"/>
            <w:noWrap w:val="0"/>
            <w:vAlign w:val="center"/>
          </w:tcPr>
          <w:p w14:paraId="288D049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固原</w:t>
            </w:r>
            <w:r>
              <w:rPr>
                <w:rFonts w:hint="default" w:ascii="Times New Roman" w:hAnsi="Times New Roman" w:eastAsia="宋体" w:cs="Times New Roman"/>
                <w:color w:val="auto"/>
                <w:sz w:val="21"/>
                <w:szCs w:val="21"/>
                <w:highlight w:val="none"/>
              </w:rPr>
              <w:t>市</w:t>
            </w:r>
          </w:p>
          <w:p w14:paraId="6D091AFE">
            <w:pPr>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原州区</w:t>
            </w:r>
          </w:p>
        </w:tc>
        <w:tc>
          <w:tcPr>
            <w:tcW w:w="724" w:type="dxa"/>
            <w:noWrap w:val="0"/>
            <w:vAlign w:val="center"/>
          </w:tcPr>
          <w:p w14:paraId="128622F0">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783" w:type="dxa"/>
            <w:vMerge w:val="restart"/>
            <w:noWrap w:val="0"/>
            <w:vAlign w:val="center"/>
          </w:tcPr>
          <w:p w14:paraId="28747928">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云雾山330千伏变电站</w:t>
            </w:r>
          </w:p>
        </w:tc>
        <w:tc>
          <w:tcPr>
            <w:tcW w:w="2737" w:type="dxa"/>
            <w:noWrap w:val="0"/>
            <w:vAlign w:val="center"/>
          </w:tcPr>
          <w:p w14:paraId="20C07BB2">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云雾山330千伏变电站东侧</w:t>
            </w:r>
          </w:p>
        </w:tc>
        <w:tc>
          <w:tcPr>
            <w:tcW w:w="738" w:type="dxa"/>
            <w:noWrap w:val="0"/>
            <w:vAlign w:val="center"/>
          </w:tcPr>
          <w:p w14:paraId="1C268EB8">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0C804326">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0.624</w:t>
            </w:r>
          </w:p>
        </w:tc>
        <w:tc>
          <w:tcPr>
            <w:tcW w:w="805" w:type="dxa"/>
            <w:vMerge w:val="restart"/>
            <w:noWrap w:val="0"/>
            <w:vAlign w:val="center"/>
          </w:tcPr>
          <w:p w14:paraId="5A11E2CB">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4000</w:t>
            </w:r>
          </w:p>
        </w:tc>
        <w:tc>
          <w:tcPr>
            <w:tcW w:w="819" w:type="dxa"/>
            <w:noWrap w:val="0"/>
            <w:vAlign w:val="center"/>
          </w:tcPr>
          <w:p w14:paraId="7A1C7B2E">
            <w:pPr>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0.0827</w:t>
            </w:r>
          </w:p>
        </w:tc>
        <w:tc>
          <w:tcPr>
            <w:tcW w:w="691" w:type="dxa"/>
            <w:vMerge w:val="restart"/>
            <w:noWrap w:val="0"/>
            <w:vAlign w:val="center"/>
          </w:tcPr>
          <w:p w14:paraId="3DDEF980">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100</w:t>
            </w:r>
          </w:p>
        </w:tc>
      </w:tr>
      <w:tr w14:paraId="5C41BC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173" w:type="dxa"/>
            <w:vMerge w:val="continue"/>
            <w:noWrap w:val="0"/>
            <w:vAlign w:val="center"/>
          </w:tcPr>
          <w:p w14:paraId="0D11F4C9">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724" w:type="dxa"/>
            <w:noWrap w:val="0"/>
            <w:vAlign w:val="center"/>
          </w:tcPr>
          <w:p w14:paraId="3FA26082">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783" w:type="dxa"/>
            <w:vMerge w:val="continue"/>
            <w:noWrap w:val="0"/>
            <w:vAlign w:val="center"/>
          </w:tcPr>
          <w:p w14:paraId="342D694B">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2737" w:type="dxa"/>
            <w:noWrap w:val="0"/>
            <w:vAlign w:val="center"/>
          </w:tcPr>
          <w:p w14:paraId="6449B3EA">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云雾山330千伏变电站南侧（110千伏配电装置西起第19个出线间隔）</w:t>
            </w:r>
          </w:p>
        </w:tc>
        <w:tc>
          <w:tcPr>
            <w:tcW w:w="738" w:type="dxa"/>
            <w:noWrap w:val="0"/>
            <w:vAlign w:val="center"/>
          </w:tcPr>
          <w:p w14:paraId="204CDA44">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1264C05E">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1.032</w:t>
            </w:r>
          </w:p>
        </w:tc>
        <w:tc>
          <w:tcPr>
            <w:tcW w:w="805" w:type="dxa"/>
            <w:vMerge w:val="continue"/>
            <w:noWrap w:val="0"/>
            <w:vAlign w:val="center"/>
          </w:tcPr>
          <w:p w14:paraId="57195E8E">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819" w:type="dxa"/>
            <w:noWrap w:val="0"/>
            <w:vAlign w:val="center"/>
          </w:tcPr>
          <w:p w14:paraId="37DD74DB">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0.0853</w:t>
            </w:r>
          </w:p>
        </w:tc>
        <w:tc>
          <w:tcPr>
            <w:tcW w:w="691" w:type="dxa"/>
            <w:vMerge w:val="continue"/>
            <w:noWrap w:val="0"/>
            <w:vAlign w:val="center"/>
          </w:tcPr>
          <w:p w14:paraId="3500194B">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030451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jc w:val="center"/>
        </w:trPr>
        <w:tc>
          <w:tcPr>
            <w:tcW w:w="1173" w:type="dxa"/>
            <w:vMerge w:val="continue"/>
            <w:noWrap w:val="0"/>
            <w:vAlign w:val="center"/>
          </w:tcPr>
          <w:p w14:paraId="6CF00276">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724" w:type="dxa"/>
            <w:noWrap w:val="0"/>
            <w:vAlign w:val="center"/>
          </w:tcPr>
          <w:p w14:paraId="4281AF8C">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w:t>
            </w:r>
          </w:p>
        </w:tc>
        <w:tc>
          <w:tcPr>
            <w:tcW w:w="783" w:type="dxa"/>
            <w:vMerge w:val="continue"/>
            <w:noWrap w:val="0"/>
            <w:vAlign w:val="center"/>
          </w:tcPr>
          <w:p w14:paraId="0D9A25BA">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2737" w:type="dxa"/>
            <w:noWrap w:val="0"/>
            <w:vAlign w:val="center"/>
          </w:tcPr>
          <w:p w14:paraId="50E99ED7">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云雾山330千伏变电站西侧</w:t>
            </w:r>
          </w:p>
        </w:tc>
        <w:tc>
          <w:tcPr>
            <w:tcW w:w="738" w:type="dxa"/>
            <w:noWrap w:val="0"/>
            <w:vAlign w:val="center"/>
          </w:tcPr>
          <w:p w14:paraId="25A46413">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6ED6F7E5">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0.424</w:t>
            </w:r>
          </w:p>
        </w:tc>
        <w:tc>
          <w:tcPr>
            <w:tcW w:w="805" w:type="dxa"/>
            <w:vMerge w:val="continue"/>
            <w:noWrap w:val="0"/>
            <w:vAlign w:val="center"/>
          </w:tcPr>
          <w:p w14:paraId="43C9C829">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819" w:type="dxa"/>
            <w:noWrap w:val="0"/>
            <w:vAlign w:val="center"/>
          </w:tcPr>
          <w:p w14:paraId="3C078A1C">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0.0829</w:t>
            </w:r>
          </w:p>
        </w:tc>
        <w:tc>
          <w:tcPr>
            <w:tcW w:w="691" w:type="dxa"/>
            <w:vMerge w:val="continue"/>
            <w:noWrap w:val="0"/>
            <w:vAlign w:val="center"/>
          </w:tcPr>
          <w:p w14:paraId="0E25445E">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49A235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173" w:type="dxa"/>
            <w:vMerge w:val="continue"/>
            <w:noWrap w:val="0"/>
            <w:vAlign w:val="center"/>
          </w:tcPr>
          <w:p w14:paraId="2EAF2594">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724" w:type="dxa"/>
            <w:noWrap w:val="0"/>
            <w:vAlign w:val="center"/>
          </w:tcPr>
          <w:p w14:paraId="49F7F5A4">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4</w:t>
            </w:r>
            <w:r>
              <w:rPr>
                <w:rFonts w:hint="default" w:ascii="Times New Roman" w:hAnsi="Times New Roman" w:eastAsia="宋体" w:cs="Times New Roman"/>
                <w:color w:val="auto"/>
                <w:kern w:val="0"/>
                <w:sz w:val="21"/>
                <w:szCs w:val="21"/>
                <w:highlight w:val="none"/>
              </w:rPr>
              <w:t>#</w:t>
            </w:r>
          </w:p>
        </w:tc>
        <w:tc>
          <w:tcPr>
            <w:tcW w:w="783" w:type="dxa"/>
            <w:vMerge w:val="continue"/>
            <w:noWrap w:val="0"/>
            <w:vAlign w:val="center"/>
          </w:tcPr>
          <w:p w14:paraId="6DD9557E">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2737" w:type="dxa"/>
            <w:noWrap w:val="0"/>
            <w:vAlign w:val="center"/>
          </w:tcPr>
          <w:p w14:paraId="1BCCC031">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云雾山330千伏变电站北侧</w:t>
            </w:r>
          </w:p>
        </w:tc>
        <w:tc>
          <w:tcPr>
            <w:tcW w:w="738" w:type="dxa"/>
            <w:noWrap w:val="0"/>
            <w:vAlign w:val="center"/>
          </w:tcPr>
          <w:p w14:paraId="1190EE34">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55D17A5C">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0.254</w:t>
            </w:r>
          </w:p>
        </w:tc>
        <w:tc>
          <w:tcPr>
            <w:tcW w:w="805" w:type="dxa"/>
            <w:vMerge w:val="continue"/>
            <w:noWrap w:val="0"/>
            <w:vAlign w:val="center"/>
          </w:tcPr>
          <w:p w14:paraId="3627CF65">
            <w:pPr>
              <w:adjustRightInd w:val="0"/>
              <w:snapToGrid w:val="0"/>
              <w:jc w:val="center"/>
              <w:rPr>
                <w:rFonts w:hint="default" w:ascii="Times New Roman" w:hAnsi="Times New Roman" w:eastAsia="宋体" w:cs="Times New Roman"/>
                <w:b/>
                <w:bCs/>
                <w:color w:val="auto"/>
                <w:kern w:val="0"/>
                <w:sz w:val="21"/>
                <w:szCs w:val="21"/>
                <w:highlight w:val="none"/>
              </w:rPr>
            </w:pPr>
          </w:p>
        </w:tc>
        <w:tc>
          <w:tcPr>
            <w:tcW w:w="819" w:type="dxa"/>
            <w:noWrap w:val="0"/>
            <w:vAlign w:val="center"/>
          </w:tcPr>
          <w:p w14:paraId="40F6C36D">
            <w:pPr>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snapToGrid w:val="0"/>
                <w:color w:val="auto"/>
                <w:kern w:val="0"/>
                <w:sz w:val="21"/>
                <w:szCs w:val="21"/>
                <w:lang w:val="en-US" w:eastAsia="zh-CN" w:bidi="ar-SA"/>
              </w:rPr>
              <w:t>0.0853</w:t>
            </w:r>
          </w:p>
        </w:tc>
        <w:tc>
          <w:tcPr>
            <w:tcW w:w="691" w:type="dxa"/>
            <w:vMerge w:val="continue"/>
            <w:noWrap w:val="0"/>
            <w:vAlign w:val="center"/>
          </w:tcPr>
          <w:p w14:paraId="3E0D674D">
            <w:pPr>
              <w:adjustRightInd w:val="0"/>
              <w:snapToGrid w:val="0"/>
              <w:jc w:val="center"/>
              <w:rPr>
                <w:rFonts w:hint="default" w:ascii="Times New Roman" w:hAnsi="Times New Roman" w:eastAsia="宋体" w:cs="Times New Roman"/>
                <w:b/>
                <w:bCs/>
                <w:color w:val="auto"/>
                <w:kern w:val="0"/>
                <w:sz w:val="21"/>
                <w:szCs w:val="21"/>
                <w:highlight w:val="none"/>
              </w:rPr>
            </w:pPr>
          </w:p>
        </w:tc>
      </w:tr>
      <w:tr w14:paraId="77397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38" w:hRule="atLeast"/>
          <w:jc w:val="center"/>
        </w:trPr>
        <w:tc>
          <w:tcPr>
            <w:tcW w:w="1173" w:type="dxa"/>
            <w:noWrap w:val="0"/>
            <w:vAlign w:val="center"/>
          </w:tcPr>
          <w:p w14:paraId="66B9763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固原</w:t>
            </w:r>
            <w:r>
              <w:rPr>
                <w:rFonts w:hint="default" w:ascii="Times New Roman" w:hAnsi="Times New Roman" w:eastAsia="宋体" w:cs="Times New Roman"/>
                <w:color w:val="auto"/>
                <w:sz w:val="21"/>
                <w:szCs w:val="21"/>
                <w:highlight w:val="none"/>
              </w:rPr>
              <w:t>市</w:t>
            </w:r>
          </w:p>
          <w:p w14:paraId="7DD5480B">
            <w:pPr>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原州区</w:t>
            </w:r>
          </w:p>
        </w:tc>
        <w:tc>
          <w:tcPr>
            <w:tcW w:w="724" w:type="dxa"/>
            <w:noWrap w:val="0"/>
            <w:vAlign w:val="center"/>
          </w:tcPr>
          <w:p w14:paraId="49CEC1A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5# </w:t>
            </w:r>
          </w:p>
        </w:tc>
        <w:tc>
          <w:tcPr>
            <w:tcW w:w="783" w:type="dxa"/>
            <w:noWrap w:val="0"/>
            <w:vAlign w:val="center"/>
          </w:tcPr>
          <w:p w14:paraId="5581DADF">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w:t>
            </w:r>
          </w:p>
          <w:p w14:paraId="26E2978D">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线路</w:t>
            </w:r>
          </w:p>
        </w:tc>
        <w:tc>
          <w:tcPr>
            <w:tcW w:w="2737" w:type="dxa"/>
            <w:noWrap w:val="0"/>
            <w:vAlign w:val="center"/>
          </w:tcPr>
          <w:p w14:paraId="4EA1BB53">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拟建110千伏输电线路</w:t>
            </w:r>
          </w:p>
          <w:p w14:paraId="53E5DE62">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双回路单侧挂线段</w:t>
            </w:r>
          </w:p>
        </w:tc>
        <w:tc>
          <w:tcPr>
            <w:tcW w:w="738" w:type="dxa"/>
            <w:noWrap w:val="0"/>
            <w:vAlign w:val="center"/>
          </w:tcPr>
          <w:p w14:paraId="1545066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27B44BD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0.570</w:t>
            </w:r>
          </w:p>
        </w:tc>
        <w:tc>
          <w:tcPr>
            <w:tcW w:w="805" w:type="dxa"/>
            <w:noWrap w:val="0"/>
            <w:vAlign w:val="center"/>
          </w:tcPr>
          <w:p w14:paraId="24AB0C5C">
            <w:pPr>
              <w:adjustRightInd w:val="0"/>
              <w:snapToGrid w:val="0"/>
              <w:jc w:val="center"/>
              <w:rPr>
                <w:rFonts w:hint="default" w:ascii="Times New Roman" w:hAnsi="Times New Roman" w:eastAsia="宋体" w:cs="Times New Roman"/>
                <w:b/>
                <w:bCs/>
                <w:color w:val="auto"/>
                <w:kern w:val="0"/>
                <w:sz w:val="21"/>
                <w:szCs w:val="21"/>
                <w:highlight w:val="none"/>
                <w:lang w:val="en-US"/>
              </w:rPr>
            </w:pPr>
            <w:r>
              <w:rPr>
                <w:rFonts w:hint="default" w:ascii="Times New Roman" w:hAnsi="Times New Roman" w:eastAsia="宋体" w:cs="Times New Roman"/>
                <w:b w:val="0"/>
                <w:bCs w:val="0"/>
                <w:color w:val="auto"/>
                <w:kern w:val="0"/>
                <w:sz w:val="21"/>
                <w:szCs w:val="21"/>
                <w:highlight w:val="none"/>
                <w:lang w:val="en-US" w:eastAsia="zh-CN"/>
              </w:rPr>
              <w:t>10000</w:t>
            </w:r>
          </w:p>
        </w:tc>
        <w:tc>
          <w:tcPr>
            <w:tcW w:w="819" w:type="dxa"/>
            <w:noWrap w:val="0"/>
            <w:vAlign w:val="center"/>
          </w:tcPr>
          <w:p w14:paraId="114FBB5F">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0.0829</w:t>
            </w:r>
          </w:p>
        </w:tc>
        <w:tc>
          <w:tcPr>
            <w:tcW w:w="691" w:type="dxa"/>
            <w:vMerge w:val="continue"/>
            <w:noWrap w:val="0"/>
            <w:vAlign w:val="center"/>
          </w:tcPr>
          <w:p w14:paraId="5332D0D9">
            <w:pPr>
              <w:adjustRightInd w:val="0"/>
              <w:snapToGrid w:val="0"/>
              <w:jc w:val="center"/>
              <w:rPr>
                <w:rFonts w:hint="default" w:ascii="Times New Roman" w:hAnsi="Times New Roman" w:eastAsia="宋体" w:cs="Times New Roman"/>
                <w:b/>
                <w:bCs/>
                <w:color w:val="auto"/>
                <w:kern w:val="0"/>
                <w:sz w:val="21"/>
                <w:szCs w:val="21"/>
                <w:highlight w:val="none"/>
                <w:lang w:val="en-US" w:eastAsia="zh-CN"/>
              </w:rPr>
            </w:pPr>
          </w:p>
        </w:tc>
      </w:tr>
      <w:tr w14:paraId="28DEC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73" w:hRule="atLeast"/>
          <w:jc w:val="center"/>
        </w:trPr>
        <w:tc>
          <w:tcPr>
            <w:tcW w:w="1173" w:type="dxa"/>
            <w:noWrap w:val="0"/>
            <w:vAlign w:val="center"/>
          </w:tcPr>
          <w:p w14:paraId="0181EF09">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彭阳县</w:t>
            </w:r>
          </w:p>
          <w:p w14:paraId="337AC274">
            <w:pPr>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王洼镇</w:t>
            </w:r>
          </w:p>
        </w:tc>
        <w:tc>
          <w:tcPr>
            <w:tcW w:w="724" w:type="dxa"/>
            <w:noWrap w:val="0"/>
            <w:vAlign w:val="center"/>
          </w:tcPr>
          <w:p w14:paraId="4CE34DA1">
            <w:pPr>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6#</w:t>
            </w:r>
          </w:p>
        </w:tc>
        <w:tc>
          <w:tcPr>
            <w:tcW w:w="783" w:type="dxa"/>
            <w:noWrap w:val="0"/>
            <w:vAlign w:val="center"/>
          </w:tcPr>
          <w:p w14:paraId="71C8A7F1">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输电线路敏感目标</w:t>
            </w:r>
          </w:p>
        </w:tc>
        <w:tc>
          <w:tcPr>
            <w:tcW w:w="2737" w:type="dxa"/>
            <w:noWrap w:val="0"/>
            <w:vAlign w:val="center"/>
          </w:tcPr>
          <w:p w14:paraId="705ADDB3">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b w:val="0"/>
                <w:bCs w:val="0"/>
                <w:color w:val="auto"/>
                <w:sz w:val="21"/>
                <w:szCs w:val="21"/>
                <w:highlight w:val="none"/>
                <w:lang w:val="en-US" w:eastAsia="zh-CN"/>
              </w:rPr>
              <w:t>单回架空输电线路46#~G47#杆塔间线路边导线西北侧孙强宅</w:t>
            </w:r>
          </w:p>
        </w:tc>
        <w:tc>
          <w:tcPr>
            <w:tcW w:w="738" w:type="dxa"/>
            <w:noWrap w:val="0"/>
            <w:vAlign w:val="center"/>
          </w:tcPr>
          <w:p w14:paraId="035904B8">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1.5</w:t>
            </w:r>
          </w:p>
        </w:tc>
        <w:tc>
          <w:tcPr>
            <w:tcW w:w="884" w:type="dxa"/>
            <w:noWrap w:val="0"/>
            <w:vAlign w:val="center"/>
          </w:tcPr>
          <w:p w14:paraId="6164EE7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3.450</w:t>
            </w:r>
          </w:p>
        </w:tc>
        <w:tc>
          <w:tcPr>
            <w:tcW w:w="805" w:type="dxa"/>
            <w:noWrap w:val="0"/>
            <w:vAlign w:val="center"/>
          </w:tcPr>
          <w:p w14:paraId="1232B77E">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4000</w:t>
            </w:r>
          </w:p>
        </w:tc>
        <w:tc>
          <w:tcPr>
            <w:tcW w:w="819" w:type="dxa"/>
            <w:noWrap w:val="0"/>
            <w:vAlign w:val="center"/>
          </w:tcPr>
          <w:p w14:paraId="42D43C1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0.0822</w:t>
            </w:r>
          </w:p>
        </w:tc>
        <w:tc>
          <w:tcPr>
            <w:tcW w:w="691" w:type="dxa"/>
            <w:vMerge w:val="continue"/>
            <w:noWrap w:val="0"/>
            <w:vAlign w:val="center"/>
          </w:tcPr>
          <w:p w14:paraId="14B50C50">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20F54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173" w:type="dxa"/>
            <w:noWrap w:val="0"/>
            <w:vAlign w:val="center"/>
          </w:tcPr>
          <w:p w14:paraId="78B7B5D1">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彭阳县</w:t>
            </w:r>
          </w:p>
          <w:p w14:paraId="78A1E903">
            <w:pPr>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snapToGrid w:val="0"/>
                <w:color w:val="auto"/>
                <w:kern w:val="0"/>
                <w:sz w:val="21"/>
                <w:szCs w:val="21"/>
                <w:lang w:val="en-US" w:eastAsia="zh-CN" w:bidi="ar-SA"/>
              </w:rPr>
              <w:t>王洼镇</w:t>
            </w:r>
          </w:p>
        </w:tc>
        <w:tc>
          <w:tcPr>
            <w:tcW w:w="724" w:type="dxa"/>
            <w:noWrap w:val="0"/>
            <w:vAlign w:val="center"/>
          </w:tcPr>
          <w:p w14:paraId="2984406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lang w:val="en-US" w:eastAsia="zh-CN" w:bidi="ar-SA"/>
              </w:rPr>
              <w:t>7#</w:t>
            </w:r>
          </w:p>
        </w:tc>
        <w:tc>
          <w:tcPr>
            <w:tcW w:w="783" w:type="dxa"/>
            <w:vMerge w:val="restart"/>
            <w:noWrap w:val="0"/>
            <w:vAlign w:val="center"/>
          </w:tcPr>
          <w:p w14:paraId="7C1E642F">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 </w:t>
            </w:r>
          </w:p>
          <w:p w14:paraId="3DFD68BD">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w:t>
            </w:r>
          </w:p>
          <w:p w14:paraId="54F5D27D">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线路 </w:t>
            </w:r>
          </w:p>
          <w:p w14:paraId="5DD13CD0">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 </w:t>
            </w:r>
          </w:p>
          <w:p w14:paraId="7BEA69A2">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 </w:t>
            </w:r>
          </w:p>
        </w:tc>
        <w:tc>
          <w:tcPr>
            <w:tcW w:w="2737" w:type="dxa"/>
            <w:noWrap w:val="0"/>
            <w:vAlign w:val="center"/>
          </w:tcPr>
          <w:p w14:paraId="0BEB48EC">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拟建110千伏架空输电线路单回路段</w:t>
            </w:r>
          </w:p>
        </w:tc>
        <w:tc>
          <w:tcPr>
            <w:tcW w:w="738" w:type="dxa"/>
            <w:noWrap w:val="0"/>
            <w:vAlign w:val="center"/>
          </w:tcPr>
          <w:p w14:paraId="726B9029">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077F68A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1.168</w:t>
            </w:r>
          </w:p>
        </w:tc>
        <w:tc>
          <w:tcPr>
            <w:tcW w:w="805" w:type="dxa"/>
            <w:vMerge w:val="restart"/>
            <w:noWrap w:val="0"/>
            <w:vAlign w:val="center"/>
          </w:tcPr>
          <w:p w14:paraId="265A150D">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10000</w:t>
            </w:r>
          </w:p>
        </w:tc>
        <w:tc>
          <w:tcPr>
            <w:tcW w:w="819" w:type="dxa"/>
            <w:noWrap w:val="0"/>
            <w:vAlign w:val="center"/>
          </w:tcPr>
          <w:p w14:paraId="7E11119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0.0841</w:t>
            </w:r>
          </w:p>
        </w:tc>
        <w:tc>
          <w:tcPr>
            <w:tcW w:w="691" w:type="dxa"/>
            <w:vMerge w:val="continue"/>
            <w:noWrap w:val="0"/>
            <w:vAlign w:val="center"/>
          </w:tcPr>
          <w:p w14:paraId="1D12F9BE">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2D598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173" w:type="dxa"/>
            <w:vMerge w:val="restart"/>
            <w:noWrap w:val="0"/>
            <w:vAlign w:val="center"/>
          </w:tcPr>
          <w:p w14:paraId="4D36CB54">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彭阳县</w:t>
            </w:r>
          </w:p>
          <w:p w14:paraId="33A76C3D">
            <w:pPr>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交岔乡</w:t>
            </w:r>
          </w:p>
        </w:tc>
        <w:tc>
          <w:tcPr>
            <w:tcW w:w="724" w:type="dxa"/>
            <w:noWrap w:val="0"/>
            <w:vAlign w:val="center"/>
          </w:tcPr>
          <w:p w14:paraId="1BB7E95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lang w:val="en-US" w:eastAsia="zh-CN" w:bidi="ar-SA"/>
              </w:rPr>
              <w:t>8#</w:t>
            </w:r>
          </w:p>
        </w:tc>
        <w:tc>
          <w:tcPr>
            <w:tcW w:w="783" w:type="dxa"/>
            <w:vMerge w:val="continue"/>
            <w:noWrap w:val="0"/>
            <w:vAlign w:val="center"/>
          </w:tcPr>
          <w:p w14:paraId="76918809">
            <w:pPr>
              <w:jc w:val="center"/>
              <w:rPr>
                <w:rFonts w:hint="default" w:ascii="Times New Roman" w:hAnsi="Times New Roman" w:eastAsia="宋体" w:cs="Times New Roman"/>
                <w:snapToGrid w:val="0"/>
                <w:color w:val="auto"/>
                <w:kern w:val="0"/>
                <w:sz w:val="21"/>
                <w:szCs w:val="21"/>
                <w:lang w:val="en-US" w:eastAsia="zh-CN" w:bidi="ar-SA"/>
              </w:rPr>
            </w:pPr>
          </w:p>
        </w:tc>
        <w:tc>
          <w:tcPr>
            <w:tcW w:w="2737" w:type="dxa"/>
            <w:noWrap w:val="0"/>
            <w:vAlign w:val="center"/>
          </w:tcPr>
          <w:p w14:paraId="1D5FC864">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拟建110千伏架空输电线路单回路段</w:t>
            </w:r>
          </w:p>
        </w:tc>
        <w:tc>
          <w:tcPr>
            <w:tcW w:w="738" w:type="dxa"/>
            <w:noWrap w:val="0"/>
            <w:vAlign w:val="center"/>
          </w:tcPr>
          <w:p w14:paraId="3BFF5A8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1213720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0.328</w:t>
            </w:r>
          </w:p>
        </w:tc>
        <w:tc>
          <w:tcPr>
            <w:tcW w:w="805" w:type="dxa"/>
            <w:vMerge w:val="continue"/>
            <w:noWrap w:val="0"/>
            <w:vAlign w:val="center"/>
          </w:tcPr>
          <w:p w14:paraId="71204836">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819" w:type="dxa"/>
            <w:noWrap w:val="0"/>
            <w:vAlign w:val="center"/>
          </w:tcPr>
          <w:p w14:paraId="15DE6BD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0.0846</w:t>
            </w:r>
          </w:p>
        </w:tc>
        <w:tc>
          <w:tcPr>
            <w:tcW w:w="691" w:type="dxa"/>
            <w:vMerge w:val="continue"/>
            <w:noWrap w:val="0"/>
            <w:vAlign w:val="center"/>
          </w:tcPr>
          <w:p w14:paraId="40F5FDD1">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30594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173" w:type="dxa"/>
            <w:vMerge w:val="continue"/>
            <w:noWrap w:val="0"/>
            <w:vAlign w:val="center"/>
          </w:tcPr>
          <w:p w14:paraId="702C6A68">
            <w:pPr>
              <w:jc w:val="center"/>
              <w:rPr>
                <w:rFonts w:hint="default" w:ascii="Times New Roman" w:hAnsi="Times New Roman" w:eastAsia="宋体" w:cs="Times New Roman"/>
                <w:b w:val="0"/>
                <w:bCs/>
                <w:color w:val="auto"/>
                <w:sz w:val="21"/>
                <w:szCs w:val="21"/>
                <w:highlight w:val="none"/>
              </w:rPr>
            </w:pPr>
          </w:p>
        </w:tc>
        <w:tc>
          <w:tcPr>
            <w:tcW w:w="724" w:type="dxa"/>
            <w:noWrap w:val="0"/>
            <w:vAlign w:val="center"/>
          </w:tcPr>
          <w:p w14:paraId="3AA82E5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lang w:val="en-US" w:eastAsia="zh-CN" w:bidi="ar-SA"/>
              </w:rPr>
              <w:t>9#</w:t>
            </w:r>
          </w:p>
        </w:tc>
        <w:tc>
          <w:tcPr>
            <w:tcW w:w="783" w:type="dxa"/>
            <w:vMerge w:val="continue"/>
            <w:noWrap w:val="0"/>
            <w:vAlign w:val="center"/>
          </w:tcPr>
          <w:p w14:paraId="74D97191">
            <w:pPr>
              <w:jc w:val="center"/>
              <w:rPr>
                <w:rFonts w:hint="default" w:ascii="Times New Roman" w:hAnsi="Times New Roman" w:eastAsia="宋体" w:cs="Times New Roman"/>
                <w:snapToGrid w:val="0"/>
                <w:color w:val="auto"/>
                <w:kern w:val="0"/>
                <w:sz w:val="21"/>
                <w:szCs w:val="21"/>
                <w:lang w:val="en-US" w:eastAsia="zh-CN" w:bidi="ar-SA"/>
              </w:rPr>
            </w:pPr>
          </w:p>
        </w:tc>
        <w:tc>
          <w:tcPr>
            <w:tcW w:w="2737" w:type="dxa"/>
            <w:noWrap w:val="0"/>
            <w:vAlign w:val="center"/>
          </w:tcPr>
          <w:p w14:paraId="7377E2D4">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拟建110千伏架空输电线路钻越±1100千伏吉泉线</w:t>
            </w:r>
          </w:p>
        </w:tc>
        <w:tc>
          <w:tcPr>
            <w:tcW w:w="738" w:type="dxa"/>
            <w:noWrap w:val="0"/>
            <w:vAlign w:val="center"/>
          </w:tcPr>
          <w:p w14:paraId="3DF52BA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30C24FC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8.552</w:t>
            </w:r>
          </w:p>
        </w:tc>
        <w:tc>
          <w:tcPr>
            <w:tcW w:w="805" w:type="dxa"/>
            <w:vMerge w:val="continue"/>
            <w:noWrap w:val="0"/>
            <w:vAlign w:val="center"/>
          </w:tcPr>
          <w:p w14:paraId="241CFB7B">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819" w:type="dxa"/>
            <w:noWrap w:val="0"/>
            <w:vAlign w:val="center"/>
          </w:tcPr>
          <w:p w14:paraId="1784CA8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0.0936</w:t>
            </w:r>
          </w:p>
        </w:tc>
        <w:tc>
          <w:tcPr>
            <w:tcW w:w="691" w:type="dxa"/>
            <w:vMerge w:val="continue"/>
            <w:noWrap w:val="0"/>
            <w:vAlign w:val="center"/>
          </w:tcPr>
          <w:p w14:paraId="61602CEE">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364CE5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173" w:type="dxa"/>
            <w:vMerge w:val="continue"/>
            <w:noWrap w:val="0"/>
            <w:vAlign w:val="center"/>
          </w:tcPr>
          <w:p w14:paraId="3C89C84D">
            <w:pPr>
              <w:jc w:val="center"/>
              <w:rPr>
                <w:rFonts w:hint="default" w:ascii="Times New Roman" w:hAnsi="Times New Roman" w:eastAsia="宋体" w:cs="Times New Roman"/>
                <w:b w:val="0"/>
                <w:bCs/>
                <w:color w:val="auto"/>
                <w:sz w:val="21"/>
                <w:szCs w:val="21"/>
                <w:highlight w:val="none"/>
              </w:rPr>
            </w:pPr>
          </w:p>
        </w:tc>
        <w:tc>
          <w:tcPr>
            <w:tcW w:w="724" w:type="dxa"/>
            <w:noWrap w:val="0"/>
            <w:vAlign w:val="center"/>
          </w:tcPr>
          <w:p w14:paraId="775221C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lang w:val="en-US" w:eastAsia="zh-CN" w:bidi="ar-SA"/>
              </w:rPr>
              <w:t xml:space="preserve">10# </w:t>
            </w:r>
          </w:p>
        </w:tc>
        <w:tc>
          <w:tcPr>
            <w:tcW w:w="783" w:type="dxa"/>
            <w:vMerge w:val="continue"/>
            <w:noWrap w:val="0"/>
            <w:vAlign w:val="center"/>
          </w:tcPr>
          <w:p w14:paraId="234BDA57">
            <w:pPr>
              <w:jc w:val="center"/>
              <w:rPr>
                <w:rFonts w:hint="default" w:ascii="Times New Roman" w:hAnsi="Times New Roman" w:eastAsia="宋体" w:cs="Times New Roman"/>
                <w:snapToGrid w:val="0"/>
                <w:color w:val="auto"/>
                <w:kern w:val="0"/>
                <w:sz w:val="21"/>
                <w:szCs w:val="21"/>
                <w:lang w:val="en-US" w:eastAsia="zh-CN" w:bidi="ar-SA"/>
              </w:rPr>
            </w:pPr>
          </w:p>
        </w:tc>
        <w:tc>
          <w:tcPr>
            <w:tcW w:w="2737" w:type="dxa"/>
            <w:noWrap w:val="0"/>
            <w:vAlign w:val="center"/>
          </w:tcPr>
          <w:p w14:paraId="44568A73">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拟建110千伏架空输电线路钻越110千伏清李I线</w:t>
            </w:r>
          </w:p>
        </w:tc>
        <w:tc>
          <w:tcPr>
            <w:tcW w:w="738" w:type="dxa"/>
            <w:noWrap w:val="0"/>
            <w:vAlign w:val="center"/>
          </w:tcPr>
          <w:p w14:paraId="0253433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7DFE3D9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0.450</w:t>
            </w:r>
          </w:p>
        </w:tc>
        <w:tc>
          <w:tcPr>
            <w:tcW w:w="805" w:type="dxa"/>
            <w:vMerge w:val="continue"/>
            <w:noWrap w:val="0"/>
            <w:vAlign w:val="center"/>
          </w:tcPr>
          <w:p w14:paraId="1E4BC766">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819" w:type="dxa"/>
            <w:noWrap w:val="0"/>
            <w:vAlign w:val="center"/>
          </w:tcPr>
          <w:p w14:paraId="68B95A1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0.0832</w:t>
            </w:r>
          </w:p>
        </w:tc>
        <w:tc>
          <w:tcPr>
            <w:tcW w:w="691" w:type="dxa"/>
            <w:vMerge w:val="continue"/>
            <w:noWrap w:val="0"/>
            <w:vAlign w:val="center"/>
          </w:tcPr>
          <w:p w14:paraId="4D58D632">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504DEF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173" w:type="dxa"/>
            <w:vMerge w:val="continue"/>
            <w:noWrap w:val="0"/>
            <w:vAlign w:val="center"/>
          </w:tcPr>
          <w:p w14:paraId="7DD62EF5">
            <w:pPr>
              <w:jc w:val="center"/>
              <w:rPr>
                <w:rFonts w:hint="default" w:ascii="Times New Roman" w:hAnsi="Times New Roman" w:eastAsia="宋体" w:cs="Times New Roman"/>
                <w:b w:val="0"/>
                <w:bCs/>
                <w:color w:val="auto"/>
                <w:sz w:val="21"/>
                <w:szCs w:val="21"/>
                <w:highlight w:val="none"/>
              </w:rPr>
            </w:pPr>
          </w:p>
        </w:tc>
        <w:tc>
          <w:tcPr>
            <w:tcW w:w="724" w:type="dxa"/>
            <w:noWrap w:val="0"/>
            <w:vAlign w:val="center"/>
          </w:tcPr>
          <w:p w14:paraId="3DB3068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lang w:val="en-US" w:eastAsia="zh-CN" w:bidi="ar-SA"/>
              </w:rPr>
              <w:t>11#</w:t>
            </w:r>
          </w:p>
        </w:tc>
        <w:tc>
          <w:tcPr>
            <w:tcW w:w="783" w:type="dxa"/>
            <w:vMerge w:val="continue"/>
            <w:noWrap w:val="0"/>
            <w:vAlign w:val="center"/>
          </w:tcPr>
          <w:p w14:paraId="6CBD1B5C">
            <w:pPr>
              <w:jc w:val="center"/>
              <w:rPr>
                <w:rFonts w:hint="default" w:ascii="Times New Roman" w:hAnsi="Times New Roman" w:eastAsia="宋体" w:cs="Times New Roman"/>
                <w:snapToGrid w:val="0"/>
                <w:color w:val="auto"/>
                <w:kern w:val="0"/>
                <w:sz w:val="21"/>
                <w:szCs w:val="21"/>
                <w:lang w:val="en-US" w:eastAsia="zh-CN" w:bidi="ar-SA"/>
              </w:rPr>
            </w:pPr>
          </w:p>
        </w:tc>
        <w:tc>
          <w:tcPr>
            <w:tcW w:w="2737" w:type="dxa"/>
            <w:noWrap w:val="0"/>
            <w:vAlign w:val="center"/>
          </w:tcPr>
          <w:p w14:paraId="6921FB3D">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拟建110千伏架空输电线路钻越110千伏至李线</w:t>
            </w:r>
          </w:p>
        </w:tc>
        <w:tc>
          <w:tcPr>
            <w:tcW w:w="738" w:type="dxa"/>
            <w:noWrap w:val="0"/>
            <w:vAlign w:val="center"/>
          </w:tcPr>
          <w:p w14:paraId="537F033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6C4D284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0.520</w:t>
            </w:r>
          </w:p>
        </w:tc>
        <w:tc>
          <w:tcPr>
            <w:tcW w:w="805" w:type="dxa"/>
            <w:vMerge w:val="continue"/>
            <w:noWrap w:val="0"/>
            <w:vAlign w:val="center"/>
          </w:tcPr>
          <w:p w14:paraId="5700F4CE">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819" w:type="dxa"/>
            <w:noWrap w:val="0"/>
            <w:vAlign w:val="center"/>
          </w:tcPr>
          <w:p w14:paraId="138E7E5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0.0843</w:t>
            </w:r>
          </w:p>
        </w:tc>
        <w:tc>
          <w:tcPr>
            <w:tcW w:w="691" w:type="dxa"/>
            <w:vMerge w:val="continue"/>
            <w:noWrap w:val="0"/>
            <w:vAlign w:val="center"/>
          </w:tcPr>
          <w:p w14:paraId="7749C9FF">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2151C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173" w:type="dxa"/>
            <w:vMerge w:val="restart"/>
            <w:noWrap w:val="0"/>
            <w:vAlign w:val="center"/>
          </w:tcPr>
          <w:p w14:paraId="6915B4FE">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彭阳县</w:t>
            </w:r>
          </w:p>
          <w:p w14:paraId="3CF021E0">
            <w:pPr>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交岔乡</w:t>
            </w:r>
          </w:p>
        </w:tc>
        <w:tc>
          <w:tcPr>
            <w:tcW w:w="724" w:type="dxa"/>
            <w:noWrap w:val="0"/>
            <w:vAlign w:val="center"/>
          </w:tcPr>
          <w:p w14:paraId="0B5EC2A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783" w:type="dxa"/>
            <w:vMerge w:val="restart"/>
            <w:noWrap w:val="0"/>
            <w:vAlign w:val="center"/>
          </w:tcPr>
          <w:p w14:paraId="0DD49FCB">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输电线路敏感目标</w:t>
            </w:r>
          </w:p>
        </w:tc>
        <w:tc>
          <w:tcPr>
            <w:tcW w:w="2737" w:type="dxa"/>
            <w:noWrap w:val="0"/>
            <w:vAlign w:val="center"/>
          </w:tcPr>
          <w:p w14:paraId="5CB530CD">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单回架空输电线路G19#~20#杆塔间线路边导线东南侧王新贵宅</w:t>
            </w:r>
          </w:p>
        </w:tc>
        <w:tc>
          <w:tcPr>
            <w:tcW w:w="738" w:type="dxa"/>
            <w:noWrap w:val="0"/>
            <w:vAlign w:val="center"/>
          </w:tcPr>
          <w:p w14:paraId="6BB819E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884" w:type="dxa"/>
            <w:noWrap w:val="0"/>
            <w:vAlign w:val="center"/>
          </w:tcPr>
          <w:p w14:paraId="462DBD1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0.970</w:t>
            </w:r>
          </w:p>
        </w:tc>
        <w:tc>
          <w:tcPr>
            <w:tcW w:w="805" w:type="dxa"/>
            <w:vMerge w:val="restart"/>
            <w:noWrap w:val="0"/>
            <w:vAlign w:val="center"/>
          </w:tcPr>
          <w:p w14:paraId="4D3D36BE">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4000</w:t>
            </w:r>
          </w:p>
        </w:tc>
        <w:tc>
          <w:tcPr>
            <w:tcW w:w="819" w:type="dxa"/>
            <w:noWrap w:val="0"/>
            <w:vAlign w:val="center"/>
          </w:tcPr>
          <w:p w14:paraId="67BD178E">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0.0835</w:t>
            </w:r>
          </w:p>
        </w:tc>
        <w:tc>
          <w:tcPr>
            <w:tcW w:w="691" w:type="dxa"/>
            <w:vMerge w:val="continue"/>
            <w:noWrap w:val="0"/>
            <w:vAlign w:val="center"/>
          </w:tcPr>
          <w:p w14:paraId="1AD68E66">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19B992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173" w:type="dxa"/>
            <w:vMerge w:val="continue"/>
            <w:noWrap w:val="0"/>
            <w:vAlign w:val="center"/>
          </w:tcPr>
          <w:p w14:paraId="60D2E726">
            <w:pPr>
              <w:jc w:val="center"/>
              <w:rPr>
                <w:rFonts w:hint="default" w:ascii="Times New Roman" w:hAnsi="Times New Roman" w:eastAsia="宋体" w:cs="Times New Roman"/>
                <w:b w:val="0"/>
                <w:bCs/>
                <w:color w:val="auto"/>
                <w:sz w:val="21"/>
                <w:szCs w:val="21"/>
                <w:highlight w:val="none"/>
              </w:rPr>
            </w:pPr>
          </w:p>
        </w:tc>
        <w:tc>
          <w:tcPr>
            <w:tcW w:w="724" w:type="dxa"/>
            <w:noWrap w:val="0"/>
            <w:vAlign w:val="center"/>
          </w:tcPr>
          <w:p w14:paraId="3022030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13#</w:t>
            </w:r>
          </w:p>
        </w:tc>
        <w:tc>
          <w:tcPr>
            <w:tcW w:w="783" w:type="dxa"/>
            <w:vMerge w:val="continue"/>
            <w:noWrap w:val="0"/>
            <w:vAlign w:val="center"/>
          </w:tcPr>
          <w:p w14:paraId="62201191">
            <w:pPr>
              <w:jc w:val="center"/>
              <w:rPr>
                <w:rFonts w:hint="default" w:ascii="Times New Roman" w:hAnsi="Times New Roman" w:eastAsia="宋体" w:cs="Times New Roman"/>
                <w:snapToGrid w:val="0"/>
                <w:color w:val="auto"/>
                <w:kern w:val="0"/>
                <w:sz w:val="21"/>
                <w:szCs w:val="21"/>
                <w:lang w:val="en-US" w:eastAsia="zh-CN" w:bidi="ar-SA"/>
              </w:rPr>
            </w:pPr>
          </w:p>
        </w:tc>
        <w:tc>
          <w:tcPr>
            <w:tcW w:w="2737" w:type="dxa"/>
            <w:noWrap w:val="0"/>
            <w:vAlign w:val="center"/>
          </w:tcPr>
          <w:p w14:paraId="268F4F77">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 单回架空输电线路G8#~9#杆塔间线路边导线西北侧张建礼宅</w:t>
            </w:r>
          </w:p>
        </w:tc>
        <w:tc>
          <w:tcPr>
            <w:tcW w:w="738" w:type="dxa"/>
            <w:noWrap w:val="0"/>
            <w:vAlign w:val="center"/>
          </w:tcPr>
          <w:p w14:paraId="05D3B15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4173185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1.124</w:t>
            </w:r>
          </w:p>
        </w:tc>
        <w:tc>
          <w:tcPr>
            <w:tcW w:w="805" w:type="dxa"/>
            <w:vMerge w:val="continue"/>
            <w:noWrap w:val="0"/>
            <w:vAlign w:val="center"/>
          </w:tcPr>
          <w:p w14:paraId="0190823F">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819" w:type="dxa"/>
            <w:noWrap w:val="0"/>
            <w:vAlign w:val="center"/>
          </w:tcPr>
          <w:p w14:paraId="19B8B110">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0.0841</w:t>
            </w:r>
          </w:p>
        </w:tc>
        <w:tc>
          <w:tcPr>
            <w:tcW w:w="691" w:type="dxa"/>
            <w:vMerge w:val="continue"/>
            <w:noWrap w:val="0"/>
            <w:vAlign w:val="center"/>
          </w:tcPr>
          <w:p w14:paraId="3E8F616A">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r w14:paraId="1BF548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1173" w:type="dxa"/>
            <w:vMerge w:val="continue"/>
            <w:noWrap w:val="0"/>
            <w:vAlign w:val="center"/>
          </w:tcPr>
          <w:p w14:paraId="285D57BE">
            <w:pPr>
              <w:jc w:val="center"/>
              <w:rPr>
                <w:rFonts w:hint="default" w:ascii="Times New Roman" w:hAnsi="Times New Roman" w:eastAsia="宋体" w:cs="Times New Roman"/>
                <w:b w:val="0"/>
                <w:bCs/>
                <w:color w:val="auto"/>
                <w:sz w:val="21"/>
                <w:szCs w:val="21"/>
                <w:highlight w:val="none"/>
              </w:rPr>
            </w:pPr>
          </w:p>
        </w:tc>
        <w:tc>
          <w:tcPr>
            <w:tcW w:w="724" w:type="dxa"/>
            <w:noWrap w:val="0"/>
            <w:vAlign w:val="center"/>
          </w:tcPr>
          <w:p w14:paraId="5DBE3B1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14#</w:t>
            </w:r>
          </w:p>
        </w:tc>
        <w:tc>
          <w:tcPr>
            <w:tcW w:w="783" w:type="dxa"/>
            <w:vMerge w:val="continue"/>
            <w:noWrap w:val="0"/>
            <w:vAlign w:val="center"/>
          </w:tcPr>
          <w:p w14:paraId="3FE0E9C1">
            <w:pPr>
              <w:jc w:val="center"/>
              <w:rPr>
                <w:rFonts w:hint="default" w:ascii="Times New Roman" w:hAnsi="Times New Roman" w:eastAsia="宋体" w:cs="Times New Roman"/>
                <w:snapToGrid w:val="0"/>
                <w:color w:val="auto"/>
                <w:kern w:val="0"/>
                <w:sz w:val="21"/>
                <w:szCs w:val="21"/>
                <w:lang w:val="en-US" w:eastAsia="zh-CN" w:bidi="ar-SA"/>
              </w:rPr>
            </w:pPr>
          </w:p>
        </w:tc>
        <w:tc>
          <w:tcPr>
            <w:tcW w:w="2737" w:type="dxa"/>
            <w:noWrap w:val="0"/>
            <w:vAlign w:val="center"/>
          </w:tcPr>
          <w:p w14:paraId="1FCD4A0E">
            <w:pPr>
              <w:jc w:val="center"/>
              <w:rPr>
                <w:rFonts w:hint="default" w:ascii="Times New Roman" w:hAnsi="Times New Roman" w:eastAsia="宋体" w:cs="Times New Roman"/>
                <w:snapToGrid w:val="0"/>
                <w:color w:val="auto"/>
                <w:kern w:val="0"/>
                <w:sz w:val="21"/>
                <w:szCs w:val="21"/>
                <w:lang w:val="en-US" w:eastAsia="zh-CN" w:bidi="ar-SA"/>
              </w:rPr>
            </w:pPr>
            <w:r>
              <w:rPr>
                <w:rFonts w:hint="eastAsia" w:cs="Times New Roman"/>
                <w:b w:val="0"/>
                <w:bCs w:val="0"/>
                <w:color w:val="auto"/>
                <w:kern w:val="0"/>
                <w:sz w:val="21"/>
                <w:szCs w:val="21"/>
                <w:highlight w:val="none"/>
                <w:lang w:val="en-US" w:eastAsia="zh-CN" w:bidi="ar"/>
              </w:rPr>
              <w:t>单回架空输电线路G5#~6#杆塔间线路边导线东南侧马占材宅</w:t>
            </w:r>
          </w:p>
        </w:tc>
        <w:tc>
          <w:tcPr>
            <w:tcW w:w="738" w:type="dxa"/>
            <w:noWrap w:val="0"/>
            <w:vAlign w:val="center"/>
          </w:tcPr>
          <w:p w14:paraId="03A22C0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884" w:type="dxa"/>
            <w:noWrap w:val="0"/>
            <w:vAlign w:val="center"/>
          </w:tcPr>
          <w:p w14:paraId="79467EC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lang w:val="en-US" w:eastAsia="zh-CN" w:bidi="ar-SA"/>
              </w:rPr>
              <w:t>0.454</w:t>
            </w:r>
          </w:p>
        </w:tc>
        <w:tc>
          <w:tcPr>
            <w:tcW w:w="805" w:type="dxa"/>
            <w:vMerge w:val="continue"/>
            <w:noWrap w:val="0"/>
            <w:vAlign w:val="center"/>
          </w:tcPr>
          <w:p w14:paraId="67D0DF26">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c>
          <w:tcPr>
            <w:tcW w:w="819" w:type="dxa"/>
            <w:noWrap w:val="0"/>
            <w:vAlign w:val="center"/>
          </w:tcPr>
          <w:p w14:paraId="0E754C25">
            <w:pPr>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0.0850</w:t>
            </w:r>
          </w:p>
        </w:tc>
        <w:tc>
          <w:tcPr>
            <w:tcW w:w="691" w:type="dxa"/>
            <w:vMerge w:val="continue"/>
            <w:noWrap w:val="0"/>
            <w:vAlign w:val="center"/>
          </w:tcPr>
          <w:p w14:paraId="39CE5E41">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p>
        </w:tc>
      </w:tr>
    </w:tbl>
    <w:p w14:paraId="0DA7820F">
      <w:pPr>
        <w:pStyle w:val="3"/>
        <w:keepNext/>
        <w:keepLines/>
        <w:pageBreakBefore w:val="0"/>
        <w:widowControl w:val="0"/>
        <w:kinsoku/>
        <w:wordWrap/>
        <w:overflowPunct/>
        <w:topLinePunct w:val="0"/>
        <w:autoSpaceDE/>
        <w:autoSpaceDN/>
        <w:bidi w:val="0"/>
        <w:adjustRightInd w:val="0"/>
        <w:snapToGrid w:val="0"/>
        <w:spacing w:before="157" w:beforeLines="50" w:beforeAutospacing="0" w:after="0" w:afterAutospacing="0" w:line="360" w:lineRule="auto"/>
        <w:jc w:val="both"/>
        <w:textAlignment w:val="auto"/>
        <w:rPr>
          <w:rFonts w:hint="default" w:ascii="Times New Roman" w:hAnsi="Times New Roman" w:cs="Times New Roman"/>
          <w:bCs w:val="0"/>
          <w:color w:val="auto"/>
          <w:spacing w:val="0"/>
          <w:kern w:val="2"/>
          <w:sz w:val="24"/>
          <w:szCs w:val="24"/>
          <w:highlight w:val="none"/>
        </w:rPr>
      </w:pPr>
      <w:bookmarkStart w:id="319" w:name="_Toc15582"/>
      <w:bookmarkStart w:id="320" w:name="_Toc1310"/>
      <w:r>
        <w:rPr>
          <w:rFonts w:hint="default" w:ascii="Times New Roman" w:hAnsi="Times New Roman" w:cs="Times New Roman"/>
          <w:bCs w:val="0"/>
          <w:color w:val="auto"/>
          <w:spacing w:val="0"/>
          <w:kern w:val="2"/>
          <w:sz w:val="24"/>
          <w:szCs w:val="24"/>
          <w:highlight w:val="none"/>
        </w:rPr>
        <w:t>5.</w:t>
      </w:r>
      <w:r>
        <w:rPr>
          <w:rFonts w:hint="default" w:ascii="Times New Roman" w:hAnsi="Times New Roman" w:cs="Times New Roman"/>
          <w:bCs w:val="0"/>
          <w:color w:val="auto"/>
          <w:spacing w:val="0"/>
          <w:kern w:val="2"/>
          <w:sz w:val="24"/>
          <w:szCs w:val="24"/>
          <w:highlight w:val="none"/>
          <w:lang w:val="en-US" w:eastAsia="zh-CN"/>
        </w:rPr>
        <w:t>7</w:t>
      </w:r>
      <w:r>
        <w:rPr>
          <w:rFonts w:hint="default" w:ascii="Times New Roman" w:hAnsi="Times New Roman" w:cs="Times New Roman"/>
          <w:bCs w:val="0"/>
          <w:color w:val="auto"/>
          <w:spacing w:val="0"/>
          <w:kern w:val="2"/>
          <w:sz w:val="24"/>
          <w:szCs w:val="24"/>
          <w:highlight w:val="none"/>
        </w:rPr>
        <w:t>监测结果分析</w:t>
      </w:r>
      <w:bookmarkEnd w:id="319"/>
      <w:bookmarkEnd w:id="320"/>
    </w:p>
    <w:p w14:paraId="7A5277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根据现状监测结果可知：</w:t>
      </w:r>
    </w:p>
    <w:p w14:paraId="159FAF9B">
      <w:pPr>
        <w:keepNext w:val="0"/>
        <w:keepLines w:val="0"/>
        <w:pageBreakBefore w:val="0"/>
        <w:widowControl w:val="0"/>
        <w:kinsoku/>
        <w:wordWrap/>
        <w:overflowPunct/>
        <w:topLinePunct w:val="0"/>
        <w:autoSpaceDE/>
        <w:autoSpaceDN/>
        <w:bidi w:val="0"/>
        <w:adjustRightInd w:val="0"/>
        <w:snapToGrid w:val="0"/>
        <w:spacing w:line="360" w:lineRule="auto"/>
        <w:ind w:firstLine="470" w:firstLineChars="196"/>
        <w:jc w:val="both"/>
        <w:textAlignment w:val="auto"/>
        <w:rPr>
          <w:rFonts w:hint="default" w:ascii="Times New Roman" w:hAnsi="Times New Roman" w:cs="Times New Roman"/>
          <w:color w:val="auto"/>
          <w:kern w:val="0"/>
          <w:sz w:val="24"/>
          <w:highlight w:val="none"/>
        </w:rPr>
      </w:pPr>
      <w:bookmarkStart w:id="321" w:name="_Toc20582"/>
      <w:r>
        <w:rPr>
          <w:rFonts w:hint="default" w:ascii="Times New Roman" w:hAnsi="Times New Roman" w:cs="Times New Roman"/>
          <w:color w:val="auto"/>
          <w:kern w:val="0"/>
          <w:sz w:val="24"/>
          <w:highlight w:val="none"/>
        </w:rPr>
        <w:t>①</w:t>
      </w:r>
      <w:r>
        <w:rPr>
          <w:rFonts w:hint="default" w:ascii="Times New Roman" w:hAnsi="Times New Roman" w:cs="Times New Roman"/>
          <w:color w:val="auto"/>
          <w:kern w:val="0"/>
          <w:sz w:val="24"/>
          <w:highlight w:val="none"/>
          <w:lang w:val="en-US" w:eastAsia="zh-CN"/>
        </w:rPr>
        <w:t>本项目云雾山330千伏变电站四周站界工频电场强度监测值在0.254V/m~1.032V/m之间，</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监测值在0.0827μT~0.0853μT之间，本次出线间隔扩建处工频电场强度监测值为0.424V/m，</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监测值为0.0829μT，满足</w:t>
      </w:r>
      <w:r>
        <w:rPr>
          <w:rFonts w:hint="default" w:ascii="Times New Roman" w:hAnsi="Times New Roman" w:cs="Times New Roman"/>
          <w:color w:val="auto"/>
          <w:sz w:val="24"/>
          <w:highlight w:val="none"/>
        </w:rPr>
        <w:t>《电磁环境控制限值》（GB8702-2014）中规定的公众曝露控制限值工频电场强度4</w:t>
      </w:r>
      <w:r>
        <w:rPr>
          <w:rFonts w:hint="eastAsia" w:cs="Times New Roman"/>
          <w:color w:val="auto"/>
          <w:sz w:val="24"/>
          <w:highlight w:val="none"/>
          <w:lang w:val="en-US" w:eastAsia="zh-CN"/>
        </w:rPr>
        <w:t>000</w:t>
      </w:r>
      <w:r>
        <w:rPr>
          <w:rFonts w:hint="default" w:ascii="Times New Roman" w:hAnsi="Times New Roman" w:cs="Times New Roman"/>
          <w:color w:val="auto"/>
          <w:sz w:val="24"/>
          <w:highlight w:val="none"/>
        </w:rPr>
        <w:t>V/m，工频磁感应强度100μT的标准限值。</w:t>
      </w:r>
    </w:p>
    <w:p w14:paraId="050332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②</w:t>
      </w:r>
      <w:r>
        <w:rPr>
          <w:rFonts w:hint="default" w:ascii="Times New Roman" w:hAnsi="Times New Roman" w:cs="Times New Roman"/>
          <w:color w:val="auto"/>
          <w:kern w:val="0"/>
          <w:sz w:val="24"/>
          <w:highlight w:val="none"/>
          <w:lang w:val="en-US" w:eastAsia="zh-CN"/>
        </w:rPr>
        <w:t>拟建110千伏输电线路</w:t>
      </w:r>
      <w:r>
        <w:rPr>
          <w:rFonts w:hint="default" w:ascii="Times New Roman" w:hAnsi="Times New Roman" w:eastAsia="宋体" w:cs="Times New Roman"/>
          <w:snapToGrid w:val="0"/>
          <w:color w:val="auto"/>
          <w:kern w:val="0"/>
          <w:sz w:val="24"/>
          <w:szCs w:val="24"/>
          <w:lang w:val="en-US" w:eastAsia="zh-CN" w:bidi="ar-SA"/>
        </w:rPr>
        <w:t>双回路单侧挂线段</w:t>
      </w:r>
      <w:r>
        <w:rPr>
          <w:rFonts w:hint="default" w:ascii="Times New Roman" w:hAnsi="Times New Roman" w:cs="Times New Roman"/>
          <w:color w:val="auto"/>
          <w:kern w:val="0"/>
          <w:sz w:val="24"/>
          <w:highlight w:val="none"/>
          <w:lang w:val="en-US" w:eastAsia="zh-CN"/>
        </w:rPr>
        <w:t>工频电场强度监测值为0.570V/m，</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监测值为0.0829μT；</w:t>
      </w:r>
      <w:r>
        <w:rPr>
          <w:rFonts w:hint="default" w:ascii="Times New Roman" w:hAnsi="Times New Roman" w:eastAsia="宋体" w:cs="Times New Roman"/>
          <w:snapToGrid w:val="0"/>
          <w:color w:val="auto"/>
          <w:kern w:val="0"/>
          <w:sz w:val="24"/>
          <w:szCs w:val="24"/>
          <w:lang w:val="en-US" w:eastAsia="zh-CN" w:bidi="ar-SA"/>
        </w:rPr>
        <w:t>单回路段</w:t>
      </w:r>
      <w:r>
        <w:rPr>
          <w:rFonts w:hint="default" w:ascii="Times New Roman" w:hAnsi="Times New Roman" w:cs="Times New Roman"/>
          <w:color w:val="auto"/>
          <w:kern w:val="0"/>
          <w:sz w:val="24"/>
          <w:highlight w:val="none"/>
          <w:lang w:val="en-US" w:eastAsia="zh-CN"/>
        </w:rPr>
        <w:t>工频电场强度监测值在0.328V/m～1.168V/m之间，</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监测值在0.0829μT~0.0846μT之间；输电线路钻越±1100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kern w:val="0"/>
          <w:sz w:val="24"/>
          <w:highlight w:val="none"/>
          <w:lang w:val="en-US" w:eastAsia="zh-CN"/>
        </w:rPr>
        <w:t>吉泉线工频电场强度监测值为8.552V/m，</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监测值为0.0936μT；上述监测结果均满足</w:t>
      </w:r>
      <w:r>
        <w:rPr>
          <w:rFonts w:hint="default" w:ascii="Times New Roman" w:hAnsi="Times New Roman" w:cs="Times New Roman"/>
          <w:color w:val="auto"/>
          <w:sz w:val="24"/>
          <w:highlight w:val="none"/>
        </w:rPr>
        <w:t>《电磁环境控制限值》（GB8702-2014）中架空输电线路下的耕地、园地、牧草地、畜禽饲养地、养殖水面、道路等场所10kV/m，工频磁感应强度100μT的标准限值。</w:t>
      </w:r>
    </w:p>
    <w:p w14:paraId="23C065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b w:val="0"/>
          <w:bCs w:val="0"/>
          <w:color w:val="auto"/>
          <w:sz w:val="24"/>
          <w:szCs w:val="24"/>
          <w:highlight w:val="none"/>
          <w:lang w:val="en-US" w:eastAsia="zh-CN"/>
        </w:rPr>
        <w:t>由于云雾山330千伏变电站</w:t>
      </w:r>
      <w:r>
        <w:rPr>
          <w:rFonts w:hint="default" w:ascii="Times New Roman" w:hAnsi="Times New Roman" w:cs="Times New Roman"/>
          <w:color w:val="auto"/>
          <w:sz w:val="24"/>
          <w:highlight w:val="none"/>
        </w:rPr>
        <w:t>已经投运，</w:t>
      </w:r>
      <w:r>
        <w:rPr>
          <w:rFonts w:hint="default" w:ascii="Times New Roman" w:hAnsi="Times New Roman" w:cs="Times New Roman"/>
          <w:color w:val="auto"/>
          <w:sz w:val="24"/>
          <w:highlight w:val="none"/>
          <w:lang w:val="en-US" w:eastAsia="zh-CN"/>
        </w:rPr>
        <w:t>导致</w:t>
      </w:r>
      <w:r>
        <w:rPr>
          <w:rFonts w:hint="default" w:ascii="Times New Roman" w:hAnsi="Times New Roman" w:cs="Times New Roman"/>
          <w:color w:val="auto"/>
          <w:sz w:val="24"/>
          <w:highlight w:val="none"/>
        </w:rPr>
        <w:t>变电站外</w:t>
      </w:r>
      <w:r>
        <w:rPr>
          <w:rFonts w:hint="default" w:ascii="Times New Roman" w:hAnsi="Times New Roman" w:cs="Times New Roman"/>
          <w:b w:val="0"/>
          <w:bCs w:val="0"/>
          <w:color w:val="auto"/>
          <w:sz w:val="24"/>
          <w:szCs w:val="24"/>
          <w:highlight w:val="none"/>
          <w:lang w:val="en-US" w:eastAsia="zh-CN"/>
        </w:rPr>
        <w:t>110千伏</w:t>
      </w:r>
      <w:r>
        <w:rPr>
          <w:rFonts w:hint="default" w:ascii="Times New Roman" w:hAnsi="Times New Roman" w:cs="Times New Roman"/>
          <w:color w:val="auto"/>
          <w:sz w:val="24"/>
          <w:highlight w:val="none"/>
        </w:rPr>
        <w:t>构架侧</w:t>
      </w:r>
      <w:r>
        <w:rPr>
          <w:rFonts w:hint="default" w:ascii="Times New Roman" w:hAnsi="Times New Roman" w:cs="Times New Roman"/>
          <w:color w:val="auto"/>
          <w:sz w:val="24"/>
          <w:highlight w:val="none"/>
          <w:lang w:val="en-US" w:eastAsia="zh-CN"/>
        </w:rPr>
        <w:t>本次</w:t>
      </w:r>
      <w:r>
        <w:rPr>
          <w:rFonts w:hint="default" w:ascii="Times New Roman" w:hAnsi="Times New Roman" w:eastAsia="宋体" w:cs="Times New Roman"/>
          <w:color w:val="auto"/>
          <w:sz w:val="24"/>
          <w:szCs w:val="24"/>
          <w:highlight w:val="none"/>
          <w:lang w:val="en-US" w:eastAsia="zh-CN"/>
        </w:rPr>
        <w:t>拟建</w:t>
      </w:r>
      <w:r>
        <w:rPr>
          <w:rFonts w:hint="default" w:ascii="Times New Roman" w:hAnsi="Times New Roman" w:eastAsia="宋体" w:cs="Times New Roman"/>
          <w:color w:val="auto"/>
          <w:kern w:val="2"/>
          <w:sz w:val="24"/>
          <w:szCs w:val="24"/>
          <w:highlight w:val="none"/>
          <w:vertAlign w:val="baseline"/>
          <w:lang w:val="en-US" w:eastAsia="zh-CN" w:bidi="ar-SA"/>
        </w:rPr>
        <w:t>架空线路双回路单侧挂线</w:t>
      </w:r>
      <w:r>
        <w:rPr>
          <w:rFonts w:hint="default" w:ascii="Times New Roman" w:hAnsi="Times New Roman" w:eastAsia="宋体" w:cs="Times New Roman"/>
          <w:color w:val="auto"/>
          <w:kern w:val="2"/>
          <w:sz w:val="24"/>
          <w:szCs w:val="24"/>
          <w:highlight w:val="none"/>
          <w:lang w:val="en-US" w:eastAsia="zh-CN" w:bidi="ar-SA"/>
        </w:rPr>
        <w:t>段</w:t>
      </w:r>
      <w:r>
        <w:rPr>
          <w:rFonts w:hint="default" w:ascii="Times New Roman" w:hAnsi="Times New Roman" w:cs="Times New Roman"/>
          <w:color w:val="auto"/>
          <w:sz w:val="24"/>
          <w:highlight w:val="none"/>
        </w:rPr>
        <w:t>监测的工频电场、工频磁感应强度监测结果偏大</w:t>
      </w:r>
      <w:r>
        <w:rPr>
          <w:rFonts w:hint="default" w:ascii="Times New Roman" w:hAnsi="Times New Roman" w:cs="Times New Roman"/>
          <w:color w:val="auto"/>
          <w:sz w:val="24"/>
          <w:highlight w:val="none"/>
          <w:lang w:eastAsia="zh-CN"/>
        </w:rPr>
        <w:t>。</w:t>
      </w:r>
    </w:p>
    <w:p w14:paraId="5EE2939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lang w:val="en-US" w:eastAsia="zh-CN"/>
        </w:rPr>
        <w:t>由于输电线路钻越±1100</w:t>
      </w:r>
      <w:r>
        <w:rPr>
          <w:rFonts w:hint="default" w:ascii="Times New Roman" w:hAnsi="Times New Roman" w:cs="Times New Roman"/>
          <w:color w:val="auto"/>
          <w:sz w:val="24"/>
          <w:szCs w:val="24"/>
          <w:lang w:val="en-US" w:eastAsia="zh-CN"/>
        </w:rPr>
        <w:t>千伏</w:t>
      </w:r>
      <w:r>
        <w:rPr>
          <w:rFonts w:hint="default" w:ascii="Times New Roman" w:hAnsi="Times New Roman" w:cs="Times New Roman"/>
          <w:color w:val="auto"/>
          <w:kern w:val="0"/>
          <w:sz w:val="24"/>
          <w:highlight w:val="none"/>
          <w:lang w:val="en-US" w:eastAsia="zh-CN"/>
        </w:rPr>
        <w:t>吉泉线，</w:t>
      </w:r>
      <w:r>
        <w:rPr>
          <w:rFonts w:hint="default" w:ascii="Times New Roman" w:hAnsi="Times New Roman" w:eastAsia="宋体" w:cs="Times New Roman"/>
          <w:color w:val="auto"/>
          <w:sz w:val="24"/>
          <w:highlight w:val="none"/>
          <w:lang w:val="en-US" w:eastAsia="zh-CN"/>
        </w:rPr>
        <w:t>导致</w:t>
      </w:r>
      <w:r>
        <w:rPr>
          <w:rFonts w:hint="default" w:ascii="Times New Roman" w:hAnsi="Times New Roman" w:cs="Times New Roman"/>
          <w:color w:val="auto"/>
          <w:kern w:val="0"/>
          <w:sz w:val="24"/>
          <w:highlight w:val="none"/>
          <w:lang w:val="en-US" w:eastAsia="zh-CN"/>
        </w:rPr>
        <w:t>钻越</w:t>
      </w:r>
      <w:r>
        <w:rPr>
          <w:rFonts w:hint="default" w:ascii="Times New Roman" w:hAnsi="Times New Roman" w:eastAsia="宋体" w:cs="Times New Roman"/>
          <w:color w:val="auto"/>
          <w:sz w:val="24"/>
          <w:highlight w:val="none"/>
          <w:lang w:val="en-US" w:eastAsia="zh-CN"/>
        </w:rPr>
        <w:t>处的</w:t>
      </w:r>
      <w:r>
        <w:rPr>
          <w:rFonts w:hint="default" w:ascii="Times New Roman" w:hAnsi="Times New Roman" w:cs="Times New Roman"/>
          <w:color w:val="auto"/>
          <w:sz w:val="24"/>
          <w:highlight w:val="none"/>
        </w:rPr>
        <w:t>工频电场、工频磁感应强度监测结果偏大。</w:t>
      </w:r>
    </w:p>
    <w:p w14:paraId="32D7542F">
      <w:pPr>
        <w:keepNext w:val="0"/>
        <w:keepLines w:val="0"/>
        <w:pageBreakBefore w:val="0"/>
        <w:widowControl w:val="0"/>
        <w:kinsoku/>
        <w:wordWrap/>
        <w:overflowPunct/>
        <w:topLinePunct w:val="0"/>
        <w:autoSpaceDE/>
        <w:autoSpaceDN/>
        <w:bidi w:val="0"/>
        <w:adjustRightInd w:val="0"/>
        <w:snapToGrid w:val="0"/>
        <w:spacing w:line="360" w:lineRule="auto"/>
        <w:ind w:firstLine="470" w:firstLineChars="196"/>
        <w:jc w:val="both"/>
        <w:textAlignment w:val="auto"/>
        <w:rPr>
          <w:rFonts w:hint="default" w:ascii="Times New Roman" w:hAnsi="Times New Roman" w:cs="Times New Roman"/>
          <w:color w:val="auto"/>
          <w:kern w:val="0"/>
          <w:sz w:val="24"/>
          <w:highlight w:val="none"/>
          <w:lang w:val="en-US" w:eastAsia="zh-CN"/>
        </w:rPr>
      </w:pPr>
      <w:r>
        <w:rPr>
          <w:rFonts w:hint="default" w:ascii="Times New Roman" w:hAnsi="Times New Roman" w:eastAsia="宋体" w:cs="Times New Roman"/>
          <w:color w:val="auto"/>
          <w:sz w:val="24"/>
          <w:highlight w:val="none"/>
          <w:lang w:eastAsia="zh-CN"/>
        </w:rPr>
        <w:t>③</w:t>
      </w:r>
      <w:r>
        <w:rPr>
          <w:rFonts w:hint="default" w:ascii="Times New Roman" w:hAnsi="Times New Roman" w:cs="Times New Roman"/>
          <w:color w:val="auto"/>
          <w:kern w:val="0"/>
          <w:sz w:val="24"/>
          <w:highlight w:val="none"/>
          <w:lang w:val="en-US" w:eastAsia="zh-CN"/>
        </w:rPr>
        <w:t>架空输电线路沿线电磁环境敏感目标处工频电场强度监测值在0.454V/m~3.450V/m之间，</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监测值在0.0822μT~0.0850μT之间，满足</w:t>
      </w:r>
      <w:r>
        <w:rPr>
          <w:rFonts w:hint="default" w:ascii="Times New Roman" w:hAnsi="Times New Roman" w:cs="Times New Roman"/>
          <w:color w:val="auto"/>
          <w:sz w:val="24"/>
          <w:highlight w:val="none"/>
        </w:rPr>
        <w:t>《电磁环境控制限值》（GB8702-2014）中规定的公众曝露控制限值工频电场强度4</w:t>
      </w:r>
      <w:r>
        <w:rPr>
          <w:rFonts w:hint="eastAsia" w:cs="Times New Roman"/>
          <w:color w:val="auto"/>
          <w:sz w:val="24"/>
          <w:highlight w:val="none"/>
          <w:lang w:val="en-US" w:eastAsia="zh-CN"/>
        </w:rPr>
        <w:t>000</w:t>
      </w:r>
      <w:r>
        <w:rPr>
          <w:rFonts w:hint="default" w:ascii="Times New Roman" w:hAnsi="Times New Roman" w:cs="Times New Roman"/>
          <w:color w:val="auto"/>
          <w:sz w:val="24"/>
          <w:highlight w:val="none"/>
        </w:rPr>
        <w:t>V/m，工频磁感应强度100μT的标准限值。</w:t>
      </w:r>
    </w:p>
    <w:p w14:paraId="4A850B43">
      <w:pPr>
        <w:pStyle w:val="2"/>
        <w:keepLines/>
        <w:overflowPunct/>
        <w:snapToGrid/>
        <w:spacing w:before="0" w:after="0" w:line="360" w:lineRule="auto"/>
        <w:ind w:left="0" w:firstLine="0"/>
        <w:rPr>
          <w:rFonts w:hint="default" w:ascii="Times New Roman" w:hAnsi="Times New Roman" w:eastAsia="宋体" w:cs="Times New Roman"/>
          <w:b/>
          <w:bCs w:val="0"/>
          <w:color w:val="auto"/>
          <w:sz w:val="28"/>
          <w:szCs w:val="28"/>
          <w:highlight w:val="none"/>
        </w:rPr>
      </w:pPr>
      <w:bookmarkStart w:id="322" w:name="_Toc14642"/>
      <w:bookmarkStart w:id="323" w:name="_Toc1994"/>
      <w:r>
        <w:rPr>
          <w:rFonts w:hint="default" w:ascii="Times New Roman" w:hAnsi="Times New Roman" w:eastAsia="宋体" w:cs="Times New Roman"/>
          <w:b/>
          <w:bCs w:val="0"/>
          <w:color w:val="auto"/>
          <w:sz w:val="28"/>
          <w:szCs w:val="28"/>
          <w:highlight w:val="none"/>
        </w:rPr>
        <w:t>6</w:t>
      </w:r>
      <w:r>
        <w:rPr>
          <w:rFonts w:hint="default" w:ascii="Times New Roman" w:hAnsi="Times New Roman" w:eastAsia="宋体" w:cs="Times New Roman"/>
          <w:b/>
          <w:bCs w:val="0"/>
          <w:color w:val="auto"/>
          <w:sz w:val="28"/>
          <w:szCs w:val="28"/>
          <w:highlight w:val="none"/>
          <w:lang w:val="en-US" w:eastAsia="zh-CN"/>
        </w:rPr>
        <w:t>.</w:t>
      </w:r>
      <w:r>
        <w:rPr>
          <w:rFonts w:hint="default" w:ascii="Times New Roman" w:hAnsi="Times New Roman" w:eastAsia="宋体" w:cs="Times New Roman"/>
          <w:b/>
          <w:bCs w:val="0"/>
          <w:color w:val="auto"/>
          <w:sz w:val="28"/>
          <w:szCs w:val="28"/>
          <w:highlight w:val="none"/>
        </w:rPr>
        <w:t>电磁环境影响预测与评价</w:t>
      </w:r>
      <w:bookmarkEnd w:id="321"/>
      <w:bookmarkEnd w:id="322"/>
      <w:bookmarkEnd w:id="323"/>
    </w:p>
    <w:p w14:paraId="11278736">
      <w:pPr>
        <w:spacing w:line="360" w:lineRule="auto"/>
        <w:ind w:firstLine="480" w:firstLineChars="200"/>
        <w:rPr>
          <w:rFonts w:hint="default" w:ascii="Times New Roman" w:hAnsi="Times New Roman" w:cs="Times New Roman"/>
          <w:color w:val="auto"/>
          <w:sz w:val="24"/>
          <w:highlight w:val="none"/>
        </w:rPr>
      </w:pPr>
      <w:bookmarkStart w:id="324" w:name="_Toc23921"/>
      <w:bookmarkStart w:id="325" w:name="_Toc31805"/>
      <w:bookmarkStart w:id="326" w:name="_Toc16935"/>
      <w:bookmarkStart w:id="327" w:name="_Toc2725"/>
      <w:bookmarkStart w:id="328" w:name="_Toc23358"/>
      <w:r>
        <w:rPr>
          <w:rFonts w:hint="default" w:ascii="Times New Roman" w:hAnsi="Times New Roman" w:cs="Times New Roman"/>
          <w:color w:val="auto"/>
          <w:sz w:val="24"/>
          <w:highlight w:val="none"/>
        </w:rPr>
        <w:t>本项目电磁环境影响评价工作等级为</w:t>
      </w:r>
      <w:r>
        <w:rPr>
          <w:rFonts w:hint="default" w:ascii="Times New Roman" w:hAnsi="Times New Roman" w:cs="Times New Roman"/>
          <w:color w:val="auto"/>
          <w:sz w:val="24"/>
          <w:highlight w:val="none"/>
          <w:lang w:val="en-US" w:eastAsia="zh-CN"/>
        </w:rPr>
        <w:t>二</w:t>
      </w:r>
      <w:r>
        <w:rPr>
          <w:rFonts w:hint="default" w:ascii="Times New Roman" w:hAnsi="Times New Roman" w:cs="Times New Roman"/>
          <w:color w:val="auto"/>
          <w:sz w:val="24"/>
          <w:highlight w:val="none"/>
        </w:rPr>
        <w:t>级，根据《环境影响评价技术导则 输变电》（HJ24-2020）中“4.10.</w:t>
      </w:r>
      <w:r>
        <w:rPr>
          <w:rFonts w:hint="default" w:ascii="Times New Roman" w:hAnsi="Times New Roman" w:cs="Times New Roman"/>
          <w:color w:val="auto"/>
          <w:sz w:val="24"/>
          <w:highlight w:val="none"/>
          <w:lang w:val="en-US" w:eastAsia="zh-CN"/>
        </w:rPr>
        <w:t>2二</w:t>
      </w:r>
      <w:r>
        <w:rPr>
          <w:rFonts w:hint="default" w:ascii="Times New Roman" w:hAnsi="Times New Roman" w:cs="Times New Roman"/>
          <w:color w:val="auto"/>
          <w:sz w:val="24"/>
          <w:highlight w:val="none"/>
        </w:rPr>
        <w:t>级评价的基本要求”，</w:t>
      </w:r>
      <w:r>
        <w:rPr>
          <w:rFonts w:hint="default" w:ascii="Times New Roman" w:hAnsi="Times New Roman" w:cs="Times New Roman"/>
          <w:color w:val="auto"/>
          <w:sz w:val="24"/>
          <w:highlight w:val="none"/>
          <w:lang w:val="en-US" w:eastAsia="zh-CN"/>
        </w:rPr>
        <w:t>输电线路</w:t>
      </w:r>
      <w:r>
        <w:rPr>
          <w:rFonts w:hint="default" w:ascii="Times New Roman" w:hAnsi="Times New Roman" w:cs="Times New Roman"/>
          <w:color w:val="auto"/>
          <w:sz w:val="24"/>
          <w:highlight w:val="none"/>
        </w:rPr>
        <w:t>电磁环境影响预测一般采用模式预测的方式。</w:t>
      </w:r>
      <w:r>
        <w:rPr>
          <w:rFonts w:hint="default" w:ascii="Times New Roman" w:hAnsi="Times New Roman" w:cs="Times New Roman"/>
          <w:color w:val="auto"/>
          <w:sz w:val="24"/>
          <w:highlight w:val="none"/>
          <w:lang w:val="en-US" w:eastAsia="zh-CN"/>
        </w:rPr>
        <w:t>变电站</w:t>
      </w:r>
      <w:r>
        <w:rPr>
          <w:rFonts w:hint="default" w:ascii="Times New Roman" w:hAnsi="Times New Roman" w:cs="Times New Roman"/>
          <w:color w:val="auto"/>
          <w:sz w:val="24"/>
          <w:highlight w:val="none"/>
        </w:rPr>
        <w:t>电磁环境影响预测</w:t>
      </w:r>
      <w:r>
        <w:rPr>
          <w:rFonts w:hint="default" w:ascii="Times New Roman" w:hAnsi="Times New Roman" w:cs="Times New Roman"/>
          <w:color w:val="auto"/>
          <w:sz w:val="24"/>
          <w:highlight w:val="none"/>
          <w:lang w:val="en-US" w:eastAsia="zh-CN"/>
        </w:rPr>
        <w:t>应</w:t>
      </w:r>
      <w:r>
        <w:rPr>
          <w:rFonts w:hint="default" w:ascii="Times New Roman" w:hAnsi="Times New Roman" w:cs="Times New Roman"/>
          <w:color w:val="auto"/>
          <w:sz w:val="24"/>
          <w:highlight w:val="none"/>
        </w:rPr>
        <w:t>采用</w:t>
      </w:r>
      <w:r>
        <w:rPr>
          <w:rFonts w:hint="default" w:ascii="Times New Roman" w:hAnsi="Times New Roman" w:cs="Times New Roman"/>
          <w:color w:val="auto"/>
          <w:sz w:val="24"/>
          <w:highlight w:val="none"/>
          <w:lang w:val="en-US" w:eastAsia="zh-CN"/>
        </w:rPr>
        <w:t>类比监测</w:t>
      </w:r>
      <w:r>
        <w:rPr>
          <w:rFonts w:hint="default" w:ascii="Times New Roman" w:hAnsi="Times New Roman" w:cs="Times New Roman"/>
          <w:color w:val="auto"/>
          <w:sz w:val="24"/>
          <w:highlight w:val="none"/>
        </w:rPr>
        <w:t>的方式。因此，本项目架空</w:t>
      </w:r>
      <w:r>
        <w:rPr>
          <w:rFonts w:hint="default" w:ascii="Times New Roman" w:hAnsi="Times New Roman" w:cs="Times New Roman"/>
          <w:color w:val="auto"/>
          <w:sz w:val="24"/>
          <w:highlight w:val="none"/>
          <w:lang w:val="en-US" w:eastAsia="zh-CN"/>
        </w:rPr>
        <w:t>输电</w:t>
      </w:r>
      <w:r>
        <w:rPr>
          <w:rFonts w:hint="default" w:ascii="Times New Roman" w:hAnsi="Times New Roman" w:cs="Times New Roman"/>
          <w:color w:val="auto"/>
          <w:sz w:val="24"/>
          <w:highlight w:val="none"/>
        </w:rPr>
        <w:t>线路的电磁环境影响预测采用模式预测的方式</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变电站间隔扩建工程</w:t>
      </w:r>
      <w:r>
        <w:rPr>
          <w:rFonts w:hint="default" w:ascii="Times New Roman" w:hAnsi="Times New Roman" w:cs="Times New Roman"/>
          <w:color w:val="auto"/>
          <w:sz w:val="24"/>
          <w:highlight w:val="none"/>
        </w:rPr>
        <w:t>电磁环境影响预测</w:t>
      </w:r>
      <w:r>
        <w:rPr>
          <w:rFonts w:hint="default" w:ascii="Times New Roman" w:hAnsi="Times New Roman" w:cs="Times New Roman"/>
          <w:color w:val="auto"/>
          <w:sz w:val="24"/>
          <w:highlight w:val="none"/>
          <w:lang w:val="en-US" w:eastAsia="zh-CN"/>
        </w:rPr>
        <w:t>应</w:t>
      </w:r>
      <w:r>
        <w:rPr>
          <w:rFonts w:hint="default" w:ascii="Times New Roman" w:hAnsi="Times New Roman" w:cs="Times New Roman"/>
          <w:color w:val="auto"/>
          <w:sz w:val="24"/>
          <w:highlight w:val="none"/>
        </w:rPr>
        <w:t>采用</w:t>
      </w:r>
      <w:r>
        <w:rPr>
          <w:rFonts w:hint="default" w:ascii="Times New Roman" w:hAnsi="Times New Roman" w:cs="Times New Roman"/>
          <w:color w:val="auto"/>
          <w:sz w:val="24"/>
          <w:highlight w:val="none"/>
          <w:lang w:val="en-US" w:eastAsia="zh-CN"/>
        </w:rPr>
        <w:t>类比监测</w:t>
      </w:r>
      <w:r>
        <w:rPr>
          <w:rFonts w:hint="default" w:ascii="Times New Roman" w:hAnsi="Times New Roman" w:cs="Times New Roman"/>
          <w:color w:val="auto"/>
          <w:sz w:val="24"/>
          <w:highlight w:val="none"/>
        </w:rPr>
        <w:t>的方式进行分析。</w:t>
      </w:r>
    </w:p>
    <w:p w14:paraId="7892398B">
      <w:pPr>
        <w:pStyle w:val="3"/>
        <w:keepNext/>
        <w:keepLines/>
        <w:spacing w:before="0" w:beforeAutospacing="0" w:after="0" w:afterAutospacing="0" w:line="360" w:lineRule="auto"/>
        <w:jc w:val="both"/>
        <w:rPr>
          <w:rFonts w:hint="default" w:ascii="Times New Roman" w:hAnsi="Times New Roman" w:eastAsia="宋体" w:cs="Times New Roman"/>
          <w:bCs w:val="0"/>
          <w:color w:val="auto"/>
          <w:spacing w:val="0"/>
          <w:kern w:val="2"/>
          <w:sz w:val="24"/>
          <w:szCs w:val="24"/>
          <w:highlight w:val="none"/>
          <w:lang w:val="en-US"/>
        </w:rPr>
      </w:pPr>
      <w:bookmarkStart w:id="329" w:name="_Toc32111"/>
      <w:bookmarkStart w:id="330" w:name="_Toc19628"/>
      <w:r>
        <w:rPr>
          <w:rFonts w:hint="default" w:ascii="Times New Roman" w:hAnsi="Times New Roman" w:eastAsia="宋体" w:cs="Times New Roman"/>
          <w:bCs w:val="0"/>
          <w:color w:val="auto"/>
          <w:spacing w:val="0"/>
          <w:kern w:val="2"/>
          <w:sz w:val="24"/>
          <w:szCs w:val="24"/>
          <w:highlight w:val="none"/>
          <w:lang w:val="en-US"/>
        </w:rPr>
        <w:t>6.</w:t>
      </w:r>
      <w:r>
        <w:rPr>
          <w:rFonts w:hint="default" w:ascii="Times New Roman" w:hAnsi="Times New Roman" w:eastAsia="宋体" w:cs="Times New Roman"/>
          <w:bCs w:val="0"/>
          <w:color w:val="auto"/>
          <w:spacing w:val="0"/>
          <w:kern w:val="2"/>
          <w:sz w:val="24"/>
          <w:szCs w:val="24"/>
          <w:highlight w:val="none"/>
          <w:lang w:val="en-US" w:eastAsia="zh-CN"/>
        </w:rPr>
        <w:t>1云雾山330</w:t>
      </w:r>
      <w:r>
        <w:rPr>
          <w:rFonts w:hint="eastAsia" w:ascii="Times New Roman" w:hAnsi="Times New Roman" w:cs="Times New Roman"/>
          <w:bCs w:val="0"/>
          <w:color w:val="auto"/>
          <w:spacing w:val="0"/>
          <w:kern w:val="2"/>
          <w:sz w:val="24"/>
          <w:szCs w:val="24"/>
          <w:highlight w:val="none"/>
          <w:lang w:val="en-US" w:eastAsia="zh-CN"/>
        </w:rPr>
        <w:t>千伏</w:t>
      </w:r>
      <w:r>
        <w:rPr>
          <w:rFonts w:hint="default" w:ascii="Times New Roman" w:hAnsi="Times New Roman" w:eastAsia="宋体" w:cs="Times New Roman"/>
          <w:bCs w:val="0"/>
          <w:color w:val="auto"/>
          <w:spacing w:val="0"/>
          <w:kern w:val="2"/>
          <w:sz w:val="24"/>
          <w:szCs w:val="24"/>
          <w:highlight w:val="none"/>
          <w:lang w:val="en-US" w:eastAsia="zh-CN"/>
        </w:rPr>
        <w:t>变电站新建工程</w:t>
      </w:r>
      <w:bookmarkEnd w:id="324"/>
      <w:bookmarkEnd w:id="325"/>
      <w:bookmarkEnd w:id="326"/>
      <w:bookmarkEnd w:id="327"/>
      <w:bookmarkEnd w:id="328"/>
      <w:bookmarkEnd w:id="329"/>
      <w:bookmarkEnd w:id="330"/>
    </w:p>
    <w:p w14:paraId="254331DE">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bCs/>
          <w:color w:val="auto"/>
          <w:sz w:val="24"/>
          <w:highlight w:val="none"/>
        </w:rPr>
        <w:t xml:space="preserve">《环境影响评价技术导则 </w:t>
      </w:r>
      <w:r>
        <w:rPr>
          <w:rFonts w:hint="default" w:ascii="Times New Roman" w:hAnsi="Times New Roman" w:eastAsia="宋体" w:cs="Times New Roman"/>
          <w:bCs/>
          <w:color w:val="auto"/>
          <w:sz w:val="24"/>
          <w:highlight w:val="none"/>
          <w:lang w:eastAsia="zh-CN"/>
        </w:rPr>
        <w:t>输变电》（HJ24</w:t>
      </w:r>
      <w:r>
        <w:rPr>
          <w:rFonts w:hint="default"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eastAsia="zh-CN"/>
        </w:rPr>
        <w:t>2020）</w:t>
      </w:r>
      <w:r>
        <w:rPr>
          <w:rFonts w:hint="default" w:ascii="Times New Roman" w:hAnsi="Times New Roman" w:eastAsia="宋体" w:cs="Times New Roman"/>
          <w:bCs/>
          <w:color w:val="auto"/>
          <w:sz w:val="24"/>
          <w:highlight w:val="none"/>
        </w:rPr>
        <w:t>要求，变电站产生的电磁环境影响采用类比分析的方法进行评价。根据类比分析的要求，采取</w:t>
      </w:r>
      <w:r>
        <w:rPr>
          <w:rFonts w:hint="default" w:ascii="Times New Roman" w:hAnsi="Times New Roman" w:eastAsia="宋体" w:cs="Times New Roman"/>
          <w:color w:val="auto"/>
          <w:sz w:val="24"/>
          <w:highlight w:val="none"/>
        </w:rPr>
        <w:t>与</w:t>
      </w:r>
      <w:r>
        <w:rPr>
          <w:rFonts w:hint="default" w:ascii="Times New Roman" w:hAnsi="Times New Roman" w:eastAsia="宋体" w:cs="Times New Roman"/>
          <w:color w:val="auto"/>
          <w:sz w:val="24"/>
          <w:highlight w:val="none"/>
          <w:lang w:val="en-US" w:eastAsia="zh-CN"/>
        </w:rPr>
        <w:t>云雾山330</w:t>
      </w:r>
      <w:r>
        <w:rPr>
          <w:rFonts w:hint="eastAsia" w:cs="Times New Roman"/>
          <w:color w:val="auto"/>
          <w:sz w:val="24"/>
          <w:highlight w:val="none"/>
          <w:lang w:val="en-US" w:eastAsia="zh-CN"/>
        </w:rPr>
        <w:t>千伏</w:t>
      </w:r>
      <w:r>
        <w:rPr>
          <w:rFonts w:hint="default" w:ascii="Times New Roman" w:hAnsi="Times New Roman" w:eastAsia="宋体" w:cs="Times New Roman"/>
          <w:color w:val="auto"/>
          <w:sz w:val="24"/>
          <w:highlight w:val="none"/>
          <w:lang w:val="en-US" w:eastAsia="zh-CN"/>
        </w:rPr>
        <w:t>变电站</w:t>
      </w:r>
      <w:r>
        <w:rPr>
          <w:rFonts w:hint="default" w:ascii="Times New Roman" w:hAnsi="Times New Roman" w:eastAsia="宋体" w:cs="Times New Roman"/>
          <w:color w:val="auto"/>
          <w:sz w:val="24"/>
          <w:highlight w:val="none"/>
        </w:rPr>
        <w:t>建设规模、电压等级、容量以及环境条件相类似的330</w:t>
      </w:r>
      <w:r>
        <w:rPr>
          <w:rFonts w:hint="eastAsia"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变电站进行工频电场、工频磁场的类比监测调查。</w:t>
      </w:r>
    </w:p>
    <w:p w14:paraId="1A528DA8">
      <w:pPr>
        <w:numPr>
          <w:ilvl w:val="0"/>
          <w:numId w:val="0"/>
        </w:numPr>
        <w:spacing w:line="360" w:lineRule="auto"/>
        <w:ind w:firstLine="480" w:firstLineChars="200"/>
        <w:jc w:val="both"/>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val="en-US" w:eastAsia="zh-CN"/>
        </w:rPr>
        <w:t>1）</w:t>
      </w:r>
      <w:r>
        <w:rPr>
          <w:rFonts w:hint="default" w:ascii="Times New Roman" w:hAnsi="Times New Roman" w:eastAsia="宋体" w:cs="Times New Roman"/>
          <w:bCs/>
          <w:color w:val="auto"/>
          <w:sz w:val="24"/>
          <w:highlight w:val="none"/>
        </w:rPr>
        <w:t>类比对象</w:t>
      </w:r>
    </w:p>
    <w:p w14:paraId="0E30CF40">
      <w:pPr>
        <w:numPr>
          <w:ilvl w:val="0"/>
          <w:numId w:val="0"/>
        </w:numPr>
        <w:spacing w:line="360" w:lineRule="auto"/>
        <w:ind w:firstLine="480" w:firstLineChars="200"/>
        <w:jc w:val="both"/>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为预测</w:t>
      </w:r>
      <w:r>
        <w:rPr>
          <w:rFonts w:hint="default" w:ascii="Times New Roman" w:hAnsi="Times New Roman" w:eastAsia="宋体" w:cs="Times New Roman"/>
          <w:bCs/>
          <w:color w:val="auto"/>
          <w:sz w:val="24"/>
          <w:highlight w:val="none"/>
          <w:lang w:val="en-US" w:eastAsia="zh-CN"/>
        </w:rPr>
        <w:t>云雾山</w:t>
      </w:r>
      <w:r>
        <w:rPr>
          <w:rFonts w:hint="default" w:ascii="Times New Roman" w:hAnsi="Times New Roman" w:eastAsia="宋体" w:cs="Times New Roman"/>
          <w:bCs/>
          <w:color w:val="auto"/>
          <w:sz w:val="24"/>
          <w:highlight w:val="none"/>
        </w:rPr>
        <w:t>330</w:t>
      </w:r>
      <w:r>
        <w:rPr>
          <w:rFonts w:hint="default" w:ascii="Times New Roman" w:hAnsi="Times New Roman" w:eastAsia="宋体" w:cs="Times New Roman"/>
          <w:bCs/>
          <w:color w:val="auto"/>
          <w:sz w:val="24"/>
          <w:highlight w:val="none"/>
          <w:lang w:val="en-US" w:eastAsia="zh-CN"/>
        </w:rPr>
        <w:t>千伏</w:t>
      </w:r>
      <w:r>
        <w:rPr>
          <w:rFonts w:hint="default" w:ascii="Times New Roman" w:hAnsi="Times New Roman" w:eastAsia="宋体" w:cs="Times New Roman"/>
          <w:bCs/>
          <w:color w:val="auto"/>
          <w:sz w:val="24"/>
          <w:highlight w:val="none"/>
        </w:rPr>
        <w:t>变电站</w:t>
      </w:r>
      <w:r>
        <w:rPr>
          <w:rFonts w:hint="default" w:ascii="Times New Roman" w:hAnsi="Times New Roman" w:eastAsia="宋体" w:cs="Times New Roman"/>
          <w:bCs/>
          <w:color w:val="auto"/>
          <w:sz w:val="24"/>
          <w:highlight w:val="none"/>
          <w:lang w:val="en-US" w:eastAsia="zh-CN"/>
        </w:rPr>
        <w:t>间隔扩建工程</w:t>
      </w:r>
      <w:r>
        <w:rPr>
          <w:rFonts w:hint="default" w:ascii="Times New Roman" w:hAnsi="Times New Roman" w:eastAsia="宋体" w:cs="Times New Roman"/>
          <w:bCs/>
          <w:color w:val="auto"/>
          <w:sz w:val="24"/>
          <w:highlight w:val="none"/>
        </w:rPr>
        <w:t>运行产生的工频电场、工频磁场对站址周围电磁环境的影响，选取与</w:t>
      </w:r>
      <w:r>
        <w:rPr>
          <w:rFonts w:hint="default" w:ascii="Times New Roman" w:hAnsi="Times New Roman" w:eastAsia="宋体" w:cs="Times New Roman"/>
          <w:bCs/>
          <w:color w:val="auto"/>
          <w:sz w:val="24"/>
          <w:highlight w:val="none"/>
          <w:lang w:eastAsia="zh-CN"/>
        </w:rPr>
        <w:t>本项目</w:t>
      </w:r>
      <w:r>
        <w:rPr>
          <w:rFonts w:hint="default" w:ascii="Times New Roman" w:hAnsi="Times New Roman" w:eastAsia="宋体" w:cs="Times New Roman"/>
          <w:bCs/>
          <w:color w:val="auto"/>
          <w:sz w:val="24"/>
          <w:highlight w:val="none"/>
        </w:rPr>
        <w:t>330</w:t>
      </w:r>
      <w:r>
        <w:rPr>
          <w:rFonts w:hint="eastAsia" w:cs="Times New Roman"/>
          <w:color w:val="auto"/>
          <w:sz w:val="24"/>
          <w:highlight w:val="none"/>
          <w:lang w:val="en-US" w:eastAsia="zh-CN"/>
        </w:rPr>
        <w:t>千伏</w:t>
      </w:r>
      <w:r>
        <w:rPr>
          <w:rFonts w:hint="default" w:ascii="Times New Roman" w:hAnsi="Times New Roman" w:eastAsia="宋体" w:cs="Times New Roman"/>
          <w:bCs/>
          <w:color w:val="auto"/>
          <w:sz w:val="24"/>
          <w:highlight w:val="none"/>
        </w:rPr>
        <w:t>变电站条件相似的330</w:t>
      </w:r>
      <w:r>
        <w:rPr>
          <w:rFonts w:hint="eastAsia" w:cs="Times New Roman"/>
          <w:color w:val="auto"/>
          <w:sz w:val="24"/>
          <w:highlight w:val="none"/>
          <w:lang w:val="en-US" w:eastAsia="zh-CN"/>
        </w:rPr>
        <w:t>千伏</w:t>
      </w:r>
      <w:r>
        <w:rPr>
          <w:rFonts w:hint="default" w:ascii="Times New Roman" w:hAnsi="Times New Roman" w:eastAsia="宋体" w:cs="Times New Roman"/>
          <w:bCs/>
          <w:color w:val="auto"/>
          <w:sz w:val="24"/>
          <w:highlight w:val="none"/>
        </w:rPr>
        <w:t>变电站，本次类比对象选择</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bCs/>
          <w:color w:val="auto"/>
          <w:sz w:val="24"/>
          <w:highlight w:val="none"/>
        </w:rPr>
        <w:t>330</w:t>
      </w:r>
      <w:r>
        <w:rPr>
          <w:rFonts w:hint="eastAsia" w:cs="Times New Roman"/>
          <w:color w:val="auto"/>
          <w:sz w:val="24"/>
          <w:highlight w:val="none"/>
          <w:lang w:val="en-US" w:eastAsia="zh-CN"/>
        </w:rPr>
        <w:t>千伏</w:t>
      </w:r>
      <w:r>
        <w:rPr>
          <w:rFonts w:hint="default" w:ascii="Times New Roman" w:hAnsi="Times New Roman" w:eastAsia="宋体" w:cs="Times New Roman"/>
          <w:bCs/>
          <w:color w:val="auto"/>
          <w:sz w:val="24"/>
          <w:highlight w:val="none"/>
        </w:rPr>
        <w:t>变电站，类比监测数据采用</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宁夏清水河330千伏变电站3号主变扩建工程</w:t>
      </w:r>
      <w:r>
        <w:rPr>
          <w:rFonts w:hint="default" w:ascii="Times New Roman" w:hAnsi="Times New Roman" w:eastAsia="宋体" w:cs="Times New Roman"/>
          <w:color w:val="auto"/>
          <w:sz w:val="24"/>
          <w:highlight w:val="none"/>
          <w:lang w:val="en-US" w:eastAsia="zh-CN"/>
        </w:rPr>
        <w:t>竣工环境保护验收调查报告</w:t>
      </w:r>
      <w:r>
        <w:rPr>
          <w:rFonts w:hint="default" w:ascii="Times New Roman" w:hAnsi="Times New Roman" w:eastAsia="宋体" w:cs="Times New Roman"/>
          <w:bCs/>
          <w:color w:val="auto"/>
          <w:sz w:val="24"/>
          <w:highlight w:val="none"/>
        </w:rPr>
        <w:t>》中宁夏盛世蓝天环保技术有限公司对</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bCs/>
          <w:color w:val="auto"/>
          <w:sz w:val="24"/>
          <w:highlight w:val="none"/>
        </w:rPr>
        <w:t>330</w:t>
      </w:r>
      <w:r>
        <w:rPr>
          <w:rFonts w:hint="eastAsia" w:cs="Times New Roman"/>
          <w:color w:val="auto"/>
          <w:sz w:val="24"/>
          <w:highlight w:val="none"/>
          <w:lang w:val="en-US" w:eastAsia="zh-CN"/>
        </w:rPr>
        <w:t>千伏</w:t>
      </w:r>
      <w:r>
        <w:rPr>
          <w:rFonts w:hint="default" w:ascii="Times New Roman" w:hAnsi="Times New Roman" w:eastAsia="宋体" w:cs="Times New Roman"/>
          <w:bCs/>
          <w:color w:val="auto"/>
          <w:sz w:val="24"/>
          <w:highlight w:val="none"/>
        </w:rPr>
        <w:t>变电站的监测数据。本次环评选择类比变电站的有关情况见</w:t>
      </w:r>
      <w:r>
        <w:rPr>
          <w:rFonts w:hint="default" w:ascii="Times New Roman" w:hAnsi="Times New Roman" w:eastAsia="宋体" w:cs="Times New Roman"/>
          <w:bCs/>
          <w:color w:val="auto"/>
          <w:sz w:val="24"/>
          <w:highlight w:val="none"/>
          <w:lang w:val="en-US" w:eastAsia="zh-CN"/>
        </w:rPr>
        <w:t>专题</w:t>
      </w:r>
      <w:r>
        <w:rPr>
          <w:rFonts w:hint="default" w:ascii="Times New Roman" w:hAnsi="Times New Roman" w:eastAsia="宋体" w:cs="Times New Roman"/>
          <w:bCs/>
          <w:color w:val="auto"/>
          <w:sz w:val="24"/>
          <w:highlight w:val="none"/>
        </w:rPr>
        <w:t>表</w:t>
      </w:r>
      <w:r>
        <w:rPr>
          <w:rFonts w:hint="default" w:ascii="Times New Roman" w:hAnsi="Times New Roman" w:eastAsia="宋体" w:cs="Times New Roman"/>
          <w:bCs/>
          <w:color w:val="auto"/>
          <w:sz w:val="24"/>
          <w:highlight w:val="none"/>
          <w:lang w:val="en-US" w:eastAsia="zh-CN"/>
        </w:rPr>
        <w:t>6</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bCs/>
          <w:color w:val="auto"/>
          <w:sz w:val="24"/>
          <w:highlight w:val="none"/>
          <w:lang w:val="en-US" w:eastAsia="zh-CN"/>
        </w:rPr>
        <w:t>1</w:t>
      </w:r>
      <w:r>
        <w:rPr>
          <w:rFonts w:hint="default" w:ascii="Times New Roman" w:hAnsi="Times New Roman" w:eastAsia="宋体" w:cs="Times New Roman"/>
          <w:bCs/>
          <w:color w:val="auto"/>
          <w:sz w:val="24"/>
          <w:highlight w:val="none"/>
        </w:rPr>
        <w:t>。</w:t>
      </w:r>
    </w:p>
    <w:p w14:paraId="323AF449">
      <w:pPr>
        <w:spacing w:line="24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专题</w:t>
      </w: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rPr>
        <w:t>-</w:t>
      </w:r>
      <w:r>
        <w:rPr>
          <w:rFonts w:hint="default" w:ascii="Times New Roman" w:hAnsi="Times New Roman" w:eastAsia="宋体" w:cs="Times New Roman"/>
          <w:b/>
          <w:color w:val="auto"/>
          <w:sz w:val="24"/>
          <w:highlight w:val="none"/>
          <w:lang w:val="en-US" w:eastAsia="zh-CN"/>
        </w:rPr>
        <w:t>1</w:t>
      </w:r>
      <w:r>
        <w:rPr>
          <w:rFonts w:hint="default" w:ascii="Times New Roman" w:hAnsi="Times New Roman" w:eastAsia="宋体" w:cs="Times New Roman"/>
          <w:b/>
          <w:color w:val="auto"/>
          <w:sz w:val="24"/>
          <w:highlight w:val="none"/>
        </w:rPr>
        <w:t xml:space="preserve">  </w:t>
      </w:r>
      <w:r>
        <w:rPr>
          <w:rFonts w:hint="default" w:ascii="Times New Roman" w:hAnsi="Times New Roman" w:eastAsia="宋体" w:cs="Times New Roman"/>
          <w:b/>
          <w:color w:val="auto"/>
          <w:sz w:val="24"/>
          <w:highlight w:val="none"/>
          <w:lang w:eastAsia="zh-CN"/>
        </w:rPr>
        <w:t>本项目</w:t>
      </w:r>
      <w:r>
        <w:rPr>
          <w:rFonts w:hint="default" w:ascii="Times New Roman" w:hAnsi="Times New Roman" w:eastAsia="宋体" w:cs="Times New Roman"/>
          <w:b/>
          <w:color w:val="auto"/>
          <w:sz w:val="24"/>
          <w:highlight w:val="none"/>
        </w:rPr>
        <w:t>新建变电站与类比变电站基础情况一览表</w:t>
      </w:r>
    </w:p>
    <w:tbl>
      <w:tblPr>
        <w:tblStyle w:val="31"/>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9"/>
        <w:gridCol w:w="3489"/>
        <w:gridCol w:w="3426"/>
      </w:tblGrid>
      <w:tr w14:paraId="2FA14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0DD4EE63">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项目</w:t>
            </w:r>
          </w:p>
        </w:tc>
        <w:tc>
          <w:tcPr>
            <w:tcW w:w="1935" w:type="pct"/>
            <w:tcBorders>
              <w:tl2br w:val="nil"/>
              <w:tr2bl w:val="nil"/>
            </w:tcBorders>
            <w:noWrap w:val="0"/>
            <w:vAlign w:val="center"/>
          </w:tcPr>
          <w:p w14:paraId="2D70D12E">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4"/>
                <w:highlight w:val="none"/>
              </w:rPr>
            </w:pPr>
            <w:r>
              <w:rPr>
                <w:rFonts w:hint="default" w:ascii="Times New Roman" w:hAnsi="Times New Roman" w:eastAsia="宋体" w:cs="Times New Roman"/>
                <w:b/>
                <w:bCs/>
                <w:color w:val="auto"/>
                <w:kern w:val="2"/>
                <w:sz w:val="21"/>
                <w:szCs w:val="24"/>
                <w:highlight w:val="none"/>
                <w:lang w:val="en-US" w:eastAsia="zh-CN"/>
              </w:rPr>
              <w:t>清水河</w:t>
            </w:r>
            <w:r>
              <w:rPr>
                <w:rFonts w:hint="default" w:ascii="Times New Roman" w:hAnsi="Times New Roman" w:eastAsia="宋体" w:cs="Times New Roman"/>
                <w:b/>
                <w:bCs/>
                <w:color w:val="auto"/>
                <w:kern w:val="2"/>
                <w:sz w:val="21"/>
                <w:szCs w:val="24"/>
                <w:highlight w:val="none"/>
              </w:rPr>
              <w:t>330</w:t>
            </w:r>
            <w:r>
              <w:rPr>
                <w:rFonts w:hint="default" w:ascii="Times New Roman" w:hAnsi="Times New Roman" w:eastAsia="宋体" w:cs="Times New Roman"/>
                <w:b/>
                <w:bCs/>
                <w:color w:val="auto"/>
                <w:kern w:val="2"/>
                <w:sz w:val="21"/>
                <w:szCs w:val="24"/>
                <w:highlight w:val="none"/>
                <w:lang w:val="en-US" w:eastAsia="zh-CN"/>
              </w:rPr>
              <w:t>千伏</w:t>
            </w:r>
            <w:r>
              <w:rPr>
                <w:rFonts w:hint="default" w:ascii="Times New Roman" w:hAnsi="Times New Roman" w:eastAsia="宋体" w:cs="Times New Roman"/>
                <w:b/>
                <w:bCs/>
                <w:color w:val="auto"/>
                <w:kern w:val="2"/>
                <w:sz w:val="21"/>
                <w:szCs w:val="24"/>
                <w:highlight w:val="none"/>
              </w:rPr>
              <w:t>变电站</w:t>
            </w:r>
          </w:p>
          <w:p w14:paraId="08392685">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4"/>
                <w:highlight w:val="none"/>
              </w:rPr>
              <w:t>（类比</w:t>
            </w:r>
            <w:r>
              <w:rPr>
                <w:rFonts w:hint="default" w:ascii="Times New Roman" w:hAnsi="Times New Roman" w:eastAsia="宋体" w:cs="Times New Roman"/>
                <w:b/>
                <w:bCs/>
                <w:color w:val="auto"/>
                <w:kern w:val="2"/>
                <w:sz w:val="21"/>
                <w:szCs w:val="24"/>
                <w:highlight w:val="none"/>
                <w:lang w:val="en-US" w:eastAsia="zh-CN"/>
              </w:rPr>
              <w:t>变电站</w:t>
            </w:r>
            <w:r>
              <w:rPr>
                <w:rFonts w:hint="default" w:ascii="Times New Roman" w:hAnsi="Times New Roman" w:eastAsia="宋体" w:cs="Times New Roman"/>
                <w:b/>
                <w:bCs/>
                <w:color w:val="auto"/>
                <w:kern w:val="2"/>
                <w:sz w:val="21"/>
                <w:szCs w:val="24"/>
                <w:highlight w:val="none"/>
              </w:rPr>
              <w:t>）</w:t>
            </w:r>
          </w:p>
        </w:tc>
        <w:tc>
          <w:tcPr>
            <w:tcW w:w="1900" w:type="pct"/>
            <w:tcBorders>
              <w:tl2br w:val="nil"/>
              <w:tr2bl w:val="nil"/>
            </w:tcBorders>
            <w:noWrap w:val="0"/>
            <w:vAlign w:val="center"/>
          </w:tcPr>
          <w:p w14:paraId="4E316B8D">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rPr>
              <w:t>云雾山</w:t>
            </w:r>
            <w:r>
              <w:rPr>
                <w:rFonts w:hint="default" w:ascii="Times New Roman" w:hAnsi="Times New Roman" w:eastAsia="宋体" w:cs="Times New Roman"/>
                <w:b/>
                <w:bCs/>
                <w:color w:val="auto"/>
                <w:kern w:val="2"/>
                <w:sz w:val="21"/>
                <w:szCs w:val="21"/>
                <w:highlight w:val="none"/>
              </w:rPr>
              <w:t>330</w:t>
            </w:r>
            <w:r>
              <w:rPr>
                <w:rFonts w:hint="default" w:ascii="Times New Roman" w:hAnsi="Times New Roman" w:eastAsia="宋体" w:cs="Times New Roman"/>
                <w:b/>
                <w:bCs/>
                <w:color w:val="auto"/>
                <w:kern w:val="2"/>
                <w:sz w:val="21"/>
                <w:szCs w:val="21"/>
                <w:highlight w:val="none"/>
                <w:lang w:val="en-US" w:eastAsia="zh-CN"/>
              </w:rPr>
              <w:t>千伏</w:t>
            </w:r>
            <w:r>
              <w:rPr>
                <w:rFonts w:hint="default" w:ascii="Times New Roman" w:hAnsi="Times New Roman" w:eastAsia="宋体" w:cs="Times New Roman"/>
                <w:b/>
                <w:bCs/>
                <w:color w:val="auto"/>
                <w:kern w:val="2"/>
                <w:sz w:val="21"/>
                <w:szCs w:val="21"/>
                <w:highlight w:val="none"/>
              </w:rPr>
              <w:t>变电站</w:t>
            </w:r>
          </w:p>
          <w:p w14:paraId="695B7922">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（本期</w:t>
            </w:r>
            <w:r>
              <w:rPr>
                <w:rFonts w:hint="default" w:ascii="Times New Roman" w:hAnsi="Times New Roman" w:eastAsia="宋体" w:cs="Times New Roman"/>
                <w:b/>
                <w:bCs/>
                <w:color w:val="auto"/>
                <w:kern w:val="2"/>
                <w:sz w:val="21"/>
                <w:szCs w:val="21"/>
                <w:highlight w:val="none"/>
                <w:lang w:val="en-US" w:eastAsia="zh-CN"/>
              </w:rPr>
              <w:t>间隔扩建工程</w:t>
            </w:r>
            <w:r>
              <w:rPr>
                <w:rFonts w:hint="default" w:ascii="Times New Roman" w:hAnsi="Times New Roman" w:eastAsia="宋体" w:cs="Times New Roman"/>
                <w:b/>
                <w:bCs/>
                <w:color w:val="auto"/>
                <w:kern w:val="2"/>
                <w:sz w:val="21"/>
                <w:szCs w:val="21"/>
                <w:highlight w:val="none"/>
              </w:rPr>
              <w:t>）</w:t>
            </w:r>
          </w:p>
        </w:tc>
      </w:tr>
      <w:tr w14:paraId="3E5BC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752DF682">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rPr>
              <w:t>建设地点</w:t>
            </w:r>
          </w:p>
        </w:tc>
        <w:tc>
          <w:tcPr>
            <w:tcW w:w="1935" w:type="pct"/>
            <w:tcBorders>
              <w:tl2br w:val="nil"/>
              <w:tr2bl w:val="nil"/>
            </w:tcBorders>
            <w:noWrap w:val="0"/>
            <w:vAlign w:val="center"/>
          </w:tcPr>
          <w:p w14:paraId="43132697">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rPr>
              <w:t>宁夏回族自治区</w:t>
            </w:r>
            <w:r>
              <w:rPr>
                <w:rFonts w:hint="default" w:ascii="Times New Roman" w:hAnsi="Times New Roman" w:eastAsia="宋体" w:cs="Times New Roman"/>
                <w:color w:val="auto"/>
                <w:kern w:val="2"/>
                <w:sz w:val="21"/>
                <w:szCs w:val="21"/>
                <w:highlight w:val="none"/>
                <w:lang w:val="en-US" w:eastAsia="zh-CN"/>
              </w:rPr>
              <w:t>固原</w:t>
            </w:r>
            <w:r>
              <w:rPr>
                <w:rFonts w:hint="default" w:ascii="Times New Roman" w:hAnsi="Times New Roman" w:eastAsia="宋体" w:cs="Times New Roman"/>
                <w:color w:val="auto"/>
                <w:kern w:val="2"/>
                <w:sz w:val="21"/>
                <w:szCs w:val="21"/>
                <w:highlight w:val="none"/>
              </w:rPr>
              <w:t>市</w:t>
            </w:r>
            <w:r>
              <w:rPr>
                <w:rFonts w:hint="default" w:ascii="Times New Roman" w:hAnsi="Times New Roman" w:eastAsia="宋体" w:cs="Times New Roman"/>
                <w:color w:val="auto"/>
                <w:kern w:val="2"/>
                <w:sz w:val="21"/>
                <w:szCs w:val="21"/>
                <w:highlight w:val="none"/>
                <w:lang w:val="en-US" w:eastAsia="zh-CN"/>
              </w:rPr>
              <w:t>原州区</w:t>
            </w:r>
          </w:p>
          <w:p w14:paraId="4B909088">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21"/>
                <w:szCs w:val="21"/>
                <w:highlight w:val="none"/>
                <w:lang w:val="en-US" w:eastAsia="zh-CN"/>
              </w:rPr>
              <w:t>肖沟村</w:t>
            </w:r>
          </w:p>
        </w:tc>
        <w:tc>
          <w:tcPr>
            <w:tcW w:w="1900" w:type="pct"/>
            <w:tcBorders>
              <w:tl2br w:val="nil"/>
              <w:tr2bl w:val="nil"/>
            </w:tcBorders>
            <w:noWrap w:val="0"/>
            <w:vAlign w:val="center"/>
          </w:tcPr>
          <w:p w14:paraId="0EA146A2">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rPr>
              <w:t>宁夏回族自治区</w:t>
            </w:r>
            <w:r>
              <w:rPr>
                <w:rFonts w:hint="default" w:ascii="Times New Roman" w:hAnsi="Times New Roman" w:eastAsia="宋体" w:cs="Times New Roman"/>
                <w:color w:val="auto"/>
                <w:kern w:val="2"/>
                <w:sz w:val="21"/>
                <w:szCs w:val="21"/>
                <w:highlight w:val="none"/>
                <w:lang w:val="en-US" w:eastAsia="zh-CN"/>
              </w:rPr>
              <w:t>固原</w:t>
            </w:r>
            <w:r>
              <w:rPr>
                <w:rFonts w:hint="default" w:ascii="Times New Roman" w:hAnsi="Times New Roman" w:eastAsia="宋体" w:cs="Times New Roman"/>
                <w:color w:val="auto"/>
                <w:kern w:val="2"/>
                <w:sz w:val="21"/>
                <w:szCs w:val="21"/>
                <w:highlight w:val="none"/>
              </w:rPr>
              <w:t>市</w:t>
            </w:r>
            <w:r>
              <w:rPr>
                <w:rFonts w:hint="default" w:ascii="Times New Roman" w:hAnsi="Times New Roman" w:eastAsia="宋体" w:cs="Times New Roman"/>
                <w:color w:val="auto"/>
                <w:kern w:val="2"/>
                <w:sz w:val="21"/>
                <w:szCs w:val="21"/>
                <w:highlight w:val="none"/>
                <w:lang w:val="en-US" w:eastAsia="zh-CN"/>
              </w:rPr>
              <w:t>原州区</w:t>
            </w:r>
          </w:p>
          <w:p w14:paraId="47F5C741">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大黄村</w:t>
            </w:r>
          </w:p>
        </w:tc>
      </w:tr>
      <w:tr w14:paraId="77863F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576DEA19">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主变规模</w:t>
            </w:r>
          </w:p>
        </w:tc>
        <w:tc>
          <w:tcPr>
            <w:tcW w:w="1935" w:type="pct"/>
            <w:tcBorders>
              <w:tl2br w:val="nil"/>
              <w:tr2bl w:val="nil"/>
            </w:tcBorders>
            <w:noWrap w:val="0"/>
            <w:vAlign w:val="center"/>
          </w:tcPr>
          <w:p w14:paraId="4F6657C1">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3</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24</w:t>
            </w:r>
            <w:r>
              <w:rPr>
                <w:rFonts w:hint="default" w:ascii="Times New Roman" w:hAnsi="Times New Roman" w:eastAsia="宋体" w:cs="Times New Roman"/>
                <w:color w:val="auto"/>
                <w:kern w:val="2"/>
                <w:sz w:val="21"/>
                <w:szCs w:val="21"/>
                <w:highlight w:val="none"/>
              </w:rPr>
              <w:t>0MVA</w:t>
            </w:r>
          </w:p>
        </w:tc>
        <w:tc>
          <w:tcPr>
            <w:tcW w:w="1900" w:type="pct"/>
            <w:tcBorders>
              <w:tl2br w:val="nil"/>
              <w:tr2bl w:val="nil"/>
            </w:tcBorders>
            <w:noWrap w:val="0"/>
            <w:vAlign w:val="center"/>
          </w:tcPr>
          <w:p w14:paraId="4C4D677A">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w:t>
            </w:r>
            <w:r>
              <w:rPr>
                <w:rFonts w:hint="default" w:ascii="Times New Roman" w:hAnsi="Times New Roman" w:eastAsia="宋体" w:cs="Times New Roman"/>
                <w:color w:val="auto"/>
                <w:kern w:val="2"/>
                <w:sz w:val="21"/>
                <w:szCs w:val="21"/>
                <w:highlight w:val="none"/>
                <w:lang w:val="en-US" w:eastAsia="zh-CN"/>
              </w:rPr>
              <w:t>24</w:t>
            </w:r>
            <w:r>
              <w:rPr>
                <w:rFonts w:hint="default" w:ascii="Times New Roman" w:hAnsi="Times New Roman" w:eastAsia="宋体" w:cs="Times New Roman"/>
                <w:color w:val="auto"/>
                <w:kern w:val="2"/>
                <w:sz w:val="21"/>
                <w:szCs w:val="21"/>
                <w:highlight w:val="none"/>
              </w:rPr>
              <w:t>0MVA</w:t>
            </w:r>
          </w:p>
        </w:tc>
      </w:tr>
      <w:tr w14:paraId="589751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42FA8C92">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bCs/>
                <w:color w:val="auto"/>
              </w:rPr>
              <w:t>电压等级</w:t>
            </w:r>
          </w:p>
        </w:tc>
        <w:tc>
          <w:tcPr>
            <w:tcW w:w="1935" w:type="pct"/>
            <w:tcBorders>
              <w:tl2br w:val="nil"/>
              <w:tr2bl w:val="nil"/>
            </w:tcBorders>
            <w:noWrap w:val="0"/>
            <w:vAlign w:val="center"/>
          </w:tcPr>
          <w:p w14:paraId="6C0AF509">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330/110/35千伏</w:t>
            </w:r>
          </w:p>
        </w:tc>
        <w:tc>
          <w:tcPr>
            <w:tcW w:w="1900" w:type="pct"/>
            <w:tcBorders>
              <w:tl2br w:val="nil"/>
              <w:tr2bl w:val="nil"/>
            </w:tcBorders>
            <w:noWrap w:val="0"/>
            <w:vAlign w:val="center"/>
          </w:tcPr>
          <w:p w14:paraId="1688272E">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330/110/35千伏</w:t>
            </w:r>
          </w:p>
        </w:tc>
      </w:tr>
      <w:tr w14:paraId="6F7B85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31350EE5">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主变布置</w:t>
            </w:r>
          </w:p>
        </w:tc>
        <w:tc>
          <w:tcPr>
            <w:tcW w:w="1935" w:type="pct"/>
            <w:tcBorders>
              <w:tl2br w:val="nil"/>
              <w:tr2bl w:val="nil"/>
            </w:tcBorders>
            <w:noWrap w:val="0"/>
            <w:vAlign w:val="center"/>
          </w:tcPr>
          <w:p w14:paraId="29B0CFCE">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户外</w:t>
            </w:r>
          </w:p>
        </w:tc>
        <w:tc>
          <w:tcPr>
            <w:tcW w:w="1900" w:type="pct"/>
            <w:tcBorders>
              <w:tl2br w:val="nil"/>
              <w:tr2bl w:val="nil"/>
            </w:tcBorders>
            <w:noWrap w:val="0"/>
            <w:vAlign w:val="center"/>
          </w:tcPr>
          <w:p w14:paraId="3BC6EF4E">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户外</w:t>
            </w:r>
          </w:p>
        </w:tc>
      </w:tr>
      <w:tr w14:paraId="6557DD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6F6971C8">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330</w:t>
            </w:r>
            <w:r>
              <w:rPr>
                <w:rFonts w:hint="default" w:ascii="Times New Roman" w:hAnsi="Times New Roman" w:eastAsia="宋体" w:cs="Times New Roman"/>
                <w:color w:val="auto"/>
                <w:kern w:val="2"/>
                <w:sz w:val="21"/>
                <w:szCs w:val="21"/>
                <w:highlight w:val="none"/>
                <w:lang w:val="en-US" w:eastAsia="zh-CN"/>
              </w:rPr>
              <w:t>千伏</w:t>
            </w:r>
            <w:r>
              <w:rPr>
                <w:rFonts w:hint="default" w:ascii="Times New Roman" w:hAnsi="Times New Roman" w:eastAsia="宋体" w:cs="Times New Roman"/>
                <w:color w:val="auto"/>
                <w:kern w:val="2"/>
                <w:sz w:val="21"/>
                <w:szCs w:val="21"/>
                <w:highlight w:val="none"/>
              </w:rPr>
              <w:t>出线规模</w:t>
            </w:r>
          </w:p>
        </w:tc>
        <w:tc>
          <w:tcPr>
            <w:tcW w:w="1935" w:type="pct"/>
            <w:tcBorders>
              <w:tl2br w:val="nil"/>
              <w:tr2bl w:val="nil"/>
            </w:tcBorders>
            <w:noWrap w:val="0"/>
            <w:vAlign w:val="center"/>
          </w:tcPr>
          <w:p w14:paraId="3C581385">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6</w:t>
            </w:r>
            <w:r>
              <w:rPr>
                <w:rFonts w:hint="default" w:ascii="Times New Roman" w:hAnsi="Times New Roman" w:eastAsia="宋体" w:cs="Times New Roman"/>
                <w:color w:val="auto"/>
                <w:kern w:val="2"/>
                <w:sz w:val="21"/>
                <w:szCs w:val="21"/>
                <w:highlight w:val="none"/>
              </w:rPr>
              <w:t>回</w:t>
            </w:r>
          </w:p>
        </w:tc>
        <w:tc>
          <w:tcPr>
            <w:tcW w:w="1900" w:type="pct"/>
            <w:tcBorders>
              <w:tl2br w:val="nil"/>
              <w:tr2bl w:val="nil"/>
            </w:tcBorders>
            <w:noWrap w:val="0"/>
            <w:vAlign w:val="center"/>
          </w:tcPr>
          <w:p w14:paraId="541747C0">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6</w:t>
            </w:r>
            <w:r>
              <w:rPr>
                <w:rFonts w:hint="default" w:ascii="Times New Roman" w:hAnsi="Times New Roman" w:eastAsia="宋体" w:cs="Times New Roman"/>
                <w:color w:val="auto"/>
                <w:kern w:val="2"/>
                <w:sz w:val="21"/>
                <w:szCs w:val="21"/>
                <w:highlight w:val="none"/>
              </w:rPr>
              <w:t>回</w:t>
            </w:r>
          </w:p>
        </w:tc>
      </w:tr>
      <w:tr w14:paraId="7BFA6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699F7F4C">
            <w:pPr>
              <w:keepNext w:val="0"/>
              <w:keepLines w:val="0"/>
              <w:pageBreakBefore w:val="0"/>
              <w:widowControl w:val="0"/>
              <w:kinsoku/>
              <w:wordWrap/>
              <w:overflowPunct w:val="0"/>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330</w:t>
            </w:r>
            <w:r>
              <w:rPr>
                <w:rFonts w:hint="default" w:ascii="Times New Roman" w:hAnsi="Times New Roman" w:eastAsia="宋体" w:cs="Times New Roman"/>
                <w:color w:val="auto"/>
                <w:kern w:val="2"/>
                <w:sz w:val="21"/>
                <w:szCs w:val="21"/>
                <w:highlight w:val="none"/>
                <w:lang w:val="en-US" w:eastAsia="zh-CN"/>
              </w:rPr>
              <w:t>千伏</w:t>
            </w:r>
            <w:r>
              <w:rPr>
                <w:rFonts w:hint="default" w:ascii="Times New Roman" w:hAnsi="Times New Roman" w:eastAsia="宋体" w:cs="Times New Roman"/>
                <w:color w:val="auto"/>
                <w:kern w:val="2"/>
                <w:sz w:val="21"/>
                <w:szCs w:val="21"/>
                <w:highlight w:val="none"/>
              </w:rPr>
              <w:t>配电装置</w:t>
            </w:r>
          </w:p>
        </w:tc>
        <w:tc>
          <w:tcPr>
            <w:tcW w:w="1935" w:type="pct"/>
            <w:tcBorders>
              <w:tl2br w:val="nil"/>
              <w:tr2bl w:val="nil"/>
            </w:tcBorders>
            <w:noWrap w:val="0"/>
            <w:vAlign w:val="center"/>
          </w:tcPr>
          <w:p w14:paraId="7EE77B9C">
            <w:pPr>
              <w:keepNext w:val="0"/>
              <w:keepLines w:val="0"/>
              <w:pageBreakBefore w:val="0"/>
              <w:widowControl w:val="0"/>
              <w:kinsoku/>
              <w:wordWrap/>
              <w:overflowPunct w:val="0"/>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HGIS，户外布置</w:t>
            </w:r>
          </w:p>
        </w:tc>
        <w:tc>
          <w:tcPr>
            <w:tcW w:w="1900" w:type="pct"/>
            <w:tcBorders>
              <w:tl2br w:val="nil"/>
              <w:tr2bl w:val="nil"/>
            </w:tcBorders>
            <w:noWrap w:val="0"/>
            <w:vAlign w:val="center"/>
          </w:tcPr>
          <w:p w14:paraId="7F33FA2D">
            <w:pPr>
              <w:keepNext w:val="0"/>
              <w:keepLines w:val="0"/>
              <w:pageBreakBefore w:val="0"/>
              <w:widowControl w:val="0"/>
              <w:kinsoku/>
              <w:wordWrap/>
              <w:overflowPunct w:val="0"/>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HGIS，户外布置</w:t>
            </w:r>
          </w:p>
        </w:tc>
      </w:tr>
      <w:tr w14:paraId="60191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51227DDE">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110</w:t>
            </w:r>
            <w:r>
              <w:rPr>
                <w:rFonts w:hint="default" w:ascii="Times New Roman" w:hAnsi="Times New Roman" w:eastAsia="宋体" w:cs="Times New Roman"/>
                <w:color w:val="auto"/>
                <w:kern w:val="2"/>
                <w:sz w:val="21"/>
                <w:szCs w:val="21"/>
                <w:highlight w:val="none"/>
                <w:lang w:val="en-US" w:eastAsia="zh-CN"/>
              </w:rPr>
              <w:t>千伏</w:t>
            </w:r>
            <w:r>
              <w:rPr>
                <w:rFonts w:hint="default" w:ascii="Times New Roman" w:hAnsi="Times New Roman" w:eastAsia="宋体" w:cs="Times New Roman"/>
                <w:color w:val="auto"/>
                <w:kern w:val="2"/>
                <w:sz w:val="21"/>
                <w:szCs w:val="21"/>
                <w:highlight w:val="none"/>
              </w:rPr>
              <w:t>出线规模</w:t>
            </w:r>
          </w:p>
        </w:tc>
        <w:tc>
          <w:tcPr>
            <w:tcW w:w="1935" w:type="pct"/>
            <w:tcBorders>
              <w:tl2br w:val="nil"/>
              <w:tr2bl w:val="nil"/>
            </w:tcBorders>
            <w:noWrap w:val="0"/>
            <w:vAlign w:val="center"/>
          </w:tcPr>
          <w:p w14:paraId="36CCC723">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w:t>
            </w:r>
            <w:r>
              <w:rPr>
                <w:rFonts w:hint="default" w:ascii="Times New Roman" w:hAnsi="Times New Roman" w:eastAsia="宋体" w:cs="Times New Roman"/>
                <w:color w:val="auto"/>
                <w:kern w:val="2"/>
                <w:sz w:val="21"/>
                <w:szCs w:val="21"/>
                <w:highlight w:val="none"/>
                <w:lang w:val="en-US" w:eastAsia="zh-CN"/>
              </w:rPr>
              <w:t>9</w:t>
            </w:r>
            <w:r>
              <w:rPr>
                <w:rFonts w:hint="default" w:ascii="Times New Roman" w:hAnsi="Times New Roman" w:eastAsia="宋体" w:cs="Times New Roman"/>
                <w:color w:val="auto"/>
                <w:kern w:val="2"/>
                <w:sz w:val="21"/>
                <w:szCs w:val="21"/>
                <w:highlight w:val="none"/>
              </w:rPr>
              <w:t>回</w:t>
            </w:r>
          </w:p>
        </w:tc>
        <w:tc>
          <w:tcPr>
            <w:tcW w:w="1900" w:type="pct"/>
            <w:tcBorders>
              <w:tl2br w:val="nil"/>
              <w:tr2bl w:val="nil"/>
            </w:tcBorders>
            <w:noWrap w:val="0"/>
            <w:vAlign w:val="center"/>
          </w:tcPr>
          <w:p w14:paraId="38B2AD10">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w:t>
            </w:r>
            <w:r>
              <w:rPr>
                <w:rFonts w:hint="eastAsia" w:cs="Times New Roman"/>
                <w:color w:val="auto"/>
                <w:kern w:val="2"/>
                <w:sz w:val="21"/>
                <w:szCs w:val="21"/>
                <w:highlight w:val="none"/>
                <w:lang w:val="en-US" w:eastAsia="zh-CN"/>
              </w:rPr>
              <w:t>0</w:t>
            </w:r>
            <w:r>
              <w:rPr>
                <w:rFonts w:hint="default" w:ascii="Times New Roman" w:hAnsi="Times New Roman" w:eastAsia="宋体" w:cs="Times New Roman"/>
                <w:color w:val="auto"/>
                <w:kern w:val="2"/>
                <w:sz w:val="21"/>
                <w:szCs w:val="21"/>
                <w:highlight w:val="none"/>
              </w:rPr>
              <w:t>回</w:t>
            </w:r>
          </w:p>
        </w:tc>
      </w:tr>
      <w:tr w14:paraId="1EB57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53F41EB8">
            <w:pPr>
              <w:keepNext w:val="0"/>
              <w:keepLines w:val="0"/>
              <w:pageBreakBefore w:val="0"/>
              <w:widowControl w:val="0"/>
              <w:kinsoku/>
              <w:wordWrap/>
              <w:overflowPunct w:val="0"/>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110</w:t>
            </w:r>
            <w:r>
              <w:rPr>
                <w:rFonts w:hint="default" w:ascii="Times New Roman" w:hAnsi="Times New Roman" w:eastAsia="宋体" w:cs="Times New Roman"/>
                <w:color w:val="auto"/>
                <w:kern w:val="2"/>
                <w:sz w:val="21"/>
                <w:szCs w:val="21"/>
                <w:highlight w:val="none"/>
                <w:lang w:val="en-US" w:eastAsia="zh-CN"/>
              </w:rPr>
              <w:t>千伏</w:t>
            </w:r>
            <w:r>
              <w:rPr>
                <w:rFonts w:hint="default" w:ascii="Times New Roman" w:hAnsi="Times New Roman" w:eastAsia="宋体" w:cs="Times New Roman"/>
                <w:color w:val="auto"/>
                <w:kern w:val="2"/>
                <w:sz w:val="21"/>
                <w:szCs w:val="21"/>
                <w:highlight w:val="none"/>
              </w:rPr>
              <w:t>配电装置</w:t>
            </w:r>
          </w:p>
        </w:tc>
        <w:tc>
          <w:tcPr>
            <w:tcW w:w="1935" w:type="pct"/>
            <w:tcBorders>
              <w:tl2br w:val="nil"/>
              <w:tr2bl w:val="nil"/>
            </w:tcBorders>
            <w:noWrap w:val="0"/>
            <w:vAlign w:val="center"/>
          </w:tcPr>
          <w:p w14:paraId="0505F726">
            <w:pPr>
              <w:keepNext w:val="0"/>
              <w:keepLines w:val="0"/>
              <w:pageBreakBefore w:val="0"/>
              <w:widowControl w:val="0"/>
              <w:kinsoku/>
              <w:wordWrap/>
              <w:overflowPunct w:val="0"/>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GIS，户外布置</w:t>
            </w:r>
          </w:p>
        </w:tc>
        <w:tc>
          <w:tcPr>
            <w:tcW w:w="1900" w:type="pct"/>
            <w:tcBorders>
              <w:tl2br w:val="nil"/>
              <w:tr2bl w:val="nil"/>
            </w:tcBorders>
            <w:noWrap w:val="0"/>
            <w:vAlign w:val="center"/>
          </w:tcPr>
          <w:p w14:paraId="735A9E49">
            <w:pPr>
              <w:keepNext w:val="0"/>
              <w:keepLines w:val="0"/>
              <w:pageBreakBefore w:val="0"/>
              <w:widowControl w:val="0"/>
              <w:kinsoku/>
              <w:wordWrap/>
              <w:overflowPunct w:val="0"/>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HGIS，户外布置</w:t>
            </w:r>
          </w:p>
        </w:tc>
      </w:tr>
      <w:tr w14:paraId="7ECB0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58406E44">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低压电容器</w:t>
            </w:r>
          </w:p>
        </w:tc>
        <w:tc>
          <w:tcPr>
            <w:tcW w:w="1935" w:type="pct"/>
            <w:tcBorders>
              <w:tl2br w:val="nil"/>
              <w:tr2bl w:val="nil"/>
            </w:tcBorders>
            <w:noWrap w:val="0"/>
            <w:vAlign w:val="center"/>
          </w:tcPr>
          <w:p w14:paraId="4912E765">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0）Mvar</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0）Mvar</w:t>
            </w:r>
          </w:p>
        </w:tc>
        <w:tc>
          <w:tcPr>
            <w:tcW w:w="1900" w:type="pct"/>
            <w:tcBorders>
              <w:tl2br w:val="nil"/>
              <w:tr2bl w:val="nil"/>
            </w:tcBorders>
            <w:noWrap w:val="0"/>
            <w:vAlign w:val="center"/>
          </w:tcPr>
          <w:p w14:paraId="33E6B8BF">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2×（2×</w:t>
            </w:r>
            <w:r>
              <w:rPr>
                <w:rFonts w:hint="default" w:ascii="Times New Roman" w:hAnsi="Times New Roman" w:eastAsia="宋体" w:cs="Times New Roman"/>
                <w:color w:val="auto"/>
                <w:kern w:val="2"/>
                <w:sz w:val="21"/>
                <w:szCs w:val="21"/>
                <w:highlight w:val="none"/>
                <w:lang w:val="en-US" w:eastAsia="zh-CN"/>
              </w:rPr>
              <w:t>3</w:t>
            </w:r>
            <w:r>
              <w:rPr>
                <w:rFonts w:hint="default" w:ascii="Times New Roman" w:hAnsi="Times New Roman" w:eastAsia="宋体" w:cs="Times New Roman"/>
                <w:color w:val="auto"/>
                <w:kern w:val="2"/>
                <w:sz w:val="21"/>
                <w:szCs w:val="21"/>
                <w:highlight w:val="none"/>
              </w:rPr>
              <w:t>0）Mvar</w:t>
            </w:r>
          </w:p>
        </w:tc>
      </w:tr>
      <w:tr w14:paraId="11A903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7F0A92ED">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低压电抗器</w:t>
            </w:r>
          </w:p>
        </w:tc>
        <w:tc>
          <w:tcPr>
            <w:tcW w:w="1935" w:type="pct"/>
            <w:tcBorders>
              <w:tl2br w:val="nil"/>
              <w:tr2bl w:val="nil"/>
            </w:tcBorders>
            <w:noWrap w:val="0"/>
            <w:vAlign w:val="center"/>
          </w:tcPr>
          <w:p w14:paraId="029F54CD">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0）Mvar</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3</w:t>
            </w:r>
            <w:r>
              <w:rPr>
                <w:rFonts w:hint="default" w:ascii="Times New Roman" w:hAnsi="Times New Roman" w:eastAsia="宋体" w:cs="Times New Roman"/>
                <w:color w:val="auto"/>
                <w:kern w:val="2"/>
                <w:sz w:val="21"/>
                <w:szCs w:val="21"/>
                <w:highlight w:val="none"/>
              </w:rPr>
              <w:t>0）Mvar</w:t>
            </w:r>
          </w:p>
        </w:tc>
        <w:tc>
          <w:tcPr>
            <w:tcW w:w="1900" w:type="pct"/>
            <w:tcBorders>
              <w:tl2br w:val="nil"/>
              <w:tr2bl w:val="nil"/>
            </w:tcBorders>
            <w:noWrap w:val="0"/>
            <w:vAlign w:val="center"/>
          </w:tcPr>
          <w:p w14:paraId="29C27F06">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2×（1×</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0）Mvar</w:t>
            </w:r>
          </w:p>
        </w:tc>
      </w:tr>
      <w:tr w14:paraId="371CF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0A0D44D2">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21"/>
                <w:szCs w:val="21"/>
                <w:highlight w:val="none"/>
                <w:lang w:eastAsia="zh-CN"/>
              </w:rPr>
            </w:pPr>
            <w:r>
              <w:rPr>
                <w:rFonts w:hint="default" w:ascii="Times New Roman" w:hAnsi="Times New Roman" w:eastAsia="宋体" w:cs="Times New Roman"/>
                <w:bCs/>
                <w:color w:val="auto"/>
                <w:kern w:val="2"/>
                <w:sz w:val="21"/>
                <w:szCs w:val="21"/>
                <w:highlight w:val="none"/>
              </w:rPr>
              <w:t>占地面积</w:t>
            </w:r>
            <w:r>
              <w:rPr>
                <w:rFonts w:hint="default" w:ascii="Times New Roman" w:hAnsi="Times New Roman" w:eastAsia="宋体" w:cs="Times New Roman"/>
                <w:bCs/>
                <w:color w:val="auto"/>
                <w:kern w:val="2"/>
                <w:sz w:val="21"/>
                <w:szCs w:val="21"/>
                <w:highlight w:val="none"/>
                <w:lang w:eastAsia="zh-CN"/>
              </w:rPr>
              <w:t>（</w:t>
            </w:r>
            <w:r>
              <w:rPr>
                <w:rFonts w:hint="default" w:ascii="Times New Roman" w:hAnsi="Times New Roman" w:eastAsia="宋体" w:cs="Times New Roman"/>
                <w:bCs/>
                <w:color w:val="auto"/>
                <w:kern w:val="2"/>
                <w:sz w:val="21"/>
                <w:szCs w:val="21"/>
                <w:highlight w:val="none"/>
                <w:lang w:val="en-US" w:eastAsia="zh-CN"/>
              </w:rPr>
              <w:t>围墙内</w:t>
            </w:r>
            <w:r>
              <w:rPr>
                <w:rFonts w:hint="default" w:ascii="Times New Roman" w:hAnsi="Times New Roman" w:eastAsia="宋体" w:cs="Times New Roman"/>
                <w:bCs/>
                <w:color w:val="auto"/>
                <w:kern w:val="2"/>
                <w:sz w:val="21"/>
                <w:szCs w:val="21"/>
                <w:highlight w:val="none"/>
                <w:lang w:eastAsia="zh-CN"/>
              </w:rPr>
              <w:t>）</w:t>
            </w:r>
          </w:p>
        </w:tc>
        <w:tc>
          <w:tcPr>
            <w:tcW w:w="1935" w:type="pct"/>
            <w:tcBorders>
              <w:tl2br w:val="nil"/>
              <w:tr2bl w:val="nil"/>
            </w:tcBorders>
            <w:noWrap w:val="0"/>
            <w:vAlign w:val="center"/>
          </w:tcPr>
          <w:p w14:paraId="5D3600EB">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3.46</w:t>
            </w:r>
            <w:r>
              <w:rPr>
                <w:rFonts w:hint="default" w:ascii="Times New Roman" w:hAnsi="Times New Roman" w:eastAsia="宋体" w:cs="Times New Roman"/>
                <w:color w:val="auto"/>
                <w:kern w:val="2"/>
                <w:sz w:val="21"/>
                <w:szCs w:val="21"/>
                <w:highlight w:val="none"/>
              </w:rPr>
              <w:t>hm</w:t>
            </w:r>
            <w:r>
              <w:rPr>
                <w:rFonts w:hint="default" w:ascii="Times New Roman" w:hAnsi="Times New Roman" w:eastAsia="宋体" w:cs="Times New Roman"/>
                <w:color w:val="auto"/>
                <w:kern w:val="2"/>
                <w:sz w:val="21"/>
                <w:szCs w:val="21"/>
                <w:highlight w:val="none"/>
                <w:vertAlign w:val="superscript"/>
              </w:rPr>
              <w:t>2</w:t>
            </w:r>
          </w:p>
        </w:tc>
        <w:tc>
          <w:tcPr>
            <w:tcW w:w="1900" w:type="pct"/>
            <w:tcBorders>
              <w:tl2br w:val="nil"/>
              <w:tr2bl w:val="nil"/>
            </w:tcBorders>
            <w:noWrap w:val="0"/>
            <w:vAlign w:val="center"/>
          </w:tcPr>
          <w:p w14:paraId="330586BB">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2.9195</w:t>
            </w:r>
            <w:r>
              <w:rPr>
                <w:rFonts w:hint="default" w:ascii="Times New Roman" w:hAnsi="Times New Roman" w:eastAsia="宋体" w:cs="Times New Roman"/>
                <w:color w:val="auto"/>
                <w:kern w:val="2"/>
                <w:sz w:val="21"/>
                <w:szCs w:val="21"/>
                <w:highlight w:val="none"/>
              </w:rPr>
              <w:t>hm</w:t>
            </w:r>
            <w:r>
              <w:rPr>
                <w:rFonts w:hint="default" w:ascii="Times New Roman" w:hAnsi="Times New Roman" w:eastAsia="宋体" w:cs="Times New Roman"/>
                <w:color w:val="auto"/>
                <w:kern w:val="2"/>
                <w:sz w:val="21"/>
                <w:szCs w:val="21"/>
                <w:highlight w:val="none"/>
                <w:vertAlign w:val="superscript"/>
              </w:rPr>
              <w:t>2</w:t>
            </w:r>
          </w:p>
        </w:tc>
      </w:tr>
      <w:tr w14:paraId="16BFCA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64" w:type="pct"/>
            <w:tcBorders>
              <w:tl2br w:val="nil"/>
              <w:tr2bl w:val="nil"/>
            </w:tcBorders>
            <w:noWrap w:val="0"/>
            <w:vAlign w:val="center"/>
          </w:tcPr>
          <w:p w14:paraId="0AC57D36">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环境条件</w:t>
            </w:r>
          </w:p>
        </w:tc>
        <w:tc>
          <w:tcPr>
            <w:tcW w:w="1935" w:type="pct"/>
            <w:tcBorders>
              <w:tl2br w:val="nil"/>
              <w:tr2bl w:val="nil"/>
            </w:tcBorders>
            <w:noWrap w:val="0"/>
            <w:vAlign w:val="center"/>
          </w:tcPr>
          <w:p w14:paraId="10232486">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olor w:val="auto"/>
                <w:highlight w:val="none"/>
              </w:rPr>
              <w:t>地貌单元属</w:t>
            </w:r>
            <w:r>
              <w:rPr>
                <w:rFonts w:hint="eastAsia"/>
                <w:color w:val="auto"/>
                <w:highlight w:val="none"/>
                <w:lang w:val="en-US" w:eastAsia="zh-CN"/>
              </w:rPr>
              <w:t>宁南侵蚀堆积黄土河谷地貌</w:t>
            </w:r>
          </w:p>
        </w:tc>
        <w:tc>
          <w:tcPr>
            <w:tcW w:w="1900" w:type="pct"/>
            <w:tcBorders>
              <w:tl2br w:val="nil"/>
              <w:tr2bl w:val="nil"/>
            </w:tcBorders>
            <w:noWrap w:val="0"/>
            <w:vAlign w:val="center"/>
          </w:tcPr>
          <w:p w14:paraId="0427A9A8">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olor w:val="auto"/>
                <w:highlight w:val="none"/>
              </w:rPr>
              <w:t>地貌单元属</w:t>
            </w:r>
            <w:r>
              <w:rPr>
                <w:rFonts w:hint="eastAsia"/>
                <w:color w:val="auto"/>
                <w:highlight w:val="none"/>
                <w:lang w:val="en-US" w:eastAsia="zh-CN"/>
              </w:rPr>
              <w:t>宁南侵蚀堆积黄土河谷地貌</w:t>
            </w:r>
          </w:p>
        </w:tc>
      </w:tr>
    </w:tbl>
    <w:p w14:paraId="66353D4C">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w:t>
      </w:r>
      <w:r>
        <w:rPr>
          <w:rFonts w:hint="default" w:ascii="Times New Roman" w:hAnsi="Times New Roman" w:eastAsia="宋体" w:cs="Times New Roman"/>
          <w:color w:val="auto"/>
          <w:sz w:val="24"/>
          <w:highlight w:val="none"/>
          <w:lang w:val="en-US" w:eastAsia="zh-CN"/>
        </w:rPr>
        <w:t>专题</w:t>
      </w:r>
      <w:r>
        <w:rPr>
          <w:rFonts w:hint="default" w:ascii="Times New Roman" w:hAnsi="Times New Roman" w:eastAsia="宋体" w:cs="Times New Roman"/>
          <w:color w:val="auto"/>
          <w:sz w:val="24"/>
          <w:highlight w:val="none"/>
        </w:rPr>
        <w:t>表6-1内容分析，本期类比分析如下：</w:t>
      </w:r>
    </w:p>
    <w:p w14:paraId="43D11411">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①</w:t>
      </w:r>
      <w:r>
        <w:rPr>
          <w:rFonts w:hint="default" w:ascii="Times New Roman" w:hAnsi="Times New Roman" w:eastAsia="宋体" w:cs="Times New Roman"/>
          <w:color w:val="auto"/>
          <w:sz w:val="24"/>
          <w:highlight w:val="none"/>
          <w:lang w:val="en-US" w:eastAsia="zh-CN"/>
        </w:rPr>
        <w:t>建设规模</w:t>
      </w:r>
    </w:p>
    <w:p w14:paraId="57789236">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4"/>
          <w:highlight w:val="none"/>
          <w:lang w:val="en-US" w:eastAsia="zh-CN"/>
        </w:rPr>
        <w:t>类比变电站已建3×240MVA主变压器，类比变电站主变容量比本项目变电站容量大，</w:t>
      </w:r>
      <w:r>
        <w:rPr>
          <w:rFonts w:hint="default" w:ascii="Times New Roman" w:hAnsi="Times New Roman" w:eastAsia="宋体" w:cs="Times New Roman"/>
          <w:color w:val="auto"/>
          <w:sz w:val="24"/>
          <w:highlight w:val="none"/>
        </w:rPr>
        <w:t>因此类比330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变电站的影响程度比</w:t>
      </w:r>
      <w:r>
        <w:rPr>
          <w:rFonts w:hint="default" w:ascii="Times New Roman" w:hAnsi="Times New Roman" w:eastAsia="宋体" w:cs="Times New Roman"/>
          <w:color w:val="auto"/>
          <w:sz w:val="24"/>
          <w:highlight w:val="none"/>
          <w:lang w:val="en-US" w:eastAsia="zh-CN"/>
        </w:rPr>
        <w:t>本期</w:t>
      </w:r>
      <w:r>
        <w:rPr>
          <w:rFonts w:hint="default" w:ascii="Times New Roman" w:hAnsi="Times New Roman" w:eastAsia="宋体" w:cs="Times New Roman"/>
          <w:color w:val="auto"/>
          <w:sz w:val="24"/>
          <w:highlight w:val="none"/>
        </w:rPr>
        <w:t>新建变电站的影响程度要大。</w:t>
      </w:r>
    </w:p>
    <w:p w14:paraId="3D247717">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变电站的330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回、110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出线1</w:t>
      </w:r>
      <w:r>
        <w:rPr>
          <w:rFonts w:hint="eastAsia" w:cs="Times New Roman"/>
          <w:color w:val="auto"/>
          <w:sz w:val="24"/>
          <w:highlight w:val="none"/>
          <w:lang w:val="en-US" w:eastAsia="zh-CN"/>
        </w:rPr>
        <w:t>0</w:t>
      </w:r>
      <w:r>
        <w:rPr>
          <w:rFonts w:hint="default" w:ascii="Times New Roman" w:hAnsi="Times New Roman" w:eastAsia="宋体" w:cs="Times New Roman"/>
          <w:color w:val="auto"/>
          <w:sz w:val="24"/>
          <w:highlight w:val="none"/>
        </w:rPr>
        <w:t>回。类比330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回，110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出线1</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回，类比变电站330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出线规模与</w:t>
      </w: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变电站330</w:t>
      </w:r>
      <w:r>
        <w:rPr>
          <w:rFonts w:hint="default" w:ascii="Times New Roman" w:hAnsi="Times New Roman" w:eastAsia="宋体" w:cs="Times New Roman"/>
          <w:color w:val="auto"/>
          <w:sz w:val="24"/>
          <w:highlight w:val="none"/>
          <w:lang w:val="en-US" w:eastAsia="zh-CN"/>
        </w:rPr>
        <w:t>千伏出线相同</w:t>
      </w:r>
      <w:r>
        <w:rPr>
          <w:rFonts w:hint="default" w:ascii="Times New Roman" w:hAnsi="Times New Roman" w:eastAsia="宋体" w:cs="Times New Roman"/>
          <w:color w:val="auto"/>
          <w:sz w:val="24"/>
          <w:highlight w:val="none"/>
        </w:rPr>
        <w:t>，类比变电站</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出线规模</w:t>
      </w:r>
      <w:r>
        <w:rPr>
          <w:rFonts w:hint="default" w:ascii="Times New Roman" w:hAnsi="Times New Roman" w:eastAsia="宋体" w:cs="Times New Roman"/>
          <w:color w:val="auto"/>
          <w:sz w:val="24"/>
          <w:highlight w:val="none"/>
          <w:lang w:val="en-US" w:eastAsia="zh-CN"/>
        </w:rPr>
        <w:t>比本项目</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sz w:val="24"/>
          <w:highlight w:val="none"/>
          <w:lang w:val="en-US" w:eastAsia="zh-CN"/>
        </w:rPr>
        <w:t>千伏出线多</w:t>
      </w:r>
      <w:r>
        <w:rPr>
          <w:rFonts w:hint="eastAsia"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回，</w:t>
      </w:r>
      <w:r>
        <w:rPr>
          <w:rFonts w:hint="default" w:ascii="Times New Roman" w:hAnsi="Times New Roman" w:eastAsia="宋体" w:cs="Times New Roman"/>
          <w:color w:val="auto"/>
          <w:sz w:val="24"/>
          <w:highlight w:val="none"/>
        </w:rPr>
        <w:t>因此，选用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变电站进行类比分析是</w:t>
      </w:r>
      <w:r>
        <w:rPr>
          <w:rFonts w:hint="default" w:ascii="Times New Roman" w:hAnsi="Times New Roman" w:eastAsia="宋体" w:cs="Times New Roman"/>
          <w:color w:val="auto"/>
          <w:sz w:val="24"/>
          <w:highlight w:val="none"/>
          <w:lang w:val="en-US" w:eastAsia="zh-CN"/>
        </w:rPr>
        <w:t>合理的</w:t>
      </w:r>
      <w:r>
        <w:rPr>
          <w:rFonts w:hint="default" w:ascii="Times New Roman" w:hAnsi="Times New Roman" w:eastAsia="宋体" w:cs="Times New Roman"/>
          <w:color w:val="auto"/>
          <w:sz w:val="24"/>
          <w:highlight w:val="none"/>
        </w:rPr>
        <w:t>。</w:t>
      </w:r>
    </w:p>
    <w:p w14:paraId="2893086A">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建设</w:t>
      </w:r>
      <w:r>
        <w:rPr>
          <w:rFonts w:hint="default" w:ascii="Times New Roman" w:hAnsi="Times New Roman" w:eastAsia="宋体" w:cs="Times New Roman"/>
          <w:color w:val="auto"/>
          <w:sz w:val="24"/>
          <w:highlight w:val="none"/>
        </w:rPr>
        <w:t>2×（2×30）Mvar低压电容器，2×（1×30）Mvar低压电抗器，类比变电站已建</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0）Mvar</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0）Mvar低压电容器，</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0）Mvar</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0）Mvar低压电抗器，</w:t>
      </w:r>
      <w:r>
        <w:rPr>
          <w:rFonts w:hint="default" w:ascii="Times New Roman" w:hAnsi="Times New Roman" w:eastAsia="宋体" w:cs="Times New Roman"/>
          <w:color w:val="auto"/>
          <w:sz w:val="24"/>
          <w:highlight w:val="none"/>
          <w:lang w:val="en-US" w:eastAsia="zh-CN"/>
        </w:rPr>
        <w:t>类比变电站</w:t>
      </w:r>
      <w:r>
        <w:rPr>
          <w:rFonts w:hint="default" w:ascii="Times New Roman" w:hAnsi="Times New Roman" w:eastAsia="宋体" w:cs="Times New Roman"/>
          <w:color w:val="auto"/>
          <w:sz w:val="24"/>
          <w:highlight w:val="none"/>
        </w:rPr>
        <w:t>现有规模</w:t>
      </w:r>
      <w:r>
        <w:rPr>
          <w:rFonts w:hint="default" w:ascii="Times New Roman" w:hAnsi="Times New Roman" w:eastAsia="宋体" w:cs="Times New Roman"/>
          <w:color w:val="auto"/>
          <w:sz w:val="24"/>
          <w:highlight w:val="none"/>
          <w:lang w:val="en-US" w:eastAsia="zh-CN"/>
        </w:rPr>
        <w:t>与本项目</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建设规模相近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变电站进行类比分析是</w:t>
      </w:r>
      <w:r>
        <w:rPr>
          <w:rFonts w:hint="default" w:ascii="Times New Roman" w:hAnsi="Times New Roman" w:eastAsia="宋体" w:cs="Times New Roman"/>
          <w:color w:val="auto"/>
          <w:sz w:val="24"/>
          <w:highlight w:val="none"/>
          <w:lang w:val="en-US" w:eastAsia="zh-CN"/>
        </w:rPr>
        <w:t>合理的</w:t>
      </w:r>
      <w:r>
        <w:rPr>
          <w:rFonts w:hint="default" w:ascii="Times New Roman" w:hAnsi="Times New Roman" w:eastAsia="宋体" w:cs="Times New Roman"/>
          <w:color w:val="auto"/>
          <w:sz w:val="24"/>
          <w:highlight w:val="none"/>
        </w:rPr>
        <w:t>。</w:t>
      </w:r>
    </w:p>
    <w:p w14:paraId="3EA9CBD7">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②电压等级</w:t>
      </w:r>
    </w:p>
    <w:p w14:paraId="7A2C01A0">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变电站与类比变电站电压等级均为330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根据电磁环境影响分析，电压等级是影响变电站周围电磁环境的主要因素。</w:t>
      </w:r>
    </w:p>
    <w:p w14:paraId="0D51E8F4">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w:t>
      </w:r>
      <w:r>
        <w:rPr>
          <w:rFonts w:hint="default" w:ascii="Times New Roman" w:hAnsi="Times New Roman" w:eastAsia="宋体" w:cs="Times New Roman"/>
          <w:color w:val="auto"/>
          <w:sz w:val="24"/>
          <w:highlight w:val="none"/>
          <w:lang w:val="en-US" w:eastAsia="zh-CN"/>
        </w:rPr>
        <w:t>单台主变</w:t>
      </w:r>
      <w:r>
        <w:rPr>
          <w:rFonts w:hint="default" w:ascii="Times New Roman" w:hAnsi="Times New Roman" w:eastAsia="宋体" w:cs="Times New Roman"/>
          <w:color w:val="auto"/>
          <w:sz w:val="24"/>
          <w:highlight w:val="none"/>
        </w:rPr>
        <w:t>容量</w:t>
      </w:r>
    </w:p>
    <w:p w14:paraId="33EDF8B6">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建设</w:t>
      </w:r>
      <w:r>
        <w:rPr>
          <w:rFonts w:hint="default" w:ascii="Times New Roman" w:hAnsi="Times New Roman" w:eastAsia="宋体" w:cs="Times New Roman"/>
          <w:color w:val="auto"/>
          <w:sz w:val="24"/>
          <w:highlight w:val="none"/>
        </w:rPr>
        <w:t>主变2</w:t>
      </w:r>
      <w:r>
        <w:rPr>
          <w:rFonts w:hint="default" w:ascii="Times New Roman" w:hAnsi="Times New Roman" w:eastAsia="宋体" w:cs="Times New Roman"/>
          <w:color w:val="auto"/>
          <w:sz w:val="24"/>
          <w:highlight w:val="none"/>
          <w:lang w:val="en-US" w:eastAsia="zh-CN"/>
        </w:rPr>
        <w:t>台</w:t>
      </w:r>
      <w:r>
        <w:rPr>
          <w:rFonts w:hint="default" w:ascii="Times New Roman" w:hAnsi="Times New Roman" w:eastAsia="宋体" w:cs="Times New Roman"/>
          <w:color w:val="auto"/>
          <w:sz w:val="24"/>
          <w:highlight w:val="none"/>
        </w:rPr>
        <w:t>，容量为2×</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0MVA，类比330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变电站主变</w:t>
      </w:r>
      <w:r>
        <w:rPr>
          <w:rFonts w:hint="default" w:ascii="Times New Roman" w:hAnsi="Times New Roman" w:eastAsia="宋体" w:cs="Times New Roman"/>
          <w:color w:val="auto"/>
          <w:sz w:val="24"/>
          <w:highlight w:val="none"/>
          <w:lang w:val="en-US" w:eastAsia="zh-CN"/>
        </w:rPr>
        <w:t>3台</w:t>
      </w:r>
      <w:r>
        <w:rPr>
          <w:rFonts w:hint="default" w:ascii="Times New Roman" w:hAnsi="Times New Roman" w:eastAsia="宋体" w:cs="Times New Roman"/>
          <w:color w:val="auto"/>
          <w:sz w:val="24"/>
          <w:highlight w:val="none"/>
        </w:rPr>
        <w:t>，容量</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0MVA，</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单台</w:t>
      </w:r>
      <w:r>
        <w:rPr>
          <w:rFonts w:hint="default" w:ascii="Times New Roman" w:hAnsi="Times New Roman" w:eastAsia="宋体" w:cs="Times New Roman"/>
          <w:color w:val="auto"/>
          <w:sz w:val="24"/>
          <w:highlight w:val="none"/>
        </w:rPr>
        <w:t>主变</w:t>
      </w:r>
      <w:r>
        <w:rPr>
          <w:rFonts w:hint="default" w:ascii="Times New Roman" w:hAnsi="Times New Roman" w:eastAsia="宋体" w:cs="Times New Roman"/>
          <w:color w:val="auto"/>
          <w:sz w:val="24"/>
          <w:highlight w:val="none"/>
          <w:lang w:val="en-US" w:eastAsia="zh-CN"/>
        </w:rPr>
        <w:t>容量与</w:t>
      </w:r>
      <w:r>
        <w:rPr>
          <w:rFonts w:hint="default" w:ascii="Times New Roman" w:hAnsi="Times New Roman" w:eastAsia="宋体" w:cs="Times New Roman"/>
          <w:color w:val="auto"/>
          <w:sz w:val="24"/>
          <w:highlight w:val="none"/>
        </w:rPr>
        <w:t>类比变电站</w:t>
      </w:r>
      <w:r>
        <w:rPr>
          <w:rFonts w:hint="default" w:ascii="Times New Roman" w:hAnsi="Times New Roman" w:eastAsia="宋体" w:cs="Times New Roman"/>
          <w:color w:val="auto"/>
          <w:sz w:val="24"/>
          <w:highlight w:val="none"/>
          <w:lang w:val="en-US" w:eastAsia="zh-CN"/>
        </w:rPr>
        <w:t>单台主变容量相同</w:t>
      </w:r>
      <w:r>
        <w:rPr>
          <w:rFonts w:hint="default" w:ascii="Times New Roman" w:hAnsi="Times New Roman" w:eastAsia="宋体" w:cs="Times New Roman"/>
          <w:color w:val="auto"/>
          <w:sz w:val="24"/>
          <w:highlight w:val="none"/>
        </w:rPr>
        <w:t>，因此选用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变电站进行类比分析是</w:t>
      </w:r>
      <w:r>
        <w:rPr>
          <w:rFonts w:hint="default" w:ascii="Times New Roman" w:hAnsi="Times New Roman" w:eastAsia="宋体" w:cs="Times New Roman"/>
          <w:color w:val="auto"/>
          <w:sz w:val="24"/>
          <w:highlight w:val="none"/>
          <w:lang w:val="en-US" w:eastAsia="zh-CN"/>
        </w:rPr>
        <w:t>合理的</w:t>
      </w:r>
      <w:r>
        <w:rPr>
          <w:rFonts w:hint="default" w:ascii="Times New Roman" w:hAnsi="Times New Roman" w:eastAsia="宋体" w:cs="Times New Roman"/>
          <w:color w:val="auto"/>
          <w:sz w:val="24"/>
          <w:highlight w:val="none"/>
        </w:rPr>
        <w:t>。</w:t>
      </w:r>
    </w:p>
    <w:p w14:paraId="77F543A4">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④变电站的</w:t>
      </w:r>
      <w:r>
        <w:rPr>
          <w:rFonts w:hint="default" w:ascii="Times New Roman" w:hAnsi="Times New Roman" w:eastAsia="宋体" w:cs="Times New Roman"/>
          <w:color w:val="auto"/>
          <w:sz w:val="24"/>
          <w:highlight w:val="none"/>
          <w:lang w:val="en-US" w:eastAsia="zh-CN"/>
        </w:rPr>
        <w:t>总平面</w:t>
      </w:r>
      <w:r>
        <w:rPr>
          <w:rFonts w:hint="default" w:ascii="Times New Roman" w:hAnsi="Times New Roman" w:eastAsia="宋体" w:cs="Times New Roman"/>
          <w:color w:val="auto"/>
          <w:sz w:val="24"/>
          <w:highlight w:val="none"/>
        </w:rPr>
        <w:t>布置</w:t>
      </w:r>
    </w:p>
    <w:p w14:paraId="2F57D74C">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kern w:val="0"/>
          <w:sz w:val="24"/>
        </w:rPr>
        <w:t>本期扩建</w:t>
      </w:r>
      <w:r>
        <w:rPr>
          <w:rFonts w:hint="default" w:ascii="Times New Roman" w:hAnsi="Times New Roman" w:eastAsia="宋体" w:cs="Times New Roman"/>
          <w:color w:val="auto"/>
          <w:sz w:val="24"/>
          <w:highlight w:val="none"/>
          <w:lang w:val="en-US" w:eastAsia="zh-CN"/>
        </w:rPr>
        <w:t>变电站运行后自西向东依次排列2台主变，主变均为户外布置。类比升压站主变为自北向南依次排列2台户外布置。云雾山</w:t>
      </w:r>
      <w:r>
        <w:rPr>
          <w:rFonts w:hint="default" w:ascii="Times New Roman" w:hAnsi="Times New Roman" w:eastAsia="宋体" w:cs="Times New Roman"/>
          <w:color w:val="auto"/>
          <w:sz w:val="24"/>
          <w:highlight w:val="none"/>
        </w:rPr>
        <w:t>变电站与类比变电站330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配电装置均采用户外HGIS布置方式。根据变电站电磁环境影响分析，变电站电气设备的布置方式是影响变电站周围电磁环境的主要因素。</w:t>
      </w:r>
      <w:r>
        <w:rPr>
          <w:rFonts w:hint="default" w:ascii="Times New Roman" w:hAnsi="Times New Roman" w:eastAsia="宋体" w:cs="Times New Roman"/>
          <w:color w:val="auto"/>
          <w:sz w:val="24"/>
          <w:highlight w:val="none"/>
          <w:lang w:val="en-US" w:eastAsia="zh-CN"/>
        </w:rPr>
        <w:t>云雾山变电站与类比变电站总平面布置相似，因此，类比变电站具有可比性。</w:t>
      </w:r>
    </w:p>
    <w:p w14:paraId="1EC04069">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⑤</w:t>
      </w:r>
      <w:r>
        <w:rPr>
          <w:rFonts w:hint="default" w:ascii="Times New Roman" w:hAnsi="Times New Roman" w:eastAsia="宋体" w:cs="Times New Roman"/>
          <w:color w:val="auto"/>
          <w:sz w:val="24"/>
          <w:highlight w:val="none"/>
          <w:lang w:val="en-US" w:eastAsia="zh-CN"/>
        </w:rPr>
        <w:t>占地面积</w:t>
      </w:r>
    </w:p>
    <w:p w14:paraId="29EBE40C">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类比变电站比云雾山变电站的</w:t>
      </w:r>
      <w:r>
        <w:rPr>
          <w:rFonts w:hint="default" w:ascii="Times New Roman" w:hAnsi="Times New Roman" w:eastAsia="宋体" w:cs="Times New Roman"/>
          <w:color w:val="auto"/>
          <w:sz w:val="24"/>
          <w:highlight w:val="none"/>
        </w:rPr>
        <w:t>占地面积</w:t>
      </w:r>
      <w:r>
        <w:rPr>
          <w:rFonts w:hint="default" w:ascii="Times New Roman" w:hAnsi="Times New Roman" w:eastAsia="宋体" w:cs="Times New Roman"/>
          <w:color w:val="auto"/>
          <w:sz w:val="24"/>
          <w:highlight w:val="none"/>
          <w:lang w:val="en-US" w:eastAsia="zh-CN"/>
        </w:rPr>
        <w:t>大，类比变电站主变及配电装置等设备距离站界较近，类比变电站具有可比性。</w:t>
      </w:r>
    </w:p>
    <w:p w14:paraId="6C271017">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⑥</w:t>
      </w:r>
      <w:r>
        <w:rPr>
          <w:rFonts w:hint="default" w:ascii="Times New Roman" w:hAnsi="Times New Roman" w:eastAsia="宋体" w:cs="Times New Roman"/>
          <w:color w:val="auto"/>
          <w:sz w:val="24"/>
          <w:highlight w:val="none"/>
          <w:lang w:val="en-US" w:eastAsia="zh-CN"/>
        </w:rPr>
        <w:t>环境条件</w:t>
      </w:r>
    </w:p>
    <w:p w14:paraId="7AE4E0D0">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变电站与类比330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均位于固原市原州区，两站</w:t>
      </w:r>
      <w:r>
        <w:rPr>
          <w:rFonts w:hint="default" w:ascii="Times New Roman" w:hAnsi="Times New Roman" w:eastAsia="宋体" w:cs="Times New Roman"/>
          <w:color w:val="auto"/>
          <w:sz w:val="24"/>
          <w:highlight w:val="none"/>
        </w:rPr>
        <w:t>的</w:t>
      </w:r>
      <w:r>
        <w:rPr>
          <w:rFonts w:hint="default" w:ascii="Times New Roman" w:hAnsi="Times New Roman" w:eastAsia="宋体" w:cs="Times New Roman"/>
          <w:color w:val="auto"/>
          <w:sz w:val="24"/>
          <w:highlight w:val="none"/>
          <w:lang w:eastAsia="zh-CN"/>
        </w:rPr>
        <w:t>海拔</w:t>
      </w:r>
      <w:r>
        <w:rPr>
          <w:rFonts w:hint="default" w:ascii="Times New Roman" w:hAnsi="Times New Roman" w:eastAsia="宋体" w:cs="Times New Roman"/>
          <w:color w:val="auto"/>
          <w:sz w:val="24"/>
          <w:highlight w:val="none"/>
        </w:rPr>
        <w:t>基本相</w:t>
      </w:r>
      <w:r>
        <w:rPr>
          <w:rFonts w:hint="default" w:ascii="Times New Roman" w:hAnsi="Times New Roman" w:eastAsia="宋体" w:cs="Times New Roman"/>
          <w:color w:val="auto"/>
          <w:sz w:val="24"/>
          <w:highlight w:val="none"/>
          <w:lang w:val="en-US" w:eastAsia="zh-CN"/>
        </w:rPr>
        <w:t>近，</w:t>
      </w:r>
      <w:r>
        <w:rPr>
          <w:rFonts w:hint="default" w:ascii="Times New Roman" w:hAnsi="Times New Roman" w:eastAsia="宋体" w:cs="Times New Roman"/>
          <w:color w:val="auto"/>
          <w:sz w:val="24"/>
          <w:highlight w:val="none"/>
        </w:rPr>
        <w:t>地形情况相</w:t>
      </w:r>
      <w:r>
        <w:rPr>
          <w:rFonts w:hint="default" w:ascii="Times New Roman" w:hAnsi="Times New Roman" w:eastAsia="宋体" w:cs="Times New Roman"/>
          <w:color w:val="auto"/>
          <w:sz w:val="24"/>
          <w:highlight w:val="none"/>
          <w:lang w:val="en-US" w:eastAsia="zh-CN"/>
        </w:rPr>
        <w:t>近</w:t>
      </w:r>
      <w:r>
        <w:rPr>
          <w:rFonts w:hint="default" w:ascii="Times New Roman" w:hAnsi="Times New Roman" w:eastAsia="宋体" w:cs="Times New Roman"/>
          <w:color w:val="auto"/>
          <w:sz w:val="24"/>
          <w:highlight w:val="none"/>
        </w:rPr>
        <w:t>。地形及海拔对变电站周围电磁环境影响不大。</w:t>
      </w:r>
    </w:p>
    <w:p w14:paraId="34A3F14D">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综上所述，选用类比</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变电站虽然与</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变电站存在一些差异，但从电压等级、电气设备布置方式、</w:t>
      </w:r>
      <w:r>
        <w:rPr>
          <w:rFonts w:hint="default" w:ascii="Times New Roman" w:hAnsi="Times New Roman" w:eastAsia="宋体" w:cs="Times New Roman"/>
          <w:color w:val="auto"/>
          <w:sz w:val="24"/>
          <w:highlight w:val="none"/>
          <w:lang w:val="en-US" w:eastAsia="zh-CN"/>
        </w:rPr>
        <w:t>单台</w:t>
      </w:r>
      <w:r>
        <w:rPr>
          <w:rFonts w:hint="default" w:ascii="Times New Roman" w:hAnsi="Times New Roman" w:eastAsia="宋体" w:cs="Times New Roman"/>
          <w:color w:val="auto"/>
          <w:sz w:val="24"/>
          <w:highlight w:val="none"/>
        </w:rPr>
        <w:t>主变容量及布置</w:t>
      </w:r>
      <w:r>
        <w:rPr>
          <w:rFonts w:hint="default" w:ascii="Times New Roman" w:hAnsi="Times New Roman" w:eastAsia="宋体" w:cs="Times New Roman"/>
          <w:color w:val="auto"/>
          <w:sz w:val="24"/>
          <w:highlight w:val="none"/>
          <w:lang w:val="en-US" w:eastAsia="zh-CN"/>
        </w:rPr>
        <w:t>型</w:t>
      </w:r>
      <w:r>
        <w:rPr>
          <w:rFonts w:hint="default" w:ascii="Times New Roman" w:hAnsi="Times New Roman" w:eastAsia="宋体" w:cs="Times New Roman"/>
          <w:color w:val="auto"/>
          <w:sz w:val="24"/>
          <w:highlight w:val="none"/>
        </w:rPr>
        <w:t>式、无功补偿、进出线等分析，选用</w:t>
      </w:r>
      <w:r>
        <w:rPr>
          <w:rFonts w:hint="default" w:ascii="Times New Roman" w:hAnsi="Times New Roman" w:eastAsia="宋体" w:cs="Times New Roman"/>
          <w:bCs/>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变电站的类比监测结果来预测分析</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变电站本期</w:t>
      </w:r>
      <w:r>
        <w:rPr>
          <w:rFonts w:hint="default" w:ascii="Times New Roman" w:hAnsi="Times New Roman" w:eastAsia="宋体" w:cs="Times New Roman"/>
          <w:color w:val="auto"/>
          <w:sz w:val="24"/>
          <w:highlight w:val="none"/>
          <w:lang w:val="en-US" w:eastAsia="zh-CN"/>
        </w:rPr>
        <w:t>间隔扩建工程声</w:t>
      </w:r>
      <w:r>
        <w:rPr>
          <w:rFonts w:hint="default" w:ascii="Times New Roman" w:hAnsi="Times New Roman" w:eastAsia="宋体" w:cs="Times New Roman"/>
          <w:color w:val="auto"/>
          <w:sz w:val="24"/>
          <w:highlight w:val="none"/>
        </w:rPr>
        <w:t>环境影响是合理的，可以反映出</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间隔扩建工程</w:t>
      </w:r>
      <w:r>
        <w:rPr>
          <w:rFonts w:hint="default" w:ascii="Times New Roman" w:hAnsi="Times New Roman" w:eastAsia="宋体" w:cs="Times New Roman"/>
          <w:color w:val="auto"/>
          <w:sz w:val="24"/>
          <w:highlight w:val="none"/>
        </w:rPr>
        <w:t>运行</w:t>
      </w:r>
      <w:r>
        <w:rPr>
          <w:rFonts w:hint="default" w:ascii="Times New Roman" w:hAnsi="Times New Roman" w:eastAsia="宋体" w:cs="Times New Roman"/>
          <w:color w:val="auto"/>
          <w:sz w:val="24"/>
          <w:highlight w:val="none"/>
          <w:lang w:val="en-US" w:eastAsia="zh-CN"/>
        </w:rPr>
        <w:t>后</w:t>
      </w:r>
      <w:r>
        <w:rPr>
          <w:rFonts w:hint="default" w:ascii="Times New Roman" w:hAnsi="Times New Roman" w:eastAsia="宋体" w:cs="Times New Roman"/>
          <w:color w:val="auto"/>
          <w:sz w:val="24"/>
          <w:highlight w:val="none"/>
        </w:rPr>
        <w:t>对周围电磁环境的影响程度。</w:t>
      </w:r>
    </w:p>
    <w:p w14:paraId="0F32E420">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类比监测单位</w:t>
      </w:r>
    </w:p>
    <w:p w14:paraId="2198CC11">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宁夏盛世蓝天环保技术有限公司</w:t>
      </w:r>
      <w:r>
        <w:rPr>
          <w:rFonts w:hint="default" w:ascii="Times New Roman" w:hAnsi="Times New Roman" w:eastAsia="宋体" w:cs="Times New Roman"/>
          <w:color w:val="auto"/>
          <w:sz w:val="24"/>
          <w:highlight w:val="none"/>
        </w:rPr>
        <w:t>。</w:t>
      </w:r>
    </w:p>
    <w:p w14:paraId="75DD220D">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3）监测项目</w:t>
      </w:r>
    </w:p>
    <w:p w14:paraId="048846F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地面1.5m高处的工频电场强度、工频磁感应强度。</w:t>
      </w:r>
    </w:p>
    <w:p w14:paraId="75E951C3">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4）监测方法</w:t>
      </w:r>
    </w:p>
    <w:p w14:paraId="7870733C">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《交流输变电工程电磁环境监测方法（试行）》</w:t>
      </w:r>
      <w:r>
        <w:rPr>
          <w:rFonts w:hint="default" w:ascii="Times New Roman" w:hAnsi="Times New Roman" w:eastAsia="宋体" w:cs="Times New Roman"/>
          <w:color w:val="auto"/>
          <w:sz w:val="24"/>
          <w:highlight w:val="none"/>
        </w:rPr>
        <w:t>（HJ681-2013）。</w:t>
      </w:r>
    </w:p>
    <w:p w14:paraId="70CC112A">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5）监测仪器</w:t>
      </w:r>
    </w:p>
    <w:p w14:paraId="76FF4A28">
      <w:pPr>
        <w:pStyle w:val="76"/>
        <w:numPr>
          <w:ilvl w:val="0"/>
          <w:numId w:val="0"/>
        </w:numPr>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监测使用的仪器见专题表6-2。</w:t>
      </w:r>
    </w:p>
    <w:p w14:paraId="53CB0FE8">
      <w:pPr>
        <w:spacing w:line="240" w:lineRule="auto"/>
        <w:jc w:val="center"/>
        <w:rPr>
          <w:rFonts w:hint="default" w:ascii="Times New Roman" w:hAnsi="Times New Roman" w:eastAsia="宋体" w:cs="Times New Roman"/>
          <w:b/>
          <w:bCs w:val="0"/>
          <w:color w:val="auto"/>
          <w:sz w:val="24"/>
          <w:lang w:val="en-US" w:eastAsia="zh-CN"/>
        </w:rPr>
      </w:pPr>
      <w:r>
        <w:rPr>
          <w:rFonts w:hint="default" w:ascii="Times New Roman" w:hAnsi="Times New Roman" w:eastAsia="宋体" w:cs="Times New Roman"/>
          <w:b/>
          <w:bCs w:val="0"/>
          <w:color w:val="auto"/>
          <w:sz w:val="24"/>
          <w:lang w:val="en-US" w:eastAsia="zh-CN"/>
        </w:rPr>
        <w:t>专题表6-2  类比监测使用的仪器</w:t>
      </w:r>
    </w:p>
    <w:tbl>
      <w:tblPr>
        <w:tblStyle w:val="31"/>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1"/>
        <w:gridCol w:w="2021"/>
        <w:gridCol w:w="1105"/>
        <w:gridCol w:w="4167"/>
      </w:tblGrid>
      <w:tr w14:paraId="025CD6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721" w:type="dxa"/>
            <w:tcBorders>
              <w:tl2br w:val="nil"/>
              <w:tr2bl w:val="nil"/>
            </w:tcBorders>
            <w:noWrap w:val="0"/>
            <w:vAlign w:val="center"/>
          </w:tcPr>
          <w:p w14:paraId="635D7188">
            <w:pPr>
              <w:keepNext w:val="0"/>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仪器名称及型号</w:t>
            </w:r>
          </w:p>
        </w:tc>
        <w:tc>
          <w:tcPr>
            <w:tcW w:w="2021" w:type="dxa"/>
            <w:tcBorders>
              <w:tl2br w:val="nil"/>
              <w:tr2bl w:val="nil"/>
            </w:tcBorders>
            <w:noWrap w:val="0"/>
            <w:vAlign w:val="center"/>
          </w:tcPr>
          <w:p w14:paraId="20C724CF">
            <w:pPr>
              <w:keepNext w:val="0"/>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 xml:space="preserve">测量范围 </w:t>
            </w:r>
          </w:p>
        </w:tc>
        <w:tc>
          <w:tcPr>
            <w:tcW w:w="1105" w:type="dxa"/>
            <w:tcBorders>
              <w:tl2br w:val="nil"/>
              <w:tr2bl w:val="nil"/>
            </w:tcBorders>
            <w:noWrap w:val="0"/>
            <w:vAlign w:val="center"/>
          </w:tcPr>
          <w:p w14:paraId="69530CFC">
            <w:pPr>
              <w:keepNext w:val="0"/>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生产厂家</w:t>
            </w:r>
          </w:p>
        </w:tc>
        <w:tc>
          <w:tcPr>
            <w:tcW w:w="4167" w:type="dxa"/>
            <w:tcBorders>
              <w:tl2br w:val="nil"/>
              <w:tr2bl w:val="nil"/>
            </w:tcBorders>
            <w:noWrap w:val="0"/>
            <w:vAlign w:val="center"/>
          </w:tcPr>
          <w:p w14:paraId="44DF7F4F">
            <w:pPr>
              <w:keepNext w:val="0"/>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检测（校准）证书编号</w:t>
            </w:r>
          </w:p>
        </w:tc>
      </w:tr>
      <w:tr w14:paraId="7FB76E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721" w:type="dxa"/>
            <w:tcBorders>
              <w:tl2br w:val="nil"/>
              <w:tr2bl w:val="nil"/>
            </w:tcBorders>
            <w:noWrap w:val="0"/>
            <w:vAlign w:val="center"/>
          </w:tcPr>
          <w:p w14:paraId="320C92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SEM-600</w:t>
            </w:r>
          </w:p>
          <w:p w14:paraId="145A32C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LF-01D</w:t>
            </w:r>
          </w:p>
          <w:p w14:paraId="276DFF5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电磁场探头</w:t>
            </w:r>
          </w:p>
          <w:p w14:paraId="743AA94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和读出装置</w:t>
            </w:r>
          </w:p>
        </w:tc>
        <w:tc>
          <w:tcPr>
            <w:tcW w:w="2021" w:type="dxa"/>
            <w:tcBorders>
              <w:tl2br w:val="nil"/>
              <w:tr2bl w:val="nil"/>
            </w:tcBorders>
            <w:noWrap w:val="0"/>
            <w:vAlign w:val="center"/>
          </w:tcPr>
          <w:p w14:paraId="3C9887B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工频电场0.5V/m~100kV/m</w:t>
            </w:r>
          </w:p>
          <w:p w14:paraId="17D1DC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2"/>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工频磁场10nT~3mT</w:t>
            </w:r>
          </w:p>
        </w:tc>
        <w:tc>
          <w:tcPr>
            <w:tcW w:w="1105" w:type="dxa"/>
            <w:tcBorders>
              <w:tl2br w:val="nil"/>
              <w:tr2bl w:val="nil"/>
            </w:tcBorders>
            <w:noWrap w:val="0"/>
            <w:vAlign w:val="center"/>
          </w:tcPr>
          <w:p w14:paraId="295DEB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北京森馥科技股份</w:t>
            </w:r>
          </w:p>
          <w:p w14:paraId="026472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b w:val="0"/>
                <w:color w:val="auto"/>
                <w:kern w:val="2"/>
                <w:sz w:val="21"/>
                <w:szCs w:val="22"/>
                <w:highlight w:val="none"/>
                <w:lang w:val="en-US" w:eastAsia="zh-CN" w:bidi="ar-SA"/>
              </w:rPr>
              <w:t>有限公司</w:t>
            </w:r>
          </w:p>
        </w:tc>
        <w:tc>
          <w:tcPr>
            <w:tcW w:w="4167" w:type="dxa"/>
            <w:tcBorders>
              <w:tl2br w:val="nil"/>
              <w:tr2bl w:val="nil"/>
            </w:tcBorders>
            <w:noWrap w:val="0"/>
            <w:vAlign w:val="center"/>
          </w:tcPr>
          <w:p w14:paraId="134C989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出厂编号：G-2240/D-2238</w:t>
            </w:r>
          </w:p>
          <w:p w14:paraId="18A30E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设备编号：LT-DC03-1</w:t>
            </w:r>
          </w:p>
          <w:p w14:paraId="697E641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检定单位：中国计量科学研究院</w:t>
            </w:r>
          </w:p>
          <w:p w14:paraId="7EEE0A6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4"/>
                <w:szCs w:val="20"/>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检定证书号：XDdj-2023-00382</w:t>
            </w:r>
          </w:p>
          <w:p w14:paraId="542BECC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color w:val="auto"/>
                <w:kern w:val="2"/>
                <w:sz w:val="21"/>
                <w:szCs w:val="22"/>
                <w:highlight w:val="none"/>
                <w:lang w:val="en-US" w:eastAsia="zh-CN" w:bidi="ar-SA"/>
              </w:rPr>
            </w:pPr>
            <w:r>
              <w:rPr>
                <w:rFonts w:hint="default" w:ascii="Times New Roman" w:hAnsi="Times New Roman" w:eastAsia="宋体" w:cs="Times New Roman"/>
                <w:color w:val="auto"/>
                <w:sz w:val="24"/>
                <w:szCs w:val="20"/>
                <w:highlight w:val="none"/>
                <w:lang w:val="en-US" w:eastAsia="zh-CN" w:bidi="ar-SA"/>
              </w:rPr>
              <w:t>年检有效期：2023.2.7-2024.2.6</w:t>
            </w:r>
          </w:p>
        </w:tc>
      </w:tr>
    </w:tbl>
    <w:p w14:paraId="3C3F0438">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6）监测点布设</w:t>
      </w:r>
    </w:p>
    <w:p w14:paraId="35C1624F">
      <w:pPr>
        <w:keepNext w:val="0"/>
        <w:keepLines w:val="0"/>
        <w:pageBreakBefore w:val="0"/>
        <w:widowControl w:val="0"/>
        <w:kinsoku/>
        <w:wordWrap/>
        <w:overflowPunct/>
        <w:topLinePunct w:val="0"/>
        <w:autoSpaceDE/>
        <w:autoSpaceDN/>
        <w:bidi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根据《交流输变电工程电磁环境监测方法（试行）》（HJ/681-2013），选择在远离进出线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距离边导线地面投影不少于20m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的围墙外且距离围墙5m处布置。断面监测路径选择在以变电站围墙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监测最大值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为起点，在垂直于围墙的方向上布置，监测点间距为5m，顺序测至围墙50m处为止。类比变电站监测点位示意图见图6.1-1。</w:t>
      </w:r>
    </w:p>
    <w:p w14:paraId="65357C35">
      <w:pPr>
        <w:widowControl/>
        <w:jc w:val="center"/>
        <w:rPr>
          <w:rFonts w:hint="default" w:ascii="Times New Roman" w:hAnsi="Times New Roman" w:eastAsia="仿宋_GB2312" w:cs="Times New Roman"/>
          <w:color w:val="auto"/>
          <w:highlight w:val="none"/>
          <w:lang w:eastAsia="zh-CN"/>
        </w:rPr>
      </w:pPr>
      <w:r>
        <w:rPr>
          <w:rFonts w:hint="default" w:ascii="Times New Roman" w:hAnsi="Times New Roman" w:eastAsia="仿宋_GB2312" w:cs="Times New Roman"/>
          <w:color w:val="auto"/>
          <w:highlight w:val="none"/>
          <w:lang w:eastAsia="zh-CN"/>
        </w:rPr>
        <w:drawing>
          <wp:inline distT="0" distB="0" distL="114300" distR="114300">
            <wp:extent cx="5756910" cy="4206240"/>
            <wp:effectExtent l="0" t="0" r="15240" b="3810"/>
            <wp:docPr id="41" name="图片 41" descr="类比变电站清水河330千伏变电站电磁监测点位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类比变电站清水河330千伏变电站电磁监测点位图副本"/>
                    <pic:cNvPicPr>
                      <a:picLocks noChangeAspect="1"/>
                    </pic:cNvPicPr>
                  </pic:nvPicPr>
                  <pic:blipFill>
                    <a:blip r:embed="rId64"/>
                    <a:stretch>
                      <a:fillRect/>
                    </a:stretch>
                  </pic:blipFill>
                  <pic:spPr>
                    <a:xfrm>
                      <a:off x="0" y="0"/>
                      <a:ext cx="5756910" cy="4206240"/>
                    </a:xfrm>
                    <a:prstGeom prst="rect">
                      <a:avLst/>
                    </a:prstGeom>
                  </pic:spPr>
                </pic:pic>
              </a:graphicData>
            </a:graphic>
          </wp:inline>
        </w:drawing>
      </w:r>
    </w:p>
    <w:p w14:paraId="7973F36C">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baseline"/>
        <w:rPr>
          <w:rFonts w:hint="default" w:ascii="Times New Roman" w:hAnsi="Times New Roman" w:eastAsia="宋体" w:cs="Times New Roman"/>
          <w:b/>
          <w:bCs/>
          <w:color w:val="auto"/>
          <w:kern w:val="2"/>
          <w:sz w:val="24"/>
          <w:szCs w:val="24"/>
          <w:highlight w:val="none"/>
        </w:rPr>
      </w:pPr>
      <w:r>
        <w:rPr>
          <w:rFonts w:hint="default" w:ascii="Times New Roman" w:hAnsi="Times New Roman" w:eastAsia="宋体" w:cs="Times New Roman"/>
          <w:b/>
          <w:bCs/>
          <w:color w:val="auto"/>
          <w:kern w:val="2"/>
          <w:sz w:val="24"/>
          <w:szCs w:val="24"/>
          <w:highlight w:val="none"/>
        </w:rPr>
        <w:t xml:space="preserve">图6.1-1 </w:t>
      </w:r>
      <w:r>
        <w:rPr>
          <w:rFonts w:hint="default" w:ascii="Times New Roman" w:hAnsi="Times New Roman" w:eastAsia="宋体" w:cs="Times New Roman"/>
          <w:b/>
          <w:bCs/>
          <w:color w:val="auto"/>
          <w:kern w:val="2"/>
          <w:sz w:val="24"/>
          <w:szCs w:val="24"/>
          <w:highlight w:val="none"/>
          <w:lang w:val="en-US" w:eastAsia="zh-CN"/>
        </w:rPr>
        <w:t xml:space="preserve"> 类比</w:t>
      </w:r>
      <w:r>
        <w:rPr>
          <w:rFonts w:hint="default" w:ascii="Times New Roman" w:hAnsi="Times New Roman" w:eastAsia="宋体" w:cs="Times New Roman"/>
          <w:b/>
          <w:bCs/>
          <w:color w:val="auto"/>
          <w:kern w:val="2"/>
          <w:sz w:val="24"/>
          <w:szCs w:val="24"/>
          <w:highlight w:val="none"/>
        </w:rPr>
        <w:t>330</w:t>
      </w:r>
      <w:r>
        <w:rPr>
          <w:rFonts w:hint="eastAsia" w:cs="Times New Roman"/>
          <w:b/>
          <w:bCs/>
          <w:color w:val="auto"/>
          <w:kern w:val="2"/>
          <w:sz w:val="24"/>
          <w:szCs w:val="24"/>
          <w:highlight w:val="none"/>
          <w:lang w:val="en-US" w:eastAsia="zh-CN"/>
        </w:rPr>
        <w:t>千伏</w:t>
      </w:r>
      <w:r>
        <w:rPr>
          <w:rFonts w:hint="default" w:ascii="Times New Roman" w:hAnsi="Times New Roman" w:eastAsia="宋体" w:cs="Times New Roman"/>
          <w:b/>
          <w:bCs/>
          <w:color w:val="auto"/>
          <w:kern w:val="2"/>
          <w:sz w:val="24"/>
          <w:szCs w:val="24"/>
          <w:highlight w:val="none"/>
        </w:rPr>
        <w:t>变电站监测点位示意图</w:t>
      </w:r>
    </w:p>
    <w:p w14:paraId="34F0001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7）监测</w:t>
      </w:r>
      <w:r>
        <w:rPr>
          <w:rFonts w:hint="default" w:ascii="Times New Roman" w:hAnsi="Times New Roman" w:eastAsia="宋体" w:cs="Times New Roman"/>
          <w:color w:val="auto"/>
          <w:sz w:val="24"/>
          <w:highlight w:val="none"/>
          <w:lang w:val="en-US" w:eastAsia="zh-CN"/>
        </w:rPr>
        <w:t>时间及监测</w:t>
      </w:r>
      <w:r>
        <w:rPr>
          <w:rFonts w:hint="default" w:ascii="Times New Roman" w:hAnsi="Times New Roman" w:eastAsia="宋体" w:cs="Times New Roman"/>
          <w:color w:val="auto"/>
          <w:sz w:val="24"/>
          <w:highlight w:val="none"/>
        </w:rPr>
        <w:t>条件</w:t>
      </w:r>
    </w:p>
    <w:p w14:paraId="5CD05C7C">
      <w:pPr>
        <w:spacing w:line="360" w:lineRule="auto"/>
        <w:ind w:firstLine="480" w:firstLineChars="200"/>
        <w:jc w:val="both"/>
        <w:rPr>
          <w:rFonts w:hint="default" w:ascii="Times New Roman" w:hAnsi="Times New Roman" w:eastAsia="宋体" w:cs="Times New Roman"/>
          <w:color w:val="auto"/>
          <w:sz w:val="24"/>
          <w:highlight w:val="none"/>
        </w:rPr>
      </w:pPr>
      <w:bookmarkStart w:id="331" w:name="_Toc173487251"/>
      <w:r>
        <w:rPr>
          <w:rFonts w:hint="default" w:ascii="Times New Roman" w:hAnsi="Times New Roman" w:eastAsia="宋体" w:cs="Times New Roman"/>
          <w:color w:val="auto"/>
          <w:sz w:val="24"/>
          <w:highlight w:val="none"/>
          <w:lang w:val="en-US" w:eastAsia="zh-CN"/>
        </w:rPr>
        <w:t>监测时间：</w:t>
      </w:r>
      <w:r>
        <w:rPr>
          <w:rFonts w:hint="default" w:ascii="Times New Roman" w:hAnsi="Times New Roman" w:eastAsia="宋体" w:cs="Times New Roman"/>
          <w:color w:val="auto"/>
          <w:sz w:val="24"/>
          <w:highlight w:val="none"/>
          <w:lang w:eastAsia="zh-CN"/>
        </w:rPr>
        <w:t>2023年4月18日</w:t>
      </w:r>
    </w:p>
    <w:p w14:paraId="39C99835">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监测条件：</w:t>
      </w:r>
      <w:r>
        <w:rPr>
          <w:rFonts w:hint="default" w:ascii="Times New Roman" w:hAnsi="Times New Roman" w:eastAsia="宋体" w:cs="Times New Roman"/>
          <w:color w:val="auto"/>
          <w:sz w:val="24"/>
          <w:highlight w:val="none"/>
        </w:rPr>
        <w:t>昼间，天气</w:t>
      </w:r>
      <w:r>
        <w:rPr>
          <w:rFonts w:hint="default" w:ascii="Times New Roman" w:hAnsi="Times New Roman" w:eastAsia="宋体" w:cs="Times New Roman"/>
          <w:color w:val="auto"/>
          <w:sz w:val="24"/>
          <w:highlight w:val="none"/>
          <w:lang w:val="en-US" w:eastAsia="zh-CN"/>
        </w:rPr>
        <w:t>晴</w:t>
      </w:r>
      <w:r>
        <w:rPr>
          <w:rFonts w:hint="default" w:ascii="Times New Roman" w:hAnsi="Times New Roman" w:eastAsia="宋体" w:cs="Times New Roman"/>
          <w:color w:val="auto"/>
          <w:sz w:val="24"/>
          <w:highlight w:val="none"/>
        </w:rPr>
        <w:t>，环境温度</w:t>
      </w:r>
      <w:r>
        <w:rPr>
          <w:rFonts w:hint="default" w:ascii="Times New Roman" w:hAnsi="Times New Roman" w:eastAsia="宋体" w:cs="Times New Roman"/>
          <w:color w:val="auto"/>
          <w:sz w:val="24"/>
          <w:highlight w:val="none"/>
          <w:lang w:val="en-US" w:eastAsia="zh-CN"/>
        </w:rPr>
        <w:t>18.7</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22.1</w:t>
      </w:r>
      <w:r>
        <w:rPr>
          <w:rFonts w:hint="default" w:ascii="Times New Roman" w:hAnsi="Times New Roman" w:eastAsia="宋体" w:cs="Times New Roman"/>
          <w:color w:val="auto"/>
          <w:sz w:val="24"/>
          <w:highlight w:val="none"/>
        </w:rPr>
        <w:t>℃，湿度</w:t>
      </w:r>
      <w:r>
        <w:rPr>
          <w:rFonts w:hint="default" w:ascii="Times New Roman" w:hAnsi="Times New Roman" w:eastAsia="宋体" w:cs="Times New Roman"/>
          <w:color w:val="auto"/>
          <w:sz w:val="24"/>
          <w:highlight w:val="none"/>
          <w:lang w:eastAsia="zh-CN"/>
        </w:rPr>
        <w:t>38.3%～41.2%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风速</w:t>
      </w:r>
      <w:r>
        <w:rPr>
          <w:rFonts w:hint="default" w:ascii="Times New Roman" w:hAnsi="Times New Roman" w:eastAsia="宋体" w:cs="Times New Roman"/>
          <w:color w:val="auto"/>
          <w:sz w:val="24"/>
          <w:highlight w:val="none"/>
        </w:rPr>
        <w:t>静风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大气压862.5~879.1hPa</w:t>
      </w:r>
      <w:r>
        <w:rPr>
          <w:rFonts w:hint="default" w:ascii="Times New Roman" w:hAnsi="Times New Roman" w:eastAsia="宋体" w:cs="Times New Roman"/>
          <w:color w:val="auto"/>
          <w:sz w:val="24"/>
          <w:highlight w:val="none"/>
        </w:rPr>
        <w:t>。</w:t>
      </w:r>
    </w:p>
    <w:p w14:paraId="0AE6AD10">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8）</w:t>
      </w:r>
      <w:bookmarkEnd w:id="331"/>
      <w:r>
        <w:rPr>
          <w:rFonts w:hint="default" w:ascii="Times New Roman" w:hAnsi="Times New Roman" w:eastAsia="宋体" w:cs="Times New Roman"/>
          <w:color w:val="auto"/>
          <w:sz w:val="24"/>
          <w:highlight w:val="none"/>
        </w:rPr>
        <w:t>类比监测结果</w:t>
      </w:r>
    </w:p>
    <w:p w14:paraId="65CA02CA">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类比变电站周围监测点布于变电站围墙外、测量离地1.5m高处的工频电场强度、工频磁感应强度。测试结果见</w:t>
      </w:r>
      <w:r>
        <w:rPr>
          <w:rFonts w:hint="default" w:ascii="Times New Roman" w:hAnsi="Times New Roman" w:eastAsia="宋体" w:cs="Times New Roman"/>
          <w:color w:val="auto"/>
          <w:sz w:val="24"/>
          <w:highlight w:val="none"/>
          <w:lang w:val="en-US" w:eastAsia="zh-CN"/>
        </w:rPr>
        <w:t>专题</w:t>
      </w:r>
      <w:r>
        <w:rPr>
          <w:rFonts w:hint="default" w:ascii="Times New Roman" w:hAnsi="Times New Roman" w:eastAsia="宋体" w:cs="Times New Roman"/>
          <w:color w:val="auto"/>
          <w:sz w:val="24"/>
          <w:highlight w:val="none"/>
        </w:rPr>
        <w:t>表6-</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14:paraId="4D306007">
      <w:pPr>
        <w:spacing w:line="24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专题</w:t>
      </w:r>
      <w:r>
        <w:rPr>
          <w:rFonts w:hint="default" w:ascii="Times New Roman" w:hAnsi="Times New Roman" w:eastAsia="宋体" w:cs="Times New Roman"/>
          <w:b/>
          <w:color w:val="auto"/>
          <w:sz w:val="24"/>
          <w:highlight w:val="none"/>
        </w:rPr>
        <w:t>表6-</w:t>
      </w:r>
      <w:r>
        <w:rPr>
          <w:rFonts w:hint="default"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rPr>
        <w:t xml:space="preserve">  </w:t>
      </w:r>
      <w:r>
        <w:rPr>
          <w:rFonts w:hint="default" w:ascii="Times New Roman" w:hAnsi="Times New Roman" w:eastAsia="宋体" w:cs="Times New Roman"/>
          <w:b/>
          <w:color w:val="auto"/>
          <w:sz w:val="24"/>
          <w:highlight w:val="none"/>
          <w:lang w:val="en-US" w:eastAsia="zh-CN"/>
        </w:rPr>
        <w:t>清水河</w:t>
      </w:r>
      <w:r>
        <w:rPr>
          <w:rFonts w:hint="default" w:ascii="Times New Roman" w:hAnsi="Times New Roman" w:eastAsia="宋体" w:cs="Times New Roman"/>
          <w:b/>
          <w:color w:val="auto"/>
          <w:sz w:val="24"/>
          <w:highlight w:val="none"/>
        </w:rPr>
        <w:t>330</w:t>
      </w:r>
      <w:r>
        <w:rPr>
          <w:rFonts w:hint="default" w:ascii="Times New Roman" w:hAnsi="Times New Roman" w:eastAsia="宋体" w:cs="Times New Roman"/>
          <w:b/>
          <w:color w:val="auto"/>
          <w:sz w:val="24"/>
          <w:highlight w:val="none"/>
          <w:lang w:val="en-US" w:eastAsia="zh-CN"/>
        </w:rPr>
        <w:t>千伏</w:t>
      </w:r>
      <w:r>
        <w:rPr>
          <w:rFonts w:hint="default" w:ascii="Times New Roman" w:hAnsi="Times New Roman" w:eastAsia="宋体" w:cs="Times New Roman"/>
          <w:b/>
          <w:color w:val="auto"/>
          <w:sz w:val="24"/>
          <w:highlight w:val="none"/>
        </w:rPr>
        <w:t>变电站周围工频电场、工频磁场类比测量结果</w:t>
      </w:r>
    </w:p>
    <w:tbl>
      <w:tblPr>
        <w:tblStyle w:val="31"/>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20"/>
        <w:gridCol w:w="2746"/>
        <w:gridCol w:w="2748"/>
      </w:tblGrid>
      <w:tr w14:paraId="1B3AA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79AEC5CA">
            <w:pPr>
              <w:adjustRightInd/>
              <w:spacing w:line="240" w:lineRule="atLeast"/>
              <w:jc w:val="center"/>
              <w:textAlignment w:val="auto"/>
              <w:rPr>
                <w:rFonts w:hint="default" w:ascii="Times New Roman" w:hAnsi="Times New Roman" w:eastAsia="宋体" w:cs="Times New Roman"/>
                <w:b/>
                <w:bCs w:val="0"/>
                <w:iCs/>
                <w:color w:val="auto"/>
                <w:kern w:val="2"/>
                <w:sz w:val="21"/>
                <w:szCs w:val="21"/>
                <w:highlight w:val="none"/>
              </w:rPr>
            </w:pPr>
            <w:r>
              <w:rPr>
                <w:rFonts w:hint="default" w:ascii="Times New Roman" w:hAnsi="Times New Roman" w:eastAsia="宋体" w:cs="Times New Roman"/>
                <w:b/>
                <w:bCs w:val="0"/>
                <w:iCs/>
                <w:color w:val="auto"/>
                <w:kern w:val="2"/>
                <w:sz w:val="21"/>
                <w:szCs w:val="21"/>
                <w:highlight w:val="none"/>
              </w:rPr>
              <w:t>点位描述</w:t>
            </w:r>
          </w:p>
        </w:tc>
        <w:tc>
          <w:tcPr>
            <w:tcW w:w="1523" w:type="pct"/>
            <w:tcBorders>
              <w:tl2br w:val="nil"/>
              <w:tr2bl w:val="nil"/>
            </w:tcBorders>
            <w:noWrap w:val="0"/>
            <w:vAlign w:val="center"/>
          </w:tcPr>
          <w:p w14:paraId="10B7138B">
            <w:pPr>
              <w:adjustRightInd/>
              <w:jc w:val="center"/>
              <w:textAlignment w:val="auto"/>
              <w:rPr>
                <w:rFonts w:hint="default" w:ascii="Times New Roman" w:hAnsi="Times New Roman" w:eastAsia="宋体" w:cs="Times New Roman"/>
                <w:b/>
                <w:bCs w:val="0"/>
                <w:color w:val="auto"/>
                <w:kern w:val="2"/>
                <w:sz w:val="21"/>
                <w:szCs w:val="24"/>
                <w:highlight w:val="none"/>
              </w:rPr>
            </w:pPr>
            <w:r>
              <w:rPr>
                <w:rFonts w:hint="default" w:ascii="Times New Roman" w:hAnsi="Times New Roman" w:eastAsia="宋体" w:cs="Times New Roman"/>
                <w:b/>
                <w:bCs w:val="0"/>
                <w:color w:val="auto"/>
                <w:kern w:val="2"/>
                <w:sz w:val="21"/>
                <w:highlight w:val="none"/>
              </w:rPr>
              <w:t>工频电场强度（V/m）</w:t>
            </w:r>
          </w:p>
        </w:tc>
        <w:tc>
          <w:tcPr>
            <w:tcW w:w="1524" w:type="pct"/>
            <w:tcBorders>
              <w:tl2br w:val="nil"/>
              <w:tr2bl w:val="nil"/>
            </w:tcBorders>
            <w:noWrap w:val="0"/>
            <w:vAlign w:val="center"/>
          </w:tcPr>
          <w:p w14:paraId="02B0CBE0">
            <w:pPr>
              <w:adjustRightInd/>
              <w:jc w:val="center"/>
              <w:textAlignment w:val="auto"/>
              <w:rPr>
                <w:rFonts w:hint="default" w:ascii="Times New Roman" w:hAnsi="Times New Roman" w:eastAsia="宋体" w:cs="Times New Roman"/>
                <w:b/>
                <w:bCs w:val="0"/>
                <w:color w:val="auto"/>
                <w:kern w:val="2"/>
                <w:sz w:val="21"/>
                <w:szCs w:val="24"/>
                <w:highlight w:val="none"/>
              </w:rPr>
            </w:pPr>
            <w:r>
              <w:rPr>
                <w:rFonts w:hint="default" w:ascii="Times New Roman" w:hAnsi="Times New Roman" w:eastAsia="宋体" w:cs="Times New Roman"/>
                <w:b/>
                <w:bCs w:val="0"/>
                <w:color w:val="auto"/>
                <w:kern w:val="2"/>
                <w:sz w:val="21"/>
                <w:highlight w:val="none"/>
              </w:rPr>
              <w:t>工频磁感应强度（μT）</w:t>
            </w:r>
          </w:p>
        </w:tc>
      </w:tr>
      <w:tr w14:paraId="79DAF4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952" w:type="pct"/>
            <w:tcBorders>
              <w:tl2br w:val="nil"/>
              <w:tr2bl w:val="nil"/>
            </w:tcBorders>
            <w:noWrap w:val="0"/>
            <w:vAlign w:val="center"/>
          </w:tcPr>
          <w:p w14:paraId="5985A09D">
            <w:pPr>
              <w:adjustRightInd/>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西</w:t>
            </w:r>
            <w:r>
              <w:rPr>
                <w:rFonts w:hint="default" w:ascii="Times New Roman" w:hAnsi="Times New Roman" w:eastAsia="宋体" w:cs="Times New Roman"/>
                <w:color w:val="auto"/>
                <w:kern w:val="2"/>
                <w:sz w:val="21"/>
                <w:szCs w:val="21"/>
                <w:highlight w:val="none"/>
              </w:rPr>
              <w:t>侧墙外5m</w:t>
            </w:r>
            <w:r>
              <w:rPr>
                <w:rFonts w:hint="default" w:ascii="Times New Roman" w:hAnsi="Times New Roman" w:eastAsia="宋体" w:cs="Times New Roman"/>
                <w:color w:val="auto"/>
                <w:kern w:val="2"/>
                <w:sz w:val="21"/>
                <w:szCs w:val="21"/>
                <w:highlight w:val="none"/>
                <w:lang w:val="en-US" w:eastAsia="zh-CN"/>
              </w:rPr>
              <w:t>处</w:t>
            </w:r>
            <w:r>
              <w:rPr>
                <w:rFonts w:hint="default" w:ascii="Times New Roman" w:hAnsi="Times New Roman" w:eastAsia="宋体" w:cs="Times New Roman"/>
                <w:color w:val="auto"/>
                <w:kern w:val="2"/>
                <w:sz w:val="21"/>
                <w:szCs w:val="21"/>
                <w:highlight w:val="none"/>
              </w:rPr>
              <w:t>（1#）</w:t>
            </w:r>
          </w:p>
        </w:tc>
        <w:tc>
          <w:tcPr>
            <w:tcW w:w="1523" w:type="pct"/>
            <w:tcBorders>
              <w:tl2br w:val="nil"/>
              <w:tr2bl w:val="nil"/>
            </w:tcBorders>
            <w:noWrap w:val="0"/>
            <w:vAlign w:val="center"/>
          </w:tcPr>
          <w:p w14:paraId="4DFD76D7">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399.74</w:t>
            </w:r>
          </w:p>
        </w:tc>
        <w:tc>
          <w:tcPr>
            <w:tcW w:w="1524" w:type="pct"/>
            <w:tcBorders>
              <w:tl2br w:val="nil"/>
              <w:tr2bl w:val="nil"/>
            </w:tcBorders>
            <w:noWrap w:val="0"/>
            <w:vAlign w:val="center"/>
          </w:tcPr>
          <w:p w14:paraId="2D76D7A7">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0.6532</w:t>
            </w:r>
          </w:p>
        </w:tc>
      </w:tr>
      <w:tr w14:paraId="6E263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3318CD3B">
            <w:pPr>
              <w:adjustRightInd/>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南偏西侧墙外</w:t>
            </w:r>
            <w:r>
              <w:rPr>
                <w:rFonts w:hint="default" w:ascii="Times New Roman" w:hAnsi="Times New Roman" w:eastAsia="宋体" w:cs="Times New Roman"/>
                <w:color w:val="auto"/>
                <w:kern w:val="2"/>
                <w:sz w:val="21"/>
                <w:szCs w:val="21"/>
                <w:highlight w:val="none"/>
              </w:rPr>
              <w:t>5m</w:t>
            </w:r>
            <w:r>
              <w:rPr>
                <w:rFonts w:hint="default" w:ascii="Times New Roman" w:hAnsi="Times New Roman" w:eastAsia="宋体" w:cs="Times New Roman"/>
                <w:color w:val="auto"/>
                <w:kern w:val="2"/>
                <w:sz w:val="21"/>
                <w:szCs w:val="21"/>
                <w:highlight w:val="none"/>
                <w:lang w:val="en-US" w:eastAsia="zh-CN"/>
              </w:rPr>
              <w:t>处</w:t>
            </w:r>
            <w:r>
              <w:rPr>
                <w:rFonts w:hint="default" w:ascii="Times New Roman" w:hAnsi="Times New Roman" w:eastAsia="宋体" w:cs="Times New Roman"/>
                <w:color w:val="auto"/>
                <w:kern w:val="2"/>
                <w:sz w:val="21"/>
                <w:szCs w:val="21"/>
                <w:highlight w:val="none"/>
              </w:rPr>
              <w:t>（2#）</w:t>
            </w:r>
          </w:p>
        </w:tc>
        <w:tc>
          <w:tcPr>
            <w:tcW w:w="1523" w:type="pct"/>
            <w:tcBorders>
              <w:tl2br w:val="nil"/>
              <w:tr2bl w:val="nil"/>
            </w:tcBorders>
            <w:noWrap w:val="0"/>
            <w:vAlign w:val="center"/>
          </w:tcPr>
          <w:p w14:paraId="00EBE92C">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505.87</w:t>
            </w:r>
          </w:p>
        </w:tc>
        <w:tc>
          <w:tcPr>
            <w:tcW w:w="1524" w:type="pct"/>
            <w:tcBorders>
              <w:tl2br w:val="nil"/>
              <w:tr2bl w:val="nil"/>
            </w:tcBorders>
            <w:noWrap w:val="0"/>
            <w:vAlign w:val="center"/>
          </w:tcPr>
          <w:p w14:paraId="40C03BF2">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1.6105</w:t>
            </w:r>
          </w:p>
        </w:tc>
      </w:tr>
      <w:tr w14:paraId="4305D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774D7295">
            <w:pPr>
              <w:adjustRightInd/>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南偏东侧墙外</w:t>
            </w:r>
            <w:r>
              <w:rPr>
                <w:rFonts w:hint="default" w:ascii="Times New Roman" w:hAnsi="Times New Roman" w:eastAsia="宋体" w:cs="Times New Roman"/>
                <w:color w:val="auto"/>
                <w:kern w:val="2"/>
                <w:sz w:val="21"/>
                <w:szCs w:val="21"/>
                <w:highlight w:val="none"/>
              </w:rPr>
              <w:t>5m</w:t>
            </w:r>
            <w:r>
              <w:rPr>
                <w:rFonts w:hint="default" w:ascii="Times New Roman" w:hAnsi="Times New Roman" w:eastAsia="宋体" w:cs="Times New Roman"/>
                <w:color w:val="auto"/>
                <w:kern w:val="2"/>
                <w:sz w:val="21"/>
                <w:szCs w:val="21"/>
                <w:highlight w:val="none"/>
                <w:lang w:val="en-US" w:eastAsia="zh-CN"/>
              </w:rPr>
              <w:t>处</w:t>
            </w:r>
            <w:r>
              <w:rPr>
                <w:rFonts w:hint="default" w:ascii="Times New Roman" w:hAnsi="Times New Roman" w:eastAsia="宋体" w:cs="Times New Roman"/>
                <w:color w:val="auto"/>
                <w:kern w:val="2"/>
                <w:sz w:val="21"/>
                <w:szCs w:val="21"/>
                <w:highlight w:val="none"/>
              </w:rPr>
              <w:t>（3#）</w:t>
            </w:r>
          </w:p>
        </w:tc>
        <w:tc>
          <w:tcPr>
            <w:tcW w:w="1523" w:type="pct"/>
            <w:tcBorders>
              <w:tl2br w:val="nil"/>
              <w:tr2bl w:val="nil"/>
            </w:tcBorders>
            <w:noWrap w:val="0"/>
            <w:vAlign w:val="center"/>
          </w:tcPr>
          <w:p w14:paraId="30838719">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26.734</w:t>
            </w:r>
          </w:p>
        </w:tc>
        <w:tc>
          <w:tcPr>
            <w:tcW w:w="1524" w:type="pct"/>
            <w:tcBorders>
              <w:tl2br w:val="nil"/>
              <w:tr2bl w:val="nil"/>
            </w:tcBorders>
            <w:noWrap w:val="0"/>
            <w:vAlign w:val="center"/>
          </w:tcPr>
          <w:p w14:paraId="661EFB13">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0.2672</w:t>
            </w:r>
          </w:p>
        </w:tc>
      </w:tr>
      <w:tr w14:paraId="5E6BA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952" w:type="pct"/>
            <w:tcBorders>
              <w:tl2br w:val="nil"/>
              <w:tr2bl w:val="nil"/>
            </w:tcBorders>
            <w:noWrap w:val="0"/>
            <w:vAlign w:val="center"/>
          </w:tcPr>
          <w:p w14:paraId="7AA881B6">
            <w:pPr>
              <w:adjustRightInd/>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东偏南侧墙外</w:t>
            </w:r>
            <w:r>
              <w:rPr>
                <w:rFonts w:hint="default" w:ascii="Times New Roman" w:hAnsi="Times New Roman" w:eastAsia="宋体" w:cs="Times New Roman"/>
                <w:color w:val="auto"/>
                <w:kern w:val="2"/>
                <w:sz w:val="21"/>
                <w:szCs w:val="21"/>
                <w:highlight w:val="none"/>
              </w:rPr>
              <w:t>5m</w:t>
            </w:r>
            <w:r>
              <w:rPr>
                <w:rFonts w:hint="default" w:ascii="Times New Roman" w:hAnsi="Times New Roman" w:eastAsia="宋体" w:cs="Times New Roman"/>
                <w:color w:val="auto"/>
                <w:kern w:val="2"/>
                <w:sz w:val="21"/>
                <w:szCs w:val="21"/>
                <w:highlight w:val="none"/>
                <w:lang w:val="en-US" w:eastAsia="zh-CN"/>
              </w:rPr>
              <w:t>处</w:t>
            </w:r>
            <w:r>
              <w:rPr>
                <w:rFonts w:hint="default" w:ascii="Times New Roman" w:hAnsi="Times New Roman" w:eastAsia="宋体" w:cs="Times New Roman"/>
                <w:color w:val="auto"/>
                <w:kern w:val="2"/>
                <w:sz w:val="21"/>
                <w:szCs w:val="21"/>
                <w:highlight w:val="none"/>
              </w:rPr>
              <w:t>（4#）</w:t>
            </w:r>
          </w:p>
        </w:tc>
        <w:tc>
          <w:tcPr>
            <w:tcW w:w="1523" w:type="pct"/>
            <w:tcBorders>
              <w:tl2br w:val="nil"/>
              <w:tr2bl w:val="nil"/>
            </w:tcBorders>
            <w:noWrap w:val="0"/>
            <w:vAlign w:val="center"/>
          </w:tcPr>
          <w:p w14:paraId="4B26AB0B">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128.81</w:t>
            </w:r>
          </w:p>
        </w:tc>
        <w:tc>
          <w:tcPr>
            <w:tcW w:w="1524" w:type="pct"/>
            <w:tcBorders>
              <w:tl2br w:val="nil"/>
              <w:tr2bl w:val="nil"/>
            </w:tcBorders>
            <w:noWrap w:val="0"/>
            <w:vAlign w:val="center"/>
          </w:tcPr>
          <w:p w14:paraId="48D2289C">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1.1847</w:t>
            </w:r>
          </w:p>
        </w:tc>
      </w:tr>
      <w:tr w14:paraId="0C269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121D1784">
            <w:pPr>
              <w:adjustRightInd/>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color w:val="auto"/>
                <w:kern w:val="2"/>
                <w:sz w:val="21"/>
                <w:szCs w:val="21"/>
                <w:highlight w:val="none"/>
              </w:rPr>
              <w:t>5m</w:t>
            </w:r>
            <w:r>
              <w:rPr>
                <w:rFonts w:hint="default" w:ascii="Times New Roman" w:hAnsi="Times New Roman" w:eastAsia="宋体" w:cs="Times New Roman"/>
                <w:color w:val="auto"/>
                <w:kern w:val="2"/>
                <w:sz w:val="21"/>
                <w:szCs w:val="21"/>
                <w:highlight w:val="none"/>
                <w:lang w:val="en-US" w:eastAsia="zh-CN"/>
              </w:rPr>
              <w:t>处</w:t>
            </w:r>
            <w:r>
              <w:rPr>
                <w:rFonts w:hint="default" w:ascii="Times New Roman" w:hAnsi="Times New Roman" w:eastAsia="宋体" w:cs="Times New Roman"/>
                <w:color w:val="auto"/>
                <w:kern w:val="2"/>
                <w:sz w:val="21"/>
                <w:szCs w:val="21"/>
                <w:highlight w:val="none"/>
              </w:rPr>
              <w:t>（5#）</w:t>
            </w:r>
          </w:p>
        </w:tc>
        <w:tc>
          <w:tcPr>
            <w:tcW w:w="1523" w:type="pct"/>
            <w:tcBorders>
              <w:tl2br w:val="nil"/>
              <w:tr2bl w:val="nil"/>
            </w:tcBorders>
            <w:noWrap w:val="0"/>
            <w:vAlign w:val="center"/>
          </w:tcPr>
          <w:p w14:paraId="730DDBAB">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681.12</w:t>
            </w:r>
          </w:p>
        </w:tc>
        <w:tc>
          <w:tcPr>
            <w:tcW w:w="1524" w:type="pct"/>
            <w:tcBorders>
              <w:tl2br w:val="nil"/>
              <w:tr2bl w:val="nil"/>
            </w:tcBorders>
            <w:noWrap w:val="0"/>
            <w:vAlign w:val="center"/>
          </w:tcPr>
          <w:p w14:paraId="78E58AAA">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2.1500</w:t>
            </w:r>
          </w:p>
        </w:tc>
      </w:tr>
      <w:tr w14:paraId="43B18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27F004B2">
            <w:pPr>
              <w:adjustRightInd/>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北偏东侧墙外</w:t>
            </w:r>
            <w:r>
              <w:rPr>
                <w:rFonts w:hint="default" w:ascii="Times New Roman" w:hAnsi="Times New Roman" w:eastAsia="宋体" w:cs="Times New Roman"/>
                <w:color w:val="auto"/>
                <w:kern w:val="2"/>
                <w:sz w:val="21"/>
                <w:szCs w:val="21"/>
                <w:highlight w:val="none"/>
              </w:rPr>
              <w:t>5m</w:t>
            </w:r>
            <w:r>
              <w:rPr>
                <w:rFonts w:hint="default" w:ascii="Times New Roman" w:hAnsi="Times New Roman" w:eastAsia="宋体" w:cs="Times New Roman"/>
                <w:color w:val="auto"/>
                <w:kern w:val="2"/>
                <w:sz w:val="21"/>
                <w:szCs w:val="21"/>
                <w:highlight w:val="none"/>
                <w:lang w:val="en-US" w:eastAsia="zh-CN"/>
              </w:rPr>
              <w:t>处</w:t>
            </w:r>
            <w:r>
              <w:rPr>
                <w:rFonts w:hint="default" w:ascii="Times New Roman" w:hAnsi="Times New Roman" w:eastAsia="宋体" w:cs="Times New Roman"/>
                <w:color w:val="auto"/>
                <w:kern w:val="2"/>
                <w:sz w:val="21"/>
                <w:szCs w:val="21"/>
                <w:highlight w:val="none"/>
              </w:rPr>
              <w:t>（6#）</w:t>
            </w:r>
          </w:p>
        </w:tc>
        <w:tc>
          <w:tcPr>
            <w:tcW w:w="1523" w:type="pct"/>
            <w:tcBorders>
              <w:tl2br w:val="nil"/>
              <w:tr2bl w:val="nil"/>
            </w:tcBorders>
            <w:noWrap w:val="0"/>
            <w:vAlign w:val="center"/>
          </w:tcPr>
          <w:p w14:paraId="7B10E398">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257.93</w:t>
            </w:r>
          </w:p>
        </w:tc>
        <w:tc>
          <w:tcPr>
            <w:tcW w:w="1524" w:type="pct"/>
            <w:tcBorders>
              <w:tl2br w:val="nil"/>
              <w:tr2bl w:val="nil"/>
            </w:tcBorders>
            <w:noWrap w:val="0"/>
            <w:vAlign w:val="center"/>
          </w:tcPr>
          <w:p w14:paraId="20F93BCF">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0.5195</w:t>
            </w:r>
          </w:p>
        </w:tc>
      </w:tr>
      <w:tr w14:paraId="1B7B78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5847DABD">
            <w:pPr>
              <w:adjustRightInd/>
              <w:jc w:val="center"/>
              <w:textAlignment w:val="auto"/>
              <w:rPr>
                <w:rFonts w:hint="default" w:ascii="Times New Roman" w:hAnsi="Times New Roman" w:eastAsia="宋体" w:cs="Times New Roman"/>
                <w:bCs/>
                <w:iCs/>
                <w:color w:val="auto"/>
                <w:kern w:val="2"/>
                <w:sz w:val="21"/>
                <w:szCs w:val="21"/>
                <w:highlight w:val="none"/>
              </w:rPr>
            </w:pPr>
            <w:r>
              <w:rPr>
                <w:rFonts w:hint="default" w:ascii="Times New Roman" w:hAnsi="Times New Roman" w:eastAsia="宋体" w:cs="Times New Roman"/>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北偏西侧墙外</w:t>
            </w:r>
            <w:r>
              <w:rPr>
                <w:rFonts w:hint="default" w:ascii="Times New Roman" w:hAnsi="Times New Roman" w:eastAsia="宋体" w:cs="Times New Roman"/>
                <w:color w:val="auto"/>
                <w:kern w:val="2"/>
                <w:sz w:val="21"/>
                <w:szCs w:val="21"/>
                <w:highlight w:val="none"/>
              </w:rPr>
              <w:t>5m</w:t>
            </w:r>
            <w:r>
              <w:rPr>
                <w:rFonts w:hint="default" w:ascii="Times New Roman" w:hAnsi="Times New Roman" w:eastAsia="宋体" w:cs="Times New Roman"/>
                <w:color w:val="auto"/>
                <w:kern w:val="2"/>
                <w:sz w:val="21"/>
                <w:szCs w:val="21"/>
                <w:highlight w:val="none"/>
                <w:lang w:val="en-US" w:eastAsia="zh-CN"/>
              </w:rPr>
              <w:t>处</w:t>
            </w:r>
            <w:r>
              <w:rPr>
                <w:rFonts w:hint="default" w:ascii="Times New Roman" w:hAnsi="Times New Roman" w:eastAsia="宋体" w:cs="Times New Roman"/>
                <w:color w:val="auto"/>
                <w:kern w:val="2"/>
                <w:sz w:val="21"/>
                <w:szCs w:val="21"/>
                <w:highlight w:val="none"/>
              </w:rPr>
              <w:t>（7#）</w:t>
            </w:r>
          </w:p>
        </w:tc>
        <w:tc>
          <w:tcPr>
            <w:tcW w:w="1523" w:type="pct"/>
            <w:tcBorders>
              <w:tl2br w:val="nil"/>
              <w:tr2bl w:val="nil"/>
            </w:tcBorders>
            <w:noWrap w:val="0"/>
            <w:vAlign w:val="center"/>
          </w:tcPr>
          <w:p w14:paraId="7F045673">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407.81</w:t>
            </w:r>
          </w:p>
        </w:tc>
        <w:tc>
          <w:tcPr>
            <w:tcW w:w="1524" w:type="pct"/>
            <w:tcBorders>
              <w:tl2br w:val="nil"/>
              <w:tr2bl w:val="nil"/>
            </w:tcBorders>
            <w:noWrap w:val="0"/>
            <w:vAlign w:val="center"/>
          </w:tcPr>
          <w:p w14:paraId="3F227357">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1.4814</w:t>
            </w:r>
          </w:p>
        </w:tc>
      </w:tr>
      <w:tr w14:paraId="220AC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1BE1BCE8">
            <w:pPr>
              <w:adjustRightInd/>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color w:val="auto"/>
                <w:kern w:val="2"/>
                <w:sz w:val="21"/>
                <w:szCs w:val="21"/>
                <w:highlight w:val="none"/>
              </w:rPr>
              <w:t>5m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10A1EF4A">
            <w:pPr>
              <w:adjustRightInd/>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lang w:val="en-US" w:eastAsia="zh-CN"/>
              </w:rPr>
              <w:t>681.12</w:t>
            </w:r>
          </w:p>
        </w:tc>
        <w:tc>
          <w:tcPr>
            <w:tcW w:w="1524" w:type="pct"/>
            <w:tcBorders>
              <w:tl2br w:val="nil"/>
              <w:tr2bl w:val="nil"/>
            </w:tcBorders>
            <w:noWrap w:val="0"/>
            <w:vAlign w:val="center"/>
          </w:tcPr>
          <w:p w14:paraId="53F06FC5">
            <w:pPr>
              <w:adjustRightInd/>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lang w:val="en-US" w:eastAsia="zh-CN"/>
              </w:rPr>
              <w:t>2.1500</w:t>
            </w:r>
          </w:p>
        </w:tc>
      </w:tr>
      <w:tr w14:paraId="2CDD4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15518065">
            <w:pPr>
              <w:adjustRightInd/>
              <w:spacing w:line="240" w:lineRule="atLeast"/>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bCs/>
                <w:iCs/>
                <w:color w:val="auto"/>
                <w:kern w:val="2"/>
                <w:sz w:val="21"/>
                <w:szCs w:val="21"/>
                <w:highlight w:val="none"/>
              </w:rPr>
              <w:t>10m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666447C6">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547.03</w:t>
            </w:r>
          </w:p>
        </w:tc>
        <w:tc>
          <w:tcPr>
            <w:tcW w:w="1524" w:type="pct"/>
            <w:tcBorders>
              <w:tl2br w:val="nil"/>
              <w:tr2bl w:val="nil"/>
            </w:tcBorders>
            <w:noWrap w:val="0"/>
            <w:vAlign w:val="center"/>
          </w:tcPr>
          <w:p w14:paraId="39EA0630">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1.6301</w:t>
            </w:r>
          </w:p>
        </w:tc>
      </w:tr>
      <w:tr w14:paraId="390EC8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3E2AEBBC">
            <w:pPr>
              <w:adjustRightInd/>
              <w:spacing w:line="240" w:lineRule="atLeast"/>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bCs/>
                <w:iCs/>
                <w:color w:val="auto"/>
                <w:kern w:val="2"/>
                <w:sz w:val="21"/>
                <w:szCs w:val="21"/>
                <w:highlight w:val="none"/>
              </w:rPr>
              <w:t>15m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56A679FD">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429.15</w:t>
            </w:r>
          </w:p>
        </w:tc>
        <w:tc>
          <w:tcPr>
            <w:tcW w:w="1524" w:type="pct"/>
            <w:tcBorders>
              <w:tl2br w:val="nil"/>
              <w:tr2bl w:val="nil"/>
            </w:tcBorders>
            <w:noWrap w:val="0"/>
            <w:vAlign w:val="center"/>
          </w:tcPr>
          <w:p w14:paraId="6C3153FC">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1.2145</w:t>
            </w:r>
          </w:p>
        </w:tc>
      </w:tr>
      <w:tr w14:paraId="08E2DB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44E066CF">
            <w:pPr>
              <w:adjustRightInd/>
              <w:spacing w:line="240" w:lineRule="atLeast"/>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bCs/>
                <w:iCs/>
                <w:color w:val="auto"/>
                <w:kern w:val="2"/>
                <w:sz w:val="21"/>
                <w:szCs w:val="21"/>
                <w:highlight w:val="none"/>
              </w:rPr>
              <w:t>20m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1E7D0787">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338.83</w:t>
            </w:r>
          </w:p>
        </w:tc>
        <w:tc>
          <w:tcPr>
            <w:tcW w:w="1524" w:type="pct"/>
            <w:tcBorders>
              <w:tl2br w:val="nil"/>
              <w:tr2bl w:val="nil"/>
            </w:tcBorders>
            <w:noWrap w:val="0"/>
            <w:vAlign w:val="center"/>
          </w:tcPr>
          <w:p w14:paraId="3520DE7C">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1.0568</w:t>
            </w:r>
          </w:p>
        </w:tc>
      </w:tr>
      <w:tr w14:paraId="23B800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5C74B6AD">
            <w:pPr>
              <w:adjustRightInd/>
              <w:spacing w:line="240" w:lineRule="atLeast"/>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bCs/>
                <w:iCs/>
                <w:color w:val="auto"/>
                <w:kern w:val="2"/>
                <w:sz w:val="21"/>
                <w:szCs w:val="21"/>
                <w:highlight w:val="none"/>
              </w:rPr>
              <w:t>25m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70C67B72">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222.35</w:t>
            </w:r>
          </w:p>
        </w:tc>
        <w:tc>
          <w:tcPr>
            <w:tcW w:w="1524" w:type="pct"/>
            <w:tcBorders>
              <w:tl2br w:val="nil"/>
              <w:tr2bl w:val="nil"/>
            </w:tcBorders>
            <w:noWrap w:val="0"/>
            <w:vAlign w:val="center"/>
          </w:tcPr>
          <w:p w14:paraId="58BB09F5">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0.8762</w:t>
            </w:r>
          </w:p>
        </w:tc>
      </w:tr>
      <w:tr w14:paraId="18A91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2A32B993">
            <w:pPr>
              <w:adjustRightInd/>
              <w:spacing w:line="240" w:lineRule="atLeast"/>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bCs/>
                <w:iCs/>
                <w:color w:val="auto"/>
                <w:kern w:val="2"/>
                <w:sz w:val="21"/>
                <w:szCs w:val="21"/>
                <w:highlight w:val="none"/>
              </w:rPr>
              <w:t>30m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6BF8B197">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162.23</w:t>
            </w:r>
          </w:p>
        </w:tc>
        <w:tc>
          <w:tcPr>
            <w:tcW w:w="1524" w:type="pct"/>
            <w:tcBorders>
              <w:tl2br w:val="nil"/>
              <w:tr2bl w:val="nil"/>
            </w:tcBorders>
            <w:noWrap w:val="0"/>
            <w:vAlign w:val="center"/>
          </w:tcPr>
          <w:p w14:paraId="617E6888">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0.5210</w:t>
            </w:r>
          </w:p>
        </w:tc>
      </w:tr>
      <w:tr w14:paraId="1AB3D1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54BD5962">
            <w:pPr>
              <w:adjustRightInd/>
              <w:spacing w:line="240" w:lineRule="atLeast"/>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bCs/>
                <w:iCs/>
                <w:color w:val="auto"/>
                <w:kern w:val="2"/>
                <w:sz w:val="21"/>
                <w:szCs w:val="21"/>
                <w:highlight w:val="none"/>
              </w:rPr>
              <w:t>35m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54633B7B">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113.56</w:t>
            </w:r>
          </w:p>
        </w:tc>
        <w:tc>
          <w:tcPr>
            <w:tcW w:w="1524" w:type="pct"/>
            <w:tcBorders>
              <w:tl2br w:val="nil"/>
              <w:tr2bl w:val="nil"/>
            </w:tcBorders>
            <w:noWrap w:val="0"/>
            <w:vAlign w:val="center"/>
          </w:tcPr>
          <w:p w14:paraId="74CD2322">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0.3001</w:t>
            </w:r>
          </w:p>
        </w:tc>
      </w:tr>
      <w:tr w14:paraId="189C6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780B0FBC">
            <w:pPr>
              <w:adjustRightInd/>
              <w:spacing w:line="240" w:lineRule="atLeast"/>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bCs/>
                <w:iCs/>
                <w:color w:val="auto"/>
                <w:kern w:val="2"/>
                <w:sz w:val="21"/>
                <w:szCs w:val="21"/>
                <w:highlight w:val="none"/>
              </w:rPr>
              <w:t>40m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53AC61C2">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87.141</w:t>
            </w:r>
          </w:p>
        </w:tc>
        <w:tc>
          <w:tcPr>
            <w:tcW w:w="1524" w:type="pct"/>
            <w:tcBorders>
              <w:tl2br w:val="nil"/>
              <w:tr2bl w:val="nil"/>
            </w:tcBorders>
            <w:noWrap w:val="0"/>
            <w:vAlign w:val="center"/>
          </w:tcPr>
          <w:p w14:paraId="3C0A0593">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0.1068</w:t>
            </w:r>
          </w:p>
        </w:tc>
      </w:tr>
      <w:tr w14:paraId="560C02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69D1EED4">
            <w:pPr>
              <w:adjustRightInd/>
              <w:spacing w:line="240" w:lineRule="atLeast"/>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bCs/>
                <w:iCs/>
                <w:color w:val="auto"/>
                <w:kern w:val="2"/>
                <w:sz w:val="21"/>
                <w:szCs w:val="21"/>
                <w:highlight w:val="none"/>
              </w:rPr>
              <w:t>45m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617C4951">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72.790</w:t>
            </w:r>
          </w:p>
        </w:tc>
        <w:tc>
          <w:tcPr>
            <w:tcW w:w="1524" w:type="pct"/>
            <w:tcBorders>
              <w:tl2br w:val="nil"/>
              <w:tr2bl w:val="nil"/>
            </w:tcBorders>
            <w:noWrap w:val="0"/>
            <w:vAlign w:val="center"/>
          </w:tcPr>
          <w:p w14:paraId="62CD6926">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0.0937</w:t>
            </w:r>
          </w:p>
        </w:tc>
      </w:tr>
      <w:tr w14:paraId="3F9E52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52" w:type="pct"/>
            <w:tcBorders>
              <w:tl2br w:val="nil"/>
              <w:tr2bl w:val="nil"/>
            </w:tcBorders>
            <w:noWrap w:val="0"/>
            <w:vAlign w:val="center"/>
          </w:tcPr>
          <w:p w14:paraId="0DEF8F32">
            <w:pPr>
              <w:adjustRightInd/>
              <w:spacing w:line="240" w:lineRule="atLeast"/>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eastAsia="宋体" w:cs="Times New Roman"/>
                <w:bCs/>
                <w:iCs/>
                <w:color w:val="auto"/>
                <w:kern w:val="2"/>
                <w:sz w:val="21"/>
                <w:szCs w:val="21"/>
                <w:highlight w:val="none"/>
              </w:rPr>
              <w:t>变电站</w:t>
            </w:r>
            <w:r>
              <w:rPr>
                <w:rFonts w:hint="default" w:ascii="Times New Roman" w:hAnsi="Times New Roman" w:eastAsia="宋体" w:cs="Times New Roman"/>
                <w:color w:val="auto"/>
                <w:kern w:val="2"/>
                <w:sz w:val="21"/>
                <w:szCs w:val="21"/>
                <w:highlight w:val="none"/>
                <w:lang w:val="en-US" w:eastAsia="zh-CN"/>
              </w:rPr>
              <w:t>东偏北侧墙外</w:t>
            </w:r>
            <w:r>
              <w:rPr>
                <w:rFonts w:hint="default" w:ascii="Times New Roman" w:hAnsi="Times New Roman" w:eastAsia="宋体" w:cs="Times New Roman"/>
                <w:bCs/>
                <w:iCs/>
                <w:color w:val="auto"/>
                <w:kern w:val="2"/>
                <w:sz w:val="21"/>
                <w:szCs w:val="21"/>
                <w:highlight w:val="none"/>
              </w:rPr>
              <w:t>50m</w:t>
            </w:r>
            <w:r>
              <w:rPr>
                <w:rFonts w:hint="default" w:ascii="Times New Roman" w:hAnsi="Times New Roman" w:eastAsia="宋体" w:cs="Times New Roman"/>
                <w:color w:val="auto"/>
                <w:kern w:val="2"/>
                <w:sz w:val="21"/>
                <w:szCs w:val="21"/>
                <w:highlight w:val="none"/>
                <w:lang w:val="en-US" w:eastAsia="zh-CN"/>
              </w:rPr>
              <w:t>处</w:t>
            </w:r>
          </w:p>
        </w:tc>
        <w:tc>
          <w:tcPr>
            <w:tcW w:w="1523" w:type="pct"/>
            <w:tcBorders>
              <w:tl2br w:val="nil"/>
              <w:tr2bl w:val="nil"/>
            </w:tcBorders>
            <w:noWrap w:val="0"/>
            <w:vAlign w:val="center"/>
          </w:tcPr>
          <w:p w14:paraId="46259389">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65.304</w:t>
            </w:r>
          </w:p>
        </w:tc>
        <w:tc>
          <w:tcPr>
            <w:tcW w:w="1524" w:type="pct"/>
            <w:tcBorders>
              <w:tl2br w:val="nil"/>
              <w:tr2bl w:val="nil"/>
            </w:tcBorders>
            <w:noWrap w:val="0"/>
            <w:vAlign w:val="center"/>
          </w:tcPr>
          <w:p w14:paraId="248ED898">
            <w:pPr>
              <w:adjustRightInd/>
              <w:jc w:val="center"/>
              <w:textAlignment w:val="auto"/>
              <w:rPr>
                <w:rFonts w:hint="default" w:ascii="Times New Roman" w:hAnsi="Times New Roman" w:eastAsia="宋体" w:cs="Times New Roman"/>
                <w:bCs/>
                <w:iCs/>
                <w:color w:val="auto"/>
                <w:kern w:val="2"/>
                <w:sz w:val="21"/>
                <w:szCs w:val="21"/>
                <w:highlight w:val="none"/>
                <w:lang w:val="en-US" w:eastAsia="zh-CN"/>
              </w:rPr>
            </w:pPr>
            <w:r>
              <w:rPr>
                <w:rFonts w:hint="default" w:ascii="Times New Roman" w:hAnsi="Times New Roman" w:eastAsia="宋体" w:cs="Times New Roman"/>
                <w:bCs/>
                <w:iCs/>
                <w:color w:val="auto"/>
                <w:kern w:val="2"/>
                <w:sz w:val="21"/>
                <w:szCs w:val="21"/>
                <w:highlight w:val="none"/>
                <w:lang w:val="en-US" w:eastAsia="zh-CN"/>
              </w:rPr>
              <w:t>0.0852</w:t>
            </w:r>
          </w:p>
        </w:tc>
      </w:tr>
    </w:tbl>
    <w:p w14:paraId="35679454">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从</w:t>
      </w:r>
      <w:r>
        <w:rPr>
          <w:rFonts w:hint="default" w:ascii="Times New Roman" w:hAnsi="Times New Roman" w:eastAsia="宋体" w:cs="Times New Roman"/>
          <w:color w:val="auto"/>
          <w:sz w:val="24"/>
          <w:highlight w:val="none"/>
          <w:lang w:val="en-US" w:eastAsia="zh-CN"/>
        </w:rPr>
        <w:t>专题</w:t>
      </w:r>
      <w:r>
        <w:rPr>
          <w:rFonts w:hint="default" w:ascii="Times New Roman" w:hAnsi="Times New Roman" w:eastAsia="宋体" w:cs="Times New Roman"/>
          <w:color w:val="auto"/>
          <w:sz w:val="24"/>
          <w:highlight w:val="none"/>
        </w:rPr>
        <w:t>表6-</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可知，</w:t>
      </w:r>
      <w:r>
        <w:rPr>
          <w:rFonts w:hint="default" w:ascii="Times New Roman" w:hAnsi="Times New Roman" w:eastAsia="宋体" w:cs="Times New Roman"/>
          <w:color w:val="auto"/>
          <w:sz w:val="24"/>
          <w:highlight w:val="none"/>
          <w:lang w:val="en-US" w:eastAsia="zh-CN"/>
        </w:rPr>
        <w:t>清水河</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变电站四周围墙外5m处工频电场强度测量值为</w:t>
      </w:r>
      <w:r>
        <w:rPr>
          <w:rFonts w:hint="default" w:ascii="Times New Roman" w:hAnsi="Times New Roman" w:eastAsia="宋体" w:cs="Times New Roman"/>
          <w:color w:val="auto"/>
          <w:sz w:val="24"/>
          <w:highlight w:val="none"/>
          <w:lang w:val="en-US" w:eastAsia="zh-CN"/>
        </w:rPr>
        <w:t>26.734</w:t>
      </w:r>
      <w:r>
        <w:rPr>
          <w:rFonts w:hint="default" w:ascii="Times New Roman" w:hAnsi="Times New Roman" w:eastAsia="宋体" w:cs="Times New Roman"/>
          <w:color w:val="auto"/>
          <w:sz w:val="24"/>
          <w:highlight w:val="none"/>
        </w:rPr>
        <w:t>V/m~</w:t>
      </w:r>
      <w:r>
        <w:rPr>
          <w:rFonts w:hint="default" w:ascii="Times New Roman" w:hAnsi="Times New Roman" w:eastAsia="宋体" w:cs="Times New Roman"/>
          <w:color w:val="auto"/>
          <w:sz w:val="24"/>
          <w:highlight w:val="none"/>
          <w:lang w:val="en-US" w:eastAsia="zh-CN"/>
        </w:rPr>
        <w:t>681.12</w:t>
      </w:r>
      <w:r>
        <w:rPr>
          <w:rFonts w:hint="default" w:ascii="Times New Roman" w:hAnsi="Times New Roman" w:eastAsia="宋体" w:cs="Times New Roman"/>
          <w:color w:val="auto"/>
          <w:sz w:val="24"/>
          <w:highlight w:val="none"/>
        </w:rPr>
        <w:t>V/m，工频磁感应强度测量值为</w:t>
      </w:r>
      <w:r>
        <w:rPr>
          <w:rFonts w:hint="default" w:ascii="Times New Roman" w:hAnsi="Times New Roman" w:eastAsia="宋体" w:cs="Times New Roman"/>
          <w:color w:val="auto"/>
          <w:sz w:val="24"/>
          <w:highlight w:val="none"/>
          <w:lang w:val="en-US" w:eastAsia="zh-CN"/>
        </w:rPr>
        <w:t>0.2672</w:t>
      </w:r>
      <w:r>
        <w:rPr>
          <w:rFonts w:hint="default" w:ascii="Times New Roman" w:hAnsi="Times New Roman" w:eastAsia="宋体" w:cs="Times New Roman"/>
          <w:color w:val="auto"/>
          <w:sz w:val="24"/>
          <w:highlight w:val="none"/>
        </w:rPr>
        <w:t>μT~</w:t>
      </w:r>
      <w:r>
        <w:rPr>
          <w:rFonts w:hint="default" w:ascii="Times New Roman" w:hAnsi="Times New Roman" w:eastAsia="宋体" w:cs="Times New Roman"/>
          <w:color w:val="auto"/>
          <w:sz w:val="24"/>
          <w:highlight w:val="none"/>
          <w:lang w:val="en-US" w:eastAsia="zh-CN"/>
        </w:rPr>
        <w:t>2.1500</w:t>
      </w:r>
      <w:r>
        <w:rPr>
          <w:rFonts w:hint="default" w:ascii="Times New Roman" w:hAnsi="Times New Roman" w:eastAsia="宋体" w:cs="Times New Roman"/>
          <w:color w:val="auto"/>
          <w:sz w:val="24"/>
          <w:highlight w:val="none"/>
        </w:rPr>
        <w:t>μT；变电站</w:t>
      </w:r>
      <w:r>
        <w:rPr>
          <w:rFonts w:hint="default" w:ascii="Times New Roman" w:hAnsi="Times New Roman" w:eastAsia="宋体" w:cs="Times New Roman"/>
          <w:color w:val="auto"/>
          <w:sz w:val="24"/>
          <w:highlight w:val="none"/>
          <w:lang w:val="en-US" w:eastAsia="zh-CN"/>
        </w:rPr>
        <w:t>东偏</w:t>
      </w:r>
      <w:r>
        <w:rPr>
          <w:rFonts w:hint="default" w:ascii="Times New Roman" w:hAnsi="Times New Roman" w:eastAsia="宋体" w:cs="Times New Roman"/>
          <w:color w:val="auto"/>
          <w:sz w:val="24"/>
          <w:highlight w:val="none"/>
        </w:rPr>
        <w:t>北侧监测断面5～50m的工频电场强度测量值为</w:t>
      </w:r>
      <w:r>
        <w:rPr>
          <w:rFonts w:hint="default" w:ascii="Times New Roman" w:hAnsi="Times New Roman" w:eastAsia="宋体" w:cs="Times New Roman"/>
          <w:color w:val="auto"/>
          <w:sz w:val="24"/>
          <w:highlight w:val="none"/>
          <w:lang w:val="en-US" w:eastAsia="zh-CN"/>
        </w:rPr>
        <w:t>65.304</w:t>
      </w:r>
      <w:r>
        <w:rPr>
          <w:rFonts w:hint="default" w:ascii="Times New Roman" w:hAnsi="Times New Roman" w:eastAsia="宋体" w:cs="Times New Roman"/>
          <w:color w:val="auto"/>
          <w:sz w:val="24"/>
          <w:highlight w:val="none"/>
        </w:rPr>
        <w:t>V/m~</w:t>
      </w:r>
      <w:r>
        <w:rPr>
          <w:rFonts w:hint="default" w:ascii="Times New Roman" w:hAnsi="Times New Roman" w:eastAsia="宋体" w:cs="Times New Roman"/>
          <w:color w:val="auto"/>
          <w:sz w:val="24"/>
          <w:highlight w:val="none"/>
          <w:lang w:val="en-US" w:eastAsia="zh-CN"/>
        </w:rPr>
        <w:t>681.12</w:t>
      </w:r>
      <w:r>
        <w:rPr>
          <w:rFonts w:hint="default" w:ascii="Times New Roman" w:hAnsi="Times New Roman" w:eastAsia="宋体" w:cs="Times New Roman"/>
          <w:color w:val="auto"/>
          <w:sz w:val="24"/>
          <w:highlight w:val="none"/>
        </w:rPr>
        <w:t>V/m，工频磁感应强度测量值为</w:t>
      </w:r>
      <w:r>
        <w:rPr>
          <w:rFonts w:hint="default" w:ascii="Times New Roman" w:hAnsi="Times New Roman" w:eastAsia="宋体" w:cs="Times New Roman"/>
          <w:color w:val="auto"/>
          <w:sz w:val="24"/>
          <w:highlight w:val="none"/>
          <w:lang w:val="en-US" w:eastAsia="zh-CN"/>
        </w:rPr>
        <w:t>0.0852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2.1500</w:t>
      </w:r>
      <w:r>
        <w:rPr>
          <w:rFonts w:hint="default" w:ascii="Times New Roman" w:hAnsi="Times New Roman" w:eastAsia="宋体" w:cs="Times New Roman"/>
          <w:color w:val="auto"/>
          <w:sz w:val="24"/>
          <w:highlight w:val="none"/>
        </w:rPr>
        <w:t>μT，工频电场强度测量结果呈现距变电站厂界距离增加而衰减趋势。监测结果均低于《电磁环境控制限值》（GB8702-2014）中工频电场强度4000V/m和工频磁感应强度100µT的控制限值要求。</w:t>
      </w:r>
    </w:p>
    <w:p w14:paraId="5974C818">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9）工频电场和工频磁场类比监测评价</w:t>
      </w:r>
    </w:p>
    <w:p w14:paraId="52BE82D4">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变电站在正常运行条件下，在0.5MHz的工作频率时，其电磁影响的能量主要集中在工作频率0.5MHz附近。</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间隔扩建工程</w:t>
      </w:r>
      <w:r>
        <w:rPr>
          <w:rFonts w:hint="default" w:ascii="Times New Roman" w:hAnsi="Times New Roman" w:eastAsia="宋体" w:cs="Times New Roman"/>
          <w:color w:val="auto"/>
          <w:sz w:val="24"/>
          <w:highlight w:val="none"/>
        </w:rPr>
        <w:t>运行产生的工频电场、工频磁场对周围环境的影响，可从同类型及规模的330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变电站的工频电场和工频磁场类比资料来分析预测。</w:t>
      </w:r>
    </w:p>
    <w:p w14:paraId="4AD9D0C3">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由类比监测结果可以预计本次</w:t>
      </w:r>
      <w:r>
        <w:rPr>
          <w:rFonts w:hint="default" w:ascii="Times New Roman" w:hAnsi="Times New Roman" w:eastAsia="宋体" w:cs="Times New Roman"/>
          <w:color w:val="auto"/>
          <w:sz w:val="24"/>
          <w:highlight w:val="none"/>
          <w:lang w:val="en-US" w:eastAsia="zh-CN"/>
        </w:rPr>
        <w:t>云雾山</w:t>
      </w:r>
      <w:r>
        <w:rPr>
          <w:rFonts w:hint="default" w:ascii="Times New Roman" w:hAnsi="Times New Roman" w:eastAsia="宋体" w:cs="Times New Roman"/>
          <w:color w:val="auto"/>
          <w:sz w:val="24"/>
          <w:highlight w:val="none"/>
        </w:rPr>
        <w:t>330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eastAsia="宋体" w:cs="Times New Roman"/>
          <w:color w:val="auto"/>
          <w:sz w:val="24"/>
          <w:highlight w:val="none"/>
        </w:rPr>
        <w:t>变电站</w:t>
      </w:r>
      <w:r>
        <w:rPr>
          <w:rFonts w:hint="default" w:ascii="Times New Roman" w:hAnsi="Times New Roman" w:eastAsia="宋体" w:cs="Times New Roman"/>
          <w:color w:val="auto"/>
          <w:sz w:val="24"/>
          <w:highlight w:val="none"/>
          <w:lang w:val="en-US" w:eastAsia="zh-CN"/>
        </w:rPr>
        <w:t>110千伏间隔扩建工程</w:t>
      </w:r>
      <w:r>
        <w:rPr>
          <w:rFonts w:hint="default" w:ascii="Times New Roman" w:hAnsi="Times New Roman" w:eastAsia="宋体" w:cs="Times New Roman"/>
          <w:color w:val="auto"/>
          <w:sz w:val="24"/>
          <w:highlight w:val="none"/>
        </w:rPr>
        <w:t>运行产生的工频电场、工频磁场小于《电磁环境控制限值》（GB8702-2014）规定的工频电场强度控制限值4000V/m、工频磁感应强度控制限100μT。</w:t>
      </w:r>
    </w:p>
    <w:p w14:paraId="37544407">
      <w:pPr>
        <w:pStyle w:val="3"/>
        <w:keepNext/>
        <w:keepLines/>
        <w:spacing w:before="0" w:beforeAutospacing="0" w:after="0" w:afterAutospacing="0" w:line="360" w:lineRule="auto"/>
        <w:jc w:val="both"/>
        <w:rPr>
          <w:rFonts w:hint="default" w:ascii="Times New Roman" w:hAnsi="Times New Roman" w:cs="Times New Roman"/>
          <w:bCs w:val="0"/>
          <w:color w:val="auto"/>
          <w:spacing w:val="0"/>
          <w:kern w:val="2"/>
          <w:sz w:val="24"/>
          <w:szCs w:val="24"/>
          <w:highlight w:val="none"/>
        </w:rPr>
      </w:pPr>
      <w:bookmarkStart w:id="332" w:name="_Toc2493"/>
      <w:bookmarkStart w:id="333" w:name="_Toc6087"/>
      <w:r>
        <w:rPr>
          <w:rFonts w:hint="default" w:ascii="Times New Roman" w:hAnsi="Times New Roman" w:cs="Times New Roman"/>
          <w:bCs w:val="0"/>
          <w:color w:val="auto"/>
          <w:spacing w:val="0"/>
          <w:kern w:val="2"/>
          <w:sz w:val="24"/>
          <w:szCs w:val="24"/>
          <w:highlight w:val="none"/>
        </w:rPr>
        <w:t>6.</w:t>
      </w:r>
      <w:r>
        <w:rPr>
          <w:rFonts w:hint="default" w:ascii="Times New Roman" w:hAnsi="Times New Roman" w:cs="Times New Roman"/>
          <w:bCs w:val="0"/>
          <w:color w:val="auto"/>
          <w:spacing w:val="0"/>
          <w:kern w:val="2"/>
          <w:sz w:val="24"/>
          <w:szCs w:val="24"/>
          <w:highlight w:val="none"/>
          <w:lang w:val="en-US" w:eastAsia="zh-CN"/>
        </w:rPr>
        <w:t>2</w:t>
      </w:r>
      <w:r>
        <w:rPr>
          <w:rFonts w:hint="default" w:ascii="Times New Roman" w:hAnsi="Times New Roman" w:cs="Times New Roman"/>
          <w:bCs w:val="0"/>
          <w:color w:val="auto"/>
          <w:spacing w:val="0"/>
          <w:kern w:val="2"/>
          <w:sz w:val="24"/>
          <w:szCs w:val="24"/>
          <w:highlight w:val="none"/>
        </w:rPr>
        <w:t>新建架空线路电磁环境影响模式预测</w:t>
      </w:r>
      <w:bookmarkEnd w:id="332"/>
      <w:bookmarkEnd w:id="333"/>
    </w:p>
    <w:p w14:paraId="0B10230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按照《环境影响评价技术导则 输变电》（HJ 24-2020）中交流架空输电线路工频电场强度和工频磁感应强度的预测模式，根据交流架空输电线路的架线型式、架设高度、线间距、导线结构、额定工况等参数，计算其周围工频电场、工频磁场的分布，用于对本线路建成后电磁环境定量影响的预测。</w:t>
      </w:r>
    </w:p>
    <w:p w14:paraId="0EA74B2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⑴</w:t>
      </w:r>
      <w:r>
        <w:rPr>
          <w:rFonts w:hint="default" w:ascii="Times New Roman" w:hAnsi="Times New Roman" w:cs="Times New Roman"/>
          <w:color w:val="auto"/>
          <w:sz w:val="24"/>
          <w:highlight w:val="none"/>
        </w:rPr>
        <w:t>计算模式</w:t>
      </w:r>
    </w:p>
    <w:p w14:paraId="443F46E2">
      <w:pPr>
        <w:autoSpaceDE w:val="0"/>
        <w:autoSpaceDN w:val="0"/>
        <w:adjustRightInd w:val="0"/>
        <w:spacing w:line="360" w:lineRule="auto"/>
        <w:ind w:firstLine="480"/>
        <w:rPr>
          <w:rFonts w:hint="default" w:ascii="Times New Roman" w:hAnsi="Times New Roman" w:cs="Times New Roman"/>
          <w:color w:val="auto"/>
          <w:sz w:val="24"/>
          <w:highlight w:val="none"/>
          <w:lang w:val="zh-CN"/>
        </w:rPr>
      </w:pPr>
      <w:r>
        <w:rPr>
          <w:rFonts w:hint="default" w:ascii="Times New Roman" w:hAnsi="Times New Roman" w:cs="Times New Roman"/>
          <w:bCs/>
          <w:color w:val="auto"/>
          <w:sz w:val="24"/>
          <w:highlight w:val="none"/>
        </w:rPr>
        <w:t>本项目</w:t>
      </w:r>
      <w:r>
        <w:rPr>
          <w:rFonts w:hint="default" w:ascii="Times New Roman" w:hAnsi="Times New Roman" w:cs="Times New Roman"/>
          <w:color w:val="auto"/>
          <w:sz w:val="24"/>
          <w:highlight w:val="none"/>
          <w:lang w:val="zh-CN"/>
        </w:rPr>
        <w:t>架空输电线路的工频电场、工频磁场的预测</w:t>
      </w:r>
      <w:r>
        <w:rPr>
          <w:rFonts w:hint="default" w:ascii="Times New Roman" w:hAnsi="Times New Roman" w:cs="Times New Roman"/>
          <w:color w:val="auto"/>
          <w:sz w:val="24"/>
          <w:highlight w:val="none"/>
        </w:rPr>
        <w:t>按照《环境影响评价技术导则 输变电》（HJ24-2020）附录C、D推荐的计算模式进行</w:t>
      </w:r>
      <w:r>
        <w:rPr>
          <w:rFonts w:hint="default" w:ascii="Times New Roman" w:hAnsi="Times New Roman" w:cs="Times New Roman"/>
          <w:color w:val="auto"/>
          <w:sz w:val="24"/>
          <w:highlight w:val="none"/>
          <w:lang w:val="zh-CN"/>
        </w:rPr>
        <w:t>。</w:t>
      </w:r>
    </w:p>
    <w:p w14:paraId="0A4B909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①高压交流架空输电线路下空间工频电场强度的计算</w:t>
      </w:r>
    </w:p>
    <w:p w14:paraId="5FF3E3C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●单位长度导线下等效电荷的计算：</w:t>
      </w:r>
    </w:p>
    <w:p w14:paraId="02A475A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高压输电线上的等效电荷是线电荷，由于高压输电线半径r远远小于架设高度h，所以等效电荷的位置可以认为是在输电导线的几何中心。</w:t>
      </w:r>
    </w:p>
    <w:p w14:paraId="7E39E5D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设输电线路为无限长并且平行于地面，地面可视为良导体，利用镜像法计算输电线上的等效电荷。</w:t>
      </w:r>
    </w:p>
    <w:p w14:paraId="6C4EC752">
      <w:pPr>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rPr>
        <w:t>为了计算多导线线路中导线上的等效电荷，可写出下列矩阵方程：</w:t>
      </w:r>
    </w:p>
    <w:p w14:paraId="41763996">
      <w:pPr>
        <w:autoSpaceDE w:val="0"/>
        <w:autoSpaceDN w:val="0"/>
        <w:adjustRightInd w:val="0"/>
        <w:spacing w:line="360" w:lineRule="auto"/>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position w:val="-68"/>
          <w:sz w:val="24"/>
          <w:highlight w:val="none"/>
        </w:rPr>
        <w:drawing>
          <wp:inline distT="0" distB="0" distL="114300" distR="114300">
            <wp:extent cx="2505710" cy="1109980"/>
            <wp:effectExtent l="0" t="0" r="8890" b="7620"/>
            <wp:docPr id="9" name="图片 609" descr="捕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09" descr="捕获"/>
                    <pic:cNvPicPr>
                      <a:picLocks noChangeAspect="1"/>
                    </pic:cNvPicPr>
                  </pic:nvPicPr>
                  <pic:blipFill>
                    <a:blip r:embed="rId65"/>
                    <a:stretch>
                      <a:fillRect/>
                    </a:stretch>
                  </pic:blipFill>
                  <pic:spPr>
                    <a:xfrm>
                      <a:off x="0" y="0"/>
                      <a:ext cx="2505710" cy="1109980"/>
                    </a:xfrm>
                    <a:prstGeom prst="rect">
                      <a:avLst/>
                    </a:prstGeom>
                    <a:noFill/>
                    <a:ln>
                      <a:noFill/>
                    </a:ln>
                  </pic:spPr>
                </pic:pic>
              </a:graphicData>
            </a:graphic>
          </wp:inline>
        </w:drawing>
      </w:r>
    </w:p>
    <w:p w14:paraId="561BEBF7">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zh-CN"/>
        </w:rPr>
        <w:t>式中：</w:t>
      </w:r>
      <w:r>
        <w:rPr>
          <w:rFonts w:hint="default" w:ascii="Times New Roman" w:hAnsi="Times New Roman" w:cs="Times New Roman"/>
          <w:i/>
          <w:iCs/>
          <w:color w:val="auto"/>
          <w:sz w:val="24"/>
          <w:highlight w:val="none"/>
        </w:rPr>
        <w:t>U</w:t>
      </w:r>
      <w:r>
        <w:rPr>
          <w:rFonts w:hint="default" w:ascii="Times New Roman" w:hAnsi="Times New Roman" w:cs="Times New Roman"/>
          <w:color w:val="auto"/>
          <w:sz w:val="24"/>
          <w:highlight w:val="none"/>
        </w:rPr>
        <w:t>——各导线对地电压的单列矩阵；</w:t>
      </w:r>
    </w:p>
    <w:p w14:paraId="582159BA">
      <w:pPr>
        <w:tabs>
          <w:tab w:val="left" w:pos="5160"/>
        </w:tabs>
        <w:spacing w:line="360" w:lineRule="auto"/>
        <w:ind w:firstLine="720" w:firstLineChars="300"/>
        <w:rPr>
          <w:rFonts w:hint="default" w:ascii="Times New Roman" w:hAnsi="Times New Roman" w:cs="Times New Roman"/>
          <w:color w:val="auto"/>
          <w:sz w:val="24"/>
          <w:highlight w:val="none"/>
        </w:rPr>
      </w:pPr>
      <w:r>
        <w:rPr>
          <w:rFonts w:hint="default" w:ascii="Times New Roman" w:hAnsi="Times New Roman" w:cs="Times New Roman"/>
          <w:i/>
          <w:iCs/>
          <w:color w:val="auto"/>
          <w:sz w:val="24"/>
          <w:highlight w:val="none"/>
        </w:rPr>
        <w:t>Q</w:t>
      </w:r>
      <w:r>
        <w:rPr>
          <w:rFonts w:hint="default" w:ascii="Times New Roman" w:hAnsi="Times New Roman" w:cs="Times New Roman"/>
          <w:color w:val="auto"/>
          <w:sz w:val="24"/>
          <w:highlight w:val="none"/>
        </w:rPr>
        <w:t>——各导线上等效电荷的单列矩阵；</w:t>
      </w:r>
    </w:p>
    <w:p w14:paraId="6805102E">
      <w:pPr>
        <w:spacing w:line="360" w:lineRule="auto"/>
        <w:ind w:firstLine="720" w:firstLineChars="300"/>
        <w:rPr>
          <w:rFonts w:hint="default" w:ascii="Times New Roman" w:hAnsi="Times New Roman" w:cs="Times New Roman"/>
          <w:color w:val="auto"/>
          <w:sz w:val="24"/>
          <w:highlight w:val="none"/>
          <w:lang w:val="zh-CN"/>
        </w:rPr>
      </w:pPr>
      <w:r>
        <w:rPr>
          <w:rFonts w:hint="default" w:ascii="Times New Roman" w:hAnsi="Times New Roman" w:cs="Times New Roman"/>
          <w:i/>
          <w:iCs/>
          <w:color w:val="auto"/>
          <w:sz w:val="24"/>
          <w:highlight w:val="none"/>
        </w:rPr>
        <w:t>λ</w:t>
      </w:r>
      <w:r>
        <w:rPr>
          <w:rFonts w:hint="default" w:ascii="Times New Roman" w:hAnsi="Times New Roman" w:cs="Times New Roman"/>
          <w:color w:val="auto"/>
          <w:sz w:val="24"/>
          <w:highlight w:val="none"/>
        </w:rPr>
        <w:t>——各导线的电位系数组成的</w:t>
      </w:r>
      <w:r>
        <w:rPr>
          <w:rFonts w:hint="default" w:ascii="Times New Roman" w:hAnsi="Times New Roman" w:cs="Times New Roman"/>
          <w:i/>
          <w:iCs/>
          <w:color w:val="auto"/>
          <w:sz w:val="24"/>
          <w:highlight w:val="none"/>
        </w:rPr>
        <w:t>m</w:t>
      </w:r>
      <w:r>
        <w:rPr>
          <w:rFonts w:hint="default" w:ascii="Times New Roman" w:hAnsi="Times New Roman" w:cs="Times New Roman"/>
          <w:color w:val="auto"/>
          <w:sz w:val="24"/>
          <w:highlight w:val="none"/>
        </w:rPr>
        <w:t>阶方阵（</w:t>
      </w:r>
      <w:r>
        <w:rPr>
          <w:rFonts w:hint="default" w:ascii="Times New Roman" w:hAnsi="Times New Roman" w:cs="Times New Roman"/>
          <w:i/>
          <w:iCs/>
          <w:color w:val="auto"/>
          <w:sz w:val="24"/>
          <w:highlight w:val="none"/>
        </w:rPr>
        <w:t>m</w:t>
      </w:r>
      <w:r>
        <w:rPr>
          <w:rFonts w:hint="default" w:ascii="Times New Roman" w:hAnsi="Times New Roman" w:cs="Times New Roman"/>
          <w:color w:val="auto"/>
          <w:sz w:val="24"/>
          <w:highlight w:val="none"/>
        </w:rPr>
        <w:t>为导线数目）</w:t>
      </w:r>
      <w:r>
        <w:rPr>
          <w:rFonts w:hint="default" w:ascii="Times New Roman" w:hAnsi="Times New Roman" w:cs="Times New Roman"/>
          <w:color w:val="auto"/>
          <w:sz w:val="24"/>
          <w:highlight w:val="none"/>
          <w:lang w:val="zh-CN"/>
        </w:rPr>
        <w:t>。</w:t>
      </w:r>
    </w:p>
    <w:p w14:paraId="5E3D4685">
      <w:pPr>
        <w:autoSpaceDE w:val="0"/>
        <w:autoSpaceDN w:val="0"/>
        <w:adjustRightInd w:val="0"/>
        <w:spacing w:line="360" w:lineRule="auto"/>
        <w:ind w:firstLine="720" w:firstLineChars="3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U</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矩阵可由</w:t>
      </w:r>
      <w:r>
        <w:rPr>
          <w:rFonts w:hint="default" w:ascii="Times New Roman" w:hAnsi="Times New Roman" w:cs="Times New Roman"/>
          <w:color w:val="auto"/>
          <w:sz w:val="24"/>
          <w:highlight w:val="none"/>
          <w:lang w:eastAsia="zh-CN"/>
        </w:rPr>
        <w:t>输电线路</w:t>
      </w:r>
      <w:r>
        <w:rPr>
          <w:rFonts w:hint="default" w:ascii="Times New Roman" w:hAnsi="Times New Roman" w:cs="Times New Roman"/>
          <w:color w:val="auto"/>
          <w:sz w:val="24"/>
          <w:highlight w:val="none"/>
        </w:rPr>
        <w:t>电压和相位确定，从环境保护考虑以额定电压的1.05倍作为计算电压</w:t>
      </w:r>
      <w:r>
        <w:rPr>
          <w:rFonts w:hint="default" w:ascii="Times New Roman" w:hAnsi="Times New Roman" w:cs="Times New Roman"/>
          <w:color w:val="auto"/>
          <w:sz w:val="24"/>
          <w:highlight w:val="none"/>
          <w:lang w:val="zh-CN"/>
        </w:rPr>
        <w:t>。</w:t>
      </w:r>
    </w:p>
    <w:p w14:paraId="76DCB9F8">
      <w:pPr>
        <w:autoSpaceDE w:val="0"/>
        <w:autoSpaceDN w:val="0"/>
        <w:adjustRightInd w:val="0"/>
        <w:spacing w:line="360" w:lineRule="auto"/>
        <w:ind w:firstLine="48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对于110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cs="Times New Roman"/>
          <w:color w:val="auto"/>
          <w:sz w:val="24"/>
          <w:highlight w:val="none"/>
          <w:lang w:val="zh-CN"/>
        </w:rPr>
        <w:t>三相导线，各导线对地电压为：</w:t>
      </w:r>
    </w:p>
    <w:p w14:paraId="59631278">
      <w:pPr>
        <w:autoSpaceDE w:val="0"/>
        <w:autoSpaceDN w:val="0"/>
        <w:adjustRightInd w:val="0"/>
        <w:spacing w:line="360" w:lineRule="auto"/>
        <w:ind w:firstLine="144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 xml:space="preserve"> </w:t>
      </w:r>
      <w:r>
        <w:rPr>
          <w:rFonts w:hint="default" w:ascii="Times New Roman" w:hAnsi="Times New Roman" w:cs="Times New Roman"/>
          <w:color w:val="auto"/>
          <w:highlight w:val="none"/>
        </w:rPr>
        <w:drawing>
          <wp:inline distT="0" distB="0" distL="114300" distR="114300">
            <wp:extent cx="1676400" cy="400050"/>
            <wp:effectExtent l="0" t="0" r="0" b="6350"/>
            <wp:docPr id="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10"/>
                    <pic:cNvPicPr>
                      <a:picLocks noChangeAspect="1"/>
                    </pic:cNvPicPr>
                  </pic:nvPicPr>
                  <pic:blipFill>
                    <a:blip r:embed="rId66"/>
                    <a:stretch>
                      <a:fillRect/>
                    </a:stretch>
                  </pic:blipFill>
                  <pic:spPr>
                    <a:xfrm>
                      <a:off x="0" y="0"/>
                      <a:ext cx="1676400" cy="400050"/>
                    </a:xfrm>
                    <a:prstGeom prst="rect">
                      <a:avLst/>
                    </a:prstGeom>
                    <a:noFill/>
                    <a:ln>
                      <a:noFill/>
                    </a:ln>
                  </pic:spPr>
                </pic:pic>
              </a:graphicData>
            </a:graphic>
          </wp:inline>
        </w:drawing>
      </w:r>
    </w:p>
    <w:p w14:paraId="689C2B1A">
      <w:pPr>
        <w:autoSpaceDE w:val="0"/>
        <w:autoSpaceDN w:val="0"/>
        <w:adjustRightInd w:val="0"/>
        <w:spacing w:line="360" w:lineRule="auto"/>
        <w:ind w:firstLine="48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en-US" w:eastAsia="zh-CN"/>
        </w:rPr>
        <w:t>22</w:t>
      </w:r>
      <w:r>
        <w:rPr>
          <w:rFonts w:hint="default" w:ascii="Times New Roman" w:hAnsi="Times New Roman" w:cs="Times New Roman"/>
          <w:color w:val="auto"/>
          <w:sz w:val="24"/>
          <w:highlight w:val="none"/>
          <w:lang w:val="zh-CN"/>
        </w:rPr>
        <w:t>0</w:t>
      </w:r>
      <w:r>
        <w:rPr>
          <w:rFonts w:hint="default" w:ascii="Times New Roman" w:hAnsi="Times New Roman" w:eastAsia="宋体" w:cs="Times New Roman"/>
          <w:color w:val="auto"/>
          <w:sz w:val="24"/>
          <w:highlight w:val="none"/>
          <w:lang w:val="en-US" w:eastAsia="zh-CN"/>
        </w:rPr>
        <w:t>千伏</w:t>
      </w:r>
      <w:r>
        <w:rPr>
          <w:rFonts w:hint="default" w:ascii="Times New Roman" w:hAnsi="Times New Roman" w:cs="Times New Roman"/>
          <w:color w:val="auto"/>
          <w:sz w:val="24"/>
          <w:highlight w:val="none"/>
          <w:lang w:val="zh-CN"/>
        </w:rPr>
        <w:t>各导线对地电压分量为：</w:t>
      </w:r>
    </w:p>
    <w:p w14:paraId="0B652ED2">
      <w:pPr>
        <w:autoSpaceDE w:val="0"/>
        <w:autoSpaceDN w:val="0"/>
        <w:adjustRightInd w:val="0"/>
        <w:spacing w:line="360" w:lineRule="auto"/>
        <w:ind w:firstLine="3240" w:firstLineChars="135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U</w:t>
      </w:r>
      <w:r>
        <w:rPr>
          <w:rFonts w:hint="default" w:ascii="Times New Roman" w:hAnsi="Times New Roman" w:cs="Times New Roman"/>
          <w:color w:val="auto"/>
          <w:sz w:val="24"/>
          <w:highlight w:val="none"/>
          <w:vertAlign w:val="subscript"/>
          <w:lang w:val="zh-CN"/>
        </w:rPr>
        <w:t>A</w:t>
      </w:r>
      <w:r>
        <w:rPr>
          <w:rFonts w:hint="default" w:ascii="Times New Roman" w:hAnsi="Times New Roman" w:cs="Times New Roman"/>
          <w:color w:val="auto"/>
          <w:sz w:val="24"/>
          <w:highlight w:val="none"/>
          <w:lang w:val="zh-CN"/>
        </w:rPr>
        <w:t>=（66.7+j0）kV</w:t>
      </w:r>
    </w:p>
    <w:p w14:paraId="00EFF177">
      <w:pPr>
        <w:autoSpaceDE w:val="0"/>
        <w:autoSpaceDN w:val="0"/>
        <w:adjustRightInd w:val="0"/>
        <w:spacing w:line="360" w:lineRule="auto"/>
        <w:ind w:firstLine="48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 xml:space="preserve">                      U</w:t>
      </w:r>
      <w:r>
        <w:rPr>
          <w:rFonts w:hint="default" w:ascii="Times New Roman" w:hAnsi="Times New Roman" w:cs="Times New Roman"/>
          <w:color w:val="auto"/>
          <w:sz w:val="24"/>
          <w:highlight w:val="none"/>
          <w:vertAlign w:val="subscript"/>
          <w:lang w:val="zh-CN"/>
        </w:rPr>
        <w:t>B</w:t>
      </w:r>
      <w:r>
        <w:rPr>
          <w:rFonts w:hint="default" w:ascii="Times New Roman" w:hAnsi="Times New Roman" w:cs="Times New Roman"/>
          <w:color w:val="auto"/>
          <w:sz w:val="24"/>
          <w:highlight w:val="none"/>
          <w:lang w:val="zh-CN"/>
        </w:rPr>
        <w:t>=（-33.4+j57.8）kV</w:t>
      </w:r>
    </w:p>
    <w:p w14:paraId="0E457DBF">
      <w:pPr>
        <w:autoSpaceDE w:val="0"/>
        <w:autoSpaceDN w:val="0"/>
        <w:adjustRightInd w:val="0"/>
        <w:spacing w:line="360" w:lineRule="auto"/>
        <w:ind w:firstLine="48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 xml:space="preserve">                      U</w:t>
      </w:r>
      <w:r>
        <w:rPr>
          <w:rFonts w:hint="default" w:ascii="Times New Roman" w:hAnsi="Times New Roman" w:cs="Times New Roman"/>
          <w:color w:val="auto"/>
          <w:sz w:val="24"/>
          <w:highlight w:val="none"/>
          <w:vertAlign w:val="subscript"/>
          <w:lang w:val="zh-CN"/>
        </w:rPr>
        <w:t>C</w:t>
      </w:r>
      <w:r>
        <w:rPr>
          <w:rFonts w:hint="default" w:ascii="Times New Roman" w:hAnsi="Times New Roman" w:cs="Times New Roman"/>
          <w:color w:val="auto"/>
          <w:sz w:val="24"/>
          <w:highlight w:val="none"/>
          <w:lang w:val="zh-CN"/>
        </w:rPr>
        <w:t>=（-33.4-j57.8）kV</w:t>
      </w:r>
    </w:p>
    <w:p w14:paraId="5401DAC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rPr>
        <w:drawing>
          <wp:inline distT="0" distB="0" distL="114300" distR="114300">
            <wp:extent cx="1599565" cy="1306830"/>
            <wp:effectExtent l="0" t="0" r="635" b="1270"/>
            <wp:docPr id="11" name="图片 611"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11" descr="C:\Users\Administrator\Desktop\1.jpg"/>
                    <pic:cNvPicPr>
                      <a:picLocks noChangeAspect="1"/>
                    </pic:cNvPicPr>
                  </pic:nvPicPr>
                  <pic:blipFill>
                    <a:blip r:embed="rId67"/>
                    <a:stretch>
                      <a:fillRect/>
                    </a:stretch>
                  </pic:blipFill>
                  <pic:spPr>
                    <a:xfrm>
                      <a:off x="0" y="0"/>
                      <a:ext cx="1599565" cy="1306830"/>
                    </a:xfrm>
                    <a:prstGeom prst="rect">
                      <a:avLst/>
                    </a:prstGeom>
                    <a:noFill/>
                    <a:ln>
                      <a:noFill/>
                    </a:ln>
                  </pic:spPr>
                </pic:pic>
              </a:graphicData>
            </a:graphic>
          </wp:inline>
        </w:drawing>
      </w:r>
    </w:p>
    <w:p w14:paraId="061077CE">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cs="Times New Roman"/>
          <w:b/>
          <w:bCs/>
          <w:color w:val="auto"/>
          <w:sz w:val="24"/>
          <w:highlight w:val="none"/>
          <w:lang w:val="zh-CN"/>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 xml:space="preserve">6-1 </w:t>
      </w:r>
      <w:r>
        <w:rPr>
          <w:rFonts w:hint="default" w:ascii="Times New Roman" w:hAnsi="Times New Roman" w:cs="Times New Roman"/>
          <w:b/>
          <w:bCs/>
          <w:color w:val="auto"/>
          <w:sz w:val="24"/>
          <w:highlight w:val="none"/>
          <w:lang w:val="zh-CN"/>
        </w:rPr>
        <w:t xml:space="preserve"> 对地电压计算图</w:t>
      </w:r>
    </w:p>
    <w:p w14:paraId="68A3306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eastAsia="zh-CN"/>
        </w:rPr>
        <w:t>﹝</w:t>
      </w:r>
      <w:r>
        <w:rPr>
          <w:rFonts w:hint="default" w:ascii="Times New Roman" w:hAnsi="Times New Roman" w:cs="Times New Roman"/>
          <w:i/>
          <w:iCs/>
          <w:color w:val="auto"/>
          <w:sz w:val="24"/>
          <w:highlight w:val="none"/>
        </w:rPr>
        <w:t>λ</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矩阵由镜像原理求得。地面为电位等于零的平面，地面的感应电荷可由对应地面导线的镜像电荷代替，用</w:t>
      </w:r>
      <w:r>
        <w:rPr>
          <w:rFonts w:hint="default" w:ascii="Times New Roman" w:hAnsi="Times New Roman" w:cs="Times New Roman"/>
          <w:i/>
          <w:iCs/>
          <w:color w:val="auto"/>
          <w:sz w:val="24"/>
          <w:highlight w:val="none"/>
        </w:rPr>
        <w:t>i</w:t>
      </w:r>
      <w:r>
        <w:rPr>
          <w:rFonts w:hint="default" w:ascii="Times New Roman" w:hAnsi="Times New Roman" w:cs="Times New Roman"/>
          <w:color w:val="auto"/>
          <w:sz w:val="24"/>
          <w:highlight w:val="none"/>
        </w:rPr>
        <w:t>，</w:t>
      </w:r>
      <w:r>
        <w:rPr>
          <w:rFonts w:hint="default" w:ascii="Times New Roman" w:hAnsi="Times New Roman" w:cs="Times New Roman"/>
          <w:i/>
          <w:iCs/>
          <w:color w:val="auto"/>
          <w:sz w:val="24"/>
          <w:highlight w:val="none"/>
        </w:rPr>
        <w:t>j</w:t>
      </w:r>
      <w:r>
        <w:rPr>
          <w:rFonts w:hint="default" w:ascii="Times New Roman" w:hAnsi="Times New Roman" w:cs="Times New Roman"/>
          <w:color w:val="auto"/>
          <w:sz w:val="24"/>
          <w:highlight w:val="none"/>
        </w:rPr>
        <w:t>，…表示相互平行的实际导线，用</w:t>
      </w:r>
      <w:r>
        <w:rPr>
          <w:rFonts w:hint="default" w:ascii="Times New Roman" w:hAnsi="Times New Roman" w:cs="Times New Roman"/>
          <w:i/>
          <w:iCs/>
          <w:color w:val="auto"/>
          <w:sz w:val="24"/>
          <w:highlight w:val="none"/>
        </w:rPr>
        <w:t>i'</w:t>
      </w:r>
      <w:r>
        <w:rPr>
          <w:rFonts w:hint="default" w:ascii="Times New Roman" w:hAnsi="Times New Roman" w:cs="Times New Roman"/>
          <w:color w:val="auto"/>
          <w:sz w:val="24"/>
          <w:highlight w:val="none"/>
        </w:rPr>
        <w:t>，</w:t>
      </w:r>
      <w:r>
        <w:rPr>
          <w:rFonts w:hint="default" w:ascii="Times New Roman" w:hAnsi="Times New Roman" w:cs="Times New Roman"/>
          <w:i/>
          <w:iCs/>
          <w:color w:val="auto"/>
          <w:sz w:val="24"/>
          <w:highlight w:val="none"/>
        </w:rPr>
        <w:t>j'</w:t>
      </w:r>
      <w:r>
        <w:rPr>
          <w:rFonts w:hint="default" w:ascii="Times New Roman" w:hAnsi="Times New Roman" w:cs="Times New Roman"/>
          <w:color w:val="auto"/>
          <w:sz w:val="24"/>
          <w:highlight w:val="none"/>
        </w:rPr>
        <w:t>，…表示他们的镜像，电位系数可写为</w:t>
      </w:r>
      <w:r>
        <w:rPr>
          <w:rFonts w:hint="default" w:ascii="Times New Roman" w:hAnsi="Times New Roman" w:cs="Times New Roman"/>
          <w:color w:val="auto"/>
          <w:sz w:val="24"/>
          <w:highlight w:val="none"/>
          <w:lang w:val="zh-CN"/>
        </w:rPr>
        <w:t>：</w:t>
      </w:r>
    </w:p>
    <w:p w14:paraId="2B7A6BAE">
      <w:pPr>
        <w:autoSpaceDE w:val="0"/>
        <w:autoSpaceDN w:val="0"/>
        <w:adjustRightInd w:val="0"/>
        <w:spacing w:line="360" w:lineRule="auto"/>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32" o:spt="75" type="#_x0000_t75" style="height:36pt;width:93.75pt;" o:ole="t" filled="f" o:preferrelative="t" stroked="f" coordsize="21600,21600">
            <v:path/>
            <v:fill on="f" focussize="0,0"/>
            <v:stroke on="f"/>
            <v:imagedata r:id="rId69" o:title=""/>
            <o:lock v:ext="edit" aspectratio="t"/>
            <w10:wrap type="none"/>
            <w10:anchorlock/>
          </v:shape>
          <o:OLEObject Type="Embed" ProgID="Equation.3" ShapeID="_x0000_i1032" DrawAspect="Content" ObjectID="_1468075732" r:id="rId68">
            <o:LockedField>false</o:LockedField>
          </o:OLEObject>
        </w:object>
      </w:r>
    </w:p>
    <w:p w14:paraId="5D4BAFDB">
      <w:pPr>
        <w:autoSpaceDE w:val="0"/>
        <w:autoSpaceDN w:val="0"/>
        <w:adjustRightInd w:val="0"/>
        <w:spacing w:line="360" w:lineRule="auto"/>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33" o:spt="75" type="#_x0000_t75" style="height:43.5pt;width:93.75pt;" o:ole="t" filled="f" o:preferrelative="t" stroked="f" coordsize="21600,21600">
            <v:path/>
            <v:fill on="f" focussize="0,0"/>
            <v:stroke on="f"/>
            <v:imagedata r:id="rId71" o:title=""/>
            <o:lock v:ext="edit" aspectratio="t"/>
            <w10:wrap type="none"/>
            <w10:anchorlock/>
          </v:shape>
          <o:OLEObject Type="Embed" ProgID="Equation.3" ShapeID="_x0000_i1033" DrawAspect="Content" ObjectID="_1468075733" r:id="rId70">
            <o:LockedField>false</o:LockedField>
          </o:OLEObject>
        </w:object>
      </w:r>
    </w:p>
    <w:p w14:paraId="72BB2296">
      <w:pPr>
        <w:autoSpaceDE w:val="0"/>
        <w:autoSpaceDN w:val="0"/>
        <w:adjustRightInd w:val="0"/>
        <w:spacing w:line="360" w:lineRule="auto"/>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λ</w:t>
      </w:r>
      <w:r>
        <w:rPr>
          <w:rFonts w:hint="default" w:ascii="Times New Roman" w:hAnsi="Times New Roman" w:cs="Times New Roman"/>
          <w:color w:val="auto"/>
          <w:sz w:val="24"/>
          <w:highlight w:val="none"/>
          <w:vertAlign w:val="subscript"/>
          <w:lang w:val="zh-CN"/>
        </w:rPr>
        <w:t>i j</w:t>
      </w:r>
      <w:r>
        <w:rPr>
          <w:rFonts w:hint="default" w:ascii="Times New Roman" w:hAnsi="Times New Roman" w:cs="Times New Roman"/>
          <w:color w:val="auto"/>
          <w:sz w:val="24"/>
          <w:highlight w:val="none"/>
          <w:lang w:val="zh-CN"/>
        </w:rPr>
        <w:t>= λ</w:t>
      </w:r>
      <w:r>
        <w:rPr>
          <w:rFonts w:hint="default" w:ascii="Times New Roman" w:hAnsi="Times New Roman" w:cs="Times New Roman"/>
          <w:color w:val="auto"/>
          <w:sz w:val="24"/>
          <w:highlight w:val="none"/>
          <w:vertAlign w:val="subscript"/>
          <w:lang w:val="zh-CN"/>
        </w:rPr>
        <w:t>ji</w:t>
      </w:r>
    </w:p>
    <w:p w14:paraId="4FA842A9">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式中：</w:t>
      </w:r>
      <w:r>
        <w:rPr>
          <w:rFonts w:hint="default" w:ascii="Times New Roman" w:hAnsi="Times New Roman" w:cs="Times New Roman"/>
          <w:color w:val="auto"/>
          <w:sz w:val="24"/>
          <w:highlight w:val="none"/>
          <w:lang w:val="zh-CN"/>
        </w:rPr>
        <w:object>
          <v:shape id="_x0000_i1034" o:spt="75" type="#_x0000_t75" style="height:21.75pt;width:14.25pt;" o:ole="t" filled="f" o:preferrelative="t" stroked="f" coordsize="21600,21600">
            <v:path/>
            <v:fill on="f" focussize="0,0"/>
            <v:stroke on="f"/>
            <v:imagedata r:id="rId73" o:title=""/>
            <o:lock v:ext="edit" aspectratio="t"/>
            <w10:wrap type="none"/>
            <w10:anchorlock/>
          </v:shape>
          <o:OLEObject Type="Embed" ProgID="Equation.3" ShapeID="_x0000_i1034" DrawAspect="Content" ObjectID="_1468075734" r:id="rId72">
            <o:LockedField>false</o:LockedField>
          </o:OLEObject>
        </w:object>
      </w:r>
      <w:r>
        <w:rPr>
          <w:rFonts w:hint="default" w:ascii="Times New Roman" w:hAnsi="Times New Roman" w:cs="Times New Roman"/>
          <w:color w:val="auto"/>
          <w:sz w:val="24"/>
          <w:highlight w:val="none"/>
          <w:lang w:val="zh-CN"/>
        </w:rPr>
        <w:t>——真空介电常数；</w:t>
      </w:r>
      <w:r>
        <w:rPr>
          <w:rFonts w:hint="default" w:ascii="Times New Roman" w:hAnsi="Times New Roman" w:cs="Times New Roman"/>
          <w:color w:val="auto"/>
          <w:sz w:val="24"/>
          <w:highlight w:val="none"/>
          <w:lang w:val="zh-CN"/>
        </w:rPr>
        <w:object>
          <v:shape id="_x0000_i1035" o:spt="75" type="#_x0000_t75" style="height:28.5pt;width:108pt;" o:ole="t" filled="f" o:preferrelative="t" stroked="f" coordsize="21600,21600">
            <v:path/>
            <v:fill on="f" focussize="0,0"/>
            <v:stroke on="f"/>
            <v:imagedata r:id="rId75" o:title=""/>
            <o:lock v:ext="edit" aspectratio="t"/>
            <w10:wrap type="none"/>
            <w10:anchorlock/>
          </v:shape>
          <o:OLEObject Type="Embed" ProgID="Equation.3" ShapeID="_x0000_i1035" DrawAspect="Content" ObjectID="_1468075735" r:id="rId74">
            <o:LockedField>false</o:LockedField>
          </o:OLEObject>
        </w:object>
      </w:r>
      <w:r>
        <w:rPr>
          <w:rFonts w:hint="default" w:ascii="Times New Roman" w:hAnsi="Times New Roman" w:cs="Times New Roman"/>
          <w:color w:val="auto"/>
          <w:sz w:val="24"/>
          <w:highlight w:val="none"/>
          <w:lang w:val="zh-CN"/>
        </w:rPr>
        <w:t>；</w:t>
      </w:r>
    </w:p>
    <w:p w14:paraId="45EED25F">
      <w:pPr>
        <w:autoSpaceDE w:val="0"/>
        <w:autoSpaceDN w:val="0"/>
        <w:adjustRightInd w:val="0"/>
        <w:spacing w:line="360" w:lineRule="auto"/>
        <w:ind w:firstLine="720" w:firstLineChars="3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R</w:t>
      </w:r>
      <w:r>
        <w:rPr>
          <w:rFonts w:hint="default" w:ascii="Times New Roman" w:hAnsi="Times New Roman" w:cs="Times New Roman"/>
          <w:color w:val="auto"/>
          <w:sz w:val="24"/>
          <w:highlight w:val="none"/>
          <w:vertAlign w:val="subscript"/>
          <w:lang w:val="zh-CN"/>
        </w:rPr>
        <w:t>i</w:t>
      </w:r>
      <w:r>
        <w:rPr>
          <w:rFonts w:hint="default" w:ascii="Times New Roman" w:hAnsi="Times New Roman" w:cs="Times New Roman"/>
          <w:color w:val="auto"/>
          <w:sz w:val="24"/>
          <w:highlight w:val="none"/>
          <w:lang w:val="zh-CN"/>
        </w:rPr>
        <w:t>——输电导线半径，对于分裂导线可用等效单根导线半径代入R</w:t>
      </w:r>
      <w:r>
        <w:rPr>
          <w:rFonts w:hint="default" w:ascii="Times New Roman" w:hAnsi="Times New Roman" w:cs="Times New Roman"/>
          <w:color w:val="auto"/>
          <w:sz w:val="24"/>
          <w:highlight w:val="none"/>
          <w:vertAlign w:val="subscript"/>
          <w:lang w:val="zh-CN"/>
        </w:rPr>
        <w:t>i</w:t>
      </w:r>
      <w:r>
        <w:rPr>
          <w:rFonts w:hint="default" w:ascii="Times New Roman" w:hAnsi="Times New Roman" w:cs="Times New Roman"/>
          <w:color w:val="auto"/>
          <w:sz w:val="24"/>
          <w:highlight w:val="none"/>
          <w:lang w:val="zh-CN"/>
        </w:rPr>
        <w:t>计算式为：</w:t>
      </w:r>
    </w:p>
    <w:p w14:paraId="0571BBB8">
      <w:pPr>
        <w:autoSpaceDE w:val="0"/>
        <w:autoSpaceDN w:val="0"/>
        <w:adjustRightInd w:val="0"/>
        <w:spacing w:line="360" w:lineRule="auto"/>
        <w:ind w:firstLine="720" w:firstLineChars="300"/>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36" o:spt="75" type="#_x0000_t75" style="height:36pt;width:57.75pt;" o:ole="t" filled="f" o:preferrelative="t" stroked="f" coordsize="21600,21600">
            <v:path/>
            <v:fill on="f" focussize="0,0"/>
            <v:stroke on="f"/>
            <v:imagedata r:id="rId77" o:title=""/>
            <o:lock v:ext="edit" aspectratio="t"/>
            <w10:wrap type="none"/>
            <w10:anchorlock/>
          </v:shape>
          <o:OLEObject Type="Embed" ProgID="Equation.3" ShapeID="_x0000_i1036" DrawAspect="Content" ObjectID="_1468075736" r:id="rId76">
            <o:LockedField>false</o:LockedField>
          </o:OLEObject>
        </w:object>
      </w:r>
    </w:p>
    <w:p w14:paraId="2C5DD264">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式中：R——分裂导线半径；</w:t>
      </w:r>
    </w:p>
    <w:p w14:paraId="16A3D583">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 xml:space="preserve">      n——次导线根数；</w:t>
      </w:r>
    </w:p>
    <w:p w14:paraId="07B69BD8">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 xml:space="preserve">      r——次导线半径。</w:t>
      </w:r>
    </w:p>
    <w:p w14:paraId="76C1E7AD">
      <w:pPr>
        <w:autoSpaceDE w:val="0"/>
        <w:autoSpaceDN w:val="0"/>
        <w:adjustRightInd w:val="0"/>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由﹝U﹞矩阵和﹝λ﹞，利用等效电荷矩阵方程即可求出﹝Q﹞矩阵。</w:t>
      </w:r>
    </w:p>
    <w:tbl>
      <w:tblPr>
        <w:tblStyle w:val="31"/>
        <w:tblW w:w="0" w:type="auto"/>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
      <w:tblGrid>
        <w:gridCol w:w="4000"/>
        <w:gridCol w:w="4296"/>
      </w:tblGrid>
      <w:tr w14:paraId="1469780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4000" w:type="dxa"/>
            <w:tcBorders>
              <w:top w:val="single" w:color="FFFFFF" w:sz="4" w:space="0"/>
              <w:left w:val="single" w:color="FFFFFF" w:sz="4" w:space="0"/>
              <w:bottom w:val="single" w:color="FFFFFF" w:sz="4" w:space="0"/>
              <w:right w:val="single" w:color="FFFFFF" w:sz="4" w:space="0"/>
            </w:tcBorders>
            <w:noWrap w:val="0"/>
            <w:vAlign w:val="center"/>
          </w:tcPr>
          <w:p w14:paraId="053BA58E">
            <w:pPr>
              <w:autoSpaceDE w:val="0"/>
              <w:autoSpaceDN w:val="0"/>
              <w:adjustRightInd w:val="0"/>
              <w:spacing w:line="240" w:lineRule="auto"/>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rPr>
              <w:drawing>
                <wp:inline distT="0" distB="0" distL="114300" distR="114300">
                  <wp:extent cx="1981200" cy="1800225"/>
                  <wp:effectExtent l="0" t="0" r="0" b="3175"/>
                  <wp:docPr id="12"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17"/>
                          <pic:cNvPicPr>
                            <a:picLocks noChangeAspect="1"/>
                          </pic:cNvPicPr>
                        </pic:nvPicPr>
                        <pic:blipFill>
                          <a:blip r:embed="rId78"/>
                          <a:stretch>
                            <a:fillRect/>
                          </a:stretch>
                        </pic:blipFill>
                        <pic:spPr>
                          <a:xfrm>
                            <a:off x="0" y="0"/>
                            <a:ext cx="1981200" cy="1800225"/>
                          </a:xfrm>
                          <a:prstGeom prst="rect">
                            <a:avLst/>
                          </a:prstGeom>
                          <a:noFill/>
                          <a:ln>
                            <a:noFill/>
                          </a:ln>
                        </pic:spPr>
                      </pic:pic>
                    </a:graphicData>
                  </a:graphic>
                </wp:inline>
              </w:drawing>
            </w:r>
          </w:p>
          <w:p w14:paraId="10B929B6">
            <w:pPr>
              <w:autoSpaceDE w:val="0"/>
              <w:autoSpaceDN w:val="0"/>
              <w:adjustRightInd w:val="0"/>
              <w:jc w:val="center"/>
              <w:rPr>
                <w:rFonts w:hint="default" w:ascii="Times New Roman" w:hAnsi="Times New Roman" w:cs="Times New Roman"/>
                <w:b/>
                <w:bCs/>
                <w:color w:val="auto"/>
                <w:sz w:val="24"/>
                <w:highlight w:val="none"/>
                <w:lang w:val="zh-CN"/>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6-2</w:t>
            </w:r>
            <w:r>
              <w:rPr>
                <w:rFonts w:hint="default" w:ascii="Times New Roman" w:hAnsi="Times New Roman" w:cs="Times New Roman"/>
                <w:b/>
                <w:bCs/>
                <w:color w:val="auto"/>
                <w:sz w:val="24"/>
                <w:highlight w:val="none"/>
                <w:lang w:val="zh-CN"/>
              </w:rPr>
              <w:t xml:space="preserve"> </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zh-CN"/>
              </w:rPr>
              <w:t>电位系数计算图</w:t>
            </w:r>
          </w:p>
        </w:tc>
        <w:tc>
          <w:tcPr>
            <w:tcW w:w="4296" w:type="dxa"/>
            <w:tcBorders>
              <w:top w:val="single" w:color="FFFFFF" w:sz="4" w:space="0"/>
              <w:left w:val="single" w:color="FFFFFF" w:sz="4" w:space="0"/>
              <w:bottom w:val="single" w:color="FFFFFF" w:sz="4" w:space="0"/>
              <w:right w:val="single" w:color="FFFFFF" w:sz="4" w:space="0"/>
            </w:tcBorders>
            <w:noWrap w:val="0"/>
            <w:vAlign w:val="center"/>
          </w:tcPr>
          <w:p w14:paraId="466901A6">
            <w:pPr>
              <w:autoSpaceDE w:val="0"/>
              <w:autoSpaceDN w:val="0"/>
              <w:adjustRightInd w:val="0"/>
              <w:spacing w:line="240" w:lineRule="auto"/>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rPr>
              <w:drawing>
                <wp:inline distT="0" distB="0" distL="114300" distR="114300">
                  <wp:extent cx="1990725" cy="1800225"/>
                  <wp:effectExtent l="0" t="0" r="3175" b="3175"/>
                  <wp:docPr id="13"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18"/>
                          <pic:cNvPicPr>
                            <a:picLocks noChangeAspect="1"/>
                          </pic:cNvPicPr>
                        </pic:nvPicPr>
                        <pic:blipFill>
                          <a:blip r:embed="rId79"/>
                          <a:stretch>
                            <a:fillRect/>
                          </a:stretch>
                        </pic:blipFill>
                        <pic:spPr>
                          <a:xfrm>
                            <a:off x="0" y="0"/>
                            <a:ext cx="1990725" cy="1800225"/>
                          </a:xfrm>
                          <a:prstGeom prst="rect">
                            <a:avLst/>
                          </a:prstGeom>
                          <a:noFill/>
                          <a:ln>
                            <a:noFill/>
                          </a:ln>
                        </pic:spPr>
                      </pic:pic>
                    </a:graphicData>
                  </a:graphic>
                </wp:inline>
              </w:drawing>
            </w:r>
          </w:p>
          <w:p w14:paraId="4F22265D">
            <w:pPr>
              <w:autoSpaceDE w:val="0"/>
              <w:autoSpaceDN w:val="0"/>
              <w:adjustRightInd w:val="0"/>
              <w:jc w:val="center"/>
              <w:rPr>
                <w:rFonts w:hint="default" w:ascii="Times New Roman" w:hAnsi="Times New Roman" w:cs="Times New Roman"/>
                <w:b/>
                <w:bCs/>
                <w:color w:val="auto"/>
                <w:sz w:val="24"/>
                <w:highlight w:val="none"/>
                <w:lang w:val="zh-CN"/>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6-3</w:t>
            </w:r>
            <w:r>
              <w:rPr>
                <w:rFonts w:hint="default" w:ascii="Times New Roman" w:hAnsi="Times New Roman" w:cs="Times New Roman"/>
                <w:b/>
                <w:bCs/>
                <w:color w:val="auto"/>
                <w:sz w:val="24"/>
                <w:highlight w:val="none"/>
                <w:lang w:val="zh-CN"/>
              </w:rPr>
              <w:t xml:space="preserve"> </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zh-CN"/>
              </w:rPr>
              <w:t>等效半径计算图</w:t>
            </w:r>
          </w:p>
        </w:tc>
      </w:tr>
    </w:tbl>
    <w:p w14:paraId="10DA0294">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●计算由等效电荷产生的电场：</w:t>
      </w:r>
    </w:p>
    <w:p w14:paraId="0E8999AB">
      <w:pPr>
        <w:autoSpaceDE w:val="0"/>
        <w:autoSpaceDN w:val="0"/>
        <w:adjustRightIn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为计算地面电场强度的最大值，通常取设计最大弧垂时导线的最小对地高度。</w:t>
      </w:r>
    </w:p>
    <w:p w14:paraId="63AAF6DA">
      <w:pPr>
        <w:autoSpaceDE w:val="0"/>
        <w:autoSpaceDN w:val="0"/>
        <w:adjustRightInd w:val="0"/>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rPr>
        <w:t>当各导线单位长度的等效电荷量求出后，空间任意一点的电场强度可根据叠加原理计算得出，在</w:t>
      </w:r>
      <w:r>
        <w:rPr>
          <w:rFonts w:hint="default" w:ascii="Times New Roman" w:hAnsi="Times New Roman" w:cs="Times New Roman"/>
          <w:color w:val="auto"/>
          <w:sz w:val="24"/>
          <w:highlight w:val="none"/>
          <w:lang w:val="zh-CN"/>
        </w:rPr>
        <w:t>（x，y）点的电场强度分量E</w:t>
      </w:r>
      <w:r>
        <w:rPr>
          <w:rFonts w:hint="default" w:ascii="Times New Roman" w:hAnsi="Times New Roman" w:cs="Times New Roman"/>
          <w:color w:val="auto"/>
          <w:sz w:val="24"/>
          <w:highlight w:val="none"/>
          <w:vertAlign w:val="subscript"/>
          <w:lang w:val="zh-CN"/>
        </w:rPr>
        <w:t>x</w:t>
      </w:r>
      <w:r>
        <w:rPr>
          <w:rFonts w:hint="default" w:ascii="Times New Roman" w:hAnsi="Times New Roman" w:cs="Times New Roman"/>
          <w:color w:val="auto"/>
          <w:sz w:val="24"/>
          <w:highlight w:val="none"/>
          <w:lang w:val="zh-CN"/>
        </w:rPr>
        <w:t>和E</w:t>
      </w:r>
      <w:r>
        <w:rPr>
          <w:rFonts w:hint="default" w:ascii="Times New Roman" w:hAnsi="Times New Roman" w:cs="Times New Roman"/>
          <w:color w:val="auto"/>
          <w:sz w:val="24"/>
          <w:highlight w:val="none"/>
          <w:vertAlign w:val="subscript"/>
          <w:lang w:val="zh-CN"/>
        </w:rPr>
        <w:t>y</w:t>
      </w:r>
      <w:r>
        <w:rPr>
          <w:rFonts w:hint="default" w:ascii="Times New Roman" w:hAnsi="Times New Roman" w:cs="Times New Roman"/>
          <w:color w:val="auto"/>
          <w:sz w:val="24"/>
          <w:highlight w:val="none"/>
          <w:lang w:val="zh-CN"/>
        </w:rPr>
        <w:t>可表示为：</w:t>
      </w:r>
    </w:p>
    <w:p w14:paraId="405674BC">
      <w:pPr>
        <w:autoSpaceDE w:val="0"/>
        <w:autoSpaceDN w:val="0"/>
        <w:adjustRightInd w:val="0"/>
        <w:spacing w:line="360" w:lineRule="auto"/>
        <w:ind w:firstLine="192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37" o:spt="75" type="#_x0000_t75" style="height:36pt;width:158.25pt;" o:ole="t" filled="f" o:preferrelative="t" stroked="f" coordsize="21600,21600">
            <v:path/>
            <v:fill on="f" focussize="0,0"/>
            <v:stroke on="f"/>
            <v:imagedata r:id="rId81" o:title=""/>
            <o:lock v:ext="edit" aspectratio="t"/>
            <w10:wrap type="none"/>
            <w10:anchorlock/>
          </v:shape>
          <o:OLEObject Type="Embed" ProgID="Equation.3" ShapeID="_x0000_i1037" DrawAspect="Content" ObjectID="_1468075737" r:id="rId80">
            <o:LockedField>false</o:LockedField>
          </o:OLEObject>
        </w:object>
      </w:r>
    </w:p>
    <w:p w14:paraId="49A40609">
      <w:pPr>
        <w:autoSpaceDE w:val="0"/>
        <w:autoSpaceDN w:val="0"/>
        <w:adjustRightInd w:val="0"/>
        <w:spacing w:line="360" w:lineRule="auto"/>
        <w:ind w:firstLine="192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38" o:spt="75" type="#_x0000_t75" style="height:36pt;width:201.75pt;" o:ole="t" filled="f" o:preferrelative="t" stroked="f" coordsize="21600,21600">
            <v:path/>
            <v:fill on="f" focussize="0,0"/>
            <v:stroke on="f"/>
            <v:imagedata r:id="rId83" o:title=""/>
            <o:lock v:ext="edit" aspectratio="t"/>
            <w10:wrap type="none"/>
            <w10:anchorlock/>
          </v:shape>
          <o:OLEObject Type="Embed" ProgID="Equation.3" ShapeID="_x0000_i1038" DrawAspect="Content" ObjectID="_1468075738" r:id="rId82">
            <o:LockedField>false</o:LockedField>
          </o:OLEObject>
        </w:object>
      </w:r>
    </w:p>
    <w:p w14:paraId="4B796BCE">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式中：xi、yi——导线i的坐标（i=1.2.…m）；</w:t>
      </w:r>
    </w:p>
    <w:p w14:paraId="3BE77CE7">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 xml:space="preserve">      m——导线数目；</w:t>
      </w:r>
    </w:p>
    <w:p w14:paraId="4D3E36CC">
      <w:pPr>
        <w:autoSpaceDE w:val="0"/>
        <w:autoSpaceDN w:val="0"/>
        <w:adjustRightInd w:val="0"/>
        <w:spacing w:line="360" w:lineRule="auto"/>
        <w:ind w:firstLine="720" w:firstLineChars="3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39" o:spt="75" type="#_x0000_t75" style="height:21.75pt;width:14.25pt;" o:ole="t" filled="f" o:preferrelative="t" stroked="f" coordsize="21600,21600">
            <v:path/>
            <v:fill on="f" focussize="0,0"/>
            <v:stroke on="f"/>
            <v:imagedata r:id="rId85" o:title=""/>
            <o:lock v:ext="edit" aspectratio="t"/>
            <w10:wrap type="none"/>
            <w10:anchorlock/>
          </v:shape>
          <o:OLEObject Type="Embed" ProgID="Equation.3" ShapeID="_x0000_i1039" DrawAspect="Content" ObjectID="_1468075739" r:id="rId84">
            <o:LockedField>false</o:LockedField>
          </o:OLEObject>
        </w:object>
      </w:r>
      <w:r>
        <w:rPr>
          <w:rFonts w:hint="default" w:ascii="Times New Roman" w:hAnsi="Times New Roman" w:cs="Times New Roman"/>
          <w:color w:val="auto"/>
          <w:sz w:val="24"/>
          <w:highlight w:val="none"/>
          <w:lang w:val="zh-CN"/>
        </w:rPr>
        <w:t>、</w:t>
      </w:r>
      <w:r>
        <w:rPr>
          <w:rFonts w:hint="default" w:ascii="Times New Roman" w:hAnsi="Times New Roman" w:cs="Times New Roman"/>
          <w:color w:val="auto"/>
          <w:sz w:val="24"/>
          <w:highlight w:val="none"/>
          <w:lang w:val="zh-CN"/>
        </w:rPr>
        <w:object>
          <v:shape id="_x0000_i1040" o:spt="75" type="#_x0000_t75" style="height:21.75pt;width:14.25pt;" o:ole="t" filled="f" o:preferrelative="t" stroked="f" coordsize="21600,21600">
            <v:path/>
            <v:fill on="f" focussize="0,0"/>
            <v:stroke on="f"/>
            <v:imagedata r:id="rId87" o:title=""/>
            <o:lock v:ext="edit" aspectratio="t"/>
            <w10:wrap type="none"/>
            <w10:anchorlock/>
          </v:shape>
          <o:OLEObject Type="Embed" ProgID="Equation.3" ShapeID="_x0000_i1040" DrawAspect="Content" ObjectID="_1468075740" r:id="rId86">
            <o:LockedField>false</o:LockedField>
          </o:OLEObject>
        </w:object>
      </w:r>
      <w:r>
        <w:rPr>
          <w:rFonts w:hint="default" w:ascii="Times New Roman" w:hAnsi="Times New Roman" w:cs="Times New Roman"/>
          <w:color w:val="auto"/>
          <w:sz w:val="24"/>
          <w:highlight w:val="none"/>
          <w:lang w:val="zh-CN"/>
        </w:rPr>
        <w:t>——分别为导线i及其镜像至计算点的距离。</w:t>
      </w:r>
    </w:p>
    <w:p w14:paraId="0BDEB511">
      <w:pPr>
        <w:autoSpaceDE w:val="0"/>
        <w:autoSpaceDN w:val="0"/>
        <w:adjustRightInd w:val="0"/>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对于三相交流线路，可根据公式求得的电荷计算空间任一点电场强度的水平和垂直分量为：</w:t>
      </w:r>
    </w:p>
    <w:p w14:paraId="5AC34286">
      <w:pPr>
        <w:autoSpaceDE w:val="0"/>
        <w:autoSpaceDN w:val="0"/>
        <w:adjustRightInd w:val="0"/>
        <w:spacing w:line="360" w:lineRule="auto"/>
        <w:ind w:firstLine="192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41" o:spt="75" type="#_x0000_t75" style="height:36pt;width:201.75pt;" o:ole="t" filled="f" o:preferrelative="t" stroked="f" coordsize="21600,21600">
            <v:path/>
            <v:fill on="f" focussize="0,0"/>
            <v:stroke on="f"/>
            <v:imagedata r:id="rId89" o:title=""/>
            <o:lock v:ext="edit" aspectratio="t"/>
            <w10:wrap type="none"/>
            <w10:anchorlock/>
          </v:shape>
          <o:OLEObject Type="Embed" ProgID="Equation.3" ShapeID="_x0000_i1041" DrawAspect="Content" ObjectID="_1468075741" r:id="rId88">
            <o:LockedField>false</o:LockedField>
          </o:OLEObject>
        </w:object>
      </w:r>
    </w:p>
    <w:p w14:paraId="7BA61136">
      <w:pPr>
        <w:autoSpaceDE w:val="0"/>
        <w:autoSpaceDN w:val="0"/>
        <w:adjustRightInd w:val="0"/>
        <w:spacing w:line="360" w:lineRule="auto"/>
        <w:ind w:firstLine="192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42" o:spt="75" type="#_x0000_t75" style="height:36pt;width:194.25pt;" o:ole="t" filled="f" o:preferrelative="t" stroked="f" coordsize="21600,21600">
            <v:path/>
            <v:fill on="f" focussize="0,0"/>
            <v:stroke on="f"/>
            <v:imagedata r:id="rId91" o:title=""/>
            <o:lock v:ext="edit" aspectratio="t"/>
            <w10:wrap type="none"/>
            <w10:anchorlock/>
          </v:shape>
          <o:OLEObject Type="Embed" ProgID="Equation.3" ShapeID="_x0000_i1042" DrawAspect="Content" ObjectID="_1468075742" r:id="rId90">
            <o:LockedField>false</o:LockedField>
          </o:OLEObject>
        </w:object>
      </w:r>
    </w:p>
    <w:p w14:paraId="5820653E">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式中：</w:t>
      </w:r>
      <w:r>
        <w:rPr>
          <w:rFonts w:hint="default" w:ascii="Times New Roman" w:hAnsi="Times New Roman" w:cs="Times New Roman"/>
          <w:i/>
          <w:iCs/>
          <w:color w:val="auto"/>
          <w:sz w:val="24"/>
          <w:highlight w:val="none"/>
          <w:lang w:val="zh-CN"/>
        </w:rPr>
        <w:t>E</w:t>
      </w:r>
      <w:r>
        <w:rPr>
          <w:rFonts w:hint="default" w:ascii="Times New Roman" w:hAnsi="Times New Roman" w:cs="Times New Roman"/>
          <w:i/>
          <w:iCs/>
          <w:color w:val="auto"/>
          <w:sz w:val="24"/>
          <w:highlight w:val="none"/>
          <w:vertAlign w:val="subscript"/>
          <w:lang w:val="zh-CN"/>
        </w:rPr>
        <w:t>xR</w:t>
      </w:r>
      <w:r>
        <w:rPr>
          <w:rFonts w:hint="default" w:ascii="Times New Roman" w:hAnsi="Times New Roman" w:cs="Times New Roman"/>
          <w:color w:val="auto"/>
          <w:sz w:val="24"/>
          <w:highlight w:val="none"/>
          <w:lang w:val="zh-CN"/>
        </w:rPr>
        <w:t>——由各导线的实部电荷在该点产生场强的水平分量；</w:t>
      </w:r>
    </w:p>
    <w:p w14:paraId="00E7C65F">
      <w:pPr>
        <w:autoSpaceDE w:val="0"/>
        <w:autoSpaceDN w:val="0"/>
        <w:adjustRightInd w:val="0"/>
        <w:spacing w:line="360" w:lineRule="auto"/>
        <w:ind w:firstLine="720" w:firstLineChars="300"/>
        <w:rPr>
          <w:rFonts w:hint="default" w:ascii="Times New Roman" w:hAnsi="Times New Roman" w:cs="Times New Roman"/>
          <w:color w:val="auto"/>
          <w:sz w:val="24"/>
          <w:highlight w:val="none"/>
          <w:lang w:val="zh-CN"/>
        </w:rPr>
      </w:pPr>
      <w:r>
        <w:rPr>
          <w:rFonts w:hint="default" w:ascii="Times New Roman" w:hAnsi="Times New Roman" w:cs="Times New Roman"/>
          <w:i/>
          <w:iCs/>
          <w:color w:val="auto"/>
          <w:sz w:val="24"/>
          <w:highlight w:val="none"/>
          <w:lang w:val="zh-CN"/>
        </w:rPr>
        <w:t>E</w:t>
      </w:r>
      <w:r>
        <w:rPr>
          <w:rFonts w:hint="default" w:ascii="Times New Roman" w:hAnsi="Times New Roman" w:cs="Times New Roman"/>
          <w:i/>
          <w:iCs/>
          <w:color w:val="auto"/>
          <w:sz w:val="24"/>
          <w:highlight w:val="none"/>
          <w:vertAlign w:val="subscript"/>
          <w:lang w:val="zh-CN"/>
        </w:rPr>
        <w:t>xI</w:t>
      </w:r>
      <w:r>
        <w:rPr>
          <w:rFonts w:hint="default" w:ascii="Times New Roman" w:hAnsi="Times New Roman" w:cs="Times New Roman"/>
          <w:color w:val="auto"/>
          <w:sz w:val="24"/>
          <w:highlight w:val="none"/>
          <w:lang w:val="zh-CN"/>
        </w:rPr>
        <w:t>——由各导线的虚部电荷在该点产生场强的水平分量；</w:t>
      </w:r>
    </w:p>
    <w:p w14:paraId="65BA2A94">
      <w:pPr>
        <w:autoSpaceDE w:val="0"/>
        <w:autoSpaceDN w:val="0"/>
        <w:adjustRightInd w:val="0"/>
        <w:spacing w:line="360" w:lineRule="auto"/>
        <w:ind w:firstLine="720" w:firstLineChars="300"/>
        <w:rPr>
          <w:rFonts w:hint="default" w:ascii="Times New Roman" w:hAnsi="Times New Roman" w:cs="Times New Roman"/>
          <w:color w:val="auto"/>
          <w:sz w:val="24"/>
          <w:highlight w:val="none"/>
          <w:lang w:val="zh-CN"/>
        </w:rPr>
      </w:pPr>
      <w:r>
        <w:rPr>
          <w:rFonts w:hint="default" w:ascii="Times New Roman" w:hAnsi="Times New Roman" w:cs="Times New Roman"/>
          <w:i/>
          <w:iCs/>
          <w:color w:val="auto"/>
          <w:sz w:val="24"/>
          <w:highlight w:val="none"/>
          <w:lang w:val="zh-CN"/>
        </w:rPr>
        <w:t>E</w:t>
      </w:r>
      <w:r>
        <w:rPr>
          <w:rFonts w:hint="default" w:ascii="Times New Roman" w:hAnsi="Times New Roman" w:cs="Times New Roman"/>
          <w:i/>
          <w:iCs/>
          <w:color w:val="auto"/>
          <w:sz w:val="24"/>
          <w:highlight w:val="none"/>
          <w:vertAlign w:val="subscript"/>
          <w:lang w:val="zh-CN"/>
        </w:rPr>
        <w:t>yR</w:t>
      </w:r>
      <w:r>
        <w:rPr>
          <w:rFonts w:hint="default" w:ascii="Times New Roman" w:hAnsi="Times New Roman" w:cs="Times New Roman"/>
          <w:color w:val="auto"/>
          <w:sz w:val="24"/>
          <w:highlight w:val="none"/>
          <w:lang w:val="zh-CN"/>
        </w:rPr>
        <w:t>——由各导线的实部电荷在该点产生场强的垂直分量；</w:t>
      </w:r>
    </w:p>
    <w:p w14:paraId="03A1FF62">
      <w:pPr>
        <w:autoSpaceDE w:val="0"/>
        <w:autoSpaceDN w:val="0"/>
        <w:adjustRightInd w:val="0"/>
        <w:spacing w:line="360" w:lineRule="auto"/>
        <w:ind w:firstLine="720" w:firstLineChars="300"/>
        <w:rPr>
          <w:rFonts w:hint="default" w:ascii="Times New Roman" w:hAnsi="Times New Roman" w:cs="Times New Roman"/>
          <w:color w:val="auto"/>
          <w:sz w:val="24"/>
          <w:highlight w:val="none"/>
          <w:lang w:val="zh-CN"/>
        </w:rPr>
      </w:pPr>
      <w:r>
        <w:rPr>
          <w:rFonts w:hint="default" w:ascii="Times New Roman" w:hAnsi="Times New Roman" w:cs="Times New Roman"/>
          <w:i/>
          <w:iCs/>
          <w:color w:val="auto"/>
          <w:sz w:val="24"/>
          <w:highlight w:val="none"/>
          <w:lang w:val="zh-CN"/>
        </w:rPr>
        <w:t>E</w:t>
      </w:r>
      <w:r>
        <w:rPr>
          <w:rFonts w:hint="default" w:ascii="Times New Roman" w:hAnsi="Times New Roman" w:cs="Times New Roman"/>
          <w:i/>
          <w:iCs/>
          <w:color w:val="auto"/>
          <w:sz w:val="24"/>
          <w:highlight w:val="none"/>
          <w:vertAlign w:val="subscript"/>
          <w:lang w:val="zh-CN"/>
        </w:rPr>
        <w:t>yI</w:t>
      </w:r>
      <w:r>
        <w:rPr>
          <w:rFonts w:hint="default" w:ascii="Times New Roman" w:hAnsi="Times New Roman" w:cs="Times New Roman"/>
          <w:color w:val="auto"/>
          <w:sz w:val="24"/>
          <w:highlight w:val="none"/>
          <w:lang w:val="zh-CN"/>
        </w:rPr>
        <w:t>——由各导线的虚部电荷在该点产生场强的垂直分量。</w:t>
      </w:r>
    </w:p>
    <w:p w14:paraId="258D359F">
      <w:pPr>
        <w:autoSpaceDE w:val="0"/>
        <w:autoSpaceDN w:val="0"/>
        <w:adjustRightInd w:val="0"/>
        <w:spacing w:line="360" w:lineRule="auto"/>
        <w:ind w:firstLine="48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该点的合成的电场强度则为：</w:t>
      </w:r>
    </w:p>
    <w:p w14:paraId="6675ABE0">
      <w:pPr>
        <w:autoSpaceDE w:val="0"/>
        <w:autoSpaceDN w:val="0"/>
        <w:adjustRightInd w:val="0"/>
        <w:spacing w:line="360" w:lineRule="auto"/>
        <w:ind w:firstLine="96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43" o:spt="75" type="#_x0000_t75" style="height:21.75pt;width:252pt;" o:ole="t" filled="f" o:preferrelative="t" stroked="f" coordsize="21600,21600">
            <v:path/>
            <v:fill on="f" focussize="0,0"/>
            <v:stroke on="f"/>
            <v:imagedata r:id="rId93" o:title=""/>
            <o:lock v:ext="edit" aspectratio="t"/>
            <w10:wrap type="none"/>
            <w10:anchorlock/>
          </v:shape>
          <o:OLEObject Type="Embed" ProgID="Equation.3" ShapeID="_x0000_i1043" DrawAspect="Content" ObjectID="_1468075743" r:id="rId92">
            <o:LockedField>false</o:LockedField>
          </o:OLEObject>
        </w:object>
      </w:r>
    </w:p>
    <w:p w14:paraId="38AA6A42">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式中：</w:t>
      </w:r>
    </w:p>
    <w:p w14:paraId="65E3FF7B">
      <w:pPr>
        <w:autoSpaceDE w:val="0"/>
        <w:autoSpaceDN w:val="0"/>
        <w:adjustRightInd w:val="0"/>
        <w:spacing w:line="360" w:lineRule="auto"/>
        <w:ind w:firstLine="216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44" o:spt="75" type="#_x0000_t75" style="height:21.75pt;width:86.25pt;" o:ole="t" filled="f" o:preferrelative="t" stroked="f" coordsize="21600,21600">
            <v:path/>
            <v:fill on="f" focussize="0,0"/>
            <v:stroke on="f"/>
            <v:imagedata r:id="rId95" o:title=""/>
            <o:lock v:ext="edit" aspectratio="t"/>
            <w10:wrap type="none"/>
            <w10:anchorlock/>
          </v:shape>
          <o:OLEObject Type="Embed" ProgID="Equation.3" ShapeID="_x0000_i1044" DrawAspect="Content" ObjectID="_1468075744" r:id="rId94">
            <o:LockedField>false</o:LockedField>
          </o:OLEObject>
        </w:object>
      </w:r>
    </w:p>
    <w:p w14:paraId="4AEB4326">
      <w:pPr>
        <w:autoSpaceDE w:val="0"/>
        <w:autoSpaceDN w:val="0"/>
        <w:adjustRightInd w:val="0"/>
        <w:spacing w:line="360" w:lineRule="auto"/>
        <w:ind w:firstLine="216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45" o:spt="75" type="#_x0000_t75" style="height:21.75pt;width:86.25pt;" o:ole="t" filled="f" o:preferrelative="t" stroked="f" coordsize="21600,21600">
            <v:path/>
            <v:fill on="f" focussize="0,0"/>
            <v:stroke on="f"/>
            <v:imagedata r:id="rId97" o:title=""/>
            <o:lock v:ext="edit" aspectratio="t"/>
            <w10:wrap type="none"/>
            <w10:anchorlock/>
          </v:shape>
          <o:OLEObject Type="Embed" ProgID="Equation.3" ShapeID="_x0000_i1045" DrawAspect="Content" ObjectID="_1468075745" r:id="rId96">
            <o:LockedField>false</o:LockedField>
          </o:OLEObject>
        </w:object>
      </w:r>
    </w:p>
    <w:p w14:paraId="107333D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②高压交流架空输电线路下空间工频磁场强度的计算</w:t>
      </w:r>
    </w:p>
    <w:p w14:paraId="62293096">
      <w:pPr>
        <w:autoSpaceDE w:val="0"/>
        <w:autoSpaceDN w:val="0"/>
        <w:adjustRightInd w:val="0"/>
        <w:spacing w:line="360" w:lineRule="auto"/>
        <w:ind w:firstLine="48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rPr>
        <w:t>由于工频电磁场</w:t>
      </w:r>
      <w:r>
        <w:rPr>
          <w:rFonts w:hint="default" w:ascii="Times New Roman" w:hAnsi="Times New Roman" w:cs="Times New Roman"/>
          <w:color w:val="auto"/>
          <w:sz w:val="24"/>
          <w:highlight w:val="none"/>
          <w:lang w:val="zh-CN"/>
        </w:rPr>
        <w:t>具有准静态特性，线路的磁场仅由电流产生。应用安培定律，将计算结果矢量叠加，可得出导线周围的磁场强度。</w:t>
      </w:r>
    </w:p>
    <w:p w14:paraId="18003390">
      <w:pPr>
        <w:autoSpaceDE w:val="0"/>
        <w:autoSpaceDN w:val="0"/>
        <w:adjustRightInd w:val="0"/>
        <w:spacing w:line="360" w:lineRule="auto"/>
        <w:ind w:firstLine="48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和电场强度计算不同的是关于镜像导线的考虑，与导线所处高度相比这些镜像导线位于地下很深的距离d：</w:t>
      </w:r>
    </w:p>
    <w:p w14:paraId="681C598C">
      <w:pPr>
        <w:autoSpaceDE w:val="0"/>
        <w:autoSpaceDN w:val="0"/>
        <w:adjustRightInd w:val="0"/>
        <w:spacing w:line="360" w:lineRule="auto"/>
        <w:ind w:firstLine="216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46" o:spt="75" type="#_x0000_t75" style="height:33.05pt;width:59.25pt;" o:ole="t" filled="f" o:preferrelative="t" stroked="f" coordsize="21600,21600">
            <v:path/>
            <v:fill on="f" focussize="0,0"/>
            <v:stroke on="f"/>
            <v:imagedata r:id="rId99" o:title=""/>
            <o:lock v:ext="edit" aspectratio="t"/>
            <w10:wrap type="none"/>
            <w10:anchorlock/>
          </v:shape>
          <o:OLEObject Type="Embed" ProgID="Equation.3" ShapeID="_x0000_i1046" DrawAspect="Content" ObjectID="_1468075746" r:id="rId98">
            <o:LockedField>false</o:LockedField>
          </o:OLEObject>
        </w:object>
      </w:r>
      <w:r>
        <w:rPr>
          <w:rFonts w:hint="default" w:ascii="Times New Roman" w:hAnsi="Times New Roman" w:cs="Times New Roman"/>
          <w:color w:val="auto"/>
          <w:sz w:val="24"/>
          <w:highlight w:val="none"/>
          <w:lang w:val="zh-CN"/>
        </w:rPr>
        <w:t>（m）</w:t>
      </w:r>
    </w:p>
    <w:p w14:paraId="479F54FF">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式中：</w:t>
      </w:r>
      <w:r>
        <w:rPr>
          <w:rFonts w:hint="default" w:ascii="Times New Roman" w:hAnsi="Times New Roman" w:cs="Times New Roman"/>
          <w:i/>
          <w:iCs/>
          <w:color w:val="auto"/>
          <w:sz w:val="24"/>
          <w:highlight w:val="none"/>
          <w:lang w:val="zh-CN"/>
        </w:rPr>
        <w:t>ρ</w:t>
      </w:r>
      <w:r>
        <w:rPr>
          <w:rFonts w:hint="default" w:ascii="Times New Roman" w:hAnsi="Times New Roman" w:cs="Times New Roman"/>
          <w:color w:val="auto"/>
          <w:sz w:val="24"/>
          <w:highlight w:val="none"/>
          <w:lang w:val="zh-CN"/>
        </w:rPr>
        <w:t>——大地电阻率，Ω·m；</w:t>
      </w:r>
    </w:p>
    <w:p w14:paraId="71BFDAA6">
      <w:pPr>
        <w:autoSpaceDE w:val="0"/>
        <w:autoSpaceDN w:val="0"/>
        <w:adjustRightInd w:val="0"/>
        <w:spacing w:line="360" w:lineRule="auto"/>
        <w:ind w:firstLine="720" w:firstLineChars="300"/>
        <w:rPr>
          <w:rFonts w:hint="default" w:ascii="Times New Roman" w:hAnsi="Times New Roman" w:cs="Times New Roman"/>
          <w:color w:val="auto"/>
          <w:sz w:val="24"/>
          <w:highlight w:val="none"/>
          <w:lang w:val="zh-CN"/>
        </w:rPr>
      </w:pPr>
      <w:r>
        <w:rPr>
          <w:rFonts w:hint="default" w:ascii="Times New Roman" w:hAnsi="Times New Roman" w:cs="Times New Roman"/>
          <w:i/>
          <w:iCs/>
          <w:color w:val="auto"/>
          <w:sz w:val="24"/>
          <w:highlight w:val="none"/>
          <w:lang w:val="zh-CN"/>
        </w:rPr>
        <w:t>f</w:t>
      </w:r>
      <w:r>
        <w:rPr>
          <w:rFonts w:hint="default" w:ascii="Times New Roman" w:hAnsi="Times New Roman" w:cs="Times New Roman"/>
          <w:color w:val="auto"/>
          <w:sz w:val="24"/>
          <w:highlight w:val="none"/>
          <w:lang w:val="zh-CN"/>
        </w:rPr>
        <w:t>——频率，Hz。</w:t>
      </w:r>
    </w:p>
    <w:p w14:paraId="3E2D6B6F">
      <w:pPr>
        <w:autoSpaceDE w:val="0"/>
        <w:autoSpaceDN w:val="0"/>
        <w:adjustRightInd w:val="0"/>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在一般情况下，只考虑处于空间的实际导线，忽略它的镜像进行计算，其结果已足够符合实际。如</w:t>
      </w:r>
      <w:r>
        <w:rPr>
          <w:rFonts w:hint="default" w:ascii="Times New Roman" w:hAnsi="Times New Roman" w:cs="Times New Roman"/>
          <w:color w:val="auto"/>
          <w:sz w:val="24"/>
          <w:highlight w:val="none"/>
        </w:rPr>
        <w:t>专题图6-4</w:t>
      </w:r>
      <w:r>
        <w:rPr>
          <w:rFonts w:hint="default" w:ascii="Times New Roman" w:hAnsi="Times New Roman" w:cs="Times New Roman"/>
          <w:color w:val="auto"/>
          <w:sz w:val="24"/>
          <w:highlight w:val="none"/>
          <w:lang w:val="zh-CN"/>
        </w:rPr>
        <w:t>所示，不考虑导线i的镜像时，可计算在A点产生的磁场强度：</w:t>
      </w:r>
    </w:p>
    <w:p w14:paraId="035CA4E2">
      <w:pPr>
        <w:autoSpaceDE w:val="0"/>
        <w:autoSpaceDN w:val="0"/>
        <w:adjustRightInd w:val="0"/>
        <w:spacing w:line="360" w:lineRule="auto"/>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object>
          <v:shape id="_x0000_i1047" o:spt="75" type="#_x0000_t75" style="height:36pt;width:93.75pt;" o:ole="t" filled="f" o:preferrelative="t" stroked="f" coordsize="21600,21600">
            <v:path/>
            <v:fill on="f" focussize="0,0"/>
            <v:stroke on="f"/>
            <v:imagedata r:id="rId101" o:title=""/>
            <o:lock v:ext="edit" aspectratio="t"/>
            <w10:wrap type="none"/>
            <w10:anchorlock/>
          </v:shape>
          <o:OLEObject Type="Embed" ProgID="Equation.3" ShapeID="_x0000_i1047" DrawAspect="Content" ObjectID="_1468075747" r:id="rId100">
            <o:LockedField>false</o:LockedField>
          </o:OLEObject>
        </w:object>
      </w:r>
      <w:r>
        <w:rPr>
          <w:rFonts w:hint="default" w:ascii="Times New Roman" w:hAnsi="Times New Roman" w:cs="Times New Roman"/>
          <w:color w:val="auto"/>
          <w:sz w:val="24"/>
          <w:highlight w:val="none"/>
          <w:lang w:val="zh-CN"/>
        </w:rPr>
        <w:t>（A/m）</w:t>
      </w:r>
    </w:p>
    <w:p w14:paraId="30EFCD5F">
      <w:pPr>
        <w:autoSpaceDE w:val="0"/>
        <w:autoSpaceDN w:val="0"/>
        <w:adjustRightInd w:val="0"/>
        <w:spacing w:line="360" w:lineRule="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式中：</w:t>
      </w:r>
      <w:r>
        <w:rPr>
          <w:rFonts w:hint="default" w:ascii="Times New Roman" w:hAnsi="Times New Roman" w:cs="Times New Roman"/>
          <w:i/>
          <w:iCs/>
          <w:color w:val="auto"/>
          <w:sz w:val="24"/>
          <w:highlight w:val="none"/>
          <w:lang w:val="zh-CN"/>
        </w:rPr>
        <w:t>I</w:t>
      </w:r>
      <w:r>
        <w:rPr>
          <w:rFonts w:hint="default" w:ascii="Times New Roman" w:hAnsi="Times New Roman" w:cs="Times New Roman"/>
          <w:color w:val="auto"/>
          <w:sz w:val="24"/>
          <w:highlight w:val="none"/>
          <w:lang w:val="zh-CN"/>
        </w:rPr>
        <w:t>——导线</w:t>
      </w:r>
      <w:r>
        <w:rPr>
          <w:rFonts w:hint="default" w:ascii="Times New Roman" w:hAnsi="Times New Roman" w:cs="Times New Roman"/>
          <w:i/>
          <w:iCs/>
          <w:color w:val="auto"/>
          <w:sz w:val="24"/>
          <w:highlight w:val="none"/>
          <w:lang w:val="zh-CN"/>
        </w:rPr>
        <w:t>i</w:t>
      </w:r>
      <w:r>
        <w:rPr>
          <w:rFonts w:hint="default" w:ascii="Times New Roman" w:hAnsi="Times New Roman" w:cs="Times New Roman"/>
          <w:color w:val="auto"/>
          <w:sz w:val="24"/>
          <w:highlight w:val="none"/>
          <w:lang w:val="zh-CN"/>
        </w:rPr>
        <w:t>中的电流值，A；</w:t>
      </w:r>
    </w:p>
    <w:p w14:paraId="14BA7D33">
      <w:pPr>
        <w:autoSpaceDE w:val="0"/>
        <w:autoSpaceDN w:val="0"/>
        <w:adjustRightInd w:val="0"/>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 xml:space="preserve">  </w:t>
      </w:r>
      <w:r>
        <w:rPr>
          <w:rFonts w:hint="default" w:ascii="Times New Roman" w:hAnsi="Times New Roman" w:cs="Times New Roman"/>
          <w:i/>
          <w:iCs/>
          <w:color w:val="auto"/>
          <w:sz w:val="24"/>
          <w:highlight w:val="none"/>
          <w:lang w:val="zh-CN"/>
        </w:rPr>
        <w:t>h</w:t>
      </w:r>
      <w:r>
        <w:rPr>
          <w:rFonts w:hint="default" w:ascii="Times New Roman" w:hAnsi="Times New Roman" w:cs="Times New Roman"/>
          <w:color w:val="auto"/>
          <w:sz w:val="24"/>
          <w:highlight w:val="none"/>
          <w:lang w:val="zh-CN"/>
        </w:rPr>
        <w:t>——导线与预测点的高差；</w:t>
      </w:r>
    </w:p>
    <w:p w14:paraId="7A58A77F">
      <w:pPr>
        <w:autoSpaceDE w:val="0"/>
        <w:autoSpaceDN w:val="0"/>
        <w:adjustRightInd w:val="0"/>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 xml:space="preserve">  </w:t>
      </w:r>
      <w:r>
        <w:rPr>
          <w:rFonts w:hint="default" w:ascii="Times New Roman" w:hAnsi="Times New Roman" w:cs="Times New Roman"/>
          <w:i/>
          <w:iCs/>
          <w:color w:val="auto"/>
          <w:sz w:val="24"/>
          <w:highlight w:val="none"/>
          <w:lang w:val="zh-CN"/>
        </w:rPr>
        <w:t>L</w:t>
      </w:r>
      <w:r>
        <w:rPr>
          <w:rFonts w:hint="default" w:ascii="Times New Roman" w:hAnsi="Times New Roman" w:cs="Times New Roman"/>
          <w:color w:val="auto"/>
          <w:sz w:val="24"/>
          <w:highlight w:val="none"/>
          <w:lang w:val="zh-CN"/>
        </w:rPr>
        <w:t>——导线与预测点水平距离，m。</w:t>
      </w:r>
    </w:p>
    <w:p w14:paraId="54F68EED">
      <w:pPr>
        <w:autoSpaceDE w:val="0"/>
        <w:autoSpaceDN w:val="0"/>
        <w:adjustRightInd w:val="0"/>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对于三相线路，由相位不同形成的磁场强度水平和垂直分量都应分别考虑电流的相角，按相位矢量来合成。合成的旋转矢量在空间的轨迹是一个椭圆。</w:t>
      </w:r>
    </w:p>
    <w:p w14:paraId="1C38DF76">
      <w:pPr>
        <w:autoSpaceDE w:val="0"/>
        <w:autoSpaceDN w:val="0"/>
        <w:adjustRightInd w:val="0"/>
        <w:spacing w:line="240" w:lineRule="auto"/>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rPr>
        <w:drawing>
          <wp:inline distT="0" distB="0" distL="114300" distR="114300">
            <wp:extent cx="2391410" cy="1625600"/>
            <wp:effectExtent l="0" t="0" r="8890" b="0"/>
            <wp:docPr id="14"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30"/>
                    <pic:cNvPicPr>
                      <a:picLocks noChangeAspect="1"/>
                    </pic:cNvPicPr>
                  </pic:nvPicPr>
                  <pic:blipFill>
                    <a:blip r:embed="rId102"/>
                    <a:stretch>
                      <a:fillRect/>
                    </a:stretch>
                  </pic:blipFill>
                  <pic:spPr>
                    <a:xfrm>
                      <a:off x="0" y="0"/>
                      <a:ext cx="2391410" cy="1625600"/>
                    </a:xfrm>
                    <a:prstGeom prst="rect">
                      <a:avLst/>
                    </a:prstGeom>
                    <a:noFill/>
                    <a:ln>
                      <a:noFill/>
                    </a:ln>
                  </pic:spPr>
                </pic:pic>
              </a:graphicData>
            </a:graphic>
          </wp:inline>
        </w:drawing>
      </w:r>
    </w:p>
    <w:p w14:paraId="46BF12D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6-4  磁感应强度向量图</w:t>
      </w:r>
    </w:p>
    <w:p w14:paraId="495F95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⑵</w:t>
      </w:r>
      <w:r>
        <w:rPr>
          <w:rFonts w:hint="default" w:ascii="Times New Roman" w:hAnsi="Times New Roman" w:cs="Times New Roman"/>
          <w:color w:val="auto"/>
          <w:sz w:val="24"/>
          <w:highlight w:val="none"/>
        </w:rPr>
        <w:t>参数的选取</w:t>
      </w:r>
    </w:p>
    <w:p w14:paraId="5EC617E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根据</w:t>
      </w:r>
      <w:r>
        <w:rPr>
          <w:rFonts w:hint="default" w:ascii="Times New Roman" w:hAnsi="Times New Roman" w:cs="Times New Roman"/>
          <w:color w:val="auto"/>
          <w:sz w:val="24"/>
          <w:highlight w:val="none"/>
        </w:rPr>
        <w:t>《环境影响评价技术导则 输变电》（HJ24-2020）8.1.2.3预测工况及环境条件的选择</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塔型选择时，可主要考虑线路经过居民区时的塔型，也可按保守原则选择</w:t>
      </w:r>
      <w:r>
        <w:rPr>
          <w:rFonts w:hint="default" w:ascii="Times New Roman" w:hAnsi="Times New Roman" w:cs="Times New Roman"/>
          <w:color w:val="auto"/>
          <w:sz w:val="24"/>
          <w:highlight w:val="none"/>
          <w:lang w:eastAsia="zh-CN"/>
        </w:rPr>
        <w:t>电</w:t>
      </w:r>
      <w:r>
        <w:rPr>
          <w:rFonts w:hint="default" w:ascii="Times New Roman" w:hAnsi="Times New Roman" w:cs="Times New Roman"/>
          <w:color w:val="auto"/>
          <w:sz w:val="24"/>
          <w:highlight w:val="none"/>
        </w:rPr>
        <w:t>磁环境影响最大的塔型。</w:t>
      </w:r>
    </w:p>
    <w:p w14:paraId="320B88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因输电线路运行产生的工频电场、工频磁场主要由导线型式、导线对地高度、相间距离和线路运行工况（电压、电流等）等因素决定。当导线型式、导线对地高度和线路运行工况等相同时，相间距越大，产生的工频电场强度和工频磁感应强度影响范围越大。根据</w:t>
      </w:r>
      <w:r>
        <w:rPr>
          <w:rFonts w:hint="default" w:ascii="Times New Roman" w:hAnsi="Times New Roman" w:eastAsia="宋体" w:cs="Times New Roman"/>
          <w:color w:val="auto"/>
          <w:sz w:val="24"/>
          <w:highlight w:val="none"/>
          <w:lang w:val="en-US" w:eastAsia="zh-CN"/>
        </w:rPr>
        <w:t>初步设计文件</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本次预测选取</w:t>
      </w:r>
      <w:r>
        <w:rPr>
          <w:rFonts w:hint="default" w:ascii="Times New Roman" w:hAnsi="Times New Roman" w:cs="Times New Roman"/>
          <w:color w:val="auto"/>
          <w:sz w:val="24"/>
          <w:highlight w:val="none"/>
          <w:lang w:eastAsia="zh-CN"/>
        </w:rPr>
        <w:t>电</w:t>
      </w:r>
      <w:r>
        <w:rPr>
          <w:rFonts w:hint="default" w:ascii="Times New Roman" w:hAnsi="Times New Roman" w:cs="Times New Roman"/>
          <w:color w:val="auto"/>
          <w:sz w:val="24"/>
          <w:highlight w:val="none"/>
        </w:rPr>
        <w:t>磁环境影响最大的塔型进行预测，预测结果能够反映本项目建成投产后电磁环境影响最不利的情况，偏保守可行</w:t>
      </w:r>
      <w:r>
        <w:rPr>
          <w:rFonts w:hint="default" w:ascii="Times New Roman" w:hAnsi="Times New Roman" w:cs="Times New Roman"/>
          <w:color w:val="auto"/>
          <w:sz w:val="24"/>
          <w:highlight w:val="none"/>
          <w:lang w:eastAsia="zh-CN"/>
        </w:rPr>
        <w:t>。</w:t>
      </w:r>
    </w:p>
    <w:p w14:paraId="2FC2482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①</w:t>
      </w:r>
      <w:r>
        <w:rPr>
          <w:rFonts w:hint="default" w:ascii="Times New Roman" w:hAnsi="Times New Roman" w:cs="Times New Roman"/>
          <w:color w:val="auto"/>
          <w:sz w:val="24"/>
          <w:highlight w:val="none"/>
        </w:rPr>
        <w:t>根据</w:t>
      </w:r>
      <w:r>
        <w:rPr>
          <w:rFonts w:hint="default" w:ascii="Times New Roman" w:hAnsi="Times New Roman" w:eastAsia="宋体" w:cs="Times New Roman"/>
          <w:color w:val="auto"/>
          <w:sz w:val="24"/>
          <w:highlight w:val="none"/>
          <w:lang w:val="en-US" w:eastAsia="zh-CN"/>
        </w:rPr>
        <w:t>初步设计文件</w:t>
      </w:r>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项目</w:t>
      </w:r>
      <w:r>
        <w:rPr>
          <w:rFonts w:hint="default" w:ascii="Times New Roman" w:hAnsi="Times New Roman" w:cs="Times New Roman"/>
          <w:color w:val="auto"/>
          <w:sz w:val="24"/>
          <w:highlight w:val="none"/>
          <w:lang w:val="en-US" w:eastAsia="zh-CN"/>
        </w:rPr>
        <w:t>新建单回架空线路</w:t>
      </w:r>
      <w:r>
        <w:rPr>
          <w:rFonts w:hint="default" w:ascii="Times New Roman" w:hAnsi="Times New Roman" w:cs="Times New Roman"/>
          <w:color w:val="auto"/>
          <w:sz w:val="24"/>
          <w:highlight w:val="none"/>
        </w:rPr>
        <w:t>相间距</w:t>
      </w:r>
      <w:r>
        <w:rPr>
          <w:rFonts w:hint="default" w:ascii="Times New Roman" w:hAnsi="Times New Roman" w:cs="Times New Roman"/>
          <w:color w:val="auto"/>
          <w:sz w:val="24"/>
          <w:highlight w:val="none"/>
          <w:lang w:val="en-US" w:eastAsia="zh-CN"/>
        </w:rPr>
        <w:t>最大的塔型</w:t>
      </w:r>
      <w:r>
        <w:rPr>
          <w:rFonts w:hint="default" w:ascii="Times New Roman" w:hAnsi="Times New Roman" w:eastAsia="宋体" w:cs="Times New Roman"/>
          <w:color w:val="auto"/>
          <w:sz w:val="24"/>
          <w:highlight w:val="none"/>
          <w:lang w:val="en-US" w:eastAsia="zh-CN"/>
        </w:rPr>
        <w:t>110-EC31D-</w:t>
      </w:r>
      <w:r>
        <w:rPr>
          <w:rFonts w:hint="default" w:ascii="Times New Roman" w:hAnsi="Times New Roman" w:cs="Times New Roman"/>
          <w:color w:val="auto"/>
          <w:sz w:val="24"/>
          <w:highlight w:val="none"/>
          <w:lang w:val="en-US" w:eastAsia="zh-CN"/>
        </w:rPr>
        <w:t>ZBCK</w:t>
      </w:r>
      <w:r>
        <w:rPr>
          <w:rFonts w:hint="default" w:ascii="Times New Roman" w:hAnsi="Times New Roman" w:cs="Times New Roman"/>
          <w:color w:val="auto"/>
          <w:sz w:val="24"/>
          <w:highlight w:val="none"/>
          <w:lang w:eastAsia="zh-CN"/>
        </w:rPr>
        <w:t>，导线水平间距</w:t>
      </w:r>
      <w:r>
        <w:rPr>
          <w:rFonts w:hint="default" w:ascii="Times New Roman" w:hAnsi="Times New Roman" w:cs="Times New Roman"/>
          <w:color w:val="auto"/>
          <w:sz w:val="24"/>
          <w:highlight w:val="none"/>
          <w:lang w:val="en-US" w:eastAsia="zh-CN"/>
        </w:rPr>
        <w:t>为</w:t>
      </w:r>
      <w:r>
        <w:rPr>
          <w:rFonts w:hint="eastAsia" w:cs="Times New Roman"/>
          <w:color w:val="auto"/>
          <w:sz w:val="24"/>
          <w:highlight w:val="none"/>
          <w:lang w:val="en-US" w:eastAsia="zh-CN"/>
        </w:rPr>
        <w:t>15</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导线对地</w:t>
      </w:r>
      <w:r>
        <w:rPr>
          <w:rFonts w:hint="default" w:ascii="Times New Roman" w:hAnsi="Times New Roman" w:cs="Times New Roman"/>
          <w:color w:val="auto"/>
          <w:sz w:val="24"/>
          <w:highlight w:val="none"/>
          <w:lang w:val="en-US" w:eastAsia="zh-CN"/>
        </w:rPr>
        <w:t>最低</w:t>
      </w:r>
      <w:r>
        <w:rPr>
          <w:rFonts w:hint="default" w:ascii="Times New Roman" w:hAnsi="Times New Roman" w:cs="Times New Roman"/>
          <w:color w:val="auto"/>
          <w:sz w:val="24"/>
          <w:highlight w:val="none"/>
        </w:rPr>
        <w:t>高度</w:t>
      </w:r>
      <w:r>
        <w:rPr>
          <w:rFonts w:hint="default" w:ascii="Times New Roman" w:hAnsi="Times New Roman" w:cs="Times New Roman"/>
          <w:color w:val="auto"/>
          <w:sz w:val="24"/>
          <w:highlight w:val="none"/>
          <w:lang w:val="en-US" w:eastAsia="zh-CN"/>
        </w:rPr>
        <w:t>为</w:t>
      </w:r>
      <w:r>
        <w:rPr>
          <w:rFonts w:hint="eastAsia" w:cs="Times New Roman"/>
          <w:color w:val="auto"/>
          <w:sz w:val="24"/>
          <w:highlight w:val="none"/>
          <w:lang w:val="en-US" w:eastAsia="zh-CN"/>
        </w:rPr>
        <w:t>12.3</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lang w:val="en-US" w:eastAsia="zh-CN"/>
        </w:rPr>
        <w:t>进行预测</w:t>
      </w:r>
      <w:r>
        <w:rPr>
          <w:rFonts w:hint="default" w:ascii="Times New Roman" w:hAnsi="Times New Roman" w:eastAsia="宋体" w:cs="Times New Roman"/>
          <w:color w:val="auto"/>
          <w:sz w:val="24"/>
          <w:highlight w:val="none"/>
          <w:lang w:eastAsia="zh-CN"/>
        </w:rPr>
        <w:t>。</w:t>
      </w:r>
    </w:p>
    <w:p w14:paraId="458E7F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②</w:t>
      </w:r>
      <w:r>
        <w:rPr>
          <w:rFonts w:hint="default" w:ascii="Times New Roman" w:hAnsi="Times New Roman" w:cs="Times New Roman"/>
          <w:color w:val="auto"/>
          <w:sz w:val="24"/>
          <w:highlight w:val="none"/>
        </w:rPr>
        <w:t>根据</w:t>
      </w:r>
      <w:r>
        <w:rPr>
          <w:rFonts w:hint="default" w:ascii="Times New Roman" w:hAnsi="Times New Roman" w:eastAsia="宋体" w:cs="Times New Roman"/>
          <w:color w:val="auto"/>
          <w:sz w:val="24"/>
          <w:highlight w:val="none"/>
          <w:lang w:val="en-US" w:eastAsia="zh-CN"/>
        </w:rPr>
        <w:t>初步设计文件</w:t>
      </w:r>
      <w:r>
        <w:rPr>
          <w:rFonts w:hint="default" w:ascii="Times New Roman" w:hAnsi="Times New Roman" w:cs="Times New Roman"/>
          <w:color w:val="auto"/>
          <w:sz w:val="24"/>
          <w:highlight w:val="none"/>
          <w:lang w:val="en-US" w:eastAsia="zh-CN"/>
        </w:rPr>
        <w:t>，本项目抬高改造工程单回架空线路</w:t>
      </w:r>
      <w:r>
        <w:rPr>
          <w:rFonts w:hint="default" w:ascii="Times New Roman" w:hAnsi="Times New Roman" w:cs="Times New Roman"/>
          <w:color w:val="auto"/>
          <w:sz w:val="24"/>
          <w:highlight w:val="none"/>
        </w:rPr>
        <w:t>相间距</w:t>
      </w:r>
      <w:r>
        <w:rPr>
          <w:rFonts w:hint="default" w:ascii="Times New Roman" w:hAnsi="Times New Roman" w:cs="Times New Roman"/>
          <w:color w:val="auto"/>
          <w:sz w:val="24"/>
          <w:highlight w:val="none"/>
          <w:lang w:val="en-US" w:eastAsia="zh-CN"/>
        </w:rPr>
        <w:t>最大的塔型110-DC42D-ZBCK</w:t>
      </w:r>
      <w:r>
        <w:rPr>
          <w:rFonts w:hint="default" w:ascii="Times New Roman" w:hAnsi="Times New Roman" w:cs="Times New Roman"/>
          <w:color w:val="auto"/>
          <w:sz w:val="24"/>
          <w:highlight w:val="none"/>
          <w:lang w:eastAsia="zh-CN"/>
        </w:rPr>
        <w:t>，导线水平间距</w:t>
      </w:r>
      <w:r>
        <w:rPr>
          <w:rFonts w:hint="default" w:ascii="Times New Roman" w:hAnsi="Times New Roman" w:cs="Times New Roman"/>
          <w:color w:val="auto"/>
          <w:sz w:val="24"/>
          <w:highlight w:val="none"/>
          <w:lang w:val="en-US" w:eastAsia="zh-CN"/>
        </w:rPr>
        <w:t>为</w:t>
      </w:r>
      <w:r>
        <w:rPr>
          <w:rFonts w:hint="eastAsia" w:cs="Times New Roman"/>
          <w:color w:val="auto"/>
          <w:sz w:val="24"/>
          <w:highlight w:val="none"/>
          <w:lang w:val="en-US" w:eastAsia="zh-CN"/>
        </w:rPr>
        <w:t>16</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导线对地</w:t>
      </w:r>
      <w:r>
        <w:rPr>
          <w:rFonts w:hint="default" w:ascii="Times New Roman" w:hAnsi="Times New Roman" w:cs="Times New Roman"/>
          <w:color w:val="auto"/>
          <w:sz w:val="24"/>
          <w:highlight w:val="none"/>
          <w:lang w:val="en-US" w:eastAsia="zh-CN"/>
        </w:rPr>
        <w:t>最低</w:t>
      </w:r>
      <w:r>
        <w:rPr>
          <w:rFonts w:hint="default" w:ascii="Times New Roman" w:hAnsi="Times New Roman" w:cs="Times New Roman"/>
          <w:color w:val="auto"/>
          <w:sz w:val="24"/>
          <w:highlight w:val="none"/>
        </w:rPr>
        <w:t>高度</w:t>
      </w:r>
      <w:r>
        <w:rPr>
          <w:rFonts w:hint="default" w:ascii="Times New Roman" w:hAnsi="Times New Roman" w:cs="Times New Roman"/>
          <w:color w:val="auto"/>
          <w:sz w:val="24"/>
          <w:highlight w:val="none"/>
          <w:lang w:val="en-US" w:eastAsia="zh-CN"/>
        </w:rPr>
        <w:t>为</w:t>
      </w:r>
      <w:r>
        <w:rPr>
          <w:rFonts w:hint="eastAsia" w:cs="Times New Roman"/>
          <w:color w:val="auto"/>
          <w:sz w:val="24"/>
          <w:highlight w:val="none"/>
          <w:lang w:val="en-US" w:eastAsia="zh-CN"/>
        </w:rPr>
        <w:t>35.3</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lang w:val="en-US" w:eastAsia="zh-CN"/>
        </w:rPr>
        <w:t>进行预测</w:t>
      </w:r>
      <w:r>
        <w:rPr>
          <w:rFonts w:hint="default" w:ascii="Times New Roman" w:hAnsi="Times New Roman" w:eastAsia="宋体" w:cs="Times New Roman"/>
          <w:color w:val="auto"/>
          <w:sz w:val="24"/>
          <w:highlight w:val="none"/>
          <w:lang w:eastAsia="zh-CN"/>
        </w:rPr>
        <w:t>。</w:t>
      </w:r>
    </w:p>
    <w:p w14:paraId="7ABFB7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bCs/>
          <w:color w:val="auto"/>
          <w:sz w:val="24"/>
          <w:highlight w:val="none"/>
          <w:lang w:eastAsia="zh-CN"/>
        </w:rPr>
        <w:sectPr>
          <w:footerReference r:id="rId12" w:type="default"/>
          <w:pgSz w:w="11905" w:h="16838"/>
          <w:pgMar w:top="1417" w:right="1417" w:bottom="1417" w:left="1417" w:header="850" w:footer="1077" w:gutter="0"/>
          <w:pgBorders>
            <w:top w:val="none" w:sz="0" w:space="0"/>
            <w:left w:val="none" w:sz="0" w:space="0"/>
            <w:bottom w:val="none" w:sz="0" w:space="0"/>
            <w:right w:val="none" w:sz="0" w:space="0"/>
          </w:pgBorders>
          <w:pgNumType w:fmt="decimal" w:start="1"/>
          <w:cols w:space="720" w:num="1"/>
          <w:rtlGutter w:val="0"/>
          <w:docGrid w:linePitch="312" w:charSpace="0"/>
        </w:sectPr>
      </w:pPr>
      <w:r>
        <w:rPr>
          <w:rFonts w:hint="default" w:ascii="Times New Roman" w:hAnsi="Times New Roman" w:cs="Times New Roman"/>
          <w:b w:val="0"/>
          <w:bCs w:val="0"/>
          <w:color w:val="auto"/>
          <w:sz w:val="24"/>
          <w:highlight w:val="none"/>
          <w:lang w:eastAsia="zh-CN"/>
        </w:rPr>
        <w:t>③</w:t>
      </w:r>
      <w:r>
        <w:rPr>
          <w:rFonts w:hint="default" w:ascii="Times New Roman" w:hAnsi="Times New Roman" w:cs="Times New Roman"/>
          <w:color w:val="auto"/>
          <w:sz w:val="24"/>
          <w:highlight w:val="none"/>
        </w:rPr>
        <w:t>根据</w:t>
      </w:r>
      <w:r>
        <w:rPr>
          <w:rFonts w:hint="default" w:ascii="Times New Roman" w:hAnsi="Times New Roman" w:eastAsia="宋体" w:cs="Times New Roman"/>
          <w:color w:val="auto"/>
          <w:sz w:val="24"/>
          <w:highlight w:val="none"/>
          <w:lang w:val="en-US" w:eastAsia="zh-CN"/>
        </w:rPr>
        <w:t>初步设计文件</w:t>
      </w:r>
      <w:r>
        <w:rPr>
          <w:rFonts w:hint="default" w:ascii="Times New Roman" w:hAnsi="Times New Roman" w:cs="Times New Roman"/>
          <w:color w:val="auto"/>
          <w:sz w:val="24"/>
          <w:highlight w:val="none"/>
          <w:lang w:val="en-US" w:eastAsia="zh-CN"/>
        </w:rPr>
        <w:t>，本项目在云雾山330千伏变电站</w:t>
      </w:r>
      <w:r>
        <w:rPr>
          <w:rFonts w:hint="default" w:ascii="Times New Roman" w:hAnsi="Times New Roman" w:cs="Times New Roman"/>
          <w:color w:val="auto"/>
          <w:sz w:val="24"/>
          <w:highlight w:val="none"/>
        </w:rPr>
        <w:t>门架出线处采用双回耐张塔</w:t>
      </w:r>
      <w:r>
        <w:rPr>
          <w:rFonts w:hint="default" w:ascii="Times New Roman" w:hAnsi="Times New Roman" w:cs="Times New Roman"/>
          <w:color w:val="auto"/>
          <w:sz w:val="24"/>
          <w:highlight w:val="none"/>
          <w:lang w:val="en-US" w:eastAsia="zh-CN"/>
        </w:rPr>
        <w:t>1基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塔型为</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val="en-US" w:eastAsia="zh-CN"/>
        </w:rPr>
        <w:t>EC31</w:t>
      </w:r>
      <w:r>
        <w:rPr>
          <w:rFonts w:hint="default" w:ascii="Times New Roman" w:hAnsi="Times New Roman" w:cs="Times New Roman"/>
          <w:color w:val="auto"/>
          <w:sz w:val="24"/>
          <w:highlight w:val="none"/>
        </w:rPr>
        <w:t>S-DJ</w:t>
      </w:r>
      <w:r>
        <w:rPr>
          <w:rFonts w:hint="default" w:ascii="Times New Roman" w:hAnsi="Times New Roman" w:cs="Times New Roman"/>
          <w:color w:val="auto"/>
          <w:sz w:val="24"/>
          <w:highlight w:val="none"/>
          <w:lang w:val="en-US" w:eastAsia="zh-CN"/>
        </w:rPr>
        <w:t>C</w:t>
      </w:r>
      <w:r>
        <w:rPr>
          <w:rFonts w:hint="default" w:ascii="Times New Roman" w:hAnsi="Times New Roman" w:cs="Times New Roman"/>
          <w:color w:val="auto"/>
          <w:sz w:val="24"/>
          <w:highlight w:val="none"/>
        </w:rPr>
        <w:t>，本期单</w:t>
      </w:r>
      <w:r>
        <w:rPr>
          <w:rFonts w:hint="default" w:ascii="Times New Roman" w:hAnsi="Times New Roman" w:cs="Times New Roman"/>
          <w:color w:val="auto"/>
          <w:sz w:val="24"/>
          <w:highlight w:val="none"/>
          <w:lang w:val="en-US" w:eastAsia="zh-CN"/>
        </w:rPr>
        <w:t>侧</w:t>
      </w:r>
      <w:r>
        <w:rPr>
          <w:rFonts w:hint="default" w:ascii="Times New Roman" w:hAnsi="Times New Roman" w:cs="Times New Roman"/>
          <w:color w:val="auto"/>
          <w:sz w:val="24"/>
          <w:highlight w:val="none"/>
        </w:rPr>
        <w:t>架线</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导线对地</w:t>
      </w:r>
      <w:r>
        <w:rPr>
          <w:rFonts w:hint="default" w:ascii="Times New Roman" w:hAnsi="Times New Roman" w:cs="Times New Roman"/>
          <w:color w:val="auto"/>
          <w:sz w:val="24"/>
          <w:highlight w:val="none"/>
          <w:lang w:val="en-US" w:eastAsia="zh-CN"/>
        </w:rPr>
        <w:t>最低</w:t>
      </w:r>
      <w:r>
        <w:rPr>
          <w:rFonts w:hint="default" w:ascii="Times New Roman" w:hAnsi="Times New Roman" w:cs="Times New Roman"/>
          <w:color w:val="auto"/>
          <w:sz w:val="24"/>
          <w:highlight w:val="none"/>
        </w:rPr>
        <w:t>高度</w:t>
      </w:r>
      <w:r>
        <w:rPr>
          <w:rFonts w:hint="default" w:ascii="Times New Roman" w:hAnsi="Times New Roman" w:cs="Times New Roman"/>
          <w:color w:val="auto"/>
          <w:sz w:val="24"/>
          <w:highlight w:val="none"/>
          <w:lang w:val="en-US" w:eastAsia="zh-CN"/>
        </w:rPr>
        <w:t>为</w:t>
      </w:r>
      <w:r>
        <w:rPr>
          <w:rFonts w:hint="default" w:ascii="Times New Roman" w:hAnsi="Times New Roman" w:cs="Times New Roman"/>
          <w:color w:val="auto"/>
          <w:sz w:val="24"/>
          <w:highlight w:val="none"/>
        </w:rPr>
        <w:t>1</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rPr>
        <w:t>m。</w:t>
      </w:r>
    </w:p>
    <w:p w14:paraId="7E6AB8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专题表6-</w:t>
      </w:r>
      <w:r>
        <w:rPr>
          <w:rFonts w:hint="default" w:ascii="Times New Roman" w:hAnsi="Times New Roman" w:cs="Times New Roman"/>
          <w:b/>
          <w:bCs/>
          <w:color w:val="auto"/>
          <w:sz w:val="24"/>
          <w:highlight w:val="none"/>
          <w:lang w:val="en-US" w:eastAsia="zh-CN"/>
        </w:rPr>
        <w:t>1</w:t>
      </w:r>
      <w:r>
        <w:rPr>
          <w:rFonts w:hint="default" w:ascii="Times New Roman" w:hAnsi="Times New Roman" w:cs="Times New Roman"/>
          <w:b/>
          <w:bCs/>
          <w:color w:val="auto"/>
          <w:sz w:val="24"/>
          <w:highlight w:val="none"/>
        </w:rPr>
        <w:t xml:space="preserve">  本项目输电线路计算参数一览表</w:t>
      </w:r>
    </w:p>
    <w:tbl>
      <w:tblPr>
        <w:tblStyle w:val="31"/>
        <w:tblW w:w="144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512"/>
        <w:gridCol w:w="3125"/>
        <w:gridCol w:w="3030"/>
        <w:gridCol w:w="3472"/>
        <w:gridCol w:w="3318"/>
      </w:tblGrid>
      <w:tr w14:paraId="2839D9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90" w:hRule="atLeast"/>
          <w:jc w:val="center"/>
        </w:trPr>
        <w:tc>
          <w:tcPr>
            <w:tcW w:w="1512" w:type="dxa"/>
            <w:tcBorders>
              <w:tl2br w:val="nil"/>
              <w:tr2bl w:val="nil"/>
            </w:tcBorders>
            <w:noWrap w:val="0"/>
            <w:vAlign w:val="center"/>
          </w:tcPr>
          <w:p w14:paraId="0717E341">
            <w:pPr>
              <w:pStyle w:val="13"/>
              <w:adjustRightInd w:val="0"/>
              <w:snapToGrid w:val="0"/>
              <w:spacing w:after="0" w:line="240" w:lineRule="auto"/>
              <w:ind w:left="0" w:leftChars="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rPr>
              <w:t>预测参数</w:t>
            </w:r>
          </w:p>
        </w:tc>
        <w:tc>
          <w:tcPr>
            <w:tcW w:w="3125" w:type="dxa"/>
            <w:tcBorders>
              <w:tl2br w:val="nil"/>
              <w:tr2bl w:val="nil"/>
            </w:tcBorders>
            <w:noWrap w:val="0"/>
            <w:vAlign w:val="center"/>
          </w:tcPr>
          <w:p w14:paraId="5AF78774">
            <w:pPr>
              <w:pStyle w:val="13"/>
              <w:adjustRightInd w:val="0"/>
              <w:snapToGrid w:val="0"/>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lang w:val="en-US" w:eastAsia="zh-CN"/>
              </w:rPr>
              <w:t>110千伏新建输电线路</w:t>
            </w:r>
            <w:r>
              <w:rPr>
                <w:rFonts w:hint="default" w:ascii="Times New Roman" w:hAnsi="Times New Roman" w:eastAsia="宋体" w:cs="Times New Roman"/>
                <w:b/>
                <w:bCs/>
                <w:color w:val="auto"/>
                <w:sz w:val="21"/>
                <w:szCs w:val="21"/>
              </w:rPr>
              <w:t>单回路</w:t>
            </w:r>
            <w:r>
              <w:rPr>
                <w:rFonts w:hint="default" w:ascii="Times New Roman" w:hAnsi="Times New Roman" w:eastAsia="宋体" w:cs="Times New Roman"/>
                <w:b/>
                <w:bCs/>
                <w:color w:val="auto"/>
                <w:sz w:val="21"/>
                <w:szCs w:val="21"/>
                <w:lang w:val="en-US" w:eastAsia="zh-CN"/>
              </w:rPr>
              <w:t>段</w:t>
            </w:r>
          </w:p>
        </w:tc>
        <w:tc>
          <w:tcPr>
            <w:tcW w:w="3030" w:type="dxa"/>
            <w:tcBorders>
              <w:tl2br w:val="nil"/>
              <w:tr2bl w:val="nil"/>
            </w:tcBorders>
            <w:noWrap w:val="0"/>
            <w:vAlign w:val="center"/>
          </w:tcPr>
          <w:p w14:paraId="6AF7BF1C">
            <w:pPr>
              <w:pStyle w:val="13"/>
              <w:adjustRightInd w:val="0"/>
              <w:snapToGrid w:val="0"/>
              <w:spacing w:after="0" w:line="240" w:lineRule="auto"/>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110千伏抬高改造工程</w:t>
            </w:r>
            <w:r>
              <w:rPr>
                <w:rFonts w:hint="default" w:ascii="Times New Roman" w:hAnsi="Times New Roman" w:eastAsia="宋体" w:cs="Times New Roman"/>
                <w:b/>
                <w:bCs/>
                <w:color w:val="auto"/>
                <w:sz w:val="21"/>
                <w:szCs w:val="21"/>
              </w:rPr>
              <w:t>单回路</w:t>
            </w:r>
            <w:r>
              <w:rPr>
                <w:rFonts w:hint="default" w:ascii="Times New Roman" w:hAnsi="Times New Roman" w:eastAsia="宋体" w:cs="Times New Roman"/>
                <w:b/>
                <w:bCs/>
                <w:color w:val="auto"/>
                <w:sz w:val="21"/>
                <w:szCs w:val="21"/>
                <w:lang w:val="en-US" w:eastAsia="zh-CN"/>
              </w:rPr>
              <w:t>段</w:t>
            </w:r>
          </w:p>
        </w:tc>
        <w:tc>
          <w:tcPr>
            <w:tcW w:w="3472" w:type="dxa"/>
            <w:tcBorders>
              <w:tl2br w:val="nil"/>
              <w:tr2bl w:val="nil"/>
            </w:tcBorders>
            <w:noWrap w:val="0"/>
            <w:vAlign w:val="center"/>
          </w:tcPr>
          <w:p w14:paraId="03AFD9B6">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lang w:val="en-US" w:eastAsia="zh-CN"/>
              </w:rPr>
              <w:t>110千伏</w:t>
            </w:r>
            <w:r>
              <w:rPr>
                <w:rFonts w:hint="default" w:ascii="Times New Roman" w:hAnsi="Times New Roman" w:eastAsia="宋体" w:cs="Times New Roman"/>
                <w:b/>
                <w:bCs/>
                <w:color w:val="auto"/>
                <w:sz w:val="21"/>
                <w:szCs w:val="21"/>
              </w:rPr>
              <w:t>同塔双回路</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lang w:val="en-US" w:eastAsia="zh-CN"/>
              </w:rPr>
              <w:t>双侧挂线</w:t>
            </w:r>
            <w:r>
              <w:rPr>
                <w:rFonts w:hint="default" w:ascii="Times New Roman" w:hAnsi="Times New Roman" w:eastAsia="宋体" w:cs="Times New Roman"/>
                <w:b/>
                <w:bCs/>
                <w:color w:val="auto"/>
                <w:sz w:val="21"/>
                <w:szCs w:val="21"/>
                <w:lang w:eastAsia="zh-CN"/>
              </w:rPr>
              <w:t>）</w:t>
            </w:r>
          </w:p>
        </w:tc>
        <w:tc>
          <w:tcPr>
            <w:tcW w:w="3318" w:type="dxa"/>
            <w:tcBorders>
              <w:tl2br w:val="nil"/>
              <w:tr2bl w:val="nil"/>
            </w:tcBorders>
            <w:noWrap w:val="0"/>
            <w:vAlign w:val="center"/>
          </w:tcPr>
          <w:p w14:paraId="4648B9CA">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110千伏</w:t>
            </w:r>
            <w:r>
              <w:rPr>
                <w:rFonts w:hint="default" w:ascii="Times New Roman" w:hAnsi="Times New Roman" w:eastAsia="宋体" w:cs="Times New Roman"/>
                <w:b/>
                <w:bCs/>
                <w:color w:val="auto"/>
                <w:sz w:val="21"/>
                <w:szCs w:val="21"/>
              </w:rPr>
              <w:t>同塔双回路</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lang w:val="en-US" w:eastAsia="zh-CN"/>
              </w:rPr>
              <w:t>单侧挂线</w:t>
            </w:r>
            <w:r>
              <w:rPr>
                <w:rFonts w:hint="default" w:ascii="Times New Roman" w:hAnsi="Times New Roman" w:eastAsia="宋体" w:cs="Times New Roman"/>
                <w:b/>
                <w:bCs/>
                <w:color w:val="auto"/>
                <w:sz w:val="21"/>
                <w:szCs w:val="21"/>
                <w:lang w:eastAsia="zh-CN"/>
              </w:rPr>
              <w:t>）</w:t>
            </w:r>
          </w:p>
        </w:tc>
      </w:tr>
      <w:tr w14:paraId="160EA5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76DDBFCA">
            <w:pPr>
              <w:pStyle w:val="13"/>
              <w:adjustRightInd w:val="0"/>
              <w:snapToGrid w:val="0"/>
              <w:spacing w:after="0" w:line="240" w:lineRule="auto"/>
              <w:ind w:left="0" w:lef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color w:val="auto"/>
                <w:sz w:val="21"/>
                <w:szCs w:val="21"/>
              </w:rPr>
              <w:t>预测塔型</w:t>
            </w:r>
          </w:p>
        </w:tc>
        <w:tc>
          <w:tcPr>
            <w:tcW w:w="3125" w:type="dxa"/>
            <w:tcBorders>
              <w:tl2br w:val="nil"/>
              <w:tr2bl w:val="nil"/>
            </w:tcBorders>
            <w:noWrap w:val="0"/>
            <w:vAlign w:val="center"/>
          </w:tcPr>
          <w:p w14:paraId="4DE560AE">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18"/>
                <w:szCs w:val="18"/>
                <w:highlight w:val="none"/>
                <w:lang w:val="en-US"/>
              </w:rPr>
            </w:pPr>
            <w:r>
              <w:rPr>
                <w:rFonts w:hint="default" w:ascii="Times New Roman" w:hAnsi="Times New Roman" w:eastAsia="宋体" w:cs="Times New Roman"/>
                <w:color w:val="auto"/>
                <w:sz w:val="21"/>
                <w:szCs w:val="21"/>
                <w:highlight w:val="none"/>
                <w:lang w:val="en-US" w:eastAsia="zh-CN"/>
              </w:rPr>
              <w:t>110-EC31D-</w:t>
            </w:r>
            <w:r>
              <w:rPr>
                <w:rFonts w:hint="eastAsia" w:cs="Times New Roman"/>
                <w:color w:val="auto"/>
                <w:sz w:val="21"/>
                <w:szCs w:val="21"/>
                <w:highlight w:val="none"/>
                <w:lang w:val="en-US" w:eastAsia="zh-CN"/>
              </w:rPr>
              <w:t>ZBCK</w:t>
            </w:r>
          </w:p>
        </w:tc>
        <w:tc>
          <w:tcPr>
            <w:tcW w:w="3030" w:type="dxa"/>
            <w:tcBorders>
              <w:tl2br w:val="nil"/>
              <w:tr2bl w:val="nil"/>
            </w:tcBorders>
            <w:noWrap w:val="0"/>
            <w:vAlign w:val="center"/>
          </w:tcPr>
          <w:p w14:paraId="3861F6B1">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21"/>
                <w:szCs w:val="21"/>
                <w:highlight w:val="none"/>
                <w:lang w:val="en-US" w:eastAsia="zh-CN"/>
              </w:rPr>
              <w:t>110-DC</w:t>
            </w:r>
            <w:r>
              <w:rPr>
                <w:rFonts w:hint="eastAsia" w:cs="Times New Roman"/>
                <w:color w:val="auto"/>
                <w:sz w:val="21"/>
                <w:szCs w:val="21"/>
                <w:highlight w:val="none"/>
                <w:lang w:val="en-US" w:eastAsia="zh-CN"/>
              </w:rPr>
              <w:t>42</w:t>
            </w:r>
            <w:r>
              <w:rPr>
                <w:rFonts w:hint="default" w:ascii="Times New Roman" w:hAnsi="Times New Roman" w:eastAsia="宋体" w:cs="Times New Roman"/>
                <w:color w:val="auto"/>
                <w:sz w:val="21"/>
                <w:szCs w:val="21"/>
                <w:highlight w:val="none"/>
                <w:lang w:val="en-US" w:eastAsia="zh-CN"/>
              </w:rPr>
              <w:t>D-</w:t>
            </w:r>
            <w:r>
              <w:rPr>
                <w:rFonts w:hint="eastAsia" w:cs="Times New Roman"/>
                <w:color w:val="auto"/>
                <w:sz w:val="21"/>
                <w:szCs w:val="21"/>
                <w:highlight w:val="none"/>
                <w:lang w:val="en-US" w:eastAsia="zh-CN"/>
              </w:rPr>
              <w:t>ZBCK</w:t>
            </w:r>
          </w:p>
        </w:tc>
        <w:tc>
          <w:tcPr>
            <w:tcW w:w="3472" w:type="dxa"/>
            <w:tcBorders>
              <w:tl2br w:val="nil"/>
              <w:tr2bl w:val="nil"/>
            </w:tcBorders>
            <w:noWrap w:val="0"/>
            <w:vAlign w:val="center"/>
          </w:tcPr>
          <w:p w14:paraId="423A7EB1">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110-EC31S-DJC</w:t>
            </w:r>
          </w:p>
        </w:tc>
        <w:tc>
          <w:tcPr>
            <w:tcW w:w="3318" w:type="dxa"/>
            <w:tcBorders>
              <w:tl2br w:val="nil"/>
              <w:tr2bl w:val="nil"/>
            </w:tcBorders>
            <w:noWrap w:val="0"/>
            <w:vAlign w:val="center"/>
          </w:tcPr>
          <w:p w14:paraId="6963FA69">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110-EC31S-DJC</w:t>
            </w:r>
          </w:p>
        </w:tc>
      </w:tr>
      <w:tr w14:paraId="10FB5B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680C0F2D">
            <w:pPr>
              <w:pStyle w:val="13"/>
              <w:adjustRightInd w:val="0"/>
              <w:snapToGrid w:val="0"/>
              <w:spacing w:after="0" w:line="240" w:lineRule="auto"/>
              <w:ind w:left="0" w:lef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color w:val="auto"/>
                <w:sz w:val="21"/>
                <w:szCs w:val="21"/>
              </w:rPr>
              <w:t>导线型式</w:t>
            </w:r>
          </w:p>
        </w:tc>
        <w:tc>
          <w:tcPr>
            <w:tcW w:w="3125" w:type="dxa"/>
            <w:tcBorders>
              <w:tl2br w:val="nil"/>
              <w:tr2bl w:val="nil"/>
            </w:tcBorders>
            <w:noWrap w:val="0"/>
            <w:vAlign w:val="center"/>
          </w:tcPr>
          <w:p w14:paraId="3B126B69">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2×JL3/G1A-240/30-24/7</w:t>
            </w:r>
          </w:p>
        </w:tc>
        <w:tc>
          <w:tcPr>
            <w:tcW w:w="3030" w:type="dxa"/>
            <w:tcBorders>
              <w:tl2br w:val="nil"/>
              <w:tr2bl w:val="nil"/>
            </w:tcBorders>
            <w:noWrap w:val="0"/>
            <w:vAlign w:val="center"/>
          </w:tcPr>
          <w:p w14:paraId="0B8AA8B5">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1×JL/G1A-240/40</w:t>
            </w:r>
          </w:p>
        </w:tc>
        <w:tc>
          <w:tcPr>
            <w:tcW w:w="3472" w:type="dxa"/>
            <w:tcBorders>
              <w:tl2br w:val="nil"/>
              <w:tr2bl w:val="nil"/>
            </w:tcBorders>
            <w:noWrap w:val="0"/>
            <w:vAlign w:val="center"/>
          </w:tcPr>
          <w:p w14:paraId="725B5191">
            <w:pPr>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2×JL3/G1A-240/30-24/7</w:t>
            </w:r>
          </w:p>
        </w:tc>
        <w:tc>
          <w:tcPr>
            <w:tcW w:w="3318" w:type="dxa"/>
            <w:tcBorders>
              <w:tl2br w:val="nil"/>
              <w:tr2bl w:val="nil"/>
            </w:tcBorders>
            <w:noWrap w:val="0"/>
            <w:vAlign w:val="center"/>
          </w:tcPr>
          <w:p w14:paraId="7FBDBE7A">
            <w:pPr>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highlight w:val="none"/>
                <w:lang w:val="en-US" w:eastAsia="zh-CN" w:bidi="ar"/>
              </w:rPr>
              <w:t>2×JL3/G1A-240/30-24/7</w:t>
            </w:r>
          </w:p>
        </w:tc>
      </w:tr>
      <w:tr w14:paraId="4B1CA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0FF3E854">
            <w:pPr>
              <w:pStyle w:val="13"/>
              <w:adjustRightInd w:val="0"/>
              <w:snapToGrid w:val="0"/>
              <w:spacing w:after="0" w:line="240" w:lineRule="auto"/>
              <w:ind w:left="0" w:lef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color w:val="auto"/>
                <w:sz w:val="21"/>
                <w:szCs w:val="21"/>
              </w:rPr>
              <w:t>导线排列方式</w:t>
            </w:r>
          </w:p>
        </w:tc>
        <w:tc>
          <w:tcPr>
            <w:tcW w:w="3125" w:type="dxa"/>
            <w:tcBorders>
              <w:tl2br w:val="nil"/>
              <w:tr2bl w:val="nil"/>
            </w:tcBorders>
            <w:noWrap w:val="0"/>
            <w:vAlign w:val="center"/>
          </w:tcPr>
          <w:p w14:paraId="105E28C8">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lang w:val="en-US" w:eastAsia="zh-CN"/>
              </w:rPr>
              <w:t>水平</w:t>
            </w:r>
            <w:r>
              <w:rPr>
                <w:rFonts w:hint="default" w:ascii="Times New Roman" w:hAnsi="Times New Roman" w:eastAsia="宋体" w:cs="Times New Roman"/>
                <w:color w:val="auto"/>
                <w:sz w:val="21"/>
                <w:szCs w:val="21"/>
              </w:rPr>
              <w:t>排列</w:t>
            </w:r>
          </w:p>
        </w:tc>
        <w:tc>
          <w:tcPr>
            <w:tcW w:w="3030" w:type="dxa"/>
            <w:tcBorders>
              <w:tl2br w:val="nil"/>
              <w:tr2bl w:val="nil"/>
            </w:tcBorders>
            <w:noWrap w:val="0"/>
            <w:vAlign w:val="center"/>
          </w:tcPr>
          <w:p w14:paraId="73E96EC7">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水平</w:t>
            </w:r>
            <w:r>
              <w:rPr>
                <w:rFonts w:hint="default" w:ascii="Times New Roman" w:hAnsi="Times New Roman" w:eastAsia="宋体" w:cs="Times New Roman"/>
                <w:color w:val="auto"/>
                <w:sz w:val="21"/>
                <w:szCs w:val="21"/>
              </w:rPr>
              <w:t>排列</w:t>
            </w:r>
          </w:p>
        </w:tc>
        <w:tc>
          <w:tcPr>
            <w:tcW w:w="3472" w:type="dxa"/>
            <w:tcBorders>
              <w:tl2br w:val="nil"/>
              <w:tr2bl w:val="nil"/>
            </w:tcBorders>
            <w:noWrap w:val="0"/>
            <w:vAlign w:val="center"/>
          </w:tcPr>
          <w:p w14:paraId="20E39946">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rPr>
              <w:t>垂直排列</w:t>
            </w:r>
          </w:p>
        </w:tc>
        <w:tc>
          <w:tcPr>
            <w:tcW w:w="3318" w:type="dxa"/>
            <w:tcBorders>
              <w:tl2br w:val="nil"/>
              <w:tr2bl w:val="nil"/>
            </w:tcBorders>
            <w:noWrap w:val="0"/>
            <w:vAlign w:val="center"/>
          </w:tcPr>
          <w:p w14:paraId="764C3EEF">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垂直排列</w:t>
            </w:r>
          </w:p>
        </w:tc>
      </w:tr>
      <w:tr w14:paraId="564816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335C236D">
            <w:pPr>
              <w:pStyle w:val="13"/>
              <w:adjustRightInd w:val="0"/>
              <w:snapToGrid w:val="0"/>
              <w:spacing w:after="0" w:line="240" w:lineRule="auto"/>
              <w:ind w:left="0" w:lef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color w:val="auto"/>
                <w:sz w:val="21"/>
                <w:szCs w:val="21"/>
              </w:rPr>
              <w:t>分裂型式</w:t>
            </w:r>
          </w:p>
        </w:tc>
        <w:tc>
          <w:tcPr>
            <w:tcW w:w="3125" w:type="dxa"/>
            <w:tcBorders>
              <w:tl2br w:val="nil"/>
              <w:tr2bl w:val="nil"/>
            </w:tcBorders>
            <w:noWrap w:val="0"/>
            <w:vAlign w:val="center"/>
          </w:tcPr>
          <w:p w14:paraId="38A1B6B3">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分裂</w:t>
            </w:r>
          </w:p>
        </w:tc>
        <w:tc>
          <w:tcPr>
            <w:tcW w:w="3030" w:type="dxa"/>
            <w:tcBorders>
              <w:tl2br w:val="nil"/>
              <w:tr2bl w:val="nil"/>
            </w:tcBorders>
            <w:noWrap w:val="0"/>
            <w:vAlign w:val="center"/>
          </w:tcPr>
          <w:p w14:paraId="673BFEE2">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不分裂</w:t>
            </w:r>
          </w:p>
        </w:tc>
        <w:tc>
          <w:tcPr>
            <w:tcW w:w="3472" w:type="dxa"/>
            <w:tcBorders>
              <w:tl2br w:val="nil"/>
              <w:tr2bl w:val="nil"/>
            </w:tcBorders>
            <w:noWrap w:val="0"/>
            <w:vAlign w:val="center"/>
          </w:tcPr>
          <w:p w14:paraId="5316F09E">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分裂</w:t>
            </w:r>
          </w:p>
        </w:tc>
        <w:tc>
          <w:tcPr>
            <w:tcW w:w="3318" w:type="dxa"/>
            <w:tcBorders>
              <w:tl2br w:val="nil"/>
              <w:tr2bl w:val="nil"/>
            </w:tcBorders>
            <w:noWrap w:val="0"/>
            <w:vAlign w:val="center"/>
          </w:tcPr>
          <w:p w14:paraId="4CE4D1F5">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分裂</w:t>
            </w:r>
          </w:p>
        </w:tc>
      </w:tr>
      <w:tr w14:paraId="13C63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347ED500">
            <w:pPr>
              <w:pStyle w:val="13"/>
              <w:adjustRightInd w:val="0"/>
              <w:snapToGrid w:val="0"/>
              <w:spacing w:after="0"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rPr>
              <w:t>导线外径</w:t>
            </w:r>
          </w:p>
        </w:tc>
        <w:tc>
          <w:tcPr>
            <w:tcW w:w="3125" w:type="dxa"/>
            <w:tcBorders>
              <w:tl2br w:val="nil"/>
              <w:tr2bl w:val="nil"/>
            </w:tcBorders>
            <w:noWrap w:val="0"/>
            <w:vAlign w:val="center"/>
          </w:tcPr>
          <w:p w14:paraId="058EB6B0">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21.6</w:t>
            </w:r>
            <w:r>
              <w:rPr>
                <w:rFonts w:hint="default" w:ascii="Times New Roman" w:hAnsi="Times New Roman" w:eastAsia="宋体" w:cs="Times New Roman"/>
                <w:color w:val="auto"/>
                <w:sz w:val="21"/>
                <w:szCs w:val="21"/>
              </w:rPr>
              <w:t>mm</w:t>
            </w:r>
          </w:p>
        </w:tc>
        <w:tc>
          <w:tcPr>
            <w:tcW w:w="3030" w:type="dxa"/>
            <w:tcBorders>
              <w:tl2br w:val="nil"/>
              <w:tr2bl w:val="nil"/>
            </w:tcBorders>
            <w:noWrap w:val="0"/>
            <w:vAlign w:val="center"/>
          </w:tcPr>
          <w:p w14:paraId="22A05772">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21.7</w:t>
            </w:r>
            <w:r>
              <w:rPr>
                <w:rFonts w:hint="default" w:ascii="Times New Roman" w:hAnsi="Times New Roman" w:eastAsia="宋体" w:cs="Times New Roman"/>
                <w:color w:val="auto"/>
                <w:sz w:val="21"/>
                <w:szCs w:val="21"/>
                <w:highlight w:val="none"/>
              </w:rPr>
              <w:t>mm</w:t>
            </w:r>
          </w:p>
        </w:tc>
        <w:tc>
          <w:tcPr>
            <w:tcW w:w="3472" w:type="dxa"/>
            <w:tcBorders>
              <w:tl2br w:val="nil"/>
              <w:tr2bl w:val="nil"/>
            </w:tcBorders>
            <w:noWrap w:val="0"/>
            <w:vAlign w:val="center"/>
          </w:tcPr>
          <w:p w14:paraId="5508602B">
            <w:pPr>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21.6</w:t>
            </w:r>
            <w:r>
              <w:rPr>
                <w:rFonts w:hint="default" w:ascii="Times New Roman" w:hAnsi="Times New Roman" w:eastAsia="宋体" w:cs="Times New Roman"/>
                <w:color w:val="auto"/>
                <w:sz w:val="21"/>
                <w:szCs w:val="21"/>
              </w:rPr>
              <w:t>mm</w:t>
            </w:r>
          </w:p>
        </w:tc>
        <w:tc>
          <w:tcPr>
            <w:tcW w:w="3318" w:type="dxa"/>
            <w:tcBorders>
              <w:tl2br w:val="nil"/>
              <w:tr2bl w:val="nil"/>
            </w:tcBorders>
            <w:noWrap w:val="0"/>
            <w:vAlign w:val="center"/>
          </w:tcPr>
          <w:p w14:paraId="5AA87E5F">
            <w:pPr>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21.6</w:t>
            </w:r>
            <w:r>
              <w:rPr>
                <w:rFonts w:hint="default" w:ascii="Times New Roman" w:hAnsi="Times New Roman" w:eastAsia="宋体" w:cs="Times New Roman"/>
                <w:color w:val="auto"/>
                <w:sz w:val="21"/>
                <w:szCs w:val="21"/>
              </w:rPr>
              <w:t>mm</w:t>
            </w:r>
          </w:p>
        </w:tc>
      </w:tr>
      <w:tr w14:paraId="52E0C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16D3A52D">
            <w:pPr>
              <w:pStyle w:val="13"/>
              <w:adjustRightInd w:val="0"/>
              <w:snapToGrid w:val="0"/>
              <w:spacing w:after="0" w:line="240" w:lineRule="auto"/>
              <w:ind w:left="0" w:lef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color w:val="auto"/>
                <w:sz w:val="21"/>
                <w:szCs w:val="21"/>
              </w:rPr>
              <w:t>分裂间距</w:t>
            </w:r>
          </w:p>
        </w:tc>
        <w:tc>
          <w:tcPr>
            <w:tcW w:w="3125" w:type="dxa"/>
            <w:tcBorders>
              <w:tl2br w:val="nil"/>
              <w:tr2bl w:val="nil"/>
            </w:tcBorders>
            <w:noWrap w:val="0"/>
            <w:vAlign w:val="center"/>
          </w:tcPr>
          <w:p w14:paraId="21FE3BD3">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00mm</w:t>
            </w:r>
          </w:p>
        </w:tc>
        <w:tc>
          <w:tcPr>
            <w:tcW w:w="3030" w:type="dxa"/>
            <w:tcBorders>
              <w:tl2br w:val="nil"/>
              <w:tr2bl w:val="nil"/>
            </w:tcBorders>
            <w:noWrap w:val="0"/>
            <w:vAlign w:val="center"/>
          </w:tcPr>
          <w:p w14:paraId="7EA32C3B">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72" w:type="dxa"/>
            <w:tcBorders>
              <w:tl2br w:val="nil"/>
              <w:tr2bl w:val="nil"/>
            </w:tcBorders>
            <w:noWrap w:val="0"/>
            <w:vAlign w:val="center"/>
          </w:tcPr>
          <w:p w14:paraId="0AF467E7">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00mm</w:t>
            </w:r>
          </w:p>
        </w:tc>
        <w:tc>
          <w:tcPr>
            <w:tcW w:w="3318" w:type="dxa"/>
            <w:tcBorders>
              <w:tl2br w:val="nil"/>
              <w:tr2bl w:val="nil"/>
            </w:tcBorders>
            <w:noWrap w:val="0"/>
            <w:vAlign w:val="center"/>
          </w:tcPr>
          <w:p w14:paraId="3CE4532A">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00mm</w:t>
            </w:r>
          </w:p>
        </w:tc>
      </w:tr>
      <w:tr w14:paraId="290760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7C8399C8">
            <w:pPr>
              <w:pStyle w:val="13"/>
              <w:adjustRightInd w:val="0"/>
              <w:snapToGrid w:val="0"/>
              <w:spacing w:after="0" w:line="240" w:lineRule="auto"/>
              <w:ind w:left="0" w:lef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color w:val="auto"/>
                <w:sz w:val="21"/>
                <w:szCs w:val="21"/>
              </w:rPr>
              <w:t>预测电压</w:t>
            </w:r>
          </w:p>
        </w:tc>
        <w:tc>
          <w:tcPr>
            <w:tcW w:w="3125" w:type="dxa"/>
            <w:tcBorders>
              <w:tl2br w:val="nil"/>
              <w:tr2bl w:val="nil"/>
            </w:tcBorders>
            <w:noWrap w:val="0"/>
            <w:vAlign w:val="center"/>
          </w:tcPr>
          <w:p w14:paraId="2253A396">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lang w:val="en-US" w:eastAsia="zh-CN"/>
              </w:rPr>
              <w:t>115.5千伏</w:t>
            </w:r>
          </w:p>
        </w:tc>
        <w:tc>
          <w:tcPr>
            <w:tcW w:w="3030" w:type="dxa"/>
            <w:tcBorders>
              <w:tl2br w:val="nil"/>
              <w:tr2bl w:val="nil"/>
            </w:tcBorders>
            <w:noWrap w:val="0"/>
            <w:vAlign w:val="center"/>
          </w:tcPr>
          <w:p w14:paraId="56F47EB4">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115.5千伏</w:t>
            </w:r>
          </w:p>
        </w:tc>
        <w:tc>
          <w:tcPr>
            <w:tcW w:w="3472" w:type="dxa"/>
            <w:tcBorders>
              <w:tl2br w:val="nil"/>
              <w:tr2bl w:val="nil"/>
            </w:tcBorders>
            <w:noWrap w:val="0"/>
            <w:vAlign w:val="center"/>
          </w:tcPr>
          <w:p w14:paraId="31B999D9">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lang w:val="en-US" w:eastAsia="zh-CN"/>
              </w:rPr>
              <w:t>115.5千伏</w:t>
            </w:r>
          </w:p>
        </w:tc>
        <w:tc>
          <w:tcPr>
            <w:tcW w:w="3318" w:type="dxa"/>
            <w:tcBorders>
              <w:tl2br w:val="nil"/>
              <w:tr2bl w:val="nil"/>
            </w:tcBorders>
            <w:noWrap w:val="0"/>
            <w:vAlign w:val="center"/>
          </w:tcPr>
          <w:p w14:paraId="331CC4F1">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115.5千伏</w:t>
            </w:r>
          </w:p>
        </w:tc>
      </w:tr>
      <w:tr w14:paraId="226FFB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0F21C36C">
            <w:pPr>
              <w:adjustRightInd w:val="0"/>
              <w:snapToGrid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rPr>
              <w:t>预测电流</w:t>
            </w:r>
          </w:p>
        </w:tc>
        <w:tc>
          <w:tcPr>
            <w:tcW w:w="3125" w:type="dxa"/>
            <w:tcBorders>
              <w:tl2br w:val="nil"/>
              <w:tr2bl w:val="nil"/>
            </w:tcBorders>
            <w:noWrap w:val="0"/>
            <w:vAlign w:val="center"/>
          </w:tcPr>
          <w:p w14:paraId="732F2A5D">
            <w:pPr>
              <w:adjustRightInd w:val="0"/>
              <w:snapToGrid w:val="0"/>
              <w:spacing w:line="240" w:lineRule="auto"/>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1"/>
                <w:szCs w:val="21"/>
                <w:highlight w:val="none"/>
                <w:lang w:val="en-US" w:eastAsia="zh-CN"/>
              </w:rPr>
              <w:t>598</w:t>
            </w:r>
            <w:r>
              <w:rPr>
                <w:rFonts w:hint="default" w:ascii="Times New Roman" w:hAnsi="Times New Roman" w:eastAsia="宋体" w:cs="Times New Roman"/>
                <w:color w:val="auto"/>
                <w:sz w:val="21"/>
                <w:szCs w:val="21"/>
                <w:highlight w:val="none"/>
              </w:rPr>
              <w:t>A</w:t>
            </w:r>
          </w:p>
        </w:tc>
        <w:tc>
          <w:tcPr>
            <w:tcW w:w="3030" w:type="dxa"/>
            <w:tcBorders>
              <w:tl2br w:val="nil"/>
              <w:tr2bl w:val="nil"/>
            </w:tcBorders>
            <w:noWrap w:val="0"/>
            <w:vAlign w:val="center"/>
          </w:tcPr>
          <w:p w14:paraId="4FE3710E">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598</w:t>
            </w:r>
            <w:r>
              <w:rPr>
                <w:rFonts w:hint="default" w:ascii="Times New Roman" w:hAnsi="Times New Roman" w:eastAsia="宋体" w:cs="Times New Roman"/>
                <w:color w:val="auto"/>
                <w:sz w:val="21"/>
                <w:szCs w:val="21"/>
                <w:highlight w:val="none"/>
              </w:rPr>
              <w:t>A</w:t>
            </w:r>
          </w:p>
        </w:tc>
        <w:tc>
          <w:tcPr>
            <w:tcW w:w="3472" w:type="dxa"/>
            <w:tcBorders>
              <w:tl2br w:val="nil"/>
              <w:tr2bl w:val="nil"/>
            </w:tcBorders>
            <w:noWrap w:val="0"/>
            <w:vAlign w:val="center"/>
          </w:tcPr>
          <w:p w14:paraId="79A41FAE">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598</w:t>
            </w:r>
            <w:r>
              <w:rPr>
                <w:rFonts w:hint="default" w:ascii="Times New Roman" w:hAnsi="Times New Roman" w:eastAsia="宋体" w:cs="Times New Roman"/>
                <w:color w:val="auto"/>
                <w:sz w:val="21"/>
                <w:szCs w:val="21"/>
                <w:highlight w:val="none"/>
              </w:rPr>
              <w:t>A</w:t>
            </w:r>
          </w:p>
        </w:tc>
        <w:tc>
          <w:tcPr>
            <w:tcW w:w="3318" w:type="dxa"/>
            <w:tcBorders>
              <w:tl2br w:val="nil"/>
              <w:tr2bl w:val="nil"/>
            </w:tcBorders>
            <w:noWrap w:val="0"/>
            <w:vAlign w:val="center"/>
          </w:tcPr>
          <w:p w14:paraId="3CAD7E16">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598</w:t>
            </w:r>
            <w:r>
              <w:rPr>
                <w:rFonts w:hint="default" w:ascii="Times New Roman" w:hAnsi="Times New Roman" w:eastAsia="宋体" w:cs="Times New Roman"/>
                <w:color w:val="auto"/>
                <w:sz w:val="21"/>
                <w:szCs w:val="21"/>
                <w:highlight w:val="none"/>
              </w:rPr>
              <w:t>A</w:t>
            </w:r>
          </w:p>
        </w:tc>
      </w:tr>
      <w:tr w14:paraId="7F85A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468AA2C4">
            <w:pPr>
              <w:pStyle w:val="13"/>
              <w:adjustRightInd w:val="0"/>
              <w:snapToGrid w:val="0"/>
              <w:spacing w:after="0" w:line="240" w:lineRule="auto"/>
              <w:ind w:left="0" w:lef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color w:val="auto"/>
                <w:sz w:val="21"/>
                <w:szCs w:val="21"/>
              </w:rPr>
              <w:t>计算点距地高</w:t>
            </w:r>
          </w:p>
        </w:tc>
        <w:tc>
          <w:tcPr>
            <w:tcW w:w="3125" w:type="dxa"/>
            <w:tcBorders>
              <w:tl2br w:val="nil"/>
              <w:tr2bl w:val="nil"/>
            </w:tcBorders>
            <w:noWrap w:val="0"/>
            <w:vAlign w:val="center"/>
          </w:tcPr>
          <w:p w14:paraId="3DF5040D">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rPr>
              <w:t>1.5m</w:t>
            </w:r>
          </w:p>
        </w:tc>
        <w:tc>
          <w:tcPr>
            <w:tcW w:w="3030" w:type="dxa"/>
            <w:tcBorders>
              <w:tl2br w:val="nil"/>
              <w:tr2bl w:val="nil"/>
            </w:tcBorders>
            <w:noWrap w:val="0"/>
            <w:vAlign w:val="center"/>
          </w:tcPr>
          <w:p w14:paraId="13E906EF">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p>
        </w:tc>
        <w:tc>
          <w:tcPr>
            <w:tcW w:w="3472" w:type="dxa"/>
            <w:tcBorders>
              <w:tl2br w:val="nil"/>
              <w:tr2bl w:val="nil"/>
            </w:tcBorders>
            <w:noWrap w:val="0"/>
            <w:vAlign w:val="center"/>
          </w:tcPr>
          <w:p w14:paraId="66DE3B23">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rPr>
              <w:t>1.5m</w:t>
            </w:r>
          </w:p>
        </w:tc>
        <w:tc>
          <w:tcPr>
            <w:tcW w:w="3318" w:type="dxa"/>
            <w:tcBorders>
              <w:tl2br w:val="nil"/>
              <w:tr2bl w:val="nil"/>
            </w:tcBorders>
            <w:noWrap w:val="0"/>
            <w:vAlign w:val="center"/>
          </w:tcPr>
          <w:p w14:paraId="7928978A">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p>
        </w:tc>
      </w:tr>
      <w:tr w14:paraId="73308A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001A4475">
            <w:pPr>
              <w:pStyle w:val="13"/>
              <w:adjustRightInd w:val="0"/>
              <w:snapToGrid w:val="0"/>
              <w:spacing w:after="0" w:line="240" w:lineRule="auto"/>
              <w:ind w:left="0" w:lef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color w:val="auto"/>
                <w:sz w:val="21"/>
                <w:szCs w:val="21"/>
              </w:rPr>
              <w:t>导线计算高度</w:t>
            </w:r>
          </w:p>
        </w:tc>
        <w:tc>
          <w:tcPr>
            <w:tcW w:w="3125" w:type="dxa"/>
            <w:tcBorders>
              <w:tl2br w:val="nil"/>
              <w:tr2bl w:val="nil"/>
            </w:tcBorders>
            <w:noWrap w:val="0"/>
            <w:vAlign w:val="center"/>
          </w:tcPr>
          <w:p w14:paraId="2D63CB6B">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lang w:val="en-US" w:eastAsia="zh-CN"/>
              </w:rPr>
              <w:t>12.3</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来源于设计文件</w:t>
            </w:r>
            <w:r>
              <w:rPr>
                <w:rFonts w:hint="default" w:ascii="Times New Roman" w:hAnsi="Times New Roman" w:eastAsia="宋体" w:cs="Times New Roman"/>
                <w:color w:val="auto"/>
                <w:sz w:val="21"/>
                <w:szCs w:val="21"/>
                <w:lang w:eastAsia="zh-CN"/>
              </w:rPr>
              <w:t>）</w:t>
            </w:r>
          </w:p>
        </w:tc>
        <w:tc>
          <w:tcPr>
            <w:tcW w:w="3030" w:type="dxa"/>
            <w:tcBorders>
              <w:tl2br w:val="nil"/>
              <w:tr2bl w:val="nil"/>
            </w:tcBorders>
            <w:noWrap w:val="0"/>
            <w:vAlign w:val="center"/>
          </w:tcPr>
          <w:p w14:paraId="19368576">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35.3</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来源于设计文件</w:t>
            </w:r>
            <w:r>
              <w:rPr>
                <w:rFonts w:hint="default" w:ascii="Times New Roman" w:hAnsi="Times New Roman" w:eastAsia="宋体" w:cs="Times New Roman"/>
                <w:color w:val="auto"/>
                <w:sz w:val="21"/>
                <w:szCs w:val="21"/>
                <w:lang w:eastAsia="zh-CN"/>
              </w:rPr>
              <w:t>）</w:t>
            </w:r>
          </w:p>
        </w:tc>
        <w:tc>
          <w:tcPr>
            <w:tcW w:w="3472" w:type="dxa"/>
            <w:tcBorders>
              <w:tl2br w:val="nil"/>
              <w:tr2bl w:val="nil"/>
            </w:tcBorders>
            <w:noWrap w:val="0"/>
            <w:vAlign w:val="center"/>
          </w:tcPr>
          <w:p w14:paraId="25949071">
            <w:pPr>
              <w:pStyle w:val="13"/>
              <w:adjustRightInd w:val="0"/>
              <w:snapToGrid w:val="0"/>
              <w:spacing w:after="0" w:line="240" w:lineRule="auto"/>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来源于设计文件</w:t>
            </w:r>
            <w:r>
              <w:rPr>
                <w:rFonts w:hint="default" w:ascii="Times New Roman" w:hAnsi="Times New Roman" w:eastAsia="宋体" w:cs="Times New Roman"/>
                <w:color w:val="auto"/>
                <w:sz w:val="21"/>
                <w:szCs w:val="21"/>
                <w:lang w:eastAsia="zh-CN"/>
              </w:rPr>
              <w:t>）</w:t>
            </w:r>
          </w:p>
        </w:tc>
        <w:tc>
          <w:tcPr>
            <w:tcW w:w="3318" w:type="dxa"/>
            <w:tcBorders>
              <w:tl2br w:val="nil"/>
              <w:tr2bl w:val="nil"/>
            </w:tcBorders>
            <w:noWrap w:val="0"/>
            <w:vAlign w:val="center"/>
          </w:tcPr>
          <w:p w14:paraId="4737BC52">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来源于设计文件</w:t>
            </w:r>
            <w:r>
              <w:rPr>
                <w:rFonts w:hint="default" w:ascii="Times New Roman" w:hAnsi="Times New Roman" w:eastAsia="宋体" w:cs="Times New Roman"/>
                <w:color w:val="auto"/>
                <w:sz w:val="21"/>
                <w:szCs w:val="21"/>
                <w:lang w:eastAsia="zh-CN"/>
              </w:rPr>
              <w:t>）</w:t>
            </w:r>
          </w:p>
        </w:tc>
      </w:tr>
      <w:tr w14:paraId="194CB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4D6063C0">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计算距离</w:t>
            </w:r>
          </w:p>
        </w:tc>
        <w:tc>
          <w:tcPr>
            <w:tcW w:w="3125" w:type="dxa"/>
            <w:tcBorders>
              <w:tl2br w:val="nil"/>
              <w:tr2bl w:val="nil"/>
            </w:tcBorders>
            <w:noWrap w:val="0"/>
            <w:vAlign w:val="center"/>
          </w:tcPr>
          <w:p w14:paraId="442C971F">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rPr>
              <w:t>m</w:t>
            </w:r>
          </w:p>
        </w:tc>
        <w:tc>
          <w:tcPr>
            <w:tcW w:w="3030" w:type="dxa"/>
            <w:tcBorders>
              <w:tl2br w:val="nil"/>
              <w:tr2bl w:val="nil"/>
            </w:tcBorders>
            <w:noWrap w:val="0"/>
            <w:vAlign w:val="center"/>
          </w:tcPr>
          <w:p w14:paraId="026ABB9C">
            <w:pPr>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rPr>
              <w:t>m</w:t>
            </w:r>
          </w:p>
        </w:tc>
        <w:tc>
          <w:tcPr>
            <w:tcW w:w="3472" w:type="dxa"/>
            <w:tcBorders>
              <w:tl2br w:val="nil"/>
              <w:tr2bl w:val="nil"/>
            </w:tcBorders>
            <w:noWrap w:val="0"/>
            <w:vAlign w:val="center"/>
          </w:tcPr>
          <w:p w14:paraId="68009BF3">
            <w:pPr>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rPr>
              <w:t>m</w:t>
            </w:r>
          </w:p>
        </w:tc>
        <w:tc>
          <w:tcPr>
            <w:tcW w:w="3318" w:type="dxa"/>
            <w:tcBorders>
              <w:tl2br w:val="nil"/>
              <w:tr2bl w:val="nil"/>
            </w:tcBorders>
            <w:noWrap w:val="0"/>
            <w:vAlign w:val="center"/>
          </w:tcPr>
          <w:p w14:paraId="42E153D6">
            <w:pPr>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rPr>
              <w:t>m</w:t>
            </w:r>
          </w:p>
        </w:tc>
      </w:tr>
      <w:tr w14:paraId="17817B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47A51C67">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相序</w:t>
            </w:r>
          </w:p>
        </w:tc>
        <w:tc>
          <w:tcPr>
            <w:tcW w:w="3125" w:type="dxa"/>
            <w:tcBorders>
              <w:tl2br w:val="nil"/>
              <w:tr2bl w:val="nil"/>
            </w:tcBorders>
            <w:noWrap w:val="0"/>
            <w:vAlign w:val="center"/>
          </w:tcPr>
          <w:p w14:paraId="1E1771C9">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3030" w:type="dxa"/>
            <w:tcBorders>
              <w:tl2br w:val="nil"/>
              <w:tr2bl w:val="nil"/>
            </w:tcBorders>
            <w:noWrap w:val="0"/>
            <w:vAlign w:val="center"/>
          </w:tcPr>
          <w:p w14:paraId="07547517">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72" w:type="dxa"/>
            <w:tcBorders>
              <w:tl2br w:val="nil"/>
              <w:tr2bl w:val="nil"/>
            </w:tcBorders>
            <w:noWrap w:val="0"/>
            <w:vAlign w:val="center"/>
          </w:tcPr>
          <w:p w14:paraId="774F89DF">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异相序</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BAC-BCA</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设计提供</w:t>
            </w:r>
            <w:r>
              <w:rPr>
                <w:rFonts w:hint="default" w:ascii="Times New Roman" w:hAnsi="Times New Roman" w:eastAsia="宋体" w:cs="Times New Roman"/>
                <w:color w:val="auto"/>
                <w:sz w:val="21"/>
                <w:szCs w:val="21"/>
                <w:lang w:eastAsia="zh-CN"/>
              </w:rPr>
              <w:t>）</w:t>
            </w:r>
          </w:p>
        </w:tc>
        <w:tc>
          <w:tcPr>
            <w:tcW w:w="3318" w:type="dxa"/>
            <w:tcBorders>
              <w:tl2br w:val="nil"/>
              <w:tr2bl w:val="nil"/>
            </w:tcBorders>
            <w:noWrap w:val="0"/>
            <w:vAlign w:val="center"/>
          </w:tcPr>
          <w:p w14:paraId="579F93DB">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异相序</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BAC-BCA</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设计提供</w:t>
            </w:r>
            <w:r>
              <w:rPr>
                <w:rFonts w:hint="default" w:ascii="Times New Roman" w:hAnsi="Times New Roman" w:eastAsia="宋体" w:cs="Times New Roman"/>
                <w:color w:val="auto"/>
                <w:sz w:val="21"/>
                <w:szCs w:val="21"/>
                <w:lang w:eastAsia="zh-CN"/>
              </w:rPr>
              <w:t>）</w:t>
            </w:r>
          </w:p>
        </w:tc>
      </w:tr>
      <w:tr w14:paraId="7B95B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6DF8F4DF">
            <w:pPr>
              <w:pStyle w:val="13"/>
              <w:adjustRightInd w:val="0"/>
              <w:snapToGrid w:val="0"/>
              <w:spacing w:after="0" w:line="240" w:lineRule="auto"/>
              <w:ind w:left="0" w:leftChars="0" w:firstLine="0" w:firstLineChars="0"/>
              <w:jc w:val="center"/>
              <w:rPr>
                <w:rFonts w:hint="default" w:ascii="Times New Roman" w:hAnsi="Times New Roman" w:eastAsia="宋体" w:cs="Times New Roman"/>
                <w:color w:val="auto"/>
                <w:sz w:val="21"/>
                <w:szCs w:val="21"/>
              </w:rPr>
            </w:pPr>
          </w:p>
        </w:tc>
        <w:tc>
          <w:tcPr>
            <w:tcW w:w="3125" w:type="dxa"/>
            <w:tcBorders>
              <w:tl2br w:val="nil"/>
              <w:tr2bl w:val="nil"/>
            </w:tcBorders>
            <w:noWrap w:val="0"/>
            <w:vAlign w:val="bottom"/>
          </w:tcPr>
          <w:p w14:paraId="4759563E">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object>
                <v:shape id="_x0000_i1048" o:spt="75" type="#_x0000_t75" style="height:118.65pt;width:141.3pt;" o:ole="t" filled="f" o:preferrelative="t" stroked="t" coordsize="21600,21600">
                  <v:path/>
                  <v:fill on="f" focussize="0,0"/>
                  <v:stroke color="#000000" joinstyle="miter"/>
                  <v:imagedata r:id="rId104" o:title=""/>
                  <o:lock v:ext="edit" aspectratio="f"/>
                  <w10:wrap type="none"/>
                  <w10:anchorlock/>
                </v:shape>
                <o:OLEObject Type="Embed" ProgID="Visio.Drawing.11" ShapeID="_x0000_i1048" DrawAspect="Content" ObjectID="_1468075748" r:id="rId103">
                  <o:LockedField>false</o:LockedField>
                </o:OLEObject>
              </w:object>
            </w:r>
          </w:p>
          <w:p w14:paraId="5E33E53F">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4"/>
                <w:highlight w:val="none"/>
              </w:rPr>
            </w:pPr>
          </w:p>
          <w:p w14:paraId="17502BAB">
            <w:pPr>
              <w:pStyle w:val="27"/>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color w:val="auto"/>
                <w:kern w:val="2"/>
                <w:sz w:val="24"/>
                <w:szCs w:val="24"/>
                <w:highlight w:val="none"/>
                <w:lang w:val="en-US" w:eastAsia="zh-CN" w:bidi="ar-SA"/>
              </w:rPr>
            </w:pPr>
          </w:p>
        </w:tc>
        <w:tc>
          <w:tcPr>
            <w:tcW w:w="3030" w:type="dxa"/>
            <w:tcBorders>
              <w:tl2br w:val="nil"/>
              <w:tr2bl w:val="nil"/>
            </w:tcBorders>
            <w:noWrap w:val="0"/>
            <w:vAlign w:val="bottom"/>
          </w:tcPr>
          <w:p w14:paraId="3F7CCB76">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object>
                <v:shape id="_x0000_i1049" o:spt="75" type="#_x0000_t75" style="height:118.65pt;width:141.3pt;" o:ole="t" filled="f" o:preferrelative="t" stroked="t" coordsize="21600,21600">
                  <v:path/>
                  <v:fill on="f" focussize="0,0"/>
                  <v:stroke color="#000000" joinstyle="miter"/>
                  <v:imagedata r:id="rId106" o:title=""/>
                  <o:lock v:ext="edit" aspectratio="f"/>
                  <w10:wrap type="none"/>
                  <w10:anchorlock/>
                </v:shape>
                <o:OLEObject Type="Embed" ProgID="Visio.Drawing.11" ShapeID="_x0000_i1049" DrawAspect="Content" ObjectID="_1468075749" r:id="rId105">
                  <o:LockedField>false</o:LockedField>
                </o:OLEObject>
              </w:object>
            </w:r>
          </w:p>
          <w:p w14:paraId="2B0122BD">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4"/>
                <w:highlight w:val="none"/>
              </w:rPr>
            </w:pPr>
          </w:p>
          <w:p w14:paraId="7D8A89F3">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4"/>
                <w:highlight w:val="none"/>
                <w:lang w:val="en-US" w:eastAsia="zh-CN"/>
              </w:rPr>
            </w:pPr>
          </w:p>
        </w:tc>
        <w:tc>
          <w:tcPr>
            <w:tcW w:w="3472" w:type="dxa"/>
            <w:tcBorders>
              <w:tl2br w:val="nil"/>
              <w:tr2bl w:val="nil"/>
            </w:tcBorders>
            <w:noWrap w:val="0"/>
            <w:vAlign w:val="bottom"/>
          </w:tcPr>
          <w:p w14:paraId="4D8A2B55">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b/>
                <w:color w:val="auto"/>
                <w:sz w:val="24"/>
                <w:highlight w:val="none"/>
              </w:rPr>
              <w:object>
                <v:shape id="_x0000_i1050" o:spt="75" type="#_x0000_t75" style="height:191.6pt;width:148.55pt;" o:ole="t" filled="f" o:preferrelative="t" stroked="t" coordsize="21600,21600">
                  <v:path/>
                  <v:fill on="f" focussize="0,0"/>
                  <v:stroke color="#000000" joinstyle="miter"/>
                  <v:imagedata r:id="rId108" o:title=""/>
                  <o:lock v:ext="edit" aspectratio="f"/>
                  <w10:wrap type="none"/>
                  <w10:anchorlock/>
                </v:shape>
                <o:OLEObject Type="Embed" ProgID="Visio.Drawing.11" ShapeID="_x0000_i1050" DrawAspect="Content" ObjectID="_1468075750" r:id="rId107">
                  <o:LockedField>false</o:LockedField>
                </o:OLEObject>
              </w:object>
            </w:r>
          </w:p>
        </w:tc>
        <w:tc>
          <w:tcPr>
            <w:tcW w:w="3318" w:type="dxa"/>
            <w:tcBorders>
              <w:tl2br w:val="nil"/>
              <w:tr2bl w:val="nil"/>
            </w:tcBorders>
            <w:noWrap w:val="0"/>
            <w:vAlign w:val="bottom"/>
          </w:tcPr>
          <w:p w14:paraId="61F3BBE2">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b/>
                <w:color w:val="auto"/>
                <w:sz w:val="24"/>
                <w:highlight w:val="none"/>
              </w:rPr>
              <w:object>
                <v:shape id="_x0000_i1051" o:spt="75" type="#_x0000_t75" style="height:191.6pt;width:148.55pt;" o:ole="t" filled="f" o:preferrelative="t" stroked="t" coordsize="21600,21600">
                  <v:path/>
                  <v:fill on="f" focussize="0,0"/>
                  <v:stroke color="#000000" joinstyle="miter"/>
                  <v:imagedata r:id="rId110" o:title=""/>
                  <o:lock v:ext="edit" aspectratio="f"/>
                  <w10:wrap type="none"/>
                  <w10:anchorlock/>
                </v:shape>
                <o:OLEObject Type="Embed" ProgID="Visio.Drawing.11" ShapeID="_x0000_i1051" DrawAspect="Content" ObjectID="_1468075751" r:id="rId109">
                  <o:LockedField>false</o:LockedField>
                </o:OLEObject>
              </w:object>
            </w:r>
          </w:p>
        </w:tc>
      </w:tr>
      <w:tr w14:paraId="50C392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512" w:type="dxa"/>
            <w:tcBorders>
              <w:tl2br w:val="nil"/>
              <w:tr2bl w:val="nil"/>
            </w:tcBorders>
            <w:noWrap w:val="0"/>
            <w:vAlign w:val="center"/>
          </w:tcPr>
          <w:p w14:paraId="32F6FD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预测塔型</w:t>
            </w:r>
          </w:p>
        </w:tc>
        <w:tc>
          <w:tcPr>
            <w:tcW w:w="3125" w:type="dxa"/>
            <w:tcBorders>
              <w:tl2br w:val="nil"/>
              <w:tr2bl w:val="nil"/>
            </w:tcBorders>
            <w:noWrap w:val="0"/>
            <w:vAlign w:val="bottom"/>
          </w:tcPr>
          <w:p w14:paraId="1EB70A6C">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color w:val="auto"/>
              </w:rPr>
              <w:drawing>
                <wp:inline distT="0" distB="0" distL="114300" distR="114300">
                  <wp:extent cx="1906905" cy="5726430"/>
                  <wp:effectExtent l="0" t="0" r="17145" b="7620"/>
                  <wp:docPr id="1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8"/>
                          <pic:cNvPicPr>
                            <a:picLocks noChangeAspect="1"/>
                          </pic:cNvPicPr>
                        </pic:nvPicPr>
                        <pic:blipFill>
                          <a:blip r:embed="rId111"/>
                          <a:stretch>
                            <a:fillRect/>
                          </a:stretch>
                        </pic:blipFill>
                        <pic:spPr>
                          <a:xfrm>
                            <a:off x="0" y="0"/>
                            <a:ext cx="1906905" cy="5726430"/>
                          </a:xfrm>
                          <a:prstGeom prst="rect">
                            <a:avLst/>
                          </a:prstGeom>
                          <a:noFill/>
                          <a:ln>
                            <a:noFill/>
                          </a:ln>
                        </pic:spPr>
                      </pic:pic>
                    </a:graphicData>
                  </a:graphic>
                </wp:inline>
              </w:drawing>
            </w:r>
          </w:p>
        </w:tc>
        <w:tc>
          <w:tcPr>
            <w:tcW w:w="3030" w:type="dxa"/>
            <w:tcBorders>
              <w:tl2br w:val="nil"/>
              <w:tr2bl w:val="nil"/>
            </w:tcBorders>
            <w:noWrap w:val="0"/>
            <w:vAlign w:val="bottom"/>
          </w:tcPr>
          <w:p w14:paraId="78060ACC">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color w:val="auto"/>
              </w:rPr>
              <w:drawing>
                <wp:inline distT="0" distB="0" distL="114300" distR="114300">
                  <wp:extent cx="1866900" cy="5653405"/>
                  <wp:effectExtent l="0" t="0" r="0" b="4445"/>
                  <wp:docPr id="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2"/>
                          <pic:cNvPicPr>
                            <a:picLocks noChangeAspect="1"/>
                          </pic:cNvPicPr>
                        </pic:nvPicPr>
                        <pic:blipFill>
                          <a:blip r:embed="rId112"/>
                          <a:stretch>
                            <a:fillRect/>
                          </a:stretch>
                        </pic:blipFill>
                        <pic:spPr>
                          <a:xfrm>
                            <a:off x="0" y="0"/>
                            <a:ext cx="1866900" cy="5653405"/>
                          </a:xfrm>
                          <a:prstGeom prst="rect">
                            <a:avLst/>
                          </a:prstGeom>
                          <a:noFill/>
                          <a:ln>
                            <a:noFill/>
                          </a:ln>
                        </pic:spPr>
                      </pic:pic>
                    </a:graphicData>
                  </a:graphic>
                </wp:inline>
              </w:drawing>
            </w:r>
          </w:p>
        </w:tc>
        <w:tc>
          <w:tcPr>
            <w:tcW w:w="3472" w:type="dxa"/>
            <w:tcBorders>
              <w:tl2br w:val="nil"/>
              <w:tr2bl w:val="nil"/>
            </w:tcBorders>
            <w:noWrap w:val="0"/>
            <w:vAlign w:val="bottom"/>
          </w:tcPr>
          <w:p w14:paraId="499F515D">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color w:val="auto"/>
              </w:rPr>
              <w:drawing>
                <wp:inline distT="0" distB="0" distL="114300" distR="114300">
                  <wp:extent cx="2131695" cy="5706745"/>
                  <wp:effectExtent l="0" t="0" r="1905" b="8255"/>
                  <wp:docPr id="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1"/>
                          <pic:cNvPicPr>
                            <a:picLocks noChangeAspect="1"/>
                          </pic:cNvPicPr>
                        </pic:nvPicPr>
                        <pic:blipFill>
                          <a:blip r:embed="rId113"/>
                          <a:stretch>
                            <a:fillRect/>
                          </a:stretch>
                        </pic:blipFill>
                        <pic:spPr>
                          <a:xfrm>
                            <a:off x="0" y="0"/>
                            <a:ext cx="2131695" cy="5706745"/>
                          </a:xfrm>
                          <a:prstGeom prst="rect">
                            <a:avLst/>
                          </a:prstGeom>
                          <a:noFill/>
                          <a:ln>
                            <a:noFill/>
                          </a:ln>
                        </pic:spPr>
                      </pic:pic>
                    </a:graphicData>
                  </a:graphic>
                </wp:inline>
              </w:drawing>
            </w:r>
          </w:p>
        </w:tc>
        <w:tc>
          <w:tcPr>
            <w:tcW w:w="3318" w:type="dxa"/>
            <w:tcBorders>
              <w:tl2br w:val="nil"/>
              <w:tr2bl w:val="nil"/>
            </w:tcBorders>
            <w:noWrap w:val="0"/>
            <w:vAlign w:val="bottom"/>
          </w:tcPr>
          <w:p w14:paraId="77BD80DD">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color w:val="auto"/>
              </w:rPr>
              <w:drawing>
                <wp:inline distT="0" distB="0" distL="114300" distR="114300">
                  <wp:extent cx="2033270" cy="5728970"/>
                  <wp:effectExtent l="0" t="0" r="5080" b="5080"/>
                  <wp:docPr id="1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2"/>
                          <pic:cNvPicPr>
                            <a:picLocks noChangeAspect="1"/>
                          </pic:cNvPicPr>
                        </pic:nvPicPr>
                        <pic:blipFill>
                          <a:blip r:embed="rId113"/>
                          <a:stretch>
                            <a:fillRect/>
                          </a:stretch>
                        </pic:blipFill>
                        <pic:spPr>
                          <a:xfrm>
                            <a:off x="0" y="0"/>
                            <a:ext cx="2033270" cy="5728970"/>
                          </a:xfrm>
                          <a:prstGeom prst="rect">
                            <a:avLst/>
                          </a:prstGeom>
                          <a:noFill/>
                          <a:ln>
                            <a:noFill/>
                          </a:ln>
                        </pic:spPr>
                      </pic:pic>
                    </a:graphicData>
                  </a:graphic>
                </wp:inline>
              </w:drawing>
            </w:r>
          </w:p>
        </w:tc>
      </w:tr>
    </w:tbl>
    <w:p w14:paraId="4E86BC56">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lang w:eastAsia="zh-CN"/>
        </w:rPr>
        <w:sectPr>
          <w:footerReference r:id="rId13" w:type="default"/>
          <w:pgSz w:w="16838" w:h="11905" w:orient="landscape"/>
          <w:pgMar w:top="850" w:right="850" w:bottom="850" w:left="850"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2AF4852C">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⑶</w:t>
      </w:r>
      <w:r>
        <w:rPr>
          <w:rFonts w:hint="default" w:ascii="Times New Roman" w:hAnsi="Times New Roman" w:cs="Times New Roman"/>
          <w:color w:val="auto"/>
          <w:sz w:val="24"/>
          <w:highlight w:val="none"/>
        </w:rPr>
        <w:t>工频电场、工频磁场的计算结果</w:t>
      </w:r>
    </w:p>
    <w:p w14:paraId="006E510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w:t>
      </w:r>
      <w:r>
        <w:rPr>
          <w:rFonts w:hint="default" w:ascii="Times New Roman" w:hAnsi="Times New Roman" w:cs="Times New Roman"/>
          <w:color w:val="auto"/>
          <w:sz w:val="24"/>
          <w:highlight w:val="none"/>
          <w:lang w:eastAsia="zh-CN"/>
        </w:rPr>
        <w:t>新建</w:t>
      </w:r>
      <w:r>
        <w:rPr>
          <w:rFonts w:hint="default" w:ascii="Times New Roman" w:hAnsi="Times New Roman" w:cs="Times New Roman"/>
          <w:color w:val="auto"/>
          <w:sz w:val="24"/>
          <w:highlight w:val="none"/>
          <w:lang w:val="en-US" w:eastAsia="zh-CN"/>
        </w:rPr>
        <w:t>110千伏</w:t>
      </w:r>
      <w:r>
        <w:rPr>
          <w:rFonts w:hint="default" w:ascii="Times New Roman" w:hAnsi="Times New Roman" w:cs="Times New Roman"/>
          <w:color w:val="auto"/>
          <w:sz w:val="24"/>
          <w:highlight w:val="none"/>
        </w:rPr>
        <w:t>单回架空线路</w:t>
      </w:r>
    </w:p>
    <w:p w14:paraId="6F6EF3E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新建单回路架空线路</w:t>
      </w:r>
      <w:r>
        <w:rPr>
          <w:rFonts w:hint="default" w:ascii="Times New Roman" w:hAnsi="Times New Roman" w:cs="Times New Roman"/>
          <w:color w:val="auto"/>
          <w:sz w:val="24"/>
          <w:highlight w:val="none"/>
        </w:rPr>
        <w:t>导线对地</w:t>
      </w:r>
      <w:r>
        <w:rPr>
          <w:rFonts w:hint="default" w:ascii="Times New Roman" w:hAnsi="Times New Roman" w:cs="Times New Roman"/>
          <w:color w:val="auto"/>
          <w:sz w:val="24"/>
          <w:highlight w:val="none"/>
          <w:lang w:val="en-US" w:eastAsia="zh-CN"/>
        </w:rPr>
        <w:t>最低</w:t>
      </w:r>
      <w:r>
        <w:rPr>
          <w:rFonts w:hint="default" w:ascii="Times New Roman" w:hAnsi="Times New Roman" w:cs="Times New Roman"/>
          <w:color w:val="auto"/>
          <w:sz w:val="24"/>
          <w:highlight w:val="none"/>
        </w:rPr>
        <w:t>高度</w:t>
      </w:r>
      <w:r>
        <w:rPr>
          <w:rFonts w:hint="default" w:ascii="Times New Roman" w:hAnsi="Times New Roman" w:cs="Times New Roman"/>
          <w:color w:val="auto"/>
          <w:sz w:val="24"/>
          <w:highlight w:val="none"/>
          <w:lang w:val="en-US" w:eastAsia="zh-CN"/>
        </w:rPr>
        <w:t>为</w:t>
      </w:r>
      <w:r>
        <w:rPr>
          <w:rFonts w:hint="eastAsia" w:cs="Times New Roman"/>
          <w:color w:val="auto"/>
          <w:sz w:val="24"/>
          <w:highlight w:val="none"/>
          <w:lang w:val="en-US" w:eastAsia="zh-CN"/>
        </w:rPr>
        <w:t>12.3</w:t>
      </w:r>
      <w:r>
        <w:rPr>
          <w:rFonts w:hint="default" w:ascii="Times New Roman" w:hAnsi="Times New Roman" w:cs="Times New Roman"/>
          <w:color w:val="auto"/>
          <w:sz w:val="24"/>
          <w:highlight w:val="none"/>
        </w:rPr>
        <w:t>m</w:t>
      </w:r>
      <w:r>
        <w:rPr>
          <w:rFonts w:hint="default" w:ascii="Times New Roman" w:hAnsi="Times New Roman" w:eastAsia="宋体" w:cs="Times New Roman"/>
          <w:color w:val="auto"/>
          <w:sz w:val="24"/>
          <w:highlight w:val="none"/>
          <w:lang w:val="en-US" w:eastAsia="zh-CN"/>
        </w:rPr>
        <w:t>时</w:t>
      </w:r>
      <w:r>
        <w:rPr>
          <w:rFonts w:hint="default" w:ascii="Times New Roman" w:hAnsi="Times New Roman" w:cs="Times New Roman"/>
          <w:color w:val="auto"/>
          <w:sz w:val="24"/>
          <w:highlight w:val="none"/>
        </w:rPr>
        <w:t>，垂直线路方向为-</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0m，计算点离地面高1.5m，其线下工频电场强度、工频磁感应强度的计算结果见下表。</w:t>
      </w:r>
    </w:p>
    <w:p w14:paraId="75DEDB55">
      <w:pPr>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 xml:space="preserve">专题表6-2  </w:t>
      </w:r>
      <w:r>
        <w:rPr>
          <w:rFonts w:hint="default" w:ascii="Times New Roman" w:hAnsi="Times New Roman" w:cs="Times New Roman"/>
          <w:b/>
          <w:bCs/>
          <w:color w:val="auto"/>
          <w:sz w:val="24"/>
          <w:highlight w:val="none"/>
          <w:lang w:val="en-US" w:eastAsia="zh-CN"/>
        </w:rPr>
        <w:t>新建</w:t>
      </w:r>
      <w:r>
        <w:rPr>
          <w:rFonts w:hint="default" w:ascii="Times New Roman" w:hAnsi="Times New Roman" w:eastAsia="宋体" w:cs="Times New Roman"/>
          <w:b/>
          <w:bCs/>
          <w:color w:val="auto"/>
          <w:spacing w:val="0"/>
          <w:sz w:val="24"/>
          <w:highlight w:val="none"/>
          <w:lang w:val="en-US" w:eastAsia="zh-CN"/>
        </w:rPr>
        <w:t>110千伏</w:t>
      </w:r>
      <w:r>
        <w:rPr>
          <w:rFonts w:hint="default" w:ascii="Times New Roman" w:hAnsi="Times New Roman" w:cs="Times New Roman"/>
          <w:b/>
          <w:bCs/>
          <w:color w:val="auto"/>
          <w:sz w:val="24"/>
          <w:highlight w:val="none"/>
        </w:rPr>
        <w:t>单回架空线路电磁计算结果</w:t>
      </w:r>
    </w:p>
    <w:tbl>
      <w:tblPr>
        <w:tblStyle w:val="32"/>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3685"/>
        <w:gridCol w:w="3769"/>
      </w:tblGrid>
      <w:tr w14:paraId="7F740A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vMerge w:val="restart"/>
            <w:tcBorders>
              <w:tl2br w:val="nil"/>
              <w:tr2bl w:val="nil"/>
            </w:tcBorders>
            <w:noWrap w:val="0"/>
            <w:vAlign w:val="center"/>
          </w:tcPr>
          <w:p w14:paraId="5F9DE0A1">
            <w:pPr>
              <w:pStyle w:val="71"/>
              <w:keepNext w:val="0"/>
              <w:keepLines w:val="0"/>
              <w:pageBreakBefore w:val="0"/>
              <w:kinsoku w:val="0"/>
              <w:wordWrap/>
              <w:overflowPunct w:val="0"/>
              <w:topLinePunct w:val="0"/>
              <w:bidi w:val="0"/>
              <w:adjustRightInd w:val="0"/>
              <w:snapToGrid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距线路走廊中心距离</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lang w:eastAsia="zh-CN"/>
              </w:rPr>
              <w:t>）</w:t>
            </w:r>
          </w:p>
        </w:tc>
        <w:tc>
          <w:tcPr>
            <w:tcW w:w="7454" w:type="dxa"/>
            <w:gridSpan w:val="2"/>
            <w:tcBorders>
              <w:tl2br w:val="nil"/>
              <w:tr2bl w:val="nil"/>
            </w:tcBorders>
            <w:noWrap w:val="0"/>
            <w:vAlign w:val="center"/>
          </w:tcPr>
          <w:p w14:paraId="5EDBF35D">
            <w:pPr>
              <w:pStyle w:val="71"/>
              <w:keepNext w:val="0"/>
              <w:keepLines w:val="0"/>
              <w:pageBreakBefore w:val="0"/>
              <w:kinsoku w:val="0"/>
              <w:wordWrap/>
              <w:overflowPunct w:val="0"/>
              <w:topLinePunct w:val="0"/>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导线对地高度</w:t>
            </w:r>
            <w:r>
              <w:rPr>
                <w:rFonts w:hint="default" w:ascii="Times New Roman" w:hAnsi="Times New Roman" w:cs="Times New Roman"/>
                <w:b/>
                <w:bCs/>
                <w:color w:val="auto"/>
                <w:sz w:val="21"/>
                <w:szCs w:val="21"/>
                <w:highlight w:val="none"/>
                <w:lang w:val="en-US" w:eastAsia="zh-CN"/>
              </w:rPr>
              <w:t>12.3</w:t>
            </w:r>
            <w:r>
              <w:rPr>
                <w:rFonts w:hint="default" w:ascii="Times New Roman" w:hAnsi="Times New Roman" w:cs="Times New Roman"/>
                <w:b/>
                <w:bCs/>
                <w:color w:val="auto"/>
                <w:sz w:val="21"/>
                <w:szCs w:val="21"/>
                <w:highlight w:val="none"/>
              </w:rPr>
              <w:t>m</w:t>
            </w:r>
          </w:p>
        </w:tc>
      </w:tr>
      <w:tr w14:paraId="38F98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vMerge w:val="continue"/>
            <w:tcBorders>
              <w:tl2br w:val="nil"/>
              <w:tr2bl w:val="nil"/>
            </w:tcBorders>
            <w:noWrap w:val="0"/>
            <w:vAlign w:val="top"/>
          </w:tcPr>
          <w:p w14:paraId="0A6F7717">
            <w:pPr>
              <w:keepNext w:val="0"/>
              <w:keepLines w:val="0"/>
              <w:pageBreakBefore w:val="0"/>
              <w:wordWrap/>
              <w:topLinePunct w:val="0"/>
              <w:bidi w:val="0"/>
              <w:adjustRightInd w:val="0"/>
              <w:snapToGrid w:val="0"/>
              <w:spacing w:line="240" w:lineRule="auto"/>
              <w:jc w:val="center"/>
              <w:rPr>
                <w:rFonts w:hint="default" w:ascii="Times New Roman" w:hAnsi="Times New Roman" w:cs="Times New Roman"/>
                <w:b/>
                <w:bCs/>
                <w:color w:val="auto"/>
                <w:kern w:val="0"/>
                <w:sz w:val="21"/>
                <w:szCs w:val="21"/>
                <w:highlight w:val="none"/>
              </w:rPr>
            </w:pPr>
          </w:p>
        </w:tc>
        <w:tc>
          <w:tcPr>
            <w:tcW w:w="3685" w:type="dxa"/>
            <w:tcBorders>
              <w:tl2br w:val="nil"/>
              <w:tr2bl w:val="nil"/>
            </w:tcBorders>
            <w:noWrap w:val="0"/>
            <w:vAlign w:val="center"/>
          </w:tcPr>
          <w:p w14:paraId="474955CE">
            <w:pPr>
              <w:pStyle w:val="71"/>
              <w:keepNext w:val="0"/>
              <w:keepLines w:val="0"/>
              <w:pageBreakBefore w:val="0"/>
              <w:kinsoku w:val="0"/>
              <w:wordWrap/>
              <w:overflowPunct w:val="0"/>
              <w:topLinePunct w:val="0"/>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工频电场强度（kV/m）</w:t>
            </w:r>
          </w:p>
        </w:tc>
        <w:tc>
          <w:tcPr>
            <w:tcW w:w="3769" w:type="dxa"/>
            <w:tcBorders>
              <w:tl2br w:val="nil"/>
              <w:tr2bl w:val="nil"/>
            </w:tcBorders>
            <w:noWrap w:val="0"/>
            <w:vAlign w:val="center"/>
          </w:tcPr>
          <w:p w14:paraId="697CE6C1">
            <w:pPr>
              <w:pStyle w:val="71"/>
              <w:keepNext w:val="0"/>
              <w:keepLines w:val="0"/>
              <w:pageBreakBefore w:val="0"/>
              <w:kinsoku w:val="0"/>
              <w:wordWrap/>
              <w:overflowPunct w:val="0"/>
              <w:topLinePunct w:val="0"/>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工频磁感应强度（μT）</w:t>
            </w:r>
          </w:p>
        </w:tc>
      </w:tr>
      <w:tr w14:paraId="371403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2870F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3685" w:type="dxa"/>
            <w:tcBorders>
              <w:tl2br w:val="nil"/>
              <w:tr2bl w:val="nil"/>
            </w:tcBorders>
            <w:noWrap w:val="0"/>
            <w:vAlign w:val="center"/>
          </w:tcPr>
          <w:p w14:paraId="7812FE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0.0251</w:t>
            </w:r>
          </w:p>
        </w:tc>
        <w:tc>
          <w:tcPr>
            <w:tcW w:w="3769" w:type="dxa"/>
            <w:tcBorders>
              <w:tl2br w:val="nil"/>
              <w:tr2bl w:val="nil"/>
            </w:tcBorders>
            <w:noWrap w:val="0"/>
            <w:vAlign w:val="center"/>
          </w:tcPr>
          <w:p w14:paraId="4B10A6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0.3136</w:t>
            </w:r>
          </w:p>
        </w:tc>
      </w:tr>
      <w:tr w14:paraId="23D51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7CC00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-69</w:t>
            </w:r>
          </w:p>
        </w:tc>
        <w:tc>
          <w:tcPr>
            <w:tcW w:w="3685" w:type="dxa"/>
            <w:tcBorders>
              <w:tl2br w:val="nil"/>
              <w:tr2bl w:val="nil"/>
            </w:tcBorders>
            <w:noWrap w:val="0"/>
            <w:vAlign w:val="center"/>
          </w:tcPr>
          <w:p w14:paraId="657507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0.0262</w:t>
            </w:r>
          </w:p>
        </w:tc>
        <w:tc>
          <w:tcPr>
            <w:tcW w:w="3769" w:type="dxa"/>
            <w:tcBorders>
              <w:tl2br w:val="nil"/>
              <w:tr2bl w:val="nil"/>
            </w:tcBorders>
            <w:noWrap w:val="0"/>
            <w:vAlign w:val="center"/>
          </w:tcPr>
          <w:p w14:paraId="7586A9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0.3227</w:t>
            </w:r>
          </w:p>
        </w:tc>
      </w:tr>
      <w:tr w14:paraId="49691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CDD2F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-68</w:t>
            </w:r>
          </w:p>
        </w:tc>
        <w:tc>
          <w:tcPr>
            <w:tcW w:w="3685" w:type="dxa"/>
            <w:tcBorders>
              <w:tl2br w:val="nil"/>
              <w:tr2bl w:val="nil"/>
            </w:tcBorders>
            <w:noWrap w:val="0"/>
            <w:vAlign w:val="center"/>
          </w:tcPr>
          <w:p w14:paraId="60B5BD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0.0273</w:t>
            </w:r>
          </w:p>
        </w:tc>
        <w:tc>
          <w:tcPr>
            <w:tcW w:w="3769" w:type="dxa"/>
            <w:tcBorders>
              <w:tl2br w:val="nil"/>
              <w:tr2bl w:val="nil"/>
            </w:tcBorders>
            <w:noWrap w:val="0"/>
            <w:vAlign w:val="center"/>
          </w:tcPr>
          <w:p w14:paraId="748661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0.3321</w:t>
            </w:r>
          </w:p>
        </w:tc>
      </w:tr>
      <w:tr w14:paraId="2972F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74FA5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-67</w:t>
            </w:r>
          </w:p>
        </w:tc>
        <w:tc>
          <w:tcPr>
            <w:tcW w:w="3685" w:type="dxa"/>
            <w:tcBorders>
              <w:tl2br w:val="nil"/>
              <w:tr2bl w:val="nil"/>
            </w:tcBorders>
            <w:noWrap w:val="0"/>
            <w:vAlign w:val="center"/>
          </w:tcPr>
          <w:p w14:paraId="68B249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0.0285</w:t>
            </w:r>
          </w:p>
        </w:tc>
        <w:tc>
          <w:tcPr>
            <w:tcW w:w="3769" w:type="dxa"/>
            <w:tcBorders>
              <w:tl2br w:val="nil"/>
              <w:tr2bl w:val="nil"/>
            </w:tcBorders>
            <w:noWrap w:val="0"/>
            <w:vAlign w:val="center"/>
          </w:tcPr>
          <w:p w14:paraId="27D977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0.342</w:t>
            </w:r>
          </w:p>
        </w:tc>
      </w:tr>
      <w:tr w14:paraId="3CF1D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BA2B8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w:t>
            </w:r>
          </w:p>
        </w:tc>
        <w:tc>
          <w:tcPr>
            <w:tcW w:w="3685" w:type="dxa"/>
            <w:tcBorders>
              <w:tl2br w:val="nil"/>
              <w:tr2bl w:val="nil"/>
            </w:tcBorders>
            <w:noWrap w:val="0"/>
            <w:vAlign w:val="center"/>
          </w:tcPr>
          <w:p w14:paraId="251647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0.0297</w:t>
            </w:r>
          </w:p>
        </w:tc>
        <w:tc>
          <w:tcPr>
            <w:tcW w:w="3769" w:type="dxa"/>
            <w:tcBorders>
              <w:tl2br w:val="nil"/>
              <w:tr2bl w:val="nil"/>
            </w:tcBorders>
            <w:noWrap w:val="0"/>
            <w:vAlign w:val="center"/>
          </w:tcPr>
          <w:p w14:paraId="50834E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0.3523</w:t>
            </w:r>
          </w:p>
        </w:tc>
      </w:tr>
      <w:tr w14:paraId="67102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20F78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-65</w:t>
            </w:r>
          </w:p>
        </w:tc>
        <w:tc>
          <w:tcPr>
            <w:tcW w:w="3685" w:type="dxa"/>
            <w:tcBorders>
              <w:tl2br w:val="nil"/>
              <w:tr2bl w:val="nil"/>
            </w:tcBorders>
            <w:noWrap w:val="0"/>
            <w:vAlign w:val="center"/>
          </w:tcPr>
          <w:p w14:paraId="1BFB98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0.0311</w:t>
            </w:r>
          </w:p>
        </w:tc>
        <w:tc>
          <w:tcPr>
            <w:tcW w:w="3769" w:type="dxa"/>
            <w:tcBorders>
              <w:tl2br w:val="nil"/>
              <w:tr2bl w:val="nil"/>
            </w:tcBorders>
            <w:noWrap w:val="0"/>
            <w:vAlign w:val="center"/>
          </w:tcPr>
          <w:p w14:paraId="34E569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0.3631</w:t>
            </w:r>
          </w:p>
        </w:tc>
      </w:tr>
      <w:tr w14:paraId="00FFAF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6" w:hRule="atLeast"/>
          <w:jc w:val="center"/>
        </w:trPr>
        <w:tc>
          <w:tcPr>
            <w:tcW w:w="1560" w:type="dxa"/>
            <w:tcBorders>
              <w:tl2br w:val="nil"/>
              <w:tr2bl w:val="nil"/>
            </w:tcBorders>
            <w:noWrap w:val="0"/>
            <w:vAlign w:val="center"/>
          </w:tcPr>
          <w:p w14:paraId="25B777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3685" w:type="dxa"/>
            <w:tcBorders>
              <w:tl2br w:val="nil"/>
              <w:tr2bl w:val="nil"/>
            </w:tcBorders>
            <w:noWrap w:val="0"/>
            <w:vAlign w:val="center"/>
          </w:tcPr>
          <w:p w14:paraId="792394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0.0325</w:t>
            </w:r>
          </w:p>
        </w:tc>
        <w:tc>
          <w:tcPr>
            <w:tcW w:w="3769" w:type="dxa"/>
            <w:tcBorders>
              <w:tl2br w:val="nil"/>
              <w:tr2bl w:val="nil"/>
            </w:tcBorders>
            <w:noWrap w:val="0"/>
            <w:vAlign w:val="center"/>
          </w:tcPr>
          <w:p w14:paraId="35EA52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0.3743</w:t>
            </w:r>
          </w:p>
        </w:tc>
      </w:tr>
      <w:tr w14:paraId="7E195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B27E1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-63</w:t>
            </w:r>
          </w:p>
        </w:tc>
        <w:tc>
          <w:tcPr>
            <w:tcW w:w="3685" w:type="dxa"/>
            <w:tcBorders>
              <w:tl2br w:val="nil"/>
              <w:tr2bl w:val="nil"/>
            </w:tcBorders>
            <w:noWrap w:val="0"/>
            <w:vAlign w:val="center"/>
          </w:tcPr>
          <w:p w14:paraId="116D8F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0.034</w:t>
            </w:r>
          </w:p>
        </w:tc>
        <w:tc>
          <w:tcPr>
            <w:tcW w:w="3769" w:type="dxa"/>
            <w:tcBorders>
              <w:tl2br w:val="nil"/>
              <w:tr2bl w:val="nil"/>
            </w:tcBorders>
            <w:noWrap w:val="0"/>
            <w:vAlign w:val="center"/>
          </w:tcPr>
          <w:p w14:paraId="202339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0.3862</w:t>
            </w:r>
          </w:p>
        </w:tc>
      </w:tr>
      <w:tr w14:paraId="180C1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EDB87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-62</w:t>
            </w:r>
          </w:p>
        </w:tc>
        <w:tc>
          <w:tcPr>
            <w:tcW w:w="3685" w:type="dxa"/>
            <w:tcBorders>
              <w:tl2br w:val="nil"/>
              <w:tr2bl w:val="nil"/>
            </w:tcBorders>
            <w:noWrap w:val="0"/>
            <w:vAlign w:val="center"/>
          </w:tcPr>
          <w:p w14:paraId="6F4B90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0.0356</w:t>
            </w:r>
          </w:p>
        </w:tc>
        <w:tc>
          <w:tcPr>
            <w:tcW w:w="3769" w:type="dxa"/>
            <w:tcBorders>
              <w:tl2br w:val="nil"/>
              <w:tr2bl w:val="nil"/>
            </w:tcBorders>
            <w:noWrap w:val="0"/>
            <w:vAlign w:val="center"/>
          </w:tcPr>
          <w:p w14:paraId="614392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0.3985</w:t>
            </w:r>
          </w:p>
        </w:tc>
      </w:tr>
      <w:tr w14:paraId="6B7B1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FCFDB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w:t>
            </w:r>
          </w:p>
        </w:tc>
        <w:tc>
          <w:tcPr>
            <w:tcW w:w="3685" w:type="dxa"/>
            <w:tcBorders>
              <w:tl2br w:val="nil"/>
              <w:tr2bl w:val="nil"/>
            </w:tcBorders>
            <w:noWrap w:val="0"/>
            <w:vAlign w:val="center"/>
          </w:tcPr>
          <w:p w14:paraId="5298B8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0.0373</w:t>
            </w:r>
          </w:p>
        </w:tc>
        <w:tc>
          <w:tcPr>
            <w:tcW w:w="3769" w:type="dxa"/>
            <w:tcBorders>
              <w:tl2br w:val="nil"/>
              <w:tr2bl w:val="nil"/>
            </w:tcBorders>
            <w:noWrap w:val="0"/>
            <w:vAlign w:val="center"/>
          </w:tcPr>
          <w:p w14:paraId="0DDFF6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0.4115</w:t>
            </w:r>
          </w:p>
        </w:tc>
      </w:tr>
      <w:tr w14:paraId="72563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24758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3685" w:type="dxa"/>
            <w:tcBorders>
              <w:tl2br w:val="nil"/>
              <w:tr2bl w:val="nil"/>
            </w:tcBorders>
            <w:noWrap w:val="0"/>
            <w:vAlign w:val="center"/>
          </w:tcPr>
          <w:p w14:paraId="688060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0.0391</w:t>
            </w:r>
          </w:p>
        </w:tc>
        <w:tc>
          <w:tcPr>
            <w:tcW w:w="3769" w:type="dxa"/>
            <w:tcBorders>
              <w:tl2br w:val="nil"/>
              <w:tr2bl w:val="nil"/>
            </w:tcBorders>
            <w:noWrap w:val="0"/>
            <w:vAlign w:val="center"/>
          </w:tcPr>
          <w:p w14:paraId="74B83E3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0.4251</w:t>
            </w:r>
          </w:p>
        </w:tc>
      </w:tr>
      <w:tr w14:paraId="30650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780C5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-59</w:t>
            </w:r>
          </w:p>
        </w:tc>
        <w:tc>
          <w:tcPr>
            <w:tcW w:w="3685" w:type="dxa"/>
            <w:tcBorders>
              <w:tl2br w:val="nil"/>
              <w:tr2bl w:val="nil"/>
            </w:tcBorders>
            <w:noWrap w:val="0"/>
            <w:vAlign w:val="center"/>
          </w:tcPr>
          <w:p w14:paraId="5CFAD2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0.041</w:t>
            </w:r>
          </w:p>
        </w:tc>
        <w:tc>
          <w:tcPr>
            <w:tcW w:w="3769" w:type="dxa"/>
            <w:tcBorders>
              <w:tl2br w:val="nil"/>
              <w:tr2bl w:val="nil"/>
            </w:tcBorders>
            <w:noWrap w:val="0"/>
            <w:vAlign w:val="center"/>
          </w:tcPr>
          <w:p w14:paraId="2A852A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0.4394</w:t>
            </w:r>
          </w:p>
        </w:tc>
      </w:tr>
      <w:tr w14:paraId="7CE07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D9BAC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w:t>
            </w:r>
          </w:p>
        </w:tc>
        <w:tc>
          <w:tcPr>
            <w:tcW w:w="3685" w:type="dxa"/>
            <w:tcBorders>
              <w:tl2br w:val="nil"/>
              <w:tr2bl w:val="nil"/>
            </w:tcBorders>
            <w:noWrap w:val="0"/>
            <w:vAlign w:val="center"/>
          </w:tcPr>
          <w:p w14:paraId="1D0B82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0.0431</w:t>
            </w:r>
          </w:p>
        </w:tc>
        <w:tc>
          <w:tcPr>
            <w:tcW w:w="3769" w:type="dxa"/>
            <w:tcBorders>
              <w:tl2br w:val="nil"/>
              <w:tr2bl w:val="nil"/>
            </w:tcBorders>
            <w:noWrap w:val="0"/>
            <w:vAlign w:val="center"/>
          </w:tcPr>
          <w:p w14:paraId="505464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0.4544</w:t>
            </w:r>
          </w:p>
        </w:tc>
      </w:tr>
      <w:tr w14:paraId="028C0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6FAF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-57</w:t>
            </w:r>
          </w:p>
        </w:tc>
        <w:tc>
          <w:tcPr>
            <w:tcW w:w="3685" w:type="dxa"/>
            <w:tcBorders>
              <w:tl2br w:val="nil"/>
              <w:tr2bl w:val="nil"/>
            </w:tcBorders>
            <w:noWrap w:val="0"/>
            <w:vAlign w:val="center"/>
          </w:tcPr>
          <w:p w14:paraId="424FFA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0.0453</w:t>
            </w:r>
          </w:p>
        </w:tc>
        <w:tc>
          <w:tcPr>
            <w:tcW w:w="3769" w:type="dxa"/>
            <w:tcBorders>
              <w:tl2br w:val="nil"/>
              <w:tr2bl w:val="nil"/>
            </w:tcBorders>
            <w:noWrap w:val="0"/>
            <w:vAlign w:val="center"/>
          </w:tcPr>
          <w:p w14:paraId="3DD257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0.4702</w:t>
            </w:r>
          </w:p>
        </w:tc>
      </w:tr>
      <w:tr w14:paraId="432ED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E2727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w:t>
            </w:r>
          </w:p>
        </w:tc>
        <w:tc>
          <w:tcPr>
            <w:tcW w:w="3685" w:type="dxa"/>
            <w:tcBorders>
              <w:tl2br w:val="nil"/>
              <w:tr2bl w:val="nil"/>
            </w:tcBorders>
            <w:noWrap w:val="0"/>
            <w:vAlign w:val="center"/>
          </w:tcPr>
          <w:p w14:paraId="38BF0E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0.0476</w:t>
            </w:r>
          </w:p>
        </w:tc>
        <w:tc>
          <w:tcPr>
            <w:tcW w:w="3769" w:type="dxa"/>
            <w:tcBorders>
              <w:tl2br w:val="nil"/>
              <w:tr2bl w:val="nil"/>
            </w:tcBorders>
            <w:noWrap w:val="0"/>
            <w:vAlign w:val="center"/>
          </w:tcPr>
          <w:p w14:paraId="63F3A7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0.4868</w:t>
            </w:r>
          </w:p>
        </w:tc>
      </w:tr>
      <w:tr w14:paraId="01219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8E6D2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-55</w:t>
            </w:r>
          </w:p>
        </w:tc>
        <w:tc>
          <w:tcPr>
            <w:tcW w:w="3685" w:type="dxa"/>
            <w:tcBorders>
              <w:tl2br w:val="nil"/>
              <w:tr2bl w:val="nil"/>
            </w:tcBorders>
            <w:noWrap w:val="0"/>
            <w:vAlign w:val="center"/>
          </w:tcPr>
          <w:p w14:paraId="54B400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0.0501</w:t>
            </w:r>
          </w:p>
        </w:tc>
        <w:tc>
          <w:tcPr>
            <w:tcW w:w="3769" w:type="dxa"/>
            <w:tcBorders>
              <w:tl2br w:val="nil"/>
              <w:tr2bl w:val="nil"/>
            </w:tcBorders>
            <w:noWrap w:val="0"/>
            <w:vAlign w:val="center"/>
          </w:tcPr>
          <w:p w14:paraId="311F79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0.5044</w:t>
            </w:r>
          </w:p>
        </w:tc>
      </w:tr>
      <w:tr w14:paraId="67291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7A9EB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-54</w:t>
            </w:r>
          </w:p>
        </w:tc>
        <w:tc>
          <w:tcPr>
            <w:tcW w:w="3685" w:type="dxa"/>
            <w:tcBorders>
              <w:tl2br w:val="nil"/>
              <w:tr2bl w:val="nil"/>
            </w:tcBorders>
            <w:noWrap w:val="0"/>
            <w:vAlign w:val="center"/>
          </w:tcPr>
          <w:p w14:paraId="736D4F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0.0528</w:t>
            </w:r>
          </w:p>
        </w:tc>
        <w:tc>
          <w:tcPr>
            <w:tcW w:w="3769" w:type="dxa"/>
            <w:tcBorders>
              <w:tl2br w:val="nil"/>
              <w:tr2bl w:val="nil"/>
            </w:tcBorders>
            <w:noWrap w:val="0"/>
            <w:vAlign w:val="center"/>
          </w:tcPr>
          <w:p w14:paraId="42EEE0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0.5228</w:t>
            </w:r>
          </w:p>
        </w:tc>
      </w:tr>
      <w:tr w14:paraId="2EF53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7FEC4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w:t>
            </w:r>
          </w:p>
        </w:tc>
        <w:tc>
          <w:tcPr>
            <w:tcW w:w="3685" w:type="dxa"/>
            <w:tcBorders>
              <w:tl2br w:val="nil"/>
              <w:tr2bl w:val="nil"/>
            </w:tcBorders>
            <w:noWrap w:val="0"/>
            <w:vAlign w:val="center"/>
          </w:tcPr>
          <w:p w14:paraId="006DAC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0.0557</w:t>
            </w:r>
          </w:p>
        </w:tc>
        <w:tc>
          <w:tcPr>
            <w:tcW w:w="3769" w:type="dxa"/>
            <w:tcBorders>
              <w:tl2br w:val="nil"/>
              <w:tr2bl w:val="nil"/>
            </w:tcBorders>
            <w:noWrap w:val="0"/>
            <w:vAlign w:val="center"/>
          </w:tcPr>
          <w:p w14:paraId="2B8DC0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0.5423</w:t>
            </w:r>
          </w:p>
        </w:tc>
      </w:tr>
      <w:tr w14:paraId="02F32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6BCC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w:t>
            </w:r>
          </w:p>
        </w:tc>
        <w:tc>
          <w:tcPr>
            <w:tcW w:w="3685" w:type="dxa"/>
            <w:tcBorders>
              <w:tl2br w:val="nil"/>
              <w:tr2bl w:val="nil"/>
            </w:tcBorders>
            <w:noWrap w:val="0"/>
            <w:vAlign w:val="center"/>
          </w:tcPr>
          <w:p w14:paraId="4986D6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0.0588</w:t>
            </w:r>
          </w:p>
        </w:tc>
        <w:tc>
          <w:tcPr>
            <w:tcW w:w="3769" w:type="dxa"/>
            <w:tcBorders>
              <w:tl2br w:val="nil"/>
              <w:tr2bl w:val="nil"/>
            </w:tcBorders>
            <w:noWrap w:val="0"/>
            <w:vAlign w:val="center"/>
          </w:tcPr>
          <w:p w14:paraId="21629B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0.5629</w:t>
            </w:r>
          </w:p>
        </w:tc>
      </w:tr>
      <w:tr w14:paraId="22CDEE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A5420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-51</w:t>
            </w:r>
          </w:p>
        </w:tc>
        <w:tc>
          <w:tcPr>
            <w:tcW w:w="3685" w:type="dxa"/>
            <w:tcBorders>
              <w:tl2br w:val="nil"/>
              <w:tr2bl w:val="nil"/>
            </w:tcBorders>
            <w:noWrap w:val="0"/>
            <w:vAlign w:val="center"/>
          </w:tcPr>
          <w:p w14:paraId="0762BB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0.0621</w:t>
            </w:r>
          </w:p>
        </w:tc>
        <w:tc>
          <w:tcPr>
            <w:tcW w:w="3769" w:type="dxa"/>
            <w:tcBorders>
              <w:tl2br w:val="nil"/>
              <w:tr2bl w:val="nil"/>
            </w:tcBorders>
            <w:noWrap w:val="0"/>
            <w:vAlign w:val="center"/>
          </w:tcPr>
          <w:p w14:paraId="725C2A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0.5847</w:t>
            </w:r>
          </w:p>
        </w:tc>
      </w:tr>
      <w:tr w14:paraId="589D14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6D9D3B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3685" w:type="dxa"/>
            <w:tcBorders>
              <w:tl2br w:val="nil"/>
              <w:tr2bl w:val="nil"/>
            </w:tcBorders>
            <w:noWrap w:val="0"/>
            <w:vAlign w:val="center"/>
          </w:tcPr>
          <w:p w14:paraId="308215C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0.0656</w:t>
            </w:r>
          </w:p>
        </w:tc>
        <w:tc>
          <w:tcPr>
            <w:tcW w:w="3769" w:type="dxa"/>
            <w:tcBorders>
              <w:tl2br w:val="nil"/>
              <w:tr2bl w:val="nil"/>
            </w:tcBorders>
            <w:noWrap w:val="0"/>
            <w:vAlign w:val="center"/>
          </w:tcPr>
          <w:p w14:paraId="26C1533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0.6078</w:t>
            </w:r>
          </w:p>
        </w:tc>
      </w:tr>
      <w:tr w14:paraId="6B150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A310F8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w:t>
            </w:r>
          </w:p>
        </w:tc>
        <w:tc>
          <w:tcPr>
            <w:tcW w:w="3685" w:type="dxa"/>
            <w:tcBorders>
              <w:tl2br w:val="nil"/>
              <w:tr2bl w:val="nil"/>
            </w:tcBorders>
            <w:noWrap w:val="0"/>
            <w:vAlign w:val="center"/>
          </w:tcPr>
          <w:p w14:paraId="6020A18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0.0695</w:t>
            </w:r>
          </w:p>
        </w:tc>
        <w:tc>
          <w:tcPr>
            <w:tcW w:w="3769" w:type="dxa"/>
            <w:tcBorders>
              <w:tl2br w:val="nil"/>
              <w:tr2bl w:val="nil"/>
            </w:tcBorders>
            <w:noWrap w:val="0"/>
            <w:vAlign w:val="center"/>
          </w:tcPr>
          <w:p w14:paraId="0A74842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0.6322</w:t>
            </w:r>
          </w:p>
        </w:tc>
      </w:tr>
      <w:tr w14:paraId="63A76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15B1D9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w:t>
            </w:r>
          </w:p>
        </w:tc>
        <w:tc>
          <w:tcPr>
            <w:tcW w:w="3685" w:type="dxa"/>
            <w:tcBorders>
              <w:tl2br w:val="nil"/>
              <w:tr2bl w:val="nil"/>
            </w:tcBorders>
            <w:noWrap w:val="0"/>
            <w:vAlign w:val="center"/>
          </w:tcPr>
          <w:p w14:paraId="395CF79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0.0736</w:t>
            </w:r>
          </w:p>
        </w:tc>
        <w:tc>
          <w:tcPr>
            <w:tcW w:w="3769" w:type="dxa"/>
            <w:tcBorders>
              <w:tl2br w:val="nil"/>
              <w:tr2bl w:val="nil"/>
            </w:tcBorders>
            <w:noWrap w:val="0"/>
            <w:vAlign w:val="center"/>
          </w:tcPr>
          <w:p w14:paraId="69735BB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0.6581</w:t>
            </w:r>
          </w:p>
        </w:tc>
      </w:tr>
      <w:tr w14:paraId="7C8FC4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7F0056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-47</w:t>
            </w:r>
          </w:p>
        </w:tc>
        <w:tc>
          <w:tcPr>
            <w:tcW w:w="3685" w:type="dxa"/>
            <w:tcBorders>
              <w:tl2br w:val="nil"/>
              <w:tr2bl w:val="nil"/>
            </w:tcBorders>
            <w:noWrap w:val="0"/>
            <w:vAlign w:val="center"/>
          </w:tcPr>
          <w:p w14:paraId="34AFE47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0.0781</w:t>
            </w:r>
          </w:p>
        </w:tc>
        <w:tc>
          <w:tcPr>
            <w:tcW w:w="3769" w:type="dxa"/>
            <w:tcBorders>
              <w:tl2br w:val="nil"/>
              <w:tr2bl w:val="nil"/>
            </w:tcBorders>
            <w:noWrap w:val="0"/>
            <w:vAlign w:val="center"/>
          </w:tcPr>
          <w:p w14:paraId="699E71D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0.6856</w:t>
            </w:r>
          </w:p>
        </w:tc>
      </w:tr>
      <w:tr w14:paraId="75DA0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650CF0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3685" w:type="dxa"/>
            <w:tcBorders>
              <w:tl2br w:val="nil"/>
              <w:tr2bl w:val="nil"/>
            </w:tcBorders>
            <w:noWrap w:val="0"/>
            <w:vAlign w:val="center"/>
          </w:tcPr>
          <w:p w14:paraId="1D0FCE8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0.083</w:t>
            </w:r>
          </w:p>
        </w:tc>
        <w:tc>
          <w:tcPr>
            <w:tcW w:w="3769" w:type="dxa"/>
            <w:tcBorders>
              <w:tl2br w:val="nil"/>
              <w:tr2bl w:val="nil"/>
            </w:tcBorders>
            <w:noWrap w:val="0"/>
            <w:vAlign w:val="center"/>
          </w:tcPr>
          <w:p w14:paraId="574D1CB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0.7149</w:t>
            </w:r>
          </w:p>
        </w:tc>
      </w:tr>
      <w:tr w14:paraId="0B1238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67CF67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3685" w:type="dxa"/>
            <w:tcBorders>
              <w:tl2br w:val="nil"/>
              <w:tr2bl w:val="nil"/>
            </w:tcBorders>
            <w:noWrap w:val="0"/>
            <w:vAlign w:val="center"/>
          </w:tcPr>
          <w:p w14:paraId="2DD704D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0.0882</w:t>
            </w:r>
          </w:p>
        </w:tc>
        <w:tc>
          <w:tcPr>
            <w:tcW w:w="3769" w:type="dxa"/>
            <w:tcBorders>
              <w:tl2br w:val="nil"/>
              <w:tr2bl w:val="nil"/>
            </w:tcBorders>
            <w:noWrap w:val="0"/>
            <w:vAlign w:val="center"/>
          </w:tcPr>
          <w:p w14:paraId="343E604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0.746</w:t>
            </w:r>
          </w:p>
        </w:tc>
      </w:tr>
      <w:tr w14:paraId="59073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0C5CF4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w:t>
            </w:r>
          </w:p>
        </w:tc>
        <w:tc>
          <w:tcPr>
            <w:tcW w:w="3685" w:type="dxa"/>
            <w:tcBorders>
              <w:tl2br w:val="nil"/>
              <w:tr2bl w:val="nil"/>
            </w:tcBorders>
            <w:noWrap w:val="0"/>
            <w:vAlign w:val="center"/>
          </w:tcPr>
          <w:p w14:paraId="0AF82FA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0.0939</w:t>
            </w:r>
          </w:p>
        </w:tc>
        <w:tc>
          <w:tcPr>
            <w:tcW w:w="3769" w:type="dxa"/>
            <w:tcBorders>
              <w:tl2br w:val="nil"/>
              <w:tr2bl w:val="nil"/>
            </w:tcBorders>
            <w:noWrap w:val="0"/>
            <w:vAlign w:val="center"/>
          </w:tcPr>
          <w:p w14:paraId="744C9C1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0.7792</w:t>
            </w:r>
          </w:p>
        </w:tc>
      </w:tr>
      <w:tr w14:paraId="5FA20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FAC74D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w:t>
            </w:r>
          </w:p>
        </w:tc>
        <w:tc>
          <w:tcPr>
            <w:tcW w:w="3685" w:type="dxa"/>
            <w:tcBorders>
              <w:tl2br w:val="nil"/>
              <w:tr2bl w:val="nil"/>
            </w:tcBorders>
            <w:noWrap w:val="0"/>
            <w:vAlign w:val="center"/>
          </w:tcPr>
          <w:p w14:paraId="2D2FE1B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0.1001</w:t>
            </w:r>
          </w:p>
        </w:tc>
        <w:tc>
          <w:tcPr>
            <w:tcW w:w="3769" w:type="dxa"/>
            <w:tcBorders>
              <w:tl2br w:val="nil"/>
              <w:tr2bl w:val="nil"/>
            </w:tcBorders>
            <w:noWrap w:val="0"/>
            <w:vAlign w:val="center"/>
          </w:tcPr>
          <w:p w14:paraId="16C2621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0.8146</w:t>
            </w:r>
          </w:p>
        </w:tc>
      </w:tr>
      <w:tr w14:paraId="79B5B4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93931A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685" w:type="dxa"/>
            <w:tcBorders>
              <w:tl2br w:val="nil"/>
              <w:tr2bl w:val="nil"/>
            </w:tcBorders>
            <w:noWrap w:val="0"/>
            <w:vAlign w:val="center"/>
          </w:tcPr>
          <w:p w14:paraId="528F9EE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0.1068</w:t>
            </w:r>
          </w:p>
        </w:tc>
        <w:tc>
          <w:tcPr>
            <w:tcW w:w="3769" w:type="dxa"/>
            <w:tcBorders>
              <w:tl2br w:val="nil"/>
              <w:tr2bl w:val="nil"/>
            </w:tcBorders>
            <w:noWrap w:val="0"/>
            <w:vAlign w:val="center"/>
          </w:tcPr>
          <w:p w14:paraId="7042322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0.8525</w:t>
            </w:r>
          </w:p>
        </w:tc>
      </w:tr>
      <w:tr w14:paraId="384F9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7AB815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685" w:type="dxa"/>
            <w:tcBorders>
              <w:tl2br w:val="nil"/>
              <w:tr2bl w:val="nil"/>
            </w:tcBorders>
            <w:noWrap w:val="0"/>
            <w:vAlign w:val="center"/>
          </w:tcPr>
          <w:p w14:paraId="507D721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0.1141</w:t>
            </w:r>
          </w:p>
        </w:tc>
        <w:tc>
          <w:tcPr>
            <w:tcW w:w="3769" w:type="dxa"/>
            <w:tcBorders>
              <w:tl2br w:val="nil"/>
              <w:tr2bl w:val="nil"/>
            </w:tcBorders>
            <w:noWrap w:val="0"/>
            <w:vAlign w:val="center"/>
          </w:tcPr>
          <w:p w14:paraId="29F394A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0.893</w:t>
            </w:r>
          </w:p>
        </w:tc>
      </w:tr>
      <w:tr w14:paraId="5E6E0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EB5374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3685" w:type="dxa"/>
            <w:tcBorders>
              <w:tl2br w:val="nil"/>
              <w:tr2bl w:val="nil"/>
            </w:tcBorders>
            <w:noWrap w:val="0"/>
            <w:vAlign w:val="center"/>
          </w:tcPr>
          <w:p w14:paraId="369C6A7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0.1221</w:t>
            </w:r>
          </w:p>
        </w:tc>
        <w:tc>
          <w:tcPr>
            <w:tcW w:w="3769" w:type="dxa"/>
            <w:tcBorders>
              <w:tl2br w:val="nil"/>
              <w:tr2bl w:val="nil"/>
            </w:tcBorders>
            <w:noWrap w:val="0"/>
            <w:vAlign w:val="center"/>
          </w:tcPr>
          <w:p w14:paraId="13D8ACA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0.9364</w:t>
            </w:r>
          </w:p>
        </w:tc>
      </w:tr>
      <w:tr w14:paraId="49AAF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7EF3C6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3685" w:type="dxa"/>
            <w:tcBorders>
              <w:tl2br w:val="nil"/>
              <w:tr2bl w:val="nil"/>
            </w:tcBorders>
            <w:noWrap w:val="0"/>
            <w:vAlign w:val="center"/>
          </w:tcPr>
          <w:p w14:paraId="1F22730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0.1308</w:t>
            </w:r>
          </w:p>
        </w:tc>
        <w:tc>
          <w:tcPr>
            <w:tcW w:w="3769" w:type="dxa"/>
            <w:tcBorders>
              <w:tl2br w:val="nil"/>
              <w:tr2bl w:val="nil"/>
            </w:tcBorders>
            <w:noWrap w:val="0"/>
            <w:vAlign w:val="center"/>
          </w:tcPr>
          <w:p w14:paraId="07041A4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0.9829</w:t>
            </w:r>
          </w:p>
        </w:tc>
      </w:tr>
      <w:tr w14:paraId="35115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822A4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3685" w:type="dxa"/>
            <w:tcBorders>
              <w:tl2br w:val="nil"/>
              <w:tr2bl w:val="nil"/>
            </w:tcBorders>
            <w:noWrap w:val="0"/>
            <w:vAlign w:val="center"/>
          </w:tcPr>
          <w:p w14:paraId="594EB2B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0.1404</w:t>
            </w:r>
          </w:p>
        </w:tc>
        <w:tc>
          <w:tcPr>
            <w:tcW w:w="3769" w:type="dxa"/>
            <w:tcBorders>
              <w:tl2br w:val="nil"/>
              <w:tr2bl w:val="nil"/>
            </w:tcBorders>
            <w:noWrap w:val="0"/>
            <w:vAlign w:val="center"/>
          </w:tcPr>
          <w:p w14:paraId="614616E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1.033</w:t>
            </w:r>
          </w:p>
        </w:tc>
      </w:tr>
      <w:tr w14:paraId="50D9E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7F150E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w:t>
            </w:r>
          </w:p>
        </w:tc>
        <w:tc>
          <w:tcPr>
            <w:tcW w:w="3685" w:type="dxa"/>
            <w:tcBorders>
              <w:tl2br w:val="nil"/>
              <w:tr2bl w:val="nil"/>
            </w:tcBorders>
            <w:noWrap w:val="0"/>
            <w:vAlign w:val="center"/>
          </w:tcPr>
          <w:p w14:paraId="2E10932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0.1508</w:t>
            </w:r>
          </w:p>
        </w:tc>
        <w:tc>
          <w:tcPr>
            <w:tcW w:w="3769" w:type="dxa"/>
            <w:tcBorders>
              <w:tl2br w:val="nil"/>
              <w:tr2bl w:val="nil"/>
            </w:tcBorders>
            <w:noWrap w:val="0"/>
            <w:vAlign w:val="center"/>
          </w:tcPr>
          <w:p w14:paraId="2ED168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1.0868</w:t>
            </w:r>
          </w:p>
        </w:tc>
      </w:tr>
      <w:tr w14:paraId="342D95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053A89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3685" w:type="dxa"/>
            <w:tcBorders>
              <w:tl2br w:val="nil"/>
              <w:tr2bl w:val="nil"/>
            </w:tcBorders>
            <w:noWrap w:val="0"/>
            <w:vAlign w:val="center"/>
          </w:tcPr>
          <w:p w14:paraId="52FFECA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0.1623</w:t>
            </w:r>
          </w:p>
        </w:tc>
        <w:tc>
          <w:tcPr>
            <w:tcW w:w="3769" w:type="dxa"/>
            <w:tcBorders>
              <w:tl2br w:val="nil"/>
              <w:tr2bl w:val="nil"/>
            </w:tcBorders>
            <w:noWrap w:val="0"/>
            <w:vAlign w:val="center"/>
          </w:tcPr>
          <w:p w14:paraId="6C20F04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1.1449</w:t>
            </w:r>
          </w:p>
        </w:tc>
      </w:tr>
      <w:tr w14:paraId="50234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D0F24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685" w:type="dxa"/>
            <w:tcBorders>
              <w:tl2br w:val="nil"/>
              <w:tr2bl w:val="nil"/>
            </w:tcBorders>
            <w:noWrap w:val="0"/>
            <w:vAlign w:val="center"/>
          </w:tcPr>
          <w:p w14:paraId="41EB586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0.1749</w:t>
            </w:r>
          </w:p>
        </w:tc>
        <w:tc>
          <w:tcPr>
            <w:tcW w:w="3769" w:type="dxa"/>
            <w:tcBorders>
              <w:tl2br w:val="nil"/>
              <w:tr2bl w:val="nil"/>
            </w:tcBorders>
            <w:noWrap w:val="0"/>
            <w:vAlign w:val="center"/>
          </w:tcPr>
          <w:p w14:paraId="0C970A0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1.2076</w:t>
            </w:r>
          </w:p>
        </w:tc>
      </w:tr>
      <w:tr w14:paraId="1DCA10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8A9087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3685" w:type="dxa"/>
            <w:tcBorders>
              <w:tl2br w:val="nil"/>
              <w:tr2bl w:val="nil"/>
            </w:tcBorders>
            <w:noWrap w:val="0"/>
            <w:vAlign w:val="center"/>
          </w:tcPr>
          <w:p w14:paraId="4EC560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0.1888</w:t>
            </w:r>
          </w:p>
        </w:tc>
        <w:tc>
          <w:tcPr>
            <w:tcW w:w="3769" w:type="dxa"/>
            <w:tcBorders>
              <w:tl2br w:val="nil"/>
              <w:tr2bl w:val="nil"/>
            </w:tcBorders>
            <w:noWrap w:val="0"/>
            <w:vAlign w:val="center"/>
          </w:tcPr>
          <w:p w14:paraId="6078F69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1.2754</w:t>
            </w:r>
          </w:p>
        </w:tc>
      </w:tr>
      <w:tr w14:paraId="4F8F6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1591C5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3685" w:type="dxa"/>
            <w:tcBorders>
              <w:tl2br w:val="nil"/>
              <w:tr2bl w:val="nil"/>
            </w:tcBorders>
            <w:noWrap w:val="0"/>
            <w:vAlign w:val="center"/>
          </w:tcPr>
          <w:p w14:paraId="1D664FB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0.2041</w:t>
            </w:r>
          </w:p>
        </w:tc>
        <w:tc>
          <w:tcPr>
            <w:tcW w:w="3769" w:type="dxa"/>
            <w:tcBorders>
              <w:tl2br w:val="nil"/>
              <w:tr2bl w:val="nil"/>
            </w:tcBorders>
            <w:noWrap w:val="0"/>
            <w:vAlign w:val="center"/>
          </w:tcPr>
          <w:p w14:paraId="4D407EC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1.3489</w:t>
            </w:r>
          </w:p>
        </w:tc>
      </w:tr>
      <w:tr w14:paraId="1D035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0F4C7D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3685" w:type="dxa"/>
            <w:tcBorders>
              <w:tl2br w:val="nil"/>
              <w:tr2bl w:val="nil"/>
            </w:tcBorders>
            <w:noWrap w:val="0"/>
            <w:vAlign w:val="center"/>
          </w:tcPr>
          <w:p w14:paraId="2028EE0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0.221</w:t>
            </w:r>
          </w:p>
        </w:tc>
        <w:tc>
          <w:tcPr>
            <w:tcW w:w="3769" w:type="dxa"/>
            <w:tcBorders>
              <w:tl2br w:val="nil"/>
              <w:tr2bl w:val="nil"/>
            </w:tcBorders>
            <w:noWrap w:val="0"/>
            <w:vAlign w:val="center"/>
          </w:tcPr>
          <w:p w14:paraId="51F7814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1.4286</w:t>
            </w:r>
          </w:p>
        </w:tc>
      </w:tr>
      <w:tr w14:paraId="7A568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C02227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3685" w:type="dxa"/>
            <w:tcBorders>
              <w:tl2br w:val="nil"/>
              <w:tr2bl w:val="nil"/>
            </w:tcBorders>
            <w:noWrap w:val="0"/>
            <w:vAlign w:val="center"/>
          </w:tcPr>
          <w:p w14:paraId="484CBA2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0.2397</w:t>
            </w:r>
          </w:p>
        </w:tc>
        <w:tc>
          <w:tcPr>
            <w:tcW w:w="3769" w:type="dxa"/>
            <w:tcBorders>
              <w:tl2br w:val="nil"/>
              <w:tr2bl w:val="nil"/>
            </w:tcBorders>
            <w:noWrap w:val="0"/>
            <w:vAlign w:val="center"/>
          </w:tcPr>
          <w:p w14:paraId="68DDC7A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1.5153</w:t>
            </w:r>
          </w:p>
        </w:tc>
      </w:tr>
      <w:tr w14:paraId="757D63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49E2D2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3685" w:type="dxa"/>
            <w:tcBorders>
              <w:tl2br w:val="nil"/>
              <w:tr2bl w:val="nil"/>
            </w:tcBorders>
            <w:noWrap w:val="0"/>
            <w:vAlign w:val="center"/>
          </w:tcPr>
          <w:p w14:paraId="629789D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0.2604</w:t>
            </w:r>
          </w:p>
        </w:tc>
        <w:tc>
          <w:tcPr>
            <w:tcW w:w="3769" w:type="dxa"/>
            <w:tcBorders>
              <w:tl2br w:val="nil"/>
              <w:tr2bl w:val="nil"/>
            </w:tcBorders>
            <w:noWrap w:val="0"/>
            <w:vAlign w:val="center"/>
          </w:tcPr>
          <w:p w14:paraId="34221F8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1.6098</w:t>
            </w:r>
          </w:p>
        </w:tc>
      </w:tr>
      <w:tr w14:paraId="5984B9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325C33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3685" w:type="dxa"/>
            <w:tcBorders>
              <w:tl2br w:val="nil"/>
              <w:tr2bl w:val="nil"/>
            </w:tcBorders>
            <w:noWrap w:val="0"/>
            <w:vAlign w:val="center"/>
          </w:tcPr>
          <w:p w14:paraId="5AF4101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0.2833</w:t>
            </w:r>
          </w:p>
        </w:tc>
        <w:tc>
          <w:tcPr>
            <w:tcW w:w="3769" w:type="dxa"/>
            <w:tcBorders>
              <w:tl2br w:val="nil"/>
              <w:tr2bl w:val="nil"/>
            </w:tcBorders>
            <w:noWrap w:val="0"/>
            <w:vAlign w:val="center"/>
          </w:tcPr>
          <w:p w14:paraId="5DD0344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1.713</w:t>
            </w:r>
          </w:p>
        </w:tc>
      </w:tr>
      <w:tr w14:paraId="3FB71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4144B7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685" w:type="dxa"/>
            <w:tcBorders>
              <w:tl2br w:val="nil"/>
              <w:tr2bl w:val="nil"/>
            </w:tcBorders>
            <w:noWrap w:val="0"/>
            <w:vAlign w:val="center"/>
          </w:tcPr>
          <w:p w14:paraId="24E4ECE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0.3087</w:t>
            </w:r>
          </w:p>
        </w:tc>
        <w:tc>
          <w:tcPr>
            <w:tcW w:w="3769" w:type="dxa"/>
            <w:tcBorders>
              <w:tl2br w:val="nil"/>
              <w:tr2bl w:val="nil"/>
            </w:tcBorders>
            <w:noWrap w:val="0"/>
            <w:vAlign w:val="center"/>
          </w:tcPr>
          <w:p w14:paraId="56A5AC7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1.8257</w:t>
            </w:r>
          </w:p>
        </w:tc>
      </w:tr>
      <w:tr w14:paraId="7BA5A1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89ED38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w:t>
            </w:r>
          </w:p>
        </w:tc>
        <w:tc>
          <w:tcPr>
            <w:tcW w:w="3685" w:type="dxa"/>
            <w:tcBorders>
              <w:tl2br w:val="nil"/>
              <w:tr2bl w:val="nil"/>
            </w:tcBorders>
            <w:noWrap w:val="0"/>
            <w:vAlign w:val="center"/>
          </w:tcPr>
          <w:p w14:paraId="132C275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0.3369</w:t>
            </w:r>
          </w:p>
        </w:tc>
        <w:tc>
          <w:tcPr>
            <w:tcW w:w="3769" w:type="dxa"/>
            <w:tcBorders>
              <w:tl2br w:val="nil"/>
              <w:tr2bl w:val="nil"/>
            </w:tcBorders>
            <w:noWrap w:val="0"/>
            <w:vAlign w:val="center"/>
          </w:tcPr>
          <w:p w14:paraId="23DFE6A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1.9492</w:t>
            </w:r>
          </w:p>
        </w:tc>
      </w:tr>
      <w:tr w14:paraId="0C454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D56173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685" w:type="dxa"/>
            <w:tcBorders>
              <w:tl2br w:val="nil"/>
              <w:tr2bl w:val="nil"/>
            </w:tcBorders>
            <w:noWrap w:val="0"/>
            <w:vAlign w:val="center"/>
          </w:tcPr>
          <w:p w14:paraId="4D72F9C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0.3682</w:t>
            </w:r>
          </w:p>
        </w:tc>
        <w:tc>
          <w:tcPr>
            <w:tcW w:w="3769" w:type="dxa"/>
            <w:tcBorders>
              <w:tl2br w:val="nil"/>
              <w:tr2bl w:val="nil"/>
            </w:tcBorders>
            <w:noWrap w:val="0"/>
            <w:vAlign w:val="center"/>
          </w:tcPr>
          <w:p w14:paraId="28AEAA9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2.0848</w:t>
            </w:r>
          </w:p>
        </w:tc>
      </w:tr>
      <w:tr w14:paraId="29109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610A9E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3685" w:type="dxa"/>
            <w:tcBorders>
              <w:tl2br w:val="nil"/>
              <w:tr2bl w:val="nil"/>
            </w:tcBorders>
            <w:noWrap w:val="0"/>
            <w:vAlign w:val="center"/>
          </w:tcPr>
          <w:p w14:paraId="4D86072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0.403</w:t>
            </w:r>
          </w:p>
        </w:tc>
        <w:tc>
          <w:tcPr>
            <w:tcW w:w="3769" w:type="dxa"/>
            <w:tcBorders>
              <w:tl2br w:val="nil"/>
              <w:tr2bl w:val="nil"/>
            </w:tcBorders>
            <w:noWrap w:val="0"/>
            <w:vAlign w:val="center"/>
          </w:tcPr>
          <w:p w14:paraId="2F2006C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2.2337</w:t>
            </w:r>
          </w:p>
        </w:tc>
      </w:tr>
      <w:tr w14:paraId="47C93F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D881BC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3685" w:type="dxa"/>
            <w:tcBorders>
              <w:tl2br w:val="nil"/>
              <w:tr2bl w:val="nil"/>
            </w:tcBorders>
            <w:noWrap w:val="0"/>
            <w:vAlign w:val="center"/>
          </w:tcPr>
          <w:p w14:paraId="04D272C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0.4416</w:t>
            </w:r>
          </w:p>
        </w:tc>
        <w:tc>
          <w:tcPr>
            <w:tcW w:w="3769" w:type="dxa"/>
            <w:tcBorders>
              <w:tl2br w:val="nil"/>
              <w:tr2bl w:val="nil"/>
            </w:tcBorders>
            <w:noWrap w:val="0"/>
            <w:vAlign w:val="center"/>
          </w:tcPr>
          <w:p w14:paraId="66E13F8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2.3977</w:t>
            </w:r>
          </w:p>
        </w:tc>
      </w:tr>
      <w:tr w14:paraId="73B94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512E22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685" w:type="dxa"/>
            <w:tcBorders>
              <w:tl2br w:val="nil"/>
              <w:tr2bl w:val="nil"/>
            </w:tcBorders>
            <w:noWrap w:val="0"/>
            <w:vAlign w:val="center"/>
          </w:tcPr>
          <w:p w14:paraId="2605D17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0.4843</w:t>
            </w:r>
          </w:p>
        </w:tc>
        <w:tc>
          <w:tcPr>
            <w:tcW w:w="3769" w:type="dxa"/>
            <w:tcBorders>
              <w:tl2br w:val="nil"/>
              <w:tr2bl w:val="nil"/>
            </w:tcBorders>
            <w:noWrap w:val="0"/>
            <w:vAlign w:val="center"/>
          </w:tcPr>
          <w:p w14:paraId="5772528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2.5784</w:t>
            </w:r>
          </w:p>
        </w:tc>
      </w:tr>
      <w:tr w14:paraId="706BA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E30459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3685" w:type="dxa"/>
            <w:tcBorders>
              <w:tl2br w:val="nil"/>
              <w:tr2bl w:val="nil"/>
            </w:tcBorders>
            <w:noWrap w:val="0"/>
            <w:vAlign w:val="center"/>
          </w:tcPr>
          <w:p w14:paraId="50F78E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0.5314</w:t>
            </w:r>
          </w:p>
        </w:tc>
        <w:tc>
          <w:tcPr>
            <w:tcW w:w="3769" w:type="dxa"/>
            <w:tcBorders>
              <w:tl2br w:val="nil"/>
              <w:tr2bl w:val="nil"/>
            </w:tcBorders>
            <w:noWrap w:val="0"/>
            <w:vAlign w:val="center"/>
          </w:tcPr>
          <w:p w14:paraId="19C2BC7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2.7777</w:t>
            </w:r>
          </w:p>
        </w:tc>
      </w:tr>
      <w:tr w14:paraId="77EC69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A3AEA4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3685" w:type="dxa"/>
            <w:tcBorders>
              <w:tl2br w:val="nil"/>
              <w:tr2bl w:val="nil"/>
            </w:tcBorders>
            <w:noWrap w:val="0"/>
            <w:vAlign w:val="center"/>
          </w:tcPr>
          <w:p w14:paraId="07CC769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0.5832</w:t>
            </w:r>
          </w:p>
        </w:tc>
        <w:tc>
          <w:tcPr>
            <w:tcW w:w="3769" w:type="dxa"/>
            <w:tcBorders>
              <w:tl2br w:val="nil"/>
              <w:tr2bl w:val="nil"/>
            </w:tcBorders>
            <w:noWrap w:val="0"/>
            <w:vAlign w:val="center"/>
          </w:tcPr>
          <w:p w14:paraId="53FD691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2.9978</w:t>
            </w:r>
          </w:p>
        </w:tc>
      </w:tr>
      <w:tr w14:paraId="1E2B2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BC58F0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3685" w:type="dxa"/>
            <w:tcBorders>
              <w:tl2br w:val="nil"/>
              <w:tr2bl w:val="nil"/>
            </w:tcBorders>
            <w:noWrap w:val="0"/>
            <w:vAlign w:val="center"/>
          </w:tcPr>
          <w:p w14:paraId="150C714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0.6399</w:t>
            </w:r>
          </w:p>
        </w:tc>
        <w:tc>
          <w:tcPr>
            <w:tcW w:w="3769" w:type="dxa"/>
            <w:tcBorders>
              <w:tl2br w:val="nil"/>
              <w:tr2bl w:val="nil"/>
            </w:tcBorders>
            <w:noWrap w:val="0"/>
            <w:vAlign w:val="center"/>
          </w:tcPr>
          <w:p w14:paraId="70C30E0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3.2406</w:t>
            </w:r>
          </w:p>
        </w:tc>
      </w:tr>
      <w:tr w14:paraId="6CB8F5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B62DE8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3685" w:type="dxa"/>
            <w:tcBorders>
              <w:tl2br w:val="nil"/>
              <w:tr2bl w:val="nil"/>
            </w:tcBorders>
            <w:noWrap w:val="0"/>
            <w:vAlign w:val="center"/>
          </w:tcPr>
          <w:p w14:paraId="36BBB38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0.7015</w:t>
            </w:r>
          </w:p>
        </w:tc>
        <w:tc>
          <w:tcPr>
            <w:tcW w:w="3769" w:type="dxa"/>
            <w:tcBorders>
              <w:tl2br w:val="nil"/>
              <w:tr2bl w:val="nil"/>
            </w:tcBorders>
            <w:noWrap w:val="0"/>
            <w:vAlign w:val="center"/>
          </w:tcPr>
          <w:p w14:paraId="1ADEA22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3.5083</w:t>
            </w:r>
          </w:p>
        </w:tc>
      </w:tr>
      <w:tr w14:paraId="4D7C7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F1F326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3685" w:type="dxa"/>
            <w:tcBorders>
              <w:tl2br w:val="nil"/>
              <w:tr2bl w:val="nil"/>
            </w:tcBorders>
            <w:noWrap w:val="0"/>
            <w:vAlign w:val="center"/>
          </w:tcPr>
          <w:p w14:paraId="5016481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0.7675</w:t>
            </w:r>
          </w:p>
        </w:tc>
        <w:tc>
          <w:tcPr>
            <w:tcW w:w="3769" w:type="dxa"/>
            <w:tcBorders>
              <w:tl2br w:val="nil"/>
              <w:tr2bl w:val="nil"/>
            </w:tcBorders>
            <w:noWrap w:val="0"/>
            <w:vAlign w:val="center"/>
          </w:tcPr>
          <w:p w14:paraId="573CB3F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3.803</w:t>
            </w:r>
          </w:p>
        </w:tc>
      </w:tr>
      <w:tr w14:paraId="494F7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B87B0E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3685" w:type="dxa"/>
            <w:tcBorders>
              <w:tl2br w:val="nil"/>
              <w:tr2bl w:val="nil"/>
            </w:tcBorders>
            <w:noWrap w:val="0"/>
            <w:vAlign w:val="center"/>
          </w:tcPr>
          <w:p w14:paraId="5D1D7AC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0.8374</w:t>
            </w:r>
          </w:p>
        </w:tc>
        <w:tc>
          <w:tcPr>
            <w:tcW w:w="3769" w:type="dxa"/>
            <w:tcBorders>
              <w:tl2br w:val="nil"/>
              <w:tr2bl w:val="nil"/>
            </w:tcBorders>
            <w:noWrap w:val="0"/>
            <w:vAlign w:val="center"/>
          </w:tcPr>
          <w:p w14:paraId="1A59267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4.1264</w:t>
            </w:r>
          </w:p>
        </w:tc>
      </w:tr>
      <w:tr w14:paraId="72FC40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B691F7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3685" w:type="dxa"/>
            <w:tcBorders>
              <w:tl2br w:val="nil"/>
              <w:tr2bl w:val="nil"/>
            </w:tcBorders>
            <w:noWrap w:val="0"/>
            <w:vAlign w:val="center"/>
          </w:tcPr>
          <w:p w14:paraId="65C3F6D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0.9098</w:t>
            </w:r>
          </w:p>
        </w:tc>
        <w:tc>
          <w:tcPr>
            <w:tcW w:w="3769" w:type="dxa"/>
            <w:tcBorders>
              <w:tl2br w:val="nil"/>
              <w:tr2bl w:val="nil"/>
            </w:tcBorders>
            <w:noWrap w:val="0"/>
            <w:vAlign w:val="center"/>
          </w:tcPr>
          <w:p w14:paraId="6A8EBBD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4.4795</w:t>
            </w:r>
          </w:p>
        </w:tc>
      </w:tr>
      <w:tr w14:paraId="4CFDF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36F29D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3685" w:type="dxa"/>
            <w:tcBorders>
              <w:tl2br w:val="nil"/>
              <w:tr2bl w:val="nil"/>
            </w:tcBorders>
            <w:noWrap w:val="0"/>
            <w:vAlign w:val="center"/>
          </w:tcPr>
          <w:p w14:paraId="6904BDC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0.9829</w:t>
            </w:r>
          </w:p>
        </w:tc>
        <w:tc>
          <w:tcPr>
            <w:tcW w:w="3769" w:type="dxa"/>
            <w:tcBorders>
              <w:tl2br w:val="nil"/>
              <w:tr2bl w:val="nil"/>
            </w:tcBorders>
            <w:noWrap w:val="0"/>
            <w:vAlign w:val="center"/>
          </w:tcPr>
          <w:p w14:paraId="0BE8A0A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4.8626</w:t>
            </w:r>
          </w:p>
        </w:tc>
      </w:tr>
      <w:tr w14:paraId="5D222B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A32F73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685" w:type="dxa"/>
            <w:tcBorders>
              <w:tl2br w:val="nil"/>
              <w:tr2bl w:val="nil"/>
            </w:tcBorders>
            <w:noWrap w:val="0"/>
            <w:vAlign w:val="center"/>
          </w:tcPr>
          <w:p w14:paraId="6F5C70B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1.0538</w:t>
            </w:r>
          </w:p>
        </w:tc>
        <w:tc>
          <w:tcPr>
            <w:tcW w:w="3769" w:type="dxa"/>
            <w:tcBorders>
              <w:tl2br w:val="nil"/>
              <w:tr2bl w:val="nil"/>
            </w:tcBorders>
            <w:noWrap w:val="0"/>
            <w:vAlign w:val="center"/>
          </w:tcPr>
          <w:p w14:paraId="1E5A41E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5.2742</w:t>
            </w:r>
          </w:p>
        </w:tc>
      </w:tr>
      <w:tr w14:paraId="1FE27D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63DC02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685" w:type="dxa"/>
            <w:tcBorders>
              <w:tl2br w:val="nil"/>
              <w:tr2bl w:val="nil"/>
            </w:tcBorders>
            <w:noWrap w:val="0"/>
            <w:vAlign w:val="center"/>
          </w:tcPr>
          <w:p w14:paraId="3F1431B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1.1188</w:t>
            </w:r>
          </w:p>
        </w:tc>
        <w:tc>
          <w:tcPr>
            <w:tcW w:w="3769" w:type="dxa"/>
            <w:tcBorders>
              <w:tl2br w:val="nil"/>
              <w:tr2bl w:val="nil"/>
            </w:tcBorders>
            <w:noWrap w:val="0"/>
            <w:vAlign w:val="center"/>
          </w:tcPr>
          <w:p w14:paraId="75BE0A4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5.7111</w:t>
            </w:r>
          </w:p>
        </w:tc>
      </w:tr>
      <w:tr w14:paraId="0DFEF7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D8B58F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685" w:type="dxa"/>
            <w:tcBorders>
              <w:tl2br w:val="nil"/>
              <w:tr2bl w:val="nil"/>
            </w:tcBorders>
            <w:noWrap w:val="0"/>
            <w:vAlign w:val="center"/>
          </w:tcPr>
          <w:p w14:paraId="50FCC50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1.1734</w:t>
            </w:r>
          </w:p>
        </w:tc>
        <w:tc>
          <w:tcPr>
            <w:tcW w:w="3769" w:type="dxa"/>
            <w:tcBorders>
              <w:tl2br w:val="nil"/>
              <w:tr2bl w:val="nil"/>
            </w:tcBorders>
            <w:noWrap w:val="0"/>
            <w:vAlign w:val="center"/>
          </w:tcPr>
          <w:p w14:paraId="21A8836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6.1677</w:t>
            </w:r>
          </w:p>
        </w:tc>
      </w:tr>
      <w:tr w14:paraId="1D94E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3A573E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3685" w:type="dxa"/>
            <w:tcBorders>
              <w:tl2br w:val="nil"/>
              <w:tr2bl w:val="nil"/>
            </w:tcBorders>
            <w:noWrap w:val="0"/>
            <w:vAlign w:val="center"/>
          </w:tcPr>
          <w:p w14:paraId="4120CFC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1.2125</w:t>
            </w:r>
          </w:p>
        </w:tc>
        <w:tc>
          <w:tcPr>
            <w:tcW w:w="3769" w:type="dxa"/>
            <w:tcBorders>
              <w:tl2br w:val="nil"/>
              <w:tr2bl w:val="nil"/>
            </w:tcBorders>
            <w:noWrap w:val="0"/>
            <w:vAlign w:val="center"/>
          </w:tcPr>
          <w:p w14:paraId="3BAAC69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6.6356</w:t>
            </w:r>
          </w:p>
        </w:tc>
      </w:tr>
      <w:tr w14:paraId="1F868A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4B3F87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3685" w:type="dxa"/>
            <w:tcBorders>
              <w:tl2br w:val="nil"/>
              <w:tr2bl w:val="nil"/>
            </w:tcBorders>
            <w:shd w:val="clear" w:color="auto" w:fill="A4A4A4" w:themeFill="background1" w:themeFillShade="A5"/>
            <w:noWrap w:val="0"/>
            <w:vAlign w:val="center"/>
          </w:tcPr>
          <w:p w14:paraId="363696F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1.2312</w:t>
            </w:r>
          </w:p>
        </w:tc>
        <w:tc>
          <w:tcPr>
            <w:tcW w:w="3769" w:type="dxa"/>
            <w:tcBorders>
              <w:tl2br w:val="nil"/>
              <w:tr2bl w:val="nil"/>
            </w:tcBorders>
            <w:noWrap w:val="0"/>
            <w:vAlign w:val="center"/>
          </w:tcPr>
          <w:p w14:paraId="5B7740D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7.104</w:t>
            </w:r>
          </w:p>
        </w:tc>
      </w:tr>
      <w:tr w14:paraId="12EDE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3D9A85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3685" w:type="dxa"/>
            <w:tcBorders>
              <w:tl2br w:val="nil"/>
              <w:tr2bl w:val="nil"/>
            </w:tcBorders>
            <w:noWrap w:val="0"/>
            <w:vAlign w:val="center"/>
          </w:tcPr>
          <w:p w14:paraId="4B86545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1.2252</w:t>
            </w:r>
          </w:p>
        </w:tc>
        <w:tc>
          <w:tcPr>
            <w:tcW w:w="3769" w:type="dxa"/>
            <w:tcBorders>
              <w:tl2br w:val="nil"/>
              <w:tr2bl w:val="nil"/>
            </w:tcBorders>
            <w:noWrap w:val="0"/>
            <w:vAlign w:val="center"/>
          </w:tcPr>
          <w:p w14:paraId="34BC5B7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7.5605</w:t>
            </w:r>
          </w:p>
        </w:tc>
      </w:tr>
      <w:tr w14:paraId="146F3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26870C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3685" w:type="dxa"/>
            <w:tcBorders>
              <w:tl2br w:val="nil"/>
              <w:tr2bl w:val="nil"/>
            </w:tcBorders>
            <w:noWrap w:val="0"/>
            <w:vAlign w:val="center"/>
          </w:tcPr>
          <w:p w14:paraId="1BB497E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1.1926</w:t>
            </w:r>
          </w:p>
        </w:tc>
        <w:tc>
          <w:tcPr>
            <w:tcW w:w="3769" w:type="dxa"/>
            <w:tcBorders>
              <w:tl2br w:val="nil"/>
              <w:tr2bl w:val="nil"/>
            </w:tcBorders>
            <w:noWrap w:val="0"/>
            <w:vAlign w:val="center"/>
          </w:tcPr>
          <w:p w14:paraId="5868FA7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7.9918</w:t>
            </w:r>
          </w:p>
        </w:tc>
      </w:tr>
      <w:tr w14:paraId="0F382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D50696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3685" w:type="dxa"/>
            <w:tcBorders>
              <w:tl2br w:val="nil"/>
              <w:tr2bl w:val="nil"/>
            </w:tcBorders>
            <w:noWrap w:val="0"/>
            <w:vAlign w:val="center"/>
          </w:tcPr>
          <w:p w14:paraId="6074161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1.1343</w:t>
            </w:r>
          </w:p>
        </w:tc>
        <w:tc>
          <w:tcPr>
            <w:tcW w:w="3769" w:type="dxa"/>
            <w:tcBorders>
              <w:tl2br w:val="nil"/>
              <w:tr2bl w:val="nil"/>
            </w:tcBorders>
            <w:noWrap w:val="0"/>
            <w:vAlign w:val="center"/>
          </w:tcPr>
          <w:p w14:paraId="67DB2CB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8.3859</w:t>
            </w:r>
          </w:p>
        </w:tc>
      </w:tr>
      <w:tr w14:paraId="7920F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F6178F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3685" w:type="dxa"/>
            <w:tcBorders>
              <w:tl2br w:val="nil"/>
              <w:tr2bl w:val="nil"/>
            </w:tcBorders>
            <w:noWrap w:val="0"/>
            <w:vAlign w:val="center"/>
          </w:tcPr>
          <w:p w14:paraId="6E13F50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1.0545</w:t>
            </w:r>
          </w:p>
        </w:tc>
        <w:tc>
          <w:tcPr>
            <w:tcW w:w="3769" w:type="dxa"/>
            <w:tcBorders>
              <w:tl2br w:val="nil"/>
              <w:tr2bl w:val="nil"/>
            </w:tcBorders>
            <w:noWrap w:val="0"/>
            <w:vAlign w:val="center"/>
          </w:tcPr>
          <w:p w14:paraId="23A2B2E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8.7334</w:t>
            </w:r>
          </w:p>
        </w:tc>
      </w:tr>
      <w:tr w14:paraId="5A8DA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ECC412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3685" w:type="dxa"/>
            <w:tcBorders>
              <w:tl2br w:val="nil"/>
              <w:tr2bl w:val="nil"/>
            </w:tcBorders>
            <w:noWrap w:val="0"/>
            <w:vAlign w:val="center"/>
          </w:tcPr>
          <w:p w14:paraId="084DC7C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0.9613</w:t>
            </w:r>
          </w:p>
        </w:tc>
        <w:tc>
          <w:tcPr>
            <w:tcW w:w="3769" w:type="dxa"/>
            <w:tcBorders>
              <w:tl2br w:val="nil"/>
              <w:tr2bl w:val="nil"/>
            </w:tcBorders>
            <w:noWrap w:val="0"/>
            <w:vAlign w:val="center"/>
          </w:tcPr>
          <w:p w14:paraId="7F6F27C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9.0281</w:t>
            </w:r>
          </w:p>
        </w:tc>
      </w:tr>
      <w:tr w14:paraId="6D621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B169A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3685" w:type="dxa"/>
            <w:tcBorders>
              <w:tl2br w:val="nil"/>
              <w:tr2bl w:val="nil"/>
            </w:tcBorders>
            <w:noWrap w:val="0"/>
            <w:vAlign w:val="center"/>
          </w:tcPr>
          <w:p w14:paraId="4842FA5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0.8651</w:t>
            </w:r>
          </w:p>
        </w:tc>
        <w:tc>
          <w:tcPr>
            <w:tcW w:w="3769" w:type="dxa"/>
            <w:tcBorders>
              <w:tl2br w:val="nil"/>
              <w:tr2bl w:val="nil"/>
            </w:tcBorders>
            <w:noWrap w:val="0"/>
            <w:vAlign w:val="center"/>
          </w:tcPr>
          <w:p w14:paraId="0329B9C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9.2673</w:t>
            </w:r>
          </w:p>
        </w:tc>
      </w:tr>
      <w:tr w14:paraId="7DE099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7BB691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3685" w:type="dxa"/>
            <w:tcBorders>
              <w:tl2br w:val="nil"/>
              <w:tr2bl w:val="nil"/>
            </w:tcBorders>
            <w:noWrap w:val="0"/>
            <w:vAlign w:val="center"/>
          </w:tcPr>
          <w:p w14:paraId="00F2744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0.7772</w:t>
            </w:r>
          </w:p>
        </w:tc>
        <w:tc>
          <w:tcPr>
            <w:tcW w:w="3769" w:type="dxa"/>
            <w:tcBorders>
              <w:tl2br w:val="nil"/>
              <w:tr2bl w:val="nil"/>
            </w:tcBorders>
            <w:noWrap w:val="0"/>
            <w:vAlign w:val="center"/>
          </w:tcPr>
          <w:p w14:paraId="05F44B4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9.4507</w:t>
            </w:r>
          </w:p>
        </w:tc>
      </w:tr>
      <w:tr w14:paraId="30A44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0DFC3A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3685" w:type="dxa"/>
            <w:tcBorders>
              <w:tl2br w:val="nil"/>
              <w:tr2bl w:val="nil"/>
            </w:tcBorders>
            <w:noWrap w:val="0"/>
            <w:vAlign w:val="center"/>
          </w:tcPr>
          <w:p w14:paraId="1E8644C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0.7077</w:t>
            </w:r>
          </w:p>
        </w:tc>
        <w:tc>
          <w:tcPr>
            <w:tcW w:w="3769" w:type="dxa"/>
            <w:tcBorders>
              <w:tl2br w:val="nil"/>
              <w:tr2bl w:val="nil"/>
            </w:tcBorders>
            <w:noWrap w:val="0"/>
            <w:vAlign w:val="center"/>
          </w:tcPr>
          <w:p w14:paraId="72BD6B0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9.5798</w:t>
            </w:r>
          </w:p>
        </w:tc>
      </w:tr>
      <w:tr w14:paraId="2D5700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26CA81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3685" w:type="dxa"/>
            <w:tcBorders>
              <w:tl2br w:val="nil"/>
              <w:tr2bl w:val="nil"/>
            </w:tcBorders>
            <w:noWrap w:val="0"/>
            <w:vAlign w:val="center"/>
          </w:tcPr>
          <w:p w14:paraId="3CE65D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0.6638</w:t>
            </w:r>
          </w:p>
        </w:tc>
        <w:tc>
          <w:tcPr>
            <w:tcW w:w="3769" w:type="dxa"/>
            <w:tcBorders>
              <w:tl2br w:val="nil"/>
              <w:tr2bl w:val="nil"/>
            </w:tcBorders>
            <w:noWrap w:val="0"/>
            <w:vAlign w:val="center"/>
          </w:tcPr>
          <w:p w14:paraId="66E0279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9.6564</w:t>
            </w:r>
          </w:p>
        </w:tc>
      </w:tr>
      <w:tr w14:paraId="65F9E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938D5F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3685" w:type="dxa"/>
            <w:tcBorders>
              <w:tl2br w:val="nil"/>
              <w:tr2bl w:val="nil"/>
            </w:tcBorders>
            <w:noWrap w:val="0"/>
            <w:vAlign w:val="center"/>
          </w:tcPr>
          <w:p w14:paraId="173392E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0.6489</w:t>
            </w:r>
          </w:p>
        </w:tc>
        <w:tc>
          <w:tcPr>
            <w:tcW w:w="3769" w:type="dxa"/>
            <w:tcBorders>
              <w:tl2br w:val="nil"/>
              <w:tr2bl w:val="nil"/>
            </w:tcBorders>
            <w:shd w:val="clear" w:color="auto" w:fill="7E7E7E" w:themeFill="background1" w:themeFillShade="7F"/>
            <w:noWrap w:val="0"/>
            <w:vAlign w:val="center"/>
          </w:tcPr>
          <w:p w14:paraId="00C9E74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9.6817</w:t>
            </w:r>
          </w:p>
        </w:tc>
      </w:tr>
      <w:tr w14:paraId="239F4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E9C0F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3685" w:type="dxa"/>
            <w:tcBorders>
              <w:tl2br w:val="nil"/>
              <w:tr2bl w:val="nil"/>
            </w:tcBorders>
            <w:noWrap w:val="0"/>
            <w:vAlign w:val="center"/>
          </w:tcPr>
          <w:p w14:paraId="396F1C4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0.6638</w:t>
            </w:r>
          </w:p>
        </w:tc>
        <w:tc>
          <w:tcPr>
            <w:tcW w:w="3769" w:type="dxa"/>
            <w:tcBorders>
              <w:tl2br w:val="nil"/>
              <w:tr2bl w:val="nil"/>
            </w:tcBorders>
            <w:noWrap w:val="0"/>
            <w:vAlign w:val="center"/>
          </w:tcPr>
          <w:p w14:paraId="694575D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9.6564</w:t>
            </w:r>
          </w:p>
        </w:tc>
      </w:tr>
      <w:tr w14:paraId="0FEE63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2FFCC0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3685" w:type="dxa"/>
            <w:tcBorders>
              <w:tl2br w:val="nil"/>
              <w:tr2bl w:val="nil"/>
            </w:tcBorders>
            <w:noWrap w:val="0"/>
            <w:vAlign w:val="center"/>
          </w:tcPr>
          <w:p w14:paraId="05BC7A2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0.7077</w:t>
            </w:r>
          </w:p>
        </w:tc>
        <w:tc>
          <w:tcPr>
            <w:tcW w:w="3769" w:type="dxa"/>
            <w:tcBorders>
              <w:tl2br w:val="nil"/>
              <w:tr2bl w:val="nil"/>
            </w:tcBorders>
            <w:noWrap w:val="0"/>
            <w:vAlign w:val="center"/>
          </w:tcPr>
          <w:p w14:paraId="65056AE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9.5798</w:t>
            </w:r>
          </w:p>
        </w:tc>
      </w:tr>
      <w:tr w14:paraId="79FBA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B88432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3685" w:type="dxa"/>
            <w:tcBorders>
              <w:tl2br w:val="nil"/>
              <w:tr2bl w:val="nil"/>
            </w:tcBorders>
            <w:noWrap w:val="0"/>
            <w:vAlign w:val="center"/>
          </w:tcPr>
          <w:p w14:paraId="56CBA4F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0.7772</w:t>
            </w:r>
          </w:p>
        </w:tc>
        <w:tc>
          <w:tcPr>
            <w:tcW w:w="3769" w:type="dxa"/>
            <w:tcBorders>
              <w:tl2br w:val="nil"/>
              <w:tr2bl w:val="nil"/>
            </w:tcBorders>
            <w:noWrap w:val="0"/>
            <w:vAlign w:val="center"/>
          </w:tcPr>
          <w:p w14:paraId="18A2F55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9.4507</w:t>
            </w:r>
          </w:p>
        </w:tc>
      </w:tr>
      <w:tr w14:paraId="0E913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2F9455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3685" w:type="dxa"/>
            <w:tcBorders>
              <w:tl2br w:val="nil"/>
              <w:tr2bl w:val="nil"/>
            </w:tcBorders>
            <w:noWrap w:val="0"/>
            <w:vAlign w:val="center"/>
          </w:tcPr>
          <w:p w14:paraId="6455445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0.8651</w:t>
            </w:r>
          </w:p>
        </w:tc>
        <w:tc>
          <w:tcPr>
            <w:tcW w:w="3769" w:type="dxa"/>
            <w:tcBorders>
              <w:tl2br w:val="nil"/>
              <w:tr2bl w:val="nil"/>
            </w:tcBorders>
            <w:noWrap w:val="0"/>
            <w:vAlign w:val="center"/>
          </w:tcPr>
          <w:p w14:paraId="1264F34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9.2673</w:t>
            </w:r>
          </w:p>
        </w:tc>
      </w:tr>
      <w:tr w14:paraId="0A9EE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E6564D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3685" w:type="dxa"/>
            <w:tcBorders>
              <w:tl2br w:val="nil"/>
              <w:tr2bl w:val="nil"/>
            </w:tcBorders>
            <w:noWrap w:val="0"/>
            <w:vAlign w:val="center"/>
          </w:tcPr>
          <w:p w14:paraId="6879A22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0.9613</w:t>
            </w:r>
          </w:p>
        </w:tc>
        <w:tc>
          <w:tcPr>
            <w:tcW w:w="3769" w:type="dxa"/>
            <w:tcBorders>
              <w:tl2br w:val="nil"/>
              <w:tr2bl w:val="nil"/>
            </w:tcBorders>
            <w:noWrap w:val="0"/>
            <w:vAlign w:val="center"/>
          </w:tcPr>
          <w:p w14:paraId="6359328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9.0281</w:t>
            </w:r>
          </w:p>
        </w:tc>
      </w:tr>
      <w:tr w14:paraId="11798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179B4F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3685" w:type="dxa"/>
            <w:tcBorders>
              <w:tl2br w:val="nil"/>
              <w:tr2bl w:val="nil"/>
            </w:tcBorders>
            <w:noWrap w:val="0"/>
            <w:vAlign w:val="center"/>
          </w:tcPr>
          <w:p w14:paraId="460E135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1.0545</w:t>
            </w:r>
          </w:p>
        </w:tc>
        <w:tc>
          <w:tcPr>
            <w:tcW w:w="3769" w:type="dxa"/>
            <w:tcBorders>
              <w:tl2br w:val="nil"/>
              <w:tr2bl w:val="nil"/>
            </w:tcBorders>
            <w:noWrap w:val="0"/>
            <w:vAlign w:val="center"/>
          </w:tcPr>
          <w:p w14:paraId="67169F4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8.7334</w:t>
            </w:r>
          </w:p>
        </w:tc>
      </w:tr>
      <w:tr w14:paraId="44AB3A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0C9190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3685" w:type="dxa"/>
            <w:tcBorders>
              <w:tl2br w:val="nil"/>
              <w:tr2bl w:val="nil"/>
            </w:tcBorders>
            <w:noWrap w:val="0"/>
            <w:vAlign w:val="center"/>
          </w:tcPr>
          <w:p w14:paraId="453469A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1.1343</w:t>
            </w:r>
          </w:p>
        </w:tc>
        <w:tc>
          <w:tcPr>
            <w:tcW w:w="3769" w:type="dxa"/>
            <w:tcBorders>
              <w:tl2br w:val="nil"/>
              <w:tr2bl w:val="nil"/>
            </w:tcBorders>
            <w:noWrap w:val="0"/>
            <w:vAlign w:val="center"/>
          </w:tcPr>
          <w:p w14:paraId="701F17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8.3859</w:t>
            </w:r>
          </w:p>
        </w:tc>
      </w:tr>
      <w:tr w14:paraId="41290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C77C86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3685" w:type="dxa"/>
            <w:tcBorders>
              <w:tl2br w:val="nil"/>
              <w:tr2bl w:val="nil"/>
            </w:tcBorders>
            <w:noWrap w:val="0"/>
            <w:vAlign w:val="center"/>
          </w:tcPr>
          <w:p w14:paraId="493F32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1.1926</w:t>
            </w:r>
          </w:p>
        </w:tc>
        <w:tc>
          <w:tcPr>
            <w:tcW w:w="3769" w:type="dxa"/>
            <w:tcBorders>
              <w:tl2br w:val="nil"/>
              <w:tr2bl w:val="nil"/>
            </w:tcBorders>
            <w:noWrap w:val="0"/>
            <w:vAlign w:val="center"/>
          </w:tcPr>
          <w:p w14:paraId="06EEFE2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7.9918</w:t>
            </w:r>
          </w:p>
        </w:tc>
      </w:tr>
      <w:tr w14:paraId="7EBEA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EF6B2C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3685" w:type="dxa"/>
            <w:tcBorders>
              <w:tl2br w:val="nil"/>
              <w:tr2bl w:val="nil"/>
            </w:tcBorders>
            <w:noWrap w:val="0"/>
            <w:vAlign w:val="center"/>
          </w:tcPr>
          <w:p w14:paraId="68EC7C5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1.2252</w:t>
            </w:r>
          </w:p>
        </w:tc>
        <w:tc>
          <w:tcPr>
            <w:tcW w:w="3769" w:type="dxa"/>
            <w:tcBorders>
              <w:tl2br w:val="nil"/>
              <w:tr2bl w:val="nil"/>
            </w:tcBorders>
            <w:noWrap w:val="0"/>
            <w:vAlign w:val="center"/>
          </w:tcPr>
          <w:p w14:paraId="263EA04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7.5605</w:t>
            </w:r>
          </w:p>
        </w:tc>
      </w:tr>
      <w:tr w14:paraId="43FF2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E6548C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3685" w:type="dxa"/>
            <w:tcBorders>
              <w:tl2br w:val="nil"/>
              <w:tr2bl w:val="nil"/>
            </w:tcBorders>
            <w:shd w:val="clear" w:color="auto" w:fill="7E7E7E" w:themeFill="background1" w:themeFillShade="7F"/>
            <w:noWrap w:val="0"/>
            <w:vAlign w:val="center"/>
          </w:tcPr>
          <w:p w14:paraId="513B842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1.2312</w:t>
            </w:r>
          </w:p>
        </w:tc>
        <w:tc>
          <w:tcPr>
            <w:tcW w:w="3769" w:type="dxa"/>
            <w:tcBorders>
              <w:tl2br w:val="nil"/>
              <w:tr2bl w:val="nil"/>
            </w:tcBorders>
            <w:noWrap w:val="0"/>
            <w:vAlign w:val="center"/>
          </w:tcPr>
          <w:p w14:paraId="13B758A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7.104</w:t>
            </w:r>
          </w:p>
        </w:tc>
      </w:tr>
      <w:tr w14:paraId="05F8C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49CC8C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3685" w:type="dxa"/>
            <w:tcBorders>
              <w:tl2br w:val="nil"/>
              <w:tr2bl w:val="nil"/>
            </w:tcBorders>
            <w:noWrap w:val="0"/>
            <w:vAlign w:val="center"/>
          </w:tcPr>
          <w:p w14:paraId="7DF3E60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1.2125</w:t>
            </w:r>
          </w:p>
        </w:tc>
        <w:tc>
          <w:tcPr>
            <w:tcW w:w="3769" w:type="dxa"/>
            <w:tcBorders>
              <w:tl2br w:val="nil"/>
              <w:tr2bl w:val="nil"/>
            </w:tcBorders>
            <w:noWrap w:val="0"/>
            <w:vAlign w:val="center"/>
          </w:tcPr>
          <w:p w14:paraId="42FB17A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6.6356</w:t>
            </w:r>
          </w:p>
        </w:tc>
      </w:tr>
      <w:tr w14:paraId="53448D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898956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685" w:type="dxa"/>
            <w:tcBorders>
              <w:tl2br w:val="nil"/>
              <w:tr2bl w:val="nil"/>
            </w:tcBorders>
            <w:noWrap w:val="0"/>
            <w:vAlign w:val="center"/>
          </w:tcPr>
          <w:p w14:paraId="078A8A8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1.1734</w:t>
            </w:r>
          </w:p>
        </w:tc>
        <w:tc>
          <w:tcPr>
            <w:tcW w:w="3769" w:type="dxa"/>
            <w:tcBorders>
              <w:tl2br w:val="nil"/>
              <w:tr2bl w:val="nil"/>
            </w:tcBorders>
            <w:noWrap w:val="0"/>
            <w:vAlign w:val="center"/>
          </w:tcPr>
          <w:p w14:paraId="20EE727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6.1677</w:t>
            </w:r>
          </w:p>
        </w:tc>
      </w:tr>
      <w:tr w14:paraId="1A470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C648C4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685" w:type="dxa"/>
            <w:tcBorders>
              <w:tl2br w:val="nil"/>
              <w:tr2bl w:val="nil"/>
            </w:tcBorders>
            <w:noWrap w:val="0"/>
            <w:vAlign w:val="center"/>
          </w:tcPr>
          <w:p w14:paraId="31E5AC0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1.1188</w:t>
            </w:r>
          </w:p>
        </w:tc>
        <w:tc>
          <w:tcPr>
            <w:tcW w:w="3769" w:type="dxa"/>
            <w:tcBorders>
              <w:tl2br w:val="nil"/>
              <w:tr2bl w:val="nil"/>
            </w:tcBorders>
            <w:noWrap w:val="0"/>
            <w:vAlign w:val="center"/>
          </w:tcPr>
          <w:p w14:paraId="4D4C178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5.7111</w:t>
            </w:r>
          </w:p>
        </w:tc>
      </w:tr>
      <w:tr w14:paraId="557CD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4EB75A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685" w:type="dxa"/>
            <w:tcBorders>
              <w:tl2br w:val="nil"/>
              <w:tr2bl w:val="nil"/>
            </w:tcBorders>
            <w:noWrap w:val="0"/>
            <w:vAlign w:val="center"/>
          </w:tcPr>
          <w:p w14:paraId="6273EF8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1.0538</w:t>
            </w:r>
          </w:p>
        </w:tc>
        <w:tc>
          <w:tcPr>
            <w:tcW w:w="3769" w:type="dxa"/>
            <w:tcBorders>
              <w:tl2br w:val="nil"/>
              <w:tr2bl w:val="nil"/>
            </w:tcBorders>
            <w:noWrap w:val="0"/>
            <w:vAlign w:val="center"/>
          </w:tcPr>
          <w:p w14:paraId="5D7144A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5.2742</w:t>
            </w:r>
          </w:p>
        </w:tc>
      </w:tr>
      <w:tr w14:paraId="671A56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B74181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3685" w:type="dxa"/>
            <w:tcBorders>
              <w:tl2br w:val="nil"/>
              <w:tr2bl w:val="nil"/>
            </w:tcBorders>
            <w:noWrap w:val="0"/>
            <w:vAlign w:val="center"/>
          </w:tcPr>
          <w:p w14:paraId="110A6B0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0.9829</w:t>
            </w:r>
          </w:p>
        </w:tc>
        <w:tc>
          <w:tcPr>
            <w:tcW w:w="3769" w:type="dxa"/>
            <w:tcBorders>
              <w:tl2br w:val="nil"/>
              <w:tr2bl w:val="nil"/>
            </w:tcBorders>
            <w:noWrap w:val="0"/>
            <w:vAlign w:val="center"/>
          </w:tcPr>
          <w:p w14:paraId="1C4BDDA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4.8626</w:t>
            </w:r>
          </w:p>
        </w:tc>
      </w:tr>
      <w:tr w14:paraId="31812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7D80BE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3685" w:type="dxa"/>
            <w:tcBorders>
              <w:tl2br w:val="nil"/>
              <w:tr2bl w:val="nil"/>
            </w:tcBorders>
            <w:noWrap w:val="0"/>
            <w:vAlign w:val="center"/>
          </w:tcPr>
          <w:p w14:paraId="4EA9E75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0.9098</w:t>
            </w:r>
          </w:p>
        </w:tc>
        <w:tc>
          <w:tcPr>
            <w:tcW w:w="3769" w:type="dxa"/>
            <w:tcBorders>
              <w:tl2br w:val="nil"/>
              <w:tr2bl w:val="nil"/>
            </w:tcBorders>
            <w:noWrap w:val="0"/>
            <w:vAlign w:val="center"/>
          </w:tcPr>
          <w:p w14:paraId="2B4586A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4.4795</w:t>
            </w:r>
          </w:p>
        </w:tc>
      </w:tr>
      <w:tr w14:paraId="60B6C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E645D6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3685" w:type="dxa"/>
            <w:tcBorders>
              <w:tl2br w:val="nil"/>
              <w:tr2bl w:val="nil"/>
            </w:tcBorders>
            <w:noWrap w:val="0"/>
            <w:vAlign w:val="center"/>
          </w:tcPr>
          <w:p w14:paraId="796539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0.8374</w:t>
            </w:r>
          </w:p>
        </w:tc>
        <w:tc>
          <w:tcPr>
            <w:tcW w:w="3769" w:type="dxa"/>
            <w:tcBorders>
              <w:tl2br w:val="nil"/>
              <w:tr2bl w:val="nil"/>
            </w:tcBorders>
            <w:noWrap w:val="0"/>
            <w:vAlign w:val="center"/>
          </w:tcPr>
          <w:p w14:paraId="086331F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4.1264</w:t>
            </w:r>
          </w:p>
        </w:tc>
      </w:tr>
      <w:tr w14:paraId="6CBD3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BBC847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3685" w:type="dxa"/>
            <w:tcBorders>
              <w:tl2br w:val="nil"/>
              <w:tr2bl w:val="nil"/>
            </w:tcBorders>
            <w:noWrap w:val="0"/>
            <w:vAlign w:val="center"/>
          </w:tcPr>
          <w:p w14:paraId="086F556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0.7675</w:t>
            </w:r>
          </w:p>
        </w:tc>
        <w:tc>
          <w:tcPr>
            <w:tcW w:w="3769" w:type="dxa"/>
            <w:tcBorders>
              <w:tl2br w:val="nil"/>
              <w:tr2bl w:val="nil"/>
            </w:tcBorders>
            <w:noWrap w:val="0"/>
            <w:vAlign w:val="center"/>
          </w:tcPr>
          <w:p w14:paraId="75D4837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3.803</w:t>
            </w:r>
          </w:p>
        </w:tc>
      </w:tr>
      <w:tr w14:paraId="5BEF35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B7485F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3685" w:type="dxa"/>
            <w:tcBorders>
              <w:tl2br w:val="nil"/>
              <w:tr2bl w:val="nil"/>
            </w:tcBorders>
            <w:noWrap w:val="0"/>
            <w:vAlign w:val="center"/>
          </w:tcPr>
          <w:p w14:paraId="0A1830A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0.7015</w:t>
            </w:r>
          </w:p>
        </w:tc>
        <w:tc>
          <w:tcPr>
            <w:tcW w:w="3769" w:type="dxa"/>
            <w:tcBorders>
              <w:tl2br w:val="nil"/>
              <w:tr2bl w:val="nil"/>
            </w:tcBorders>
            <w:noWrap w:val="0"/>
            <w:vAlign w:val="center"/>
          </w:tcPr>
          <w:p w14:paraId="3244F73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3.5083</w:t>
            </w:r>
          </w:p>
        </w:tc>
      </w:tr>
      <w:tr w14:paraId="1D00FB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66FEE3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3685" w:type="dxa"/>
            <w:tcBorders>
              <w:tl2br w:val="nil"/>
              <w:tr2bl w:val="nil"/>
            </w:tcBorders>
            <w:noWrap w:val="0"/>
            <w:vAlign w:val="center"/>
          </w:tcPr>
          <w:p w14:paraId="26BBEF4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0.6399</w:t>
            </w:r>
          </w:p>
        </w:tc>
        <w:tc>
          <w:tcPr>
            <w:tcW w:w="3769" w:type="dxa"/>
            <w:tcBorders>
              <w:tl2br w:val="nil"/>
              <w:tr2bl w:val="nil"/>
            </w:tcBorders>
            <w:noWrap w:val="0"/>
            <w:vAlign w:val="center"/>
          </w:tcPr>
          <w:p w14:paraId="4318226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3.2406</w:t>
            </w:r>
          </w:p>
        </w:tc>
      </w:tr>
      <w:tr w14:paraId="24077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9E16F8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3685" w:type="dxa"/>
            <w:tcBorders>
              <w:tl2br w:val="nil"/>
              <w:tr2bl w:val="nil"/>
            </w:tcBorders>
            <w:noWrap w:val="0"/>
            <w:vAlign w:val="center"/>
          </w:tcPr>
          <w:p w14:paraId="1F470B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0.5832</w:t>
            </w:r>
          </w:p>
        </w:tc>
        <w:tc>
          <w:tcPr>
            <w:tcW w:w="3769" w:type="dxa"/>
            <w:tcBorders>
              <w:tl2br w:val="nil"/>
              <w:tr2bl w:val="nil"/>
            </w:tcBorders>
            <w:noWrap w:val="0"/>
            <w:vAlign w:val="center"/>
          </w:tcPr>
          <w:p w14:paraId="7209610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2.9978</w:t>
            </w:r>
          </w:p>
        </w:tc>
      </w:tr>
      <w:tr w14:paraId="5CB94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52A25B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3685" w:type="dxa"/>
            <w:tcBorders>
              <w:tl2br w:val="nil"/>
              <w:tr2bl w:val="nil"/>
            </w:tcBorders>
            <w:noWrap w:val="0"/>
            <w:vAlign w:val="center"/>
          </w:tcPr>
          <w:p w14:paraId="6E15E7F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0.5314</w:t>
            </w:r>
          </w:p>
        </w:tc>
        <w:tc>
          <w:tcPr>
            <w:tcW w:w="3769" w:type="dxa"/>
            <w:tcBorders>
              <w:tl2br w:val="nil"/>
              <w:tr2bl w:val="nil"/>
            </w:tcBorders>
            <w:noWrap w:val="0"/>
            <w:vAlign w:val="center"/>
          </w:tcPr>
          <w:p w14:paraId="50394F1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2.7777</w:t>
            </w:r>
          </w:p>
        </w:tc>
      </w:tr>
      <w:tr w14:paraId="38800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A35FFD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685" w:type="dxa"/>
            <w:tcBorders>
              <w:tl2br w:val="nil"/>
              <w:tr2bl w:val="nil"/>
            </w:tcBorders>
            <w:noWrap w:val="0"/>
            <w:vAlign w:val="center"/>
          </w:tcPr>
          <w:p w14:paraId="33807D7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0.4843</w:t>
            </w:r>
          </w:p>
        </w:tc>
        <w:tc>
          <w:tcPr>
            <w:tcW w:w="3769" w:type="dxa"/>
            <w:tcBorders>
              <w:tl2br w:val="nil"/>
              <w:tr2bl w:val="nil"/>
            </w:tcBorders>
            <w:noWrap w:val="0"/>
            <w:vAlign w:val="center"/>
          </w:tcPr>
          <w:p w14:paraId="5899796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2.5784</w:t>
            </w:r>
          </w:p>
        </w:tc>
      </w:tr>
      <w:tr w14:paraId="4CC97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48DED8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3685" w:type="dxa"/>
            <w:tcBorders>
              <w:tl2br w:val="nil"/>
              <w:tr2bl w:val="nil"/>
            </w:tcBorders>
            <w:noWrap w:val="0"/>
            <w:vAlign w:val="center"/>
          </w:tcPr>
          <w:p w14:paraId="4BB6707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0.4416</w:t>
            </w:r>
          </w:p>
        </w:tc>
        <w:tc>
          <w:tcPr>
            <w:tcW w:w="3769" w:type="dxa"/>
            <w:tcBorders>
              <w:tl2br w:val="nil"/>
              <w:tr2bl w:val="nil"/>
            </w:tcBorders>
            <w:noWrap w:val="0"/>
            <w:vAlign w:val="center"/>
          </w:tcPr>
          <w:p w14:paraId="567C834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2.3977</w:t>
            </w:r>
          </w:p>
        </w:tc>
      </w:tr>
      <w:tr w14:paraId="49E9B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4C00C9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3685" w:type="dxa"/>
            <w:tcBorders>
              <w:tl2br w:val="nil"/>
              <w:tr2bl w:val="nil"/>
            </w:tcBorders>
            <w:noWrap w:val="0"/>
            <w:vAlign w:val="center"/>
          </w:tcPr>
          <w:p w14:paraId="4A5C3ED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0.403</w:t>
            </w:r>
          </w:p>
        </w:tc>
        <w:tc>
          <w:tcPr>
            <w:tcW w:w="3769" w:type="dxa"/>
            <w:tcBorders>
              <w:tl2br w:val="nil"/>
              <w:tr2bl w:val="nil"/>
            </w:tcBorders>
            <w:noWrap w:val="0"/>
            <w:vAlign w:val="center"/>
          </w:tcPr>
          <w:p w14:paraId="1B9EA9F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2.2337</w:t>
            </w:r>
          </w:p>
        </w:tc>
      </w:tr>
      <w:tr w14:paraId="4CC369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46785A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685" w:type="dxa"/>
            <w:tcBorders>
              <w:tl2br w:val="nil"/>
              <w:tr2bl w:val="nil"/>
            </w:tcBorders>
            <w:noWrap w:val="0"/>
            <w:vAlign w:val="center"/>
          </w:tcPr>
          <w:p w14:paraId="7A09F3A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0.3682</w:t>
            </w:r>
          </w:p>
        </w:tc>
        <w:tc>
          <w:tcPr>
            <w:tcW w:w="3769" w:type="dxa"/>
            <w:tcBorders>
              <w:tl2br w:val="nil"/>
              <w:tr2bl w:val="nil"/>
            </w:tcBorders>
            <w:noWrap w:val="0"/>
            <w:vAlign w:val="center"/>
          </w:tcPr>
          <w:p w14:paraId="7D47143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2.0848</w:t>
            </w:r>
          </w:p>
        </w:tc>
      </w:tr>
      <w:tr w14:paraId="465BA0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1FE660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w:t>
            </w:r>
          </w:p>
        </w:tc>
        <w:tc>
          <w:tcPr>
            <w:tcW w:w="3685" w:type="dxa"/>
            <w:tcBorders>
              <w:tl2br w:val="nil"/>
              <w:tr2bl w:val="nil"/>
            </w:tcBorders>
            <w:noWrap w:val="0"/>
            <w:vAlign w:val="center"/>
          </w:tcPr>
          <w:p w14:paraId="05E1AAA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0.3369</w:t>
            </w:r>
          </w:p>
        </w:tc>
        <w:tc>
          <w:tcPr>
            <w:tcW w:w="3769" w:type="dxa"/>
            <w:tcBorders>
              <w:tl2br w:val="nil"/>
              <w:tr2bl w:val="nil"/>
            </w:tcBorders>
            <w:noWrap w:val="0"/>
            <w:vAlign w:val="center"/>
          </w:tcPr>
          <w:p w14:paraId="0BD1D35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1.9492</w:t>
            </w:r>
          </w:p>
        </w:tc>
      </w:tr>
      <w:tr w14:paraId="22C18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BABE2D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685" w:type="dxa"/>
            <w:tcBorders>
              <w:tl2br w:val="nil"/>
              <w:tr2bl w:val="nil"/>
            </w:tcBorders>
            <w:noWrap w:val="0"/>
            <w:vAlign w:val="center"/>
          </w:tcPr>
          <w:p w14:paraId="0B46AB0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0.3087</w:t>
            </w:r>
          </w:p>
        </w:tc>
        <w:tc>
          <w:tcPr>
            <w:tcW w:w="3769" w:type="dxa"/>
            <w:tcBorders>
              <w:tl2br w:val="nil"/>
              <w:tr2bl w:val="nil"/>
            </w:tcBorders>
            <w:noWrap w:val="0"/>
            <w:vAlign w:val="center"/>
          </w:tcPr>
          <w:p w14:paraId="686A160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1.8257</w:t>
            </w:r>
          </w:p>
        </w:tc>
      </w:tr>
      <w:tr w14:paraId="38E5F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647E6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3685" w:type="dxa"/>
            <w:tcBorders>
              <w:tl2br w:val="nil"/>
              <w:tr2bl w:val="nil"/>
            </w:tcBorders>
            <w:noWrap w:val="0"/>
            <w:vAlign w:val="center"/>
          </w:tcPr>
          <w:p w14:paraId="5D0A6EE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0.2833</w:t>
            </w:r>
          </w:p>
        </w:tc>
        <w:tc>
          <w:tcPr>
            <w:tcW w:w="3769" w:type="dxa"/>
            <w:tcBorders>
              <w:tl2br w:val="nil"/>
              <w:tr2bl w:val="nil"/>
            </w:tcBorders>
            <w:noWrap w:val="0"/>
            <w:vAlign w:val="center"/>
          </w:tcPr>
          <w:p w14:paraId="7F0352A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1.713</w:t>
            </w:r>
          </w:p>
        </w:tc>
      </w:tr>
      <w:tr w14:paraId="28C95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7E089F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3685" w:type="dxa"/>
            <w:tcBorders>
              <w:tl2br w:val="nil"/>
              <w:tr2bl w:val="nil"/>
            </w:tcBorders>
            <w:noWrap w:val="0"/>
            <w:vAlign w:val="center"/>
          </w:tcPr>
          <w:p w14:paraId="3BBB5D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0.2604</w:t>
            </w:r>
          </w:p>
        </w:tc>
        <w:tc>
          <w:tcPr>
            <w:tcW w:w="3769" w:type="dxa"/>
            <w:tcBorders>
              <w:tl2br w:val="nil"/>
              <w:tr2bl w:val="nil"/>
            </w:tcBorders>
            <w:noWrap w:val="0"/>
            <w:vAlign w:val="center"/>
          </w:tcPr>
          <w:p w14:paraId="5F763B7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1.6098</w:t>
            </w:r>
          </w:p>
        </w:tc>
      </w:tr>
      <w:tr w14:paraId="654AE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A1E184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3685" w:type="dxa"/>
            <w:tcBorders>
              <w:tl2br w:val="nil"/>
              <w:tr2bl w:val="nil"/>
            </w:tcBorders>
            <w:noWrap w:val="0"/>
            <w:vAlign w:val="center"/>
          </w:tcPr>
          <w:p w14:paraId="2FBE81D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0.2397</w:t>
            </w:r>
          </w:p>
        </w:tc>
        <w:tc>
          <w:tcPr>
            <w:tcW w:w="3769" w:type="dxa"/>
            <w:tcBorders>
              <w:tl2br w:val="nil"/>
              <w:tr2bl w:val="nil"/>
            </w:tcBorders>
            <w:noWrap w:val="0"/>
            <w:vAlign w:val="center"/>
          </w:tcPr>
          <w:p w14:paraId="2D4F3A5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1.5153</w:t>
            </w:r>
          </w:p>
        </w:tc>
      </w:tr>
      <w:tr w14:paraId="105D61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3EA0E4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3685" w:type="dxa"/>
            <w:tcBorders>
              <w:tl2br w:val="nil"/>
              <w:tr2bl w:val="nil"/>
            </w:tcBorders>
            <w:noWrap w:val="0"/>
            <w:vAlign w:val="center"/>
          </w:tcPr>
          <w:p w14:paraId="1272A92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0.221</w:t>
            </w:r>
          </w:p>
        </w:tc>
        <w:tc>
          <w:tcPr>
            <w:tcW w:w="3769" w:type="dxa"/>
            <w:tcBorders>
              <w:tl2br w:val="nil"/>
              <w:tr2bl w:val="nil"/>
            </w:tcBorders>
            <w:noWrap w:val="0"/>
            <w:vAlign w:val="center"/>
          </w:tcPr>
          <w:p w14:paraId="588E16D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1.4286</w:t>
            </w:r>
          </w:p>
        </w:tc>
      </w:tr>
      <w:tr w14:paraId="294AA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BF5CFC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3685" w:type="dxa"/>
            <w:tcBorders>
              <w:tl2br w:val="nil"/>
              <w:tr2bl w:val="nil"/>
            </w:tcBorders>
            <w:noWrap w:val="0"/>
            <w:vAlign w:val="center"/>
          </w:tcPr>
          <w:p w14:paraId="43FE14B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0.2041</w:t>
            </w:r>
          </w:p>
        </w:tc>
        <w:tc>
          <w:tcPr>
            <w:tcW w:w="3769" w:type="dxa"/>
            <w:tcBorders>
              <w:tl2br w:val="nil"/>
              <w:tr2bl w:val="nil"/>
            </w:tcBorders>
            <w:noWrap w:val="0"/>
            <w:vAlign w:val="center"/>
          </w:tcPr>
          <w:p w14:paraId="1AFCE81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1.3489</w:t>
            </w:r>
          </w:p>
        </w:tc>
      </w:tr>
      <w:tr w14:paraId="0A49C6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0EF1EC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3685" w:type="dxa"/>
            <w:tcBorders>
              <w:tl2br w:val="nil"/>
              <w:tr2bl w:val="nil"/>
            </w:tcBorders>
            <w:noWrap w:val="0"/>
            <w:vAlign w:val="center"/>
          </w:tcPr>
          <w:p w14:paraId="7911605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0.1888</w:t>
            </w:r>
          </w:p>
        </w:tc>
        <w:tc>
          <w:tcPr>
            <w:tcW w:w="3769" w:type="dxa"/>
            <w:tcBorders>
              <w:tl2br w:val="nil"/>
              <w:tr2bl w:val="nil"/>
            </w:tcBorders>
            <w:noWrap w:val="0"/>
            <w:vAlign w:val="center"/>
          </w:tcPr>
          <w:p w14:paraId="7FD3438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1.2754</w:t>
            </w:r>
          </w:p>
        </w:tc>
      </w:tr>
      <w:tr w14:paraId="32B238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4CFB6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685" w:type="dxa"/>
            <w:tcBorders>
              <w:tl2br w:val="nil"/>
              <w:tr2bl w:val="nil"/>
            </w:tcBorders>
            <w:noWrap w:val="0"/>
            <w:vAlign w:val="center"/>
          </w:tcPr>
          <w:p w14:paraId="6FCE1CB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0.1749</w:t>
            </w:r>
          </w:p>
        </w:tc>
        <w:tc>
          <w:tcPr>
            <w:tcW w:w="3769" w:type="dxa"/>
            <w:tcBorders>
              <w:tl2br w:val="nil"/>
              <w:tr2bl w:val="nil"/>
            </w:tcBorders>
            <w:noWrap w:val="0"/>
            <w:vAlign w:val="center"/>
          </w:tcPr>
          <w:p w14:paraId="57E819C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1.2076</w:t>
            </w:r>
          </w:p>
        </w:tc>
      </w:tr>
      <w:tr w14:paraId="6F897D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F36CCD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3685" w:type="dxa"/>
            <w:tcBorders>
              <w:tl2br w:val="nil"/>
              <w:tr2bl w:val="nil"/>
            </w:tcBorders>
            <w:noWrap w:val="0"/>
            <w:vAlign w:val="center"/>
          </w:tcPr>
          <w:p w14:paraId="43DAAA9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0.1623</w:t>
            </w:r>
          </w:p>
        </w:tc>
        <w:tc>
          <w:tcPr>
            <w:tcW w:w="3769" w:type="dxa"/>
            <w:tcBorders>
              <w:tl2br w:val="nil"/>
              <w:tr2bl w:val="nil"/>
            </w:tcBorders>
            <w:noWrap w:val="0"/>
            <w:vAlign w:val="center"/>
          </w:tcPr>
          <w:p w14:paraId="3A6A537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1.1449</w:t>
            </w:r>
          </w:p>
        </w:tc>
      </w:tr>
      <w:tr w14:paraId="3A934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9113D4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w:t>
            </w:r>
          </w:p>
        </w:tc>
        <w:tc>
          <w:tcPr>
            <w:tcW w:w="3685" w:type="dxa"/>
            <w:tcBorders>
              <w:tl2br w:val="nil"/>
              <w:tr2bl w:val="nil"/>
            </w:tcBorders>
            <w:noWrap w:val="0"/>
            <w:vAlign w:val="center"/>
          </w:tcPr>
          <w:p w14:paraId="79C1E7F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0.1508</w:t>
            </w:r>
          </w:p>
        </w:tc>
        <w:tc>
          <w:tcPr>
            <w:tcW w:w="3769" w:type="dxa"/>
            <w:tcBorders>
              <w:tl2br w:val="nil"/>
              <w:tr2bl w:val="nil"/>
            </w:tcBorders>
            <w:noWrap w:val="0"/>
            <w:vAlign w:val="center"/>
          </w:tcPr>
          <w:p w14:paraId="4481975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1.0868</w:t>
            </w:r>
          </w:p>
        </w:tc>
      </w:tr>
      <w:tr w14:paraId="6F38C0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0690E2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3685" w:type="dxa"/>
            <w:tcBorders>
              <w:tl2br w:val="nil"/>
              <w:tr2bl w:val="nil"/>
            </w:tcBorders>
            <w:noWrap w:val="0"/>
            <w:vAlign w:val="center"/>
          </w:tcPr>
          <w:p w14:paraId="254BA87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0.1404</w:t>
            </w:r>
          </w:p>
        </w:tc>
        <w:tc>
          <w:tcPr>
            <w:tcW w:w="3769" w:type="dxa"/>
            <w:tcBorders>
              <w:tl2br w:val="nil"/>
              <w:tr2bl w:val="nil"/>
            </w:tcBorders>
            <w:noWrap w:val="0"/>
            <w:vAlign w:val="center"/>
          </w:tcPr>
          <w:p w14:paraId="58708B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1.033</w:t>
            </w:r>
          </w:p>
        </w:tc>
      </w:tr>
      <w:tr w14:paraId="1BB42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7EDA72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3685" w:type="dxa"/>
            <w:tcBorders>
              <w:tl2br w:val="nil"/>
              <w:tr2bl w:val="nil"/>
            </w:tcBorders>
            <w:noWrap w:val="0"/>
            <w:vAlign w:val="center"/>
          </w:tcPr>
          <w:p w14:paraId="75CDAF3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0.1308</w:t>
            </w:r>
          </w:p>
        </w:tc>
        <w:tc>
          <w:tcPr>
            <w:tcW w:w="3769" w:type="dxa"/>
            <w:tcBorders>
              <w:tl2br w:val="nil"/>
              <w:tr2bl w:val="nil"/>
            </w:tcBorders>
            <w:noWrap w:val="0"/>
            <w:vAlign w:val="center"/>
          </w:tcPr>
          <w:p w14:paraId="7124687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0.9829</w:t>
            </w:r>
          </w:p>
        </w:tc>
      </w:tr>
      <w:tr w14:paraId="68617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CBA683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3685" w:type="dxa"/>
            <w:tcBorders>
              <w:tl2br w:val="nil"/>
              <w:tr2bl w:val="nil"/>
            </w:tcBorders>
            <w:noWrap w:val="0"/>
            <w:vAlign w:val="center"/>
          </w:tcPr>
          <w:p w14:paraId="086A84B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0.1221</w:t>
            </w:r>
          </w:p>
        </w:tc>
        <w:tc>
          <w:tcPr>
            <w:tcW w:w="3769" w:type="dxa"/>
            <w:tcBorders>
              <w:tl2br w:val="nil"/>
              <w:tr2bl w:val="nil"/>
            </w:tcBorders>
            <w:noWrap w:val="0"/>
            <w:vAlign w:val="center"/>
          </w:tcPr>
          <w:p w14:paraId="70C7839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0.9364</w:t>
            </w:r>
          </w:p>
        </w:tc>
      </w:tr>
      <w:tr w14:paraId="315006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A81409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685" w:type="dxa"/>
            <w:tcBorders>
              <w:tl2br w:val="nil"/>
              <w:tr2bl w:val="nil"/>
            </w:tcBorders>
            <w:noWrap w:val="0"/>
            <w:vAlign w:val="center"/>
          </w:tcPr>
          <w:p w14:paraId="5A4AD050">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0.1141</w:t>
            </w:r>
          </w:p>
        </w:tc>
        <w:tc>
          <w:tcPr>
            <w:tcW w:w="3769" w:type="dxa"/>
            <w:tcBorders>
              <w:tl2br w:val="nil"/>
              <w:tr2bl w:val="nil"/>
            </w:tcBorders>
            <w:noWrap w:val="0"/>
            <w:vAlign w:val="center"/>
          </w:tcPr>
          <w:p w14:paraId="1B3EBC7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0.893</w:t>
            </w:r>
          </w:p>
        </w:tc>
      </w:tr>
      <w:tr w14:paraId="77483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3CA690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685" w:type="dxa"/>
            <w:tcBorders>
              <w:tl2br w:val="nil"/>
              <w:tr2bl w:val="nil"/>
            </w:tcBorders>
            <w:noWrap w:val="0"/>
            <w:vAlign w:val="center"/>
          </w:tcPr>
          <w:p w14:paraId="08DE27F6">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0.1068</w:t>
            </w:r>
          </w:p>
        </w:tc>
        <w:tc>
          <w:tcPr>
            <w:tcW w:w="3769" w:type="dxa"/>
            <w:tcBorders>
              <w:tl2br w:val="nil"/>
              <w:tr2bl w:val="nil"/>
            </w:tcBorders>
            <w:noWrap w:val="0"/>
            <w:vAlign w:val="center"/>
          </w:tcPr>
          <w:p w14:paraId="71C671E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0.8525</w:t>
            </w:r>
          </w:p>
        </w:tc>
      </w:tr>
      <w:tr w14:paraId="6204F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EE912B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w:t>
            </w:r>
          </w:p>
        </w:tc>
        <w:tc>
          <w:tcPr>
            <w:tcW w:w="3685" w:type="dxa"/>
            <w:tcBorders>
              <w:tl2br w:val="nil"/>
              <w:tr2bl w:val="nil"/>
            </w:tcBorders>
            <w:noWrap w:val="0"/>
            <w:vAlign w:val="center"/>
          </w:tcPr>
          <w:p w14:paraId="777AC66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0.1001</w:t>
            </w:r>
          </w:p>
        </w:tc>
        <w:tc>
          <w:tcPr>
            <w:tcW w:w="3769" w:type="dxa"/>
            <w:tcBorders>
              <w:tl2br w:val="nil"/>
              <w:tr2bl w:val="nil"/>
            </w:tcBorders>
            <w:noWrap w:val="0"/>
            <w:vAlign w:val="center"/>
          </w:tcPr>
          <w:p w14:paraId="519C03C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0.8146</w:t>
            </w:r>
          </w:p>
        </w:tc>
      </w:tr>
      <w:tr w14:paraId="3B9F9A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D5A04C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w:t>
            </w:r>
          </w:p>
        </w:tc>
        <w:tc>
          <w:tcPr>
            <w:tcW w:w="3685" w:type="dxa"/>
            <w:tcBorders>
              <w:tl2br w:val="nil"/>
              <w:tr2bl w:val="nil"/>
            </w:tcBorders>
            <w:noWrap w:val="0"/>
            <w:vAlign w:val="center"/>
          </w:tcPr>
          <w:p w14:paraId="758A10B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0.0939</w:t>
            </w:r>
          </w:p>
        </w:tc>
        <w:tc>
          <w:tcPr>
            <w:tcW w:w="3769" w:type="dxa"/>
            <w:tcBorders>
              <w:tl2br w:val="nil"/>
              <w:tr2bl w:val="nil"/>
            </w:tcBorders>
            <w:noWrap w:val="0"/>
            <w:vAlign w:val="center"/>
          </w:tcPr>
          <w:p w14:paraId="3E1C9D9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0.7792</w:t>
            </w:r>
          </w:p>
        </w:tc>
      </w:tr>
      <w:tr w14:paraId="6A55D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A93E87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3685" w:type="dxa"/>
            <w:tcBorders>
              <w:tl2br w:val="nil"/>
              <w:tr2bl w:val="nil"/>
            </w:tcBorders>
            <w:noWrap w:val="0"/>
            <w:vAlign w:val="center"/>
          </w:tcPr>
          <w:p w14:paraId="2A10618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0.0882</w:t>
            </w:r>
          </w:p>
        </w:tc>
        <w:tc>
          <w:tcPr>
            <w:tcW w:w="3769" w:type="dxa"/>
            <w:tcBorders>
              <w:tl2br w:val="nil"/>
              <w:tr2bl w:val="nil"/>
            </w:tcBorders>
            <w:noWrap w:val="0"/>
            <w:vAlign w:val="center"/>
          </w:tcPr>
          <w:p w14:paraId="7B1C3A2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0.746</w:t>
            </w:r>
          </w:p>
        </w:tc>
      </w:tr>
      <w:tr w14:paraId="595A1F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6CFC7F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3685" w:type="dxa"/>
            <w:tcBorders>
              <w:tl2br w:val="nil"/>
              <w:tr2bl w:val="nil"/>
            </w:tcBorders>
            <w:noWrap w:val="0"/>
            <w:vAlign w:val="center"/>
          </w:tcPr>
          <w:p w14:paraId="68FAA5B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0.083</w:t>
            </w:r>
          </w:p>
        </w:tc>
        <w:tc>
          <w:tcPr>
            <w:tcW w:w="3769" w:type="dxa"/>
            <w:tcBorders>
              <w:tl2br w:val="nil"/>
              <w:tr2bl w:val="nil"/>
            </w:tcBorders>
            <w:noWrap w:val="0"/>
            <w:vAlign w:val="center"/>
          </w:tcPr>
          <w:p w14:paraId="70215CA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0.7149</w:t>
            </w:r>
          </w:p>
        </w:tc>
      </w:tr>
      <w:tr w14:paraId="6F12F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67C8D8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47</w:t>
            </w:r>
          </w:p>
        </w:tc>
        <w:tc>
          <w:tcPr>
            <w:tcW w:w="3685" w:type="dxa"/>
            <w:tcBorders>
              <w:tl2br w:val="nil"/>
              <w:tr2bl w:val="nil"/>
            </w:tcBorders>
            <w:noWrap w:val="0"/>
            <w:vAlign w:val="center"/>
          </w:tcPr>
          <w:p w14:paraId="2CE43843">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0.0781</w:t>
            </w:r>
          </w:p>
        </w:tc>
        <w:tc>
          <w:tcPr>
            <w:tcW w:w="3769" w:type="dxa"/>
            <w:tcBorders>
              <w:tl2br w:val="nil"/>
              <w:tr2bl w:val="nil"/>
            </w:tcBorders>
            <w:noWrap w:val="0"/>
            <w:vAlign w:val="center"/>
          </w:tcPr>
          <w:p w14:paraId="09BCD4BF">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0.6856</w:t>
            </w:r>
          </w:p>
        </w:tc>
      </w:tr>
      <w:tr w14:paraId="591098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10C86F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w:t>
            </w:r>
          </w:p>
        </w:tc>
        <w:tc>
          <w:tcPr>
            <w:tcW w:w="3685" w:type="dxa"/>
            <w:tcBorders>
              <w:tl2br w:val="nil"/>
              <w:tr2bl w:val="nil"/>
            </w:tcBorders>
            <w:noWrap w:val="0"/>
            <w:vAlign w:val="center"/>
          </w:tcPr>
          <w:p w14:paraId="48CD686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0.0736</w:t>
            </w:r>
          </w:p>
        </w:tc>
        <w:tc>
          <w:tcPr>
            <w:tcW w:w="3769" w:type="dxa"/>
            <w:tcBorders>
              <w:tl2br w:val="nil"/>
              <w:tr2bl w:val="nil"/>
            </w:tcBorders>
            <w:noWrap w:val="0"/>
            <w:vAlign w:val="center"/>
          </w:tcPr>
          <w:p w14:paraId="0F26646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0.6581</w:t>
            </w:r>
          </w:p>
        </w:tc>
      </w:tr>
      <w:tr w14:paraId="66095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90DD1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w:t>
            </w:r>
          </w:p>
        </w:tc>
        <w:tc>
          <w:tcPr>
            <w:tcW w:w="3685" w:type="dxa"/>
            <w:tcBorders>
              <w:tl2br w:val="nil"/>
              <w:tr2bl w:val="nil"/>
            </w:tcBorders>
            <w:noWrap w:val="0"/>
            <w:vAlign w:val="center"/>
          </w:tcPr>
          <w:p w14:paraId="6721C594">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0.0695</w:t>
            </w:r>
          </w:p>
        </w:tc>
        <w:tc>
          <w:tcPr>
            <w:tcW w:w="3769" w:type="dxa"/>
            <w:tcBorders>
              <w:tl2br w:val="nil"/>
              <w:tr2bl w:val="nil"/>
            </w:tcBorders>
            <w:noWrap w:val="0"/>
            <w:vAlign w:val="center"/>
          </w:tcPr>
          <w:p w14:paraId="0D7722B8">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0.6322</w:t>
            </w:r>
          </w:p>
        </w:tc>
      </w:tr>
      <w:tr w14:paraId="5BFD4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990B69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3685" w:type="dxa"/>
            <w:tcBorders>
              <w:tl2br w:val="nil"/>
              <w:tr2bl w:val="nil"/>
            </w:tcBorders>
            <w:noWrap w:val="0"/>
            <w:vAlign w:val="center"/>
          </w:tcPr>
          <w:p w14:paraId="4FCB1FD6">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0.0656</w:t>
            </w:r>
          </w:p>
        </w:tc>
        <w:tc>
          <w:tcPr>
            <w:tcW w:w="3769" w:type="dxa"/>
            <w:tcBorders>
              <w:tl2br w:val="nil"/>
              <w:tr2bl w:val="nil"/>
            </w:tcBorders>
            <w:noWrap w:val="0"/>
            <w:vAlign w:val="center"/>
          </w:tcPr>
          <w:p w14:paraId="0343F397">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0.6078</w:t>
            </w:r>
          </w:p>
        </w:tc>
      </w:tr>
      <w:tr w14:paraId="46EBD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EFD27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51</w:t>
            </w:r>
          </w:p>
        </w:tc>
        <w:tc>
          <w:tcPr>
            <w:tcW w:w="3685" w:type="dxa"/>
            <w:tcBorders>
              <w:tl2br w:val="nil"/>
              <w:tr2bl w:val="nil"/>
            </w:tcBorders>
            <w:noWrap w:val="0"/>
            <w:vAlign w:val="center"/>
          </w:tcPr>
          <w:p w14:paraId="611AB297">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0.0621</w:t>
            </w:r>
          </w:p>
        </w:tc>
        <w:tc>
          <w:tcPr>
            <w:tcW w:w="3769" w:type="dxa"/>
            <w:tcBorders>
              <w:tl2br w:val="nil"/>
              <w:tr2bl w:val="nil"/>
            </w:tcBorders>
            <w:noWrap w:val="0"/>
            <w:vAlign w:val="center"/>
          </w:tcPr>
          <w:p w14:paraId="5526051F">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0.5847</w:t>
            </w:r>
          </w:p>
        </w:tc>
      </w:tr>
      <w:tr w14:paraId="14EE6E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DB934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w:t>
            </w:r>
          </w:p>
        </w:tc>
        <w:tc>
          <w:tcPr>
            <w:tcW w:w="3685" w:type="dxa"/>
            <w:tcBorders>
              <w:tl2br w:val="nil"/>
              <w:tr2bl w:val="nil"/>
            </w:tcBorders>
            <w:noWrap w:val="0"/>
            <w:vAlign w:val="center"/>
          </w:tcPr>
          <w:p w14:paraId="263D9B5C">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0.0588</w:t>
            </w:r>
          </w:p>
        </w:tc>
        <w:tc>
          <w:tcPr>
            <w:tcW w:w="3769" w:type="dxa"/>
            <w:tcBorders>
              <w:tl2br w:val="nil"/>
              <w:tr2bl w:val="nil"/>
            </w:tcBorders>
            <w:noWrap w:val="0"/>
            <w:vAlign w:val="center"/>
          </w:tcPr>
          <w:p w14:paraId="04EA508D">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0.5629</w:t>
            </w:r>
          </w:p>
        </w:tc>
      </w:tr>
      <w:tr w14:paraId="3CE98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5D7ED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w:t>
            </w:r>
          </w:p>
        </w:tc>
        <w:tc>
          <w:tcPr>
            <w:tcW w:w="3685" w:type="dxa"/>
            <w:tcBorders>
              <w:tl2br w:val="nil"/>
              <w:tr2bl w:val="nil"/>
            </w:tcBorders>
            <w:noWrap w:val="0"/>
            <w:vAlign w:val="center"/>
          </w:tcPr>
          <w:p w14:paraId="2AFB40FC">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0.0557</w:t>
            </w:r>
          </w:p>
        </w:tc>
        <w:tc>
          <w:tcPr>
            <w:tcW w:w="3769" w:type="dxa"/>
            <w:tcBorders>
              <w:tl2br w:val="nil"/>
              <w:tr2bl w:val="nil"/>
            </w:tcBorders>
            <w:noWrap w:val="0"/>
            <w:vAlign w:val="center"/>
          </w:tcPr>
          <w:p w14:paraId="4AAB38EB">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0.5423</w:t>
            </w:r>
          </w:p>
        </w:tc>
      </w:tr>
      <w:tr w14:paraId="0F961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A7EE3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54</w:t>
            </w:r>
          </w:p>
        </w:tc>
        <w:tc>
          <w:tcPr>
            <w:tcW w:w="3685" w:type="dxa"/>
            <w:tcBorders>
              <w:tl2br w:val="nil"/>
              <w:tr2bl w:val="nil"/>
            </w:tcBorders>
            <w:noWrap w:val="0"/>
            <w:vAlign w:val="center"/>
          </w:tcPr>
          <w:p w14:paraId="0D68583F">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0.0528</w:t>
            </w:r>
          </w:p>
        </w:tc>
        <w:tc>
          <w:tcPr>
            <w:tcW w:w="3769" w:type="dxa"/>
            <w:tcBorders>
              <w:tl2br w:val="nil"/>
              <w:tr2bl w:val="nil"/>
            </w:tcBorders>
            <w:noWrap w:val="0"/>
            <w:vAlign w:val="center"/>
          </w:tcPr>
          <w:p w14:paraId="3F93057D">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0.5228</w:t>
            </w:r>
          </w:p>
        </w:tc>
      </w:tr>
      <w:tr w14:paraId="6F35F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13EA8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55</w:t>
            </w:r>
          </w:p>
        </w:tc>
        <w:tc>
          <w:tcPr>
            <w:tcW w:w="3685" w:type="dxa"/>
            <w:tcBorders>
              <w:tl2br w:val="nil"/>
              <w:tr2bl w:val="nil"/>
            </w:tcBorders>
            <w:noWrap w:val="0"/>
            <w:vAlign w:val="center"/>
          </w:tcPr>
          <w:p w14:paraId="06131001">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0.0501</w:t>
            </w:r>
          </w:p>
        </w:tc>
        <w:tc>
          <w:tcPr>
            <w:tcW w:w="3769" w:type="dxa"/>
            <w:tcBorders>
              <w:tl2br w:val="nil"/>
              <w:tr2bl w:val="nil"/>
            </w:tcBorders>
            <w:noWrap w:val="0"/>
            <w:vAlign w:val="center"/>
          </w:tcPr>
          <w:p w14:paraId="6AB39C23">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0.5044</w:t>
            </w:r>
          </w:p>
        </w:tc>
      </w:tr>
      <w:tr w14:paraId="586637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C41B1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w:t>
            </w:r>
          </w:p>
        </w:tc>
        <w:tc>
          <w:tcPr>
            <w:tcW w:w="3685" w:type="dxa"/>
            <w:tcBorders>
              <w:tl2br w:val="nil"/>
              <w:tr2bl w:val="nil"/>
            </w:tcBorders>
            <w:noWrap w:val="0"/>
            <w:vAlign w:val="center"/>
          </w:tcPr>
          <w:p w14:paraId="08ED930C">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0.0476</w:t>
            </w:r>
          </w:p>
        </w:tc>
        <w:tc>
          <w:tcPr>
            <w:tcW w:w="3769" w:type="dxa"/>
            <w:tcBorders>
              <w:tl2br w:val="nil"/>
              <w:tr2bl w:val="nil"/>
            </w:tcBorders>
            <w:noWrap w:val="0"/>
            <w:vAlign w:val="center"/>
          </w:tcPr>
          <w:p w14:paraId="75B1F3B7">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0.4868</w:t>
            </w:r>
          </w:p>
        </w:tc>
      </w:tr>
      <w:tr w14:paraId="3E257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A54FB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57</w:t>
            </w:r>
          </w:p>
        </w:tc>
        <w:tc>
          <w:tcPr>
            <w:tcW w:w="3685" w:type="dxa"/>
            <w:tcBorders>
              <w:tl2br w:val="nil"/>
              <w:tr2bl w:val="nil"/>
            </w:tcBorders>
            <w:noWrap w:val="0"/>
            <w:vAlign w:val="center"/>
          </w:tcPr>
          <w:p w14:paraId="680EDD0A">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0.0453</w:t>
            </w:r>
          </w:p>
        </w:tc>
        <w:tc>
          <w:tcPr>
            <w:tcW w:w="3769" w:type="dxa"/>
            <w:tcBorders>
              <w:tl2br w:val="nil"/>
              <w:tr2bl w:val="nil"/>
            </w:tcBorders>
            <w:noWrap w:val="0"/>
            <w:vAlign w:val="center"/>
          </w:tcPr>
          <w:p w14:paraId="5C30FFD6">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0.4702</w:t>
            </w:r>
          </w:p>
        </w:tc>
      </w:tr>
      <w:tr w14:paraId="0CD188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0088E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w:t>
            </w:r>
          </w:p>
        </w:tc>
        <w:tc>
          <w:tcPr>
            <w:tcW w:w="3685" w:type="dxa"/>
            <w:tcBorders>
              <w:tl2br w:val="nil"/>
              <w:tr2bl w:val="nil"/>
            </w:tcBorders>
            <w:noWrap w:val="0"/>
            <w:vAlign w:val="center"/>
          </w:tcPr>
          <w:p w14:paraId="0D20CD14">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0.0431</w:t>
            </w:r>
          </w:p>
        </w:tc>
        <w:tc>
          <w:tcPr>
            <w:tcW w:w="3769" w:type="dxa"/>
            <w:tcBorders>
              <w:tl2br w:val="nil"/>
              <w:tr2bl w:val="nil"/>
            </w:tcBorders>
            <w:noWrap w:val="0"/>
            <w:vAlign w:val="center"/>
          </w:tcPr>
          <w:p w14:paraId="1AC5BC1F">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0.4544</w:t>
            </w:r>
          </w:p>
        </w:tc>
      </w:tr>
      <w:tr w14:paraId="03340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04DC7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59</w:t>
            </w:r>
          </w:p>
        </w:tc>
        <w:tc>
          <w:tcPr>
            <w:tcW w:w="3685" w:type="dxa"/>
            <w:tcBorders>
              <w:tl2br w:val="nil"/>
              <w:tr2bl w:val="nil"/>
            </w:tcBorders>
            <w:noWrap w:val="0"/>
            <w:vAlign w:val="center"/>
          </w:tcPr>
          <w:p w14:paraId="224E0CC2">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0.041</w:t>
            </w:r>
          </w:p>
        </w:tc>
        <w:tc>
          <w:tcPr>
            <w:tcW w:w="3769" w:type="dxa"/>
            <w:tcBorders>
              <w:tl2br w:val="nil"/>
              <w:tr2bl w:val="nil"/>
            </w:tcBorders>
            <w:noWrap w:val="0"/>
            <w:vAlign w:val="center"/>
          </w:tcPr>
          <w:p w14:paraId="2CAE9C4E">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0.4394</w:t>
            </w:r>
          </w:p>
        </w:tc>
      </w:tr>
      <w:tr w14:paraId="12A3A8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880C2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3685" w:type="dxa"/>
            <w:tcBorders>
              <w:tl2br w:val="nil"/>
              <w:tr2bl w:val="nil"/>
            </w:tcBorders>
            <w:noWrap w:val="0"/>
            <w:vAlign w:val="center"/>
          </w:tcPr>
          <w:p w14:paraId="3398C9EC">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0.0391</w:t>
            </w:r>
          </w:p>
        </w:tc>
        <w:tc>
          <w:tcPr>
            <w:tcW w:w="3769" w:type="dxa"/>
            <w:tcBorders>
              <w:tl2br w:val="nil"/>
              <w:tr2bl w:val="nil"/>
            </w:tcBorders>
            <w:noWrap w:val="0"/>
            <w:vAlign w:val="center"/>
          </w:tcPr>
          <w:p w14:paraId="7E2EB822">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0.4251</w:t>
            </w:r>
          </w:p>
        </w:tc>
      </w:tr>
      <w:tr w14:paraId="416004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0FB2C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w:t>
            </w:r>
          </w:p>
        </w:tc>
        <w:tc>
          <w:tcPr>
            <w:tcW w:w="3685" w:type="dxa"/>
            <w:tcBorders>
              <w:tl2br w:val="nil"/>
              <w:tr2bl w:val="nil"/>
            </w:tcBorders>
            <w:noWrap w:val="0"/>
            <w:vAlign w:val="center"/>
          </w:tcPr>
          <w:p w14:paraId="7F82CEFC">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0.0373</w:t>
            </w:r>
          </w:p>
        </w:tc>
        <w:tc>
          <w:tcPr>
            <w:tcW w:w="3769" w:type="dxa"/>
            <w:tcBorders>
              <w:tl2br w:val="nil"/>
              <w:tr2bl w:val="nil"/>
            </w:tcBorders>
            <w:noWrap w:val="0"/>
            <w:vAlign w:val="center"/>
          </w:tcPr>
          <w:p w14:paraId="30529474">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0.4115</w:t>
            </w:r>
          </w:p>
        </w:tc>
      </w:tr>
      <w:tr w14:paraId="198F64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FA288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62</w:t>
            </w:r>
          </w:p>
        </w:tc>
        <w:tc>
          <w:tcPr>
            <w:tcW w:w="3685" w:type="dxa"/>
            <w:tcBorders>
              <w:tl2br w:val="nil"/>
              <w:tr2bl w:val="nil"/>
            </w:tcBorders>
            <w:noWrap w:val="0"/>
            <w:vAlign w:val="center"/>
          </w:tcPr>
          <w:p w14:paraId="78363C0D">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0.0356</w:t>
            </w:r>
          </w:p>
        </w:tc>
        <w:tc>
          <w:tcPr>
            <w:tcW w:w="3769" w:type="dxa"/>
            <w:tcBorders>
              <w:tl2br w:val="nil"/>
              <w:tr2bl w:val="nil"/>
            </w:tcBorders>
            <w:noWrap w:val="0"/>
            <w:vAlign w:val="center"/>
          </w:tcPr>
          <w:p w14:paraId="22453C4C">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0.3985</w:t>
            </w:r>
          </w:p>
        </w:tc>
      </w:tr>
      <w:tr w14:paraId="325625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7B541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63</w:t>
            </w:r>
          </w:p>
        </w:tc>
        <w:tc>
          <w:tcPr>
            <w:tcW w:w="3685" w:type="dxa"/>
            <w:tcBorders>
              <w:tl2br w:val="nil"/>
              <w:tr2bl w:val="nil"/>
            </w:tcBorders>
            <w:noWrap w:val="0"/>
            <w:vAlign w:val="center"/>
          </w:tcPr>
          <w:p w14:paraId="0E22B47E">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0.034</w:t>
            </w:r>
          </w:p>
        </w:tc>
        <w:tc>
          <w:tcPr>
            <w:tcW w:w="3769" w:type="dxa"/>
            <w:tcBorders>
              <w:tl2br w:val="nil"/>
              <w:tr2bl w:val="nil"/>
            </w:tcBorders>
            <w:noWrap w:val="0"/>
            <w:vAlign w:val="center"/>
          </w:tcPr>
          <w:p w14:paraId="3092338C">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0.3862</w:t>
            </w:r>
          </w:p>
        </w:tc>
      </w:tr>
      <w:tr w14:paraId="2F273B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848FA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3685" w:type="dxa"/>
            <w:tcBorders>
              <w:tl2br w:val="nil"/>
              <w:tr2bl w:val="nil"/>
            </w:tcBorders>
            <w:noWrap w:val="0"/>
            <w:vAlign w:val="center"/>
          </w:tcPr>
          <w:p w14:paraId="32EE50B6">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0.0325</w:t>
            </w:r>
          </w:p>
        </w:tc>
        <w:tc>
          <w:tcPr>
            <w:tcW w:w="3769" w:type="dxa"/>
            <w:tcBorders>
              <w:tl2br w:val="nil"/>
              <w:tr2bl w:val="nil"/>
            </w:tcBorders>
            <w:noWrap w:val="0"/>
            <w:vAlign w:val="center"/>
          </w:tcPr>
          <w:p w14:paraId="7C200B23">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0.3743</w:t>
            </w:r>
          </w:p>
        </w:tc>
      </w:tr>
      <w:tr w14:paraId="58ECF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43F5F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65</w:t>
            </w:r>
          </w:p>
        </w:tc>
        <w:tc>
          <w:tcPr>
            <w:tcW w:w="3685" w:type="dxa"/>
            <w:tcBorders>
              <w:tl2br w:val="nil"/>
              <w:tr2bl w:val="nil"/>
            </w:tcBorders>
            <w:noWrap w:val="0"/>
            <w:vAlign w:val="center"/>
          </w:tcPr>
          <w:p w14:paraId="1F8B4216">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0.0311</w:t>
            </w:r>
          </w:p>
        </w:tc>
        <w:tc>
          <w:tcPr>
            <w:tcW w:w="3769" w:type="dxa"/>
            <w:tcBorders>
              <w:tl2br w:val="nil"/>
              <w:tr2bl w:val="nil"/>
            </w:tcBorders>
            <w:noWrap w:val="0"/>
            <w:vAlign w:val="center"/>
          </w:tcPr>
          <w:p w14:paraId="526B78F0">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0.3631</w:t>
            </w:r>
          </w:p>
        </w:tc>
      </w:tr>
      <w:tr w14:paraId="40FFF8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419EC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w:t>
            </w:r>
          </w:p>
        </w:tc>
        <w:tc>
          <w:tcPr>
            <w:tcW w:w="3685" w:type="dxa"/>
            <w:tcBorders>
              <w:tl2br w:val="nil"/>
              <w:tr2bl w:val="nil"/>
            </w:tcBorders>
            <w:noWrap w:val="0"/>
            <w:vAlign w:val="center"/>
          </w:tcPr>
          <w:p w14:paraId="0155F526">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0.0297</w:t>
            </w:r>
          </w:p>
        </w:tc>
        <w:tc>
          <w:tcPr>
            <w:tcW w:w="3769" w:type="dxa"/>
            <w:tcBorders>
              <w:tl2br w:val="nil"/>
              <w:tr2bl w:val="nil"/>
            </w:tcBorders>
            <w:noWrap w:val="0"/>
            <w:vAlign w:val="center"/>
          </w:tcPr>
          <w:p w14:paraId="1BBC469A">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0.3523</w:t>
            </w:r>
          </w:p>
        </w:tc>
      </w:tr>
      <w:tr w14:paraId="155CA8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7B6D6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67</w:t>
            </w:r>
          </w:p>
        </w:tc>
        <w:tc>
          <w:tcPr>
            <w:tcW w:w="3685" w:type="dxa"/>
            <w:tcBorders>
              <w:tl2br w:val="nil"/>
              <w:tr2bl w:val="nil"/>
            </w:tcBorders>
            <w:noWrap w:val="0"/>
            <w:vAlign w:val="center"/>
          </w:tcPr>
          <w:p w14:paraId="493434AA">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0.0285</w:t>
            </w:r>
          </w:p>
        </w:tc>
        <w:tc>
          <w:tcPr>
            <w:tcW w:w="3769" w:type="dxa"/>
            <w:tcBorders>
              <w:tl2br w:val="nil"/>
              <w:tr2bl w:val="nil"/>
            </w:tcBorders>
            <w:noWrap w:val="0"/>
            <w:vAlign w:val="center"/>
          </w:tcPr>
          <w:p w14:paraId="6ABC4FF6">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0.342</w:t>
            </w:r>
          </w:p>
        </w:tc>
      </w:tr>
      <w:tr w14:paraId="10214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154A4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68</w:t>
            </w:r>
          </w:p>
        </w:tc>
        <w:tc>
          <w:tcPr>
            <w:tcW w:w="3685" w:type="dxa"/>
            <w:tcBorders>
              <w:tl2br w:val="nil"/>
              <w:tr2bl w:val="nil"/>
            </w:tcBorders>
            <w:noWrap w:val="0"/>
            <w:vAlign w:val="center"/>
          </w:tcPr>
          <w:p w14:paraId="2BBF277E">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0.0273</w:t>
            </w:r>
          </w:p>
        </w:tc>
        <w:tc>
          <w:tcPr>
            <w:tcW w:w="3769" w:type="dxa"/>
            <w:tcBorders>
              <w:tl2br w:val="nil"/>
              <w:tr2bl w:val="nil"/>
            </w:tcBorders>
            <w:noWrap w:val="0"/>
            <w:vAlign w:val="center"/>
          </w:tcPr>
          <w:p w14:paraId="529045F0">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0.3321</w:t>
            </w:r>
          </w:p>
        </w:tc>
      </w:tr>
      <w:tr w14:paraId="77D439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97C12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69</w:t>
            </w:r>
          </w:p>
        </w:tc>
        <w:tc>
          <w:tcPr>
            <w:tcW w:w="3685" w:type="dxa"/>
            <w:tcBorders>
              <w:tl2br w:val="nil"/>
              <w:tr2bl w:val="nil"/>
            </w:tcBorders>
            <w:noWrap w:val="0"/>
            <w:vAlign w:val="center"/>
          </w:tcPr>
          <w:p w14:paraId="6BBB104D">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0.0262</w:t>
            </w:r>
          </w:p>
        </w:tc>
        <w:tc>
          <w:tcPr>
            <w:tcW w:w="3769" w:type="dxa"/>
            <w:tcBorders>
              <w:tl2br w:val="nil"/>
              <w:tr2bl w:val="nil"/>
            </w:tcBorders>
            <w:noWrap w:val="0"/>
            <w:vAlign w:val="center"/>
          </w:tcPr>
          <w:p w14:paraId="25344AEE">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0.3227</w:t>
            </w:r>
          </w:p>
        </w:tc>
      </w:tr>
      <w:tr w14:paraId="7B0E8C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D08D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3685" w:type="dxa"/>
            <w:tcBorders>
              <w:tl2br w:val="nil"/>
              <w:tr2bl w:val="nil"/>
            </w:tcBorders>
            <w:noWrap w:val="0"/>
            <w:vAlign w:val="center"/>
          </w:tcPr>
          <w:p w14:paraId="5CEA7244">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0.0251</w:t>
            </w:r>
          </w:p>
        </w:tc>
        <w:tc>
          <w:tcPr>
            <w:tcW w:w="3769" w:type="dxa"/>
            <w:tcBorders>
              <w:tl2br w:val="nil"/>
              <w:tr2bl w:val="nil"/>
            </w:tcBorders>
            <w:noWrap w:val="0"/>
            <w:vAlign w:val="center"/>
          </w:tcPr>
          <w:p w14:paraId="125AF2AC">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0.3136</w:t>
            </w:r>
          </w:p>
        </w:tc>
      </w:tr>
      <w:tr w14:paraId="3B2DD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E59B147">
            <w:pPr>
              <w:keepNext w:val="0"/>
              <w:keepLines w:val="0"/>
              <w:pageBreakBefore w:val="0"/>
              <w:wordWrap/>
              <w:topLinePunct w:val="0"/>
              <w:bidi w:val="0"/>
              <w:adjustRightInd w:val="0"/>
              <w:snapToGrid w:val="0"/>
              <w:spacing w:line="240" w:lineRule="auto"/>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最大值</w:t>
            </w:r>
          </w:p>
        </w:tc>
        <w:tc>
          <w:tcPr>
            <w:tcW w:w="3685" w:type="dxa"/>
            <w:tcBorders>
              <w:tl2br w:val="nil"/>
              <w:tr2bl w:val="nil"/>
            </w:tcBorders>
            <w:noWrap w:val="0"/>
            <w:vAlign w:val="center"/>
          </w:tcPr>
          <w:p w14:paraId="24CB2752">
            <w:pPr>
              <w:keepNext w:val="0"/>
              <w:keepLines w:val="0"/>
              <w:pageBreakBefore w:val="0"/>
              <w:widowControl/>
              <w:suppressLineNumbers w:val="0"/>
              <w:wordWrap/>
              <w:topLinePunct w:val="0"/>
              <w:bidi w:val="0"/>
              <w:adjustRightInd w:val="0"/>
              <w:snapToGrid w:val="0"/>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w:t>
            </w:r>
            <w:r>
              <w:rPr>
                <w:rFonts w:hint="eastAsia" w:ascii="Times New Roman" w:hAnsi="Times New Roman" w:cs="Times New Roman"/>
                <w:b/>
                <w:bCs/>
                <w:color w:val="auto"/>
                <w:sz w:val="21"/>
                <w:szCs w:val="21"/>
                <w:highlight w:val="none"/>
                <w:lang w:val="en-US" w:eastAsia="zh-CN"/>
              </w:rPr>
              <w:t>2312</w:t>
            </w:r>
          </w:p>
        </w:tc>
        <w:tc>
          <w:tcPr>
            <w:tcW w:w="3769" w:type="dxa"/>
            <w:tcBorders>
              <w:tl2br w:val="nil"/>
              <w:tr2bl w:val="nil"/>
            </w:tcBorders>
            <w:noWrap w:val="0"/>
            <w:vAlign w:val="center"/>
          </w:tcPr>
          <w:p w14:paraId="76DC28A7">
            <w:pPr>
              <w:keepNext w:val="0"/>
              <w:keepLines w:val="0"/>
              <w:pageBreakBefore w:val="0"/>
              <w:widowControl/>
              <w:suppressLineNumbers w:val="0"/>
              <w:wordWrap/>
              <w:topLinePunct w:val="0"/>
              <w:bidi w:val="0"/>
              <w:adjustRightInd w:val="0"/>
              <w:snapToGrid w:val="0"/>
              <w:jc w:val="center"/>
              <w:textAlignment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9.6817</w:t>
            </w:r>
          </w:p>
        </w:tc>
      </w:tr>
    </w:tbl>
    <w:p w14:paraId="1C371402">
      <w:pPr>
        <w:jc w:val="center"/>
        <w:rPr>
          <w:rFonts w:hint="default" w:ascii="Times New Roman" w:hAnsi="Times New Roman" w:cs="Times New Roman"/>
          <w:b/>
          <w:bCs/>
          <w:color w:val="auto"/>
          <w:sz w:val="24"/>
          <w:highlight w:val="none"/>
        </w:rPr>
      </w:pPr>
      <w:r>
        <w:rPr>
          <w:color w:val="auto"/>
        </w:rPr>
        <w:drawing>
          <wp:inline distT="0" distB="0" distL="114300" distR="114300">
            <wp:extent cx="5580380" cy="3060700"/>
            <wp:effectExtent l="4445" t="4445" r="15875" b="20955"/>
            <wp:docPr id="17" name="图表 17" descr="7b0a202020202263686172745265734964223a202232303437363933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3856327">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cs="Times New Roman"/>
          <w:b/>
          <w:bCs/>
          <w:color w:val="auto"/>
          <w:spacing w:val="0"/>
          <w:sz w:val="24"/>
          <w:highlight w:val="none"/>
        </w:rPr>
      </w:pPr>
      <w:r>
        <w:rPr>
          <w:rFonts w:hint="default" w:ascii="Times New Roman" w:hAnsi="Times New Roman" w:cs="Times New Roman"/>
          <w:b/>
          <w:bCs/>
          <w:color w:val="auto"/>
          <w:spacing w:val="0"/>
          <w:sz w:val="24"/>
          <w:highlight w:val="none"/>
        </w:rPr>
        <w:t xml:space="preserve">专题图6-5  </w:t>
      </w:r>
      <w:r>
        <w:rPr>
          <w:rFonts w:hint="default" w:ascii="Times New Roman" w:hAnsi="Times New Roman" w:cs="Times New Roman"/>
          <w:b/>
          <w:bCs/>
          <w:color w:val="auto"/>
          <w:spacing w:val="0"/>
          <w:sz w:val="24"/>
          <w:highlight w:val="none"/>
          <w:lang w:eastAsia="zh-CN"/>
        </w:rPr>
        <w:t>新建</w:t>
      </w:r>
      <w:r>
        <w:rPr>
          <w:rFonts w:hint="default" w:ascii="Times New Roman" w:hAnsi="Times New Roman" w:eastAsia="宋体" w:cs="Times New Roman"/>
          <w:b/>
          <w:bCs/>
          <w:color w:val="auto"/>
          <w:spacing w:val="0"/>
          <w:sz w:val="24"/>
          <w:highlight w:val="none"/>
          <w:lang w:val="en-US" w:eastAsia="zh-CN"/>
        </w:rPr>
        <w:t>110千伏</w:t>
      </w:r>
      <w:r>
        <w:rPr>
          <w:rFonts w:hint="default" w:ascii="Times New Roman" w:hAnsi="Times New Roman" w:cs="Times New Roman"/>
          <w:b/>
          <w:bCs/>
          <w:color w:val="auto"/>
          <w:spacing w:val="0"/>
          <w:sz w:val="24"/>
          <w:highlight w:val="none"/>
        </w:rPr>
        <w:t>单回架空线路工频电场变化趋势图</w:t>
      </w:r>
    </w:p>
    <w:p w14:paraId="0143205F">
      <w:pPr>
        <w:pStyle w:val="10"/>
        <w:jc w:val="center"/>
        <w:rPr>
          <w:rFonts w:hint="default" w:ascii="Times New Roman" w:hAnsi="Times New Roman" w:cs="Times New Roman"/>
          <w:color w:val="auto"/>
          <w:highlight w:val="none"/>
        </w:rPr>
      </w:pPr>
      <w:r>
        <w:rPr>
          <w:color w:val="auto"/>
        </w:rPr>
        <w:drawing>
          <wp:inline distT="0" distB="0" distL="114300" distR="114300">
            <wp:extent cx="5546725" cy="3390265"/>
            <wp:effectExtent l="4445" t="4445" r="11430" b="15240"/>
            <wp:docPr id="18" name="图表 18" descr="7b0a202020202263686172745265734964223a202232303437363933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7604F7CD">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
          <w:bCs/>
          <w:color w:val="auto"/>
          <w:spacing w:val="0"/>
          <w:sz w:val="24"/>
          <w:highlight w:val="none"/>
        </w:rPr>
      </w:pPr>
      <w:r>
        <w:rPr>
          <w:rFonts w:hint="default" w:ascii="Times New Roman" w:hAnsi="Times New Roman" w:eastAsia="宋体" w:cs="Times New Roman"/>
          <w:b/>
          <w:bCs/>
          <w:color w:val="auto"/>
          <w:spacing w:val="0"/>
          <w:sz w:val="24"/>
          <w:highlight w:val="none"/>
        </w:rPr>
        <w:t xml:space="preserve">专题图6-6  </w:t>
      </w:r>
      <w:r>
        <w:rPr>
          <w:rFonts w:hint="default" w:ascii="Times New Roman" w:hAnsi="Times New Roman" w:cs="Times New Roman"/>
          <w:b/>
          <w:bCs/>
          <w:color w:val="auto"/>
          <w:spacing w:val="0"/>
          <w:sz w:val="24"/>
          <w:highlight w:val="none"/>
          <w:lang w:eastAsia="zh-CN"/>
        </w:rPr>
        <w:t>新建</w:t>
      </w:r>
      <w:r>
        <w:rPr>
          <w:rFonts w:hint="default" w:ascii="Times New Roman" w:hAnsi="Times New Roman" w:eastAsia="宋体" w:cs="Times New Roman"/>
          <w:b/>
          <w:bCs/>
          <w:color w:val="auto"/>
          <w:spacing w:val="0"/>
          <w:sz w:val="24"/>
          <w:highlight w:val="none"/>
          <w:lang w:val="en-US" w:eastAsia="zh-CN"/>
        </w:rPr>
        <w:t>110千伏</w:t>
      </w:r>
      <w:r>
        <w:rPr>
          <w:rFonts w:hint="default" w:ascii="Times New Roman" w:hAnsi="Times New Roman" w:eastAsia="宋体" w:cs="Times New Roman"/>
          <w:b/>
          <w:bCs/>
          <w:color w:val="auto"/>
          <w:spacing w:val="0"/>
          <w:sz w:val="24"/>
          <w:highlight w:val="none"/>
        </w:rPr>
        <w:t>单回架空线路段工频磁场变化趋势图</w:t>
      </w:r>
    </w:p>
    <w:p w14:paraId="35AAD33A">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w:t>
      </w:r>
      <w:r>
        <w:rPr>
          <w:rFonts w:hint="default" w:ascii="Times New Roman" w:hAnsi="Times New Roman" w:cs="Times New Roman"/>
          <w:color w:val="auto"/>
          <w:sz w:val="24"/>
          <w:highlight w:val="none"/>
          <w:lang w:eastAsia="zh-CN"/>
        </w:rPr>
        <w:t>抬高改造段</w:t>
      </w:r>
      <w:r>
        <w:rPr>
          <w:rFonts w:hint="default" w:ascii="Times New Roman" w:hAnsi="Times New Roman" w:cs="Times New Roman"/>
          <w:b w:val="0"/>
          <w:bCs w:val="0"/>
          <w:color w:val="auto"/>
          <w:sz w:val="24"/>
          <w:highlight w:val="none"/>
          <w:lang w:val="en-US" w:eastAsia="zh-CN"/>
        </w:rPr>
        <w:t>11</w:t>
      </w:r>
      <w:r>
        <w:rPr>
          <w:rFonts w:hint="default" w:ascii="Times New Roman" w:hAnsi="Times New Roman" w:cs="Times New Roman"/>
          <w:b w:val="0"/>
          <w:bCs w:val="0"/>
          <w:color w:val="auto"/>
          <w:sz w:val="24"/>
          <w:highlight w:val="none"/>
        </w:rPr>
        <w:t>0</w:t>
      </w:r>
      <w:r>
        <w:rPr>
          <w:rFonts w:hint="default" w:ascii="Times New Roman" w:hAnsi="Times New Roman" w:cs="Times New Roman"/>
          <w:b w:val="0"/>
          <w:bCs w:val="0"/>
          <w:color w:val="auto"/>
          <w:sz w:val="24"/>
          <w:highlight w:val="none"/>
          <w:lang w:val="en-US" w:eastAsia="zh-CN"/>
        </w:rPr>
        <w:t>千伏</w:t>
      </w:r>
      <w:r>
        <w:rPr>
          <w:rFonts w:hint="default" w:ascii="Times New Roman" w:hAnsi="Times New Roman" w:cs="Times New Roman"/>
          <w:color w:val="auto"/>
          <w:sz w:val="24"/>
          <w:highlight w:val="none"/>
          <w:lang w:eastAsia="zh-CN"/>
        </w:rPr>
        <w:t>单</w:t>
      </w:r>
      <w:r>
        <w:rPr>
          <w:rFonts w:hint="default" w:ascii="Times New Roman" w:hAnsi="Times New Roman" w:cs="Times New Roman"/>
          <w:color w:val="auto"/>
          <w:sz w:val="24"/>
          <w:highlight w:val="none"/>
        </w:rPr>
        <w:t>回架空线路</w:t>
      </w:r>
    </w:p>
    <w:p w14:paraId="07459C9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抬高改造段</w:t>
      </w:r>
      <w:r>
        <w:rPr>
          <w:rFonts w:hint="default" w:ascii="Times New Roman" w:hAnsi="Times New Roman" w:cs="Times New Roman"/>
          <w:b w:val="0"/>
          <w:bCs w:val="0"/>
          <w:color w:val="auto"/>
          <w:sz w:val="24"/>
          <w:highlight w:val="none"/>
          <w:lang w:val="en-US" w:eastAsia="zh-CN"/>
        </w:rPr>
        <w:t>11</w:t>
      </w:r>
      <w:r>
        <w:rPr>
          <w:rFonts w:hint="default" w:ascii="Times New Roman" w:hAnsi="Times New Roman" w:cs="Times New Roman"/>
          <w:b w:val="0"/>
          <w:bCs w:val="0"/>
          <w:color w:val="auto"/>
          <w:sz w:val="24"/>
          <w:highlight w:val="none"/>
        </w:rPr>
        <w:t>0</w:t>
      </w:r>
      <w:r>
        <w:rPr>
          <w:rFonts w:hint="default" w:ascii="Times New Roman" w:hAnsi="Times New Roman" w:cs="Times New Roman"/>
          <w:b w:val="0"/>
          <w:bCs w:val="0"/>
          <w:color w:val="auto"/>
          <w:sz w:val="24"/>
          <w:highlight w:val="none"/>
          <w:lang w:val="en-US" w:eastAsia="zh-CN"/>
        </w:rPr>
        <w:t>千伏</w:t>
      </w:r>
      <w:r>
        <w:rPr>
          <w:rFonts w:hint="default" w:ascii="Times New Roman" w:hAnsi="Times New Roman" w:cs="Times New Roman"/>
          <w:color w:val="auto"/>
          <w:sz w:val="24"/>
          <w:highlight w:val="none"/>
          <w:lang w:eastAsia="zh-CN"/>
        </w:rPr>
        <w:t>单</w:t>
      </w:r>
      <w:r>
        <w:rPr>
          <w:rFonts w:hint="default" w:ascii="Times New Roman" w:hAnsi="Times New Roman" w:cs="Times New Roman"/>
          <w:color w:val="auto"/>
          <w:sz w:val="24"/>
          <w:highlight w:val="none"/>
        </w:rPr>
        <w:t>回架空线路导线对地</w:t>
      </w:r>
      <w:r>
        <w:rPr>
          <w:rFonts w:hint="default" w:ascii="Times New Roman" w:hAnsi="Times New Roman" w:cs="Times New Roman"/>
          <w:color w:val="auto"/>
          <w:sz w:val="24"/>
          <w:highlight w:val="none"/>
          <w:lang w:val="en-US" w:eastAsia="zh-CN"/>
        </w:rPr>
        <w:t>最低</w:t>
      </w:r>
      <w:r>
        <w:rPr>
          <w:rFonts w:hint="default" w:ascii="Times New Roman" w:hAnsi="Times New Roman" w:cs="Times New Roman"/>
          <w:color w:val="auto"/>
          <w:sz w:val="24"/>
          <w:highlight w:val="none"/>
        </w:rPr>
        <w:t>高度</w:t>
      </w:r>
      <w:r>
        <w:rPr>
          <w:rFonts w:hint="default" w:ascii="Times New Roman" w:hAnsi="Times New Roman" w:cs="Times New Roman"/>
          <w:color w:val="auto"/>
          <w:sz w:val="24"/>
          <w:highlight w:val="none"/>
          <w:lang w:val="en-US" w:eastAsia="zh-CN"/>
        </w:rPr>
        <w:t>为</w:t>
      </w:r>
      <w:r>
        <w:rPr>
          <w:rFonts w:hint="eastAsia" w:cs="Times New Roman"/>
          <w:color w:val="auto"/>
          <w:sz w:val="24"/>
          <w:highlight w:val="none"/>
          <w:lang w:val="en-US" w:eastAsia="zh-CN"/>
        </w:rPr>
        <w:t>35.3</w:t>
      </w:r>
      <w:r>
        <w:rPr>
          <w:rFonts w:hint="default" w:ascii="Times New Roman" w:hAnsi="Times New Roman" w:cs="Times New Roman"/>
          <w:color w:val="auto"/>
          <w:sz w:val="24"/>
          <w:highlight w:val="none"/>
        </w:rPr>
        <w:t>m</w:t>
      </w:r>
      <w:r>
        <w:rPr>
          <w:rFonts w:hint="default" w:ascii="Times New Roman" w:hAnsi="Times New Roman" w:eastAsia="宋体" w:cs="Times New Roman"/>
          <w:color w:val="auto"/>
          <w:sz w:val="24"/>
          <w:highlight w:val="none"/>
          <w:lang w:val="en-US" w:eastAsia="zh-CN"/>
        </w:rPr>
        <w:t>时</w:t>
      </w:r>
      <w:r>
        <w:rPr>
          <w:rFonts w:hint="default" w:ascii="Times New Roman" w:hAnsi="Times New Roman" w:cs="Times New Roman"/>
          <w:color w:val="auto"/>
          <w:sz w:val="24"/>
          <w:highlight w:val="none"/>
        </w:rPr>
        <w:t>，垂直线路方向为-</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0m，计算点离地面高1.5m，其线下工频电场强度、工频磁感应强度的计算结果见下表。</w:t>
      </w:r>
    </w:p>
    <w:p w14:paraId="70437AC5">
      <w:pPr>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专题表6-</w:t>
      </w: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eastAsia="zh-CN"/>
        </w:rPr>
        <w:t>抬高改造段</w:t>
      </w:r>
      <w:r>
        <w:rPr>
          <w:rFonts w:hint="default" w:ascii="Times New Roman" w:hAnsi="Times New Roman" w:cs="Times New Roman"/>
          <w:b/>
          <w:bCs/>
          <w:color w:val="auto"/>
          <w:sz w:val="24"/>
          <w:highlight w:val="none"/>
          <w:lang w:val="en-US" w:eastAsia="zh-CN"/>
        </w:rPr>
        <w:t>11</w:t>
      </w:r>
      <w:r>
        <w:rPr>
          <w:rFonts w:hint="default" w:ascii="Times New Roman" w:hAnsi="Times New Roman" w:cs="Times New Roman"/>
          <w:b/>
          <w:bCs/>
          <w:color w:val="auto"/>
          <w:sz w:val="24"/>
          <w:highlight w:val="none"/>
        </w:rPr>
        <w:t>0</w:t>
      </w:r>
      <w:r>
        <w:rPr>
          <w:rFonts w:hint="default" w:ascii="Times New Roman" w:hAnsi="Times New Roman" w:cs="Times New Roman"/>
          <w:b/>
          <w:bCs/>
          <w:color w:val="auto"/>
          <w:sz w:val="24"/>
          <w:highlight w:val="none"/>
          <w:lang w:val="en-US" w:eastAsia="zh-CN"/>
        </w:rPr>
        <w:t>千伏</w:t>
      </w:r>
      <w:r>
        <w:rPr>
          <w:rFonts w:hint="default" w:ascii="Times New Roman" w:hAnsi="Times New Roman" w:cs="Times New Roman"/>
          <w:b/>
          <w:bCs/>
          <w:color w:val="auto"/>
          <w:sz w:val="24"/>
          <w:highlight w:val="none"/>
          <w:lang w:eastAsia="zh-CN"/>
        </w:rPr>
        <w:t>单</w:t>
      </w:r>
      <w:r>
        <w:rPr>
          <w:rFonts w:hint="default" w:ascii="Times New Roman" w:hAnsi="Times New Roman" w:cs="Times New Roman"/>
          <w:b/>
          <w:bCs/>
          <w:color w:val="auto"/>
          <w:sz w:val="24"/>
          <w:highlight w:val="none"/>
        </w:rPr>
        <w:t>回架空线路电磁计算结果</w:t>
      </w:r>
    </w:p>
    <w:tbl>
      <w:tblPr>
        <w:tblStyle w:val="32"/>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3685"/>
        <w:gridCol w:w="3769"/>
      </w:tblGrid>
      <w:tr w14:paraId="1366A8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vMerge w:val="restart"/>
            <w:tcBorders>
              <w:tl2br w:val="nil"/>
              <w:tr2bl w:val="nil"/>
            </w:tcBorders>
            <w:noWrap w:val="0"/>
            <w:vAlign w:val="center"/>
          </w:tcPr>
          <w:p w14:paraId="76533EA4">
            <w:pPr>
              <w:pStyle w:val="71"/>
              <w:kinsoku w:val="0"/>
              <w:overflowPunct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距线路走廊中心距离</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lang w:eastAsia="zh-CN"/>
              </w:rPr>
              <w:t>）</w:t>
            </w:r>
          </w:p>
        </w:tc>
        <w:tc>
          <w:tcPr>
            <w:tcW w:w="7454" w:type="dxa"/>
            <w:gridSpan w:val="2"/>
            <w:tcBorders>
              <w:tl2br w:val="nil"/>
              <w:tr2bl w:val="nil"/>
            </w:tcBorders>
            <w:noWrap w:val="0"/>
            <w:vAlign w:val="center"/>
          </w:tcPr>
          <w:p w14:paraId="694EF176">
            <w:pPr>
              <w:pStyle w:val="71"/>
              <w:kinsoku w:val="0"/>
              <w:overflowPunct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导线对地高度</w:t>
            </w:r>
            <w:r>
              <w:rPr>
                <w:rFonts w:hint="default" w:ascii="Times New Roman" w:hAnsi="Times New Roman" w:cs="Times New Roman"/>
                <w:b/>
                <w:bCs/>
                <w:color w:val="auto"/>
                <w:sz w:val="21"/>
                <w:szCs w:val="21"/>
                <w:highlight w:val="none"/>
                <w:lang w:val="en-US" w:eastAsia="zh-CN"/>
              </w:rPr>
              <w:t>35.3</w:t>
            </w:r>
            <w:r>
              <w:rPr>
                <w:rFonts w:hint="default" w:ascii="Times New Roman" w:hAnsi="Times New Roman" w:cs="Times New Roman"/>
                <w:b/>
                <w:bCs/>
                <w:color w:val="auto"/>
                <w:sz w:val="21"/>
                <w:szCs w:val="21"/>
                <w:highlight w:val="none"/>
              </w:rPr>
              <w:t>m</w:t>
            </w:r>
          </w:p>
        </w:tc>
      </w:tr>
      <w:tr w14:paraId="17BD7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vMerge w:val="continue"/>
            <w:tcBorders>
              <w:tl2br w:val="nil"/>
              <w:tr2bl w:val="nil"/>
            </w:tcBorders>
            <w:noWrap w:val="0"/>
            <w:vAlign w:val="top"/>
          </w:tcPr>
          <w:p w14:paraId="73AE2BDE">
            <w:pPr>
              <w:spacing w:line="240" w:lineRule="auto"/>
              <w:jc w:val="center"/>
              <w:rPr>
                <w:rFonts w:hint="default" w:ascii="Times New Roman" w:hAnsi="Times New Roman" w:cs="Times New Roman"/>
                <w:b/>
                <w:bCs/>
                <w:color w:val="auto"/>
                <w:kern w:val="0"/>
                <w:sz w:val="21"/>
                <w:szCs w:val="21"/>
                <w:highlight w:val="none"/>
              </w:rPr>
            </w:pPr>
          </w:p>
        </w:tc>
        <w:tc>
          <w:tcPr>
            <w:tcW w:w="3685" w:type="dxa"/>
            <w:tcBorders>
              <w:tl2br w:val="nil"/>
              <w:tr2bl w:val="nil"/>
            </w:tcBorders>
            <w:noWrap w:val="0"/>
            <w:vAlign w:val="center"/>
          </w:tcPr>
          <w:p w14:paraId="4032696C">
            <w:pPr>
              <w:pStyle w:val="71"/>
              <w:kinsoku w:val="0"/>
              <w:overflowPunct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工频电场强度（kV/m）</w:t>
            </w:r>
          </w:p>
        </w:tc>
        <w:tc>
          <w:tcPr>
            <w:tcW w:w="3769" w:type="dxa"/>
            <w:tcBorders>
              <w:tl2br w:val="nil"/>
              <w:tr2bl w:val="nil"/>
            </w:tcBorders>
            <w:noWrap w:val="0"/>
            <w:vAlign w:val="center"/>
          </w:tcPr>
          <w:p w14:paraId="77730ED5">
            <w:pPr>
              <w:pStyle w:val="71"/>
              <w:kinsoku w:val="0"/>
              <w:overflowPunct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工频磁感应强度（μT）</w:t>
            </w:r>
          </w:p>
        </w:tc>
      </w:tr>
      <w:tr w14:paraId="2BAF2E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4B7A8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3685" w:type="dxa"/>
            <w:tcBorders>
              <w:tl2br w:val="nil"/>
              <w:tr2bl w:val="nil"/>
            </w:tcBorders>
            <w:noWrap w:val="0"/>
            <w:vAlign w:val="center"/>
          </w:tcPr>
          <w:p w14:paraId="7E4F08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0.0367</w:t>
            </w:r>
          </w:p>
        </w:tc>
        <w:tc>
          <w:tcPr>
            <w:tcW w:w="3769" w:type="dxa"/>
            <w:tcBorders>
              <w:tl2br w:val="nil"/>
              <w:tr2bl w:val="nil"/>
            </w:tcBorders>
            <w:noWrap w:val="0"/>
            <w:vAlign w:val="center"/>
          </w:tcPr>
          <w:p w14:paraId="70179B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0.2766</w:t>
            </w:r>
          </w:p>
        </w:tc>
      </w:tr>
      <w:tr w14:paraId="1AAF0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F487C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-69</w:t>
            </w:r>
          </w:p>
        </w:tc>
        <w:tc>
          <w:tcPr>
            <w:tcW w:w="3685" w:type="dxa"/>
            <w:tcBorders>
              <w:tl2br w:val="nil"/>
              <w:tr2bl w:val="nil"/>
            </w:tcBorders>
            <w:noWrap w:val="0"/>
            <w:vAlign w:val="center"/>
          </w:tcPr>
          <w:p w14:paraId="6FFA54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0.0378</w:t>
            </w:r>
          </w:p>
        </w:tc>
        <w:tc>
          <w:tcPr>
            <w:tcW w:w="3769" w:type="dxa"/>
            <w:tcBorders>
              <w:tl2br w:val="nil"/>
              <w:tr2bl w:val="nil"/>
            </w:tcBorders>
            <w:noWrap w:val="0"/>
            <w:vAlign w:val="center"/>
          </w:tcPr>
          <w:p w14:paraId="3EF848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0.2831</w:t>
            </w:r>
          </w:p>
        </w:tc>
      </w:tr>
      <w:tr w14:paraId="058F2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BE8BE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-68</w:t>
            </w:r>
          </w:p>
        </w:tc>
        <w:tc>
          <w:tcPr>
            <w:tcW w:w="3685" w:type="dxa"/>
            <w:tcBorders>
              <w:tl2br w:val="nil"/>
              <w:tr2bl w:val="nil"/>
            </w:tcBorders>
            <w:noWrap w:val="0"/>
            <w:vAlign w:val="center"/>
          </w:tcPr>
          <w:p w14:paraId="6E2A8C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0.039</w:t>
            </w:r>
          </w:p>
        </w:tc>
        <w:tc>
          <w:tcPr>
            <w:tcW w:w="3769" w:type="dxa"/>
            <w:tcBorders>
              <w:tl2br w:val="nil"/>
              <w:tr2bl w:val="nil"/>
            </w:tcBorders>
            <w:noWrap w:val="0"/>
            <w:vAlign w:val="center"/>
          </w:tcPr>
          <w:p w14:paraId="079E60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0.2899</w:t>
            </w:r>
          </w:p>
        </w:tc>
      </w:tr>
      <w:tr w14:paraId="09E35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9E901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-67</w:t>
            </w:r>
          </w:p>
        </w:tc>
        <w:tc>
          <w:tcPr>
            <w:tcW w:w="3685" w:type="dxa"/>
            <w:tcBorders>
              <w:tl2br w:val="nil"/>
              <w:tr2bl w:val="nil"/>
            </w:tcBorders>
            <w:noWrap w:val="0"/>
            <w:vAlign w:val="center"/>
          </w:tcPr>
          <w:p w14:paraId="061B62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0.0403</w:t>
            </w:r>
          </w:p>
        </w:tc>
        <w:tc>
          <w:tcPr>
            <w:tcW w:w="3769" w:type="dxa"/>
            <w:tcBorders>
              <w:tl2br w:val="nil"/>
              <w:tr2bl w:val="nil"/>
            </w:tcBorders>
            <w:noWrap w:val="0"/>
            <w:vAlign w:val="center"/>
          </w:tcPr>
          <w:p w14:paraId="537A6F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0.2968</w:t>
            </w:r>
          </w:p>
        </w:tc>
      </w:tr>
      <w:tr w14:paraId="1D33E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4AD1C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w:t>
            </w:r>
          </w:p>
        </w:tc>
        <w:tc>
          <w:tcPr>
            <w:tcW w:w="3685" w:type="dxa"/>
            <w:tcBorders>
              <w:tl2br w:val="nil"/>
              <w:tr2bl w:val="nil"/>
            </w:tcBorders>
            <w:noWrap w:val="0"/>
            <w:vAlign w:val="center"/>
          </w:tcPr>
          <w:p w14:paraId="4B2350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0.0416</w:t>
            </w:r>
          </w:p>
        </w:tc>
        <w:tc>
          <w:tcPr>
            <w:tcW w:w="3769" w:type="dxa"/>
            <w:tcBorders>
              <w:tl2br w:val="nil"/>
              <w:tr2bl w:val="nil"/>
            </w:tcBorders>
            <w:noWrap w:val="0"/>
            <w:vAlign w:val="center"/>
          </w:tcPr>
          <w:p w14:paraId="771813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0.304</w:t>
            </w:r>
          </w:p>
        </w:tc>
      </w:tr>
      <w:tr w14:paraId="337FD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F8882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-65</w:t>
            </w:r>
          </w:p>
        </w:tc>
        <w:tc>
          <w:tcPr>
            <w:tcW w:w="3685" w:type="dxa"/>
            <w:tcBorders>
              <w:tl2br w:val="nil"/>
              <w:tr2bl w:val="nil"/>
            </w:tcBorders>
            <w:noWrap w:val="0"/>
            <w:vAlign w:val="center"/>
          </w:tcPr>
          <w:p w14:paraId="644ED3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0.0429</w:t>
            </w:r>
          </w:p>
        </w:tc>
        <w:tc>
          <w:tcPr>
            <w:tcW w:w="3769" w:type="dxa"/>
            <w:tcBorders>
              <w:tl2br w:val="nil"/>
              <w:tr2bl w:val="nil"/>
            </w:tcBorders>
            <w:noWrap w:val="0"/>
            <w:vAlign w:val="center"/>
          </w:tcPr>
          <w:p w14:paraId="0F217A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0.3115</w:t>
            </w:r>
          </w:p>
        </w:tc>
      </w:tr>
      <w:tr w14:paraId="4B99AE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7388F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3685" w:type="dxa"/>
            <w:tcBorders>
              <w:tl2br w:val="nil"/>
              <w:tr2bl w:val="nil"/>
            </w:tcBorders>
            <w:noWrap w:val="0"/>
            <w:vAlign w:val="center"/>
          </w:tcPr>
          <w:p w14:paraId="4C8305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0.0443</w:t>
            </w:r>
          </w:p>
        </w:tc>
        <w:tc>
          <w:tcPr>
            <w:tcW w:w="3769" w:type="dxa"/>
            <w:tcBorders>
              <w:tl2br w:val="nil"/>
              <w:tr2bl w:val="nil"/>
            </w:tcBorders>
            <w:noWrap w:val="0"/>
            <w:vAlign w:val="center"/>
          </w:tcPr>
          <w:p w14:paraId="2270E6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0.3192</w:t>
            </w:r>
          </w:p>
        </w:tc>
      </w:tr>
      <w:tr w14:paraId="2DCCEB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3CF9C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-63</w:t>
            </w:r>
          </w:p>
        </w:tc>
        <w:tc>
          <w:tcPr>
            <w:tcW w:w="3685" w:type="dxa"/>
            <w:tcBorders>
              <w:tl2br w:val="nil"/>
              <w:tr2bl w:val="nil"/>
            </w:tcBorders>
            <w:noWrap w:val="0"/>
            <w:vAlign w:val="center"/>
          </w:tcPr>
          <w:p w14:paraId="5CDFB9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0.0457</w:t>
            </w:r>
          </w:p>
        </w:tc>
        <w:tc>
          <w:tcPr>
            <w:tcW w:w="3769" w:type="dxa"/>
            <w:tcBorders>
              <w:tl2br w:val="nil"/>
              <w:tr2bl w:val="nil"/>
            </w:tcBorders>
            <w:noWrap w:val="0"/>
            <w:vAlign w:val="center"/>
          </w:tcPr>
          <w:p w14:paraId="043EFC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0.3271</w:t>
            </w:r>
          </w:p>
        </w:tc>
      </w:tr>
      <w:tr w14:paraId="3BCC57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179BF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-62</w:t>
            </w:r>
          </w:p>
        </w:tc>
        <w:tc>
          <w:tcPr>
            <w:tcW w:w="3685" w:type="dxa"/>
            <w:tcBorders>
              <w:tl2br w:val="nil"/>
              <w:tr2bl w:val="nil"/>
            </w:tcBorders>
            <w:noWrap w:val="0"/>
            <w:vAlign w:val="center"/>
          </w:tcPr>
          <w:p w14:paraId="446EC3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0.0472</w:t>
            </w:r>
          </w:p>
        </w:tc>
        <w:tc>
          <w:tcPr>
            <w:tcW w:w="3769" w:type="dxa"/>
            <w:tcBorders>
              <w:tl2br w:val="nil"/>
              <w:tr2bl w:val="nil"/>
            </w:tcBorders>
            <w:noWrap w:val="0"/>
            <w:vAlign w:val="center"/>
          </w:tcPr>
          <w:p w14:paraId="6063A2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0.3354</w:t>
            </w:r>
          </w:p>
        </w:tc>
      </w:tr>
      <w:tr w14:paraId="00FD3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669C4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w:t>
            </w:r>
          </w:p>
        </w:tc>
        <w:tc>
          <w:tcPr>
            <w:tcW w:w="3685" w:type="dxa"/>
            <w:tcBorders>
              <w:tl2br w:val="nil"/>
              <w:tr2bl w:val="nil"/>
            </w:tcBorders>
            <w:noWrap w:val="0"/>
            <w:vAlign w:val="center"/>
          </w:tcPr>
          <w:p w14:paraId="000ED4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0.0488</w:t>
            </w:r>
          </w:p>
        </w:tc>
        <w:tc>
          <w:tcPr>
            <w:tcW w:w="3769" w:type="dxa"/>
            <w:tcBorders>
              <w:tl2br w:val="nil"/>
              <w:tr2bl w:val="nil"/>
            </w:tcBorders>
            <w:noWrap w:val="0"/>
            <w:vAlign w:val="center"/>
          </w:tcPr>
          <w:p w14:paraId="6C6D4E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0.3439</w:t>
            </w:r>
          </w:p>
        </w:tc>
      </w:tr>
      <w:tr w14:paraId="7E8CD8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FB01D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3685" w:type="dxa"/>
            <w:tcBorders>
              <w:tl2br w:val="nil"/>
              <w:tr2bl w:val="nil"/>
            </w:tcBorders>
            <w:noWrap w:val="0"/>
            <w:vAlign w:val="center"/>
          </w:tcPr>
          <w:p w14:paraId="5C35D7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0.0504</w:t>
            </w:r>
          </w:p>
        </w:tc>
        <w:tc>
          <w:tcPr>
            <w:tcW w:w="3769" w:type="dxa"/>
            <w:tcBorders>
              <w:tl2br w:val="nil"/>
              <w:tr2bl w:val="nil"/>
            </w:tcBorders>
            <w:noWrap w:val="0"/>
            <w:vAlign w:val="center"/>
          </w:tcPr>
          <w:p w14:paraId="1DCF13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0.3527</w:t>
            </w:r>
          </w:p>
        </w:tc>
      </w:tr>
      <w:tr w14:paraId="15EC2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B567B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-59</w:t>
            </w:r>
          </w:p>
        </w:tc>
        <w:tc>
          <w:tcPr>
            <w:tcW w:w="3685" w:type="dxa"/>
            <w:tcBorders>
              <w:tl2br w:val="nil"/>
              <w:tr2bl w:val="nil"/>
            </w:tcBorders>
            <w:noWrap w:val="0"/>
            <w:vAlign w:val="center"/>
          </w:tcPr>
          <w:p w14:paraId="3EC592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0.0521</w:t>
            </w:r>
          </w:p>
        </w:tc>
        <w:tc>
          <w:tcPr>
            <w:tcW w:w="3769" w:type="dxa"/>
            <w:tcBorders>
              <w:tl2br w:val="nil"/>
              <w:tr2bl w:val="nil"/>
            </w:tcBorders>
            <w:noWrap w:val="0"/>
            <w:vAlign w:val="center"/>
          </w:tcPr>
          <w:p w14:paraId="5B3E78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0.3618</w:t>
            </w:r>
          </w:p>
        </w:tc>
      </w:tr>
      <w:tr w14:paraId="6B5AA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3A63D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w:t>
            </w:r>
          </w:p>
        </w:tc>
        <w:tc>
          <w:tcPr>
            <w:tcW w:w="3685" w:type="dxa"/>
            <w:tcBorders>
              <w:tl2br w:val="nil"/>
              <w:tr2bl w:val="nil"/>
            </w:tcBorders>
            <w:noWrap w:val="0"/>
            <w:vAlign w:val="center"/>
          </w:tcPr>
          <w:p w14:paraId="607B95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0.0538</w:t>
            </w:r>
          </w:p>
        </w:tc>
        <w:tc>
          <w:tcPr>
            <w:tcW w:w="3769" w:type="dxa"/>
            <w:tcBorders>
              <w:tl2br w:val="nil"/>
              <w:tr2bl w:val="nil"/>
            </w:tcBorders>
            <w:noWrap w:val="0"/>
            <w:vAlign w:val="center"/>
          </w:tcPr>
          <w:p w14:paraId="2C3C02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0.3712</w:t>
            </w:r>
          </w:p>
        </w:tc>
      </w:tr>
      <w:tr w14:paraId="1DBB2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5EB01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-57</w:t>
            </w:r>
          </w:p>
        </w:tc>
        <w:tc>
          <w:tcPr>
            <w:tcW w:w="3685" w:type="dxa"/>
            <w:tcBorders>
              <w:tl2br w:val="nil"/>
              <w:tr2bl w:val="nil"/>
            </w:tcBorders>
            <w:noWrap w:val="0"/>
            <w:vAlign w:val="center"/>
          </w:tcPr>
          <w:p w14:paraId="20A646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0.0556</w:t>
            </w:r>
          </w:p>
        </w:tc>
        <w:tc>
          <w:tcPr>
            <w:tcW w:w="3769" w:type="dxa"/>
            <w:tcBorders>
              <w:tl2br w:val="nil"/>
              <w:tr2bl w:val="nil"/>
            </w:tcBorders>
            <w:noWrap w:val="0"/>
            <w:vAlign w:val="center"/>
          </w:tcPr>
          <w:p w14:paraId="0BAD5C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0.3809</w:t>
            </w:r>
          </w:p>
        </w:tc>
      </w:tr>
      <w:tr w14:paraId="2D9435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228CB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w:t>
            </w:r>
          </w:p>
        </w:tc>
        <w:tc>
          <w:tcPr>
            <w:tcW w:w="3685" w:type="dxa"/>
            <w:tcBorders>
              <w:tl2br w:val="nil"/>
              <w:tr2bl w:val="nil"/>
            </w:tcBorders>
            <w:noWrap w:val="0"/>
            <w:vAlign w:val="center"/>
          </w:tcPr>
          <w:p w14:paraId="0C368B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0.0575</w:t>
            </w:r>
          </w:p>
        </w:tc>
        <w:tc>
          <w:tcPr>
            <w:tcW w:w="3769" w:type="dxa"/>
            <w:tcBorders>
              <w:tl2br w:val="nil"/>
              <w:tr2bl w:val="nil"/>
            </w:tcBorders>
            <w:noWrap w:val="0"/>
            <w:vAlign w:val="center"/>
          </w:tcPr>
          <w:p w14:paraId="4B8661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0.391</w:t>
            </w:r>
          </w:p>
        </w:tc>
      </w:tr>
      <w:tr w14:paraId="43A4D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80D7D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-55</w:t>
            </w:r>
          </w:p>
        </w:tc>
        <w:tc>
          <w:tcPr>
            <w:tcW w:w="3685" w:type="dxa"/>
            <w:tcBorders>
              <w:tl2br w:val="nil"/>
              <w:tr2bl w:val="nil"/>
            </w:tcBorders>
            <w:noWrap w:val="0"/>
            <w:vAlign w:val="center"/>
          </w:tcPr>
          <w:p w14:paraId="7A79B9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0.0594</w:t>
            </w:r>
          </w:p>
        </w:tc>
        <w:tc>
          <w:tcPr>
            <w:tcW w:w="3769" w:type="dxa"/>
            <w:tcBorders>
              <w:tl2br w:val="nil"/>
              <w:tr2bl w:val="nil"/>
            </w:tcBorders>
            <w:noWrap w:val="0"/>
            <w:vAlign w:val="center"/>
          </w:tcPr>
          <w:p w14:paraId="1D24C7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0.4014</w:t>
            </w:r>
          </w:p>
        </w:tc>
      </w:tr>
      <w:tr w14:paraId="2D7C9F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B3D0B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-54</w:t>
            </w:r>
          </w:p>
        </w:tc>
        <w:tc>
          <w:tcPr>
            <w:tcW w:w="3685" w:type="dxa"/>
            <w:tcBorders>
              <w:tl2br w:val="nil"/>
              <w:tr2bl w:val="nil"/>
            </w:tcBorders>
            <w:noWrap w:val="0"/>
            <w:vAlign w:val="center"/>
          </w:tcPr>
          <w:p w14:paraId="33CFB4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0.0614</w:t>
            </w:r>
          </w:p>
        </w:tc>
        <w:tc>
          <w:tcPr>
            <w:tcW w:w="3769" w:type="dxa"/>
            <w:tcBorders>
              <w:tl2br w:val="nil"/>
              <w:tr2bl w:val="nil"/>
            </w:tcBorders>
            <w:noWrap w:val="0"/>
            <w:vAlign w:val="center"/>
          </w:tcPr>
          <w:p w14:paraId="6053F4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0.4122</w:t>
            </w:r>
          </w:p>
        </w:tc>
      </w:tr>
      <w:tr w14:paraId="12A1D4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2C67D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w:t>
            </w:r>
          </w:p>
        </w:tc>
        <w:tc>
          <w:tcPr>
            <w:tcW w:w="3685" w:type="dxa"/>
            <w:tcBorders>
              <w:tl2br w:val="nil"/>
              <w:tr2bl w:val="nil"/>
            </w:tcBorders>
            <w:noWrap w:val="0"/>
            <w:vAlign w:val="center"/>
          </w:tcPr>
          <w:p w14:paraId="1130E7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0.0634</w:t>
            </w:r>
          </w:p>
        </w:tc>
        <w:tc>
          <w:tcPr>
            <w:tcW w:w="3769" w:type="dxa"/>
            <w:tcBorders>
              <w:tl2br w:val="nil"/>
              <w:tr2bl w:val="nil"/>
            </w:tcBorders>
            <w:noWrap w:val="0"/>
            <w:vAlign w:val="center"/>
          </w:tcPr>
          <w:p w14:paraId="35299C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0.4234</w:t>
            </w:r>
          </w:p>
        </w:tc>
      </w:tr>
      <w:tr w14:paraId="14845B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315B5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w:t>
            </w:r>
          </w:p>
        </w:tc>
        <w:tc>
          <w:tcPr>
            <w:tcW w:w="3685" w:type="dxa"/>
            <w:tcBorders>
              <w:tl2br w:val="nil"/>
              <w:tr2bl w:val="nil"/>
            </w:tcBorders>
            <w:noWrap w:val="0"/>
            <w:vAlign w:val="center"/>
          </w:tcPr>
          <w:p w14:paraId="1B4831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0.0656</w:t>
            </w:r>
          </w:p>
        </w:tc>
        <w:tc>
          <w:tcPr>
            <w:tcW w:w="3769" w:type="dxa"/>
            <w:tcBorders>
              <w:tl2br w:val="nil"/>
              <w:tr2bl w:val="nil"/>
            </w:tcBorders>
            <w:noWrap w:val="0"/>
            <w:vAlign w:val="center"/>
          </w:tcPr>
          <w:p w14:paraId="3F914E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0.4349</w:t>
            </w:r>
          </w:p>
        </w:tc>
      </w:tr>
      <w:tr w14:paraId="2C997B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73BE3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-51</w:t>
            </w:r>
          </w:p>
        </w:tc>
        <w:tc>
          <w:tcPr>
            <w:tcW w:w="3685" w:type="dxa"/>
            <w:tcBorders>
              <w:tl2br w:val="nil"/>
              <w:tr2bl w:val="nil"/>
            </w:tcBorders>
            <w:noWrap w:val="0"/>
            <w:vAlign w:val="center"/>
          </w:tcPr>
          <w:p w14:paraId="46646E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0.0678</w:t>
            </w:r>
          </w:p>
        </w:tc>
        <w:tc>
          <w:tcPr>
            <w:tcW w:w="3769" w:type="dxa"/>
            <w:tcBorders>
              <w:tl2br w:val="nil"/>
              <w:tr2bl w:val="nil"/>
            </w:tcBorders>
            <w:noWrap w:val="0"/>
            <w:vAlign w:val="center"/>
          </w:tcPr>
          <w:p w14:paraId="43B527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0.4469</w:t>
            </w:r>
          </w:p>
        </w:tc>
      </w:tr>
      <w:tr w14:paraId="3269EA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58160B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3685" w:type="dxa"/>
            <w:tcBorders>
              <w:tl2br w:val="nil"/>
              <w:tr2bl w:val="nil"/>
            </w:tcBorders>
            <w:noWrap w:val="0"/>
            <w:vAlign w:val="center"/>
          </w:tcPr>
          <w:p w14:paraId="23CAA31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0.07</w:t>
            </w:r>
            <w:r>
              <w:rPr>
                <w:rFonts w:hint="eastAsia" w:ascii="Times New Roman" w:hAnsi="Times New Roman" w:cs="Times New Roman"/>
                <w:i w:val="0"/>
                <w:iCs w:val="0"/>
                <w:color w:val="auto"/>
                <w:kern w:val="0"/>
                <w:sz w:val="21"/>
                <w:szCs w:val="21"/>
                <w:u w:val="none"/>
                <w:lang w:val="en-US" w:eastAsia="zh-CN" w:bidi="ar"/>
              </w:rPr>
              <w:t>00</w:t>
            </w:r>
          </w:p>
        </w:tc>
        <w:tc>
          <w:tcPr>
            <w:tcW w:w="3769" w:type="dxa"/>
            <w:tcBorders>
              <w:tl2br w:val="nil"/>
              <w:tr2bl w:val="nil"/>
            </w:tcBorders>
            <w:noWrap w:val="0"/>
            <w:vAlign w:val="center"/>
          </w:tcPr>
          <w:p w14:paraId="0291BB4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0.4593</w:t>
            </w:r>
          </w:p>
        </w:tc>
      </w:tr>
      <w:tr w14:paraId="6BA1E8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F7A87A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w:t>
            </w:r>
          </w:p>
        </w:tc>
        <w:tc>
          <w:tcPr>
            <w:tcW w:w="3685" w:type="dxa"/>
            <w:tcBorders>
              <w:tl2br w:val="nil"/>
              <w:tr2bl w:val="nil"/>
            </w:tcBorders>
            <w:noWrap w:val="0"/>
            <w:vAlign w:val="center"/>
          </w:tcPr>
          <w:p w14:paraId="641F353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0.0724</w:t>
            </w:r>
          </w:p>
        </w:tc>
        <w:tc>
          <w:tcPr>
            <w:tcW w:w="3769" w:type="dxa"/>
            <w:tcBorders>
              <w:tl2br w:val="nil"/>
              <w:tr2bl w:val="nil"/>
            </w:tcBorders>
            <w:noWrap w:val="0"/>
            <w:vAlign w:val="center"/>
          </w:tcPr>
          <w:p w14:paraId="06A115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0.4721</w:t>
            </w:r>
          </w:p>
        </w:tc>
      </w:tr>
      <w:tr w14:paraId="68024D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809173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w:t>
            </w:r>
          </w:p>
        </w:tc>
        <w:tc>
          <w:tcPr>
            <w:tcW w:w="3685" w:type="dxa"/>
            <w:tcBorders>
              <w:tl2br w:val="nil"/>
              <w:tr2bl w:val="nil"/>
            </w:tcBorders>
            <w:noWrap w:val="0"/>
            <w:vAlign w:val="center"/>
          </w:tcPr>
          <w:p w14:paraId="67CF5C3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0.0748</w:t>
            </w:r>
          </w:p>
        </w:tc>
        <w:tc>
          <w:tcPr>
            <w:tcW w:w="3769" w:type="dxa"/>
            <w:tcBorders>
              <w:tl2br w:val="nil"/>
              <w:tr2bl w:val="nil"/>
            </w:tcBorders>
            <w:noWrap w:val="0"/>
            <w:vAlign w:val="center"/>
          </w:tcPr>
          <w:p w14:paraId="7FD6017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0.4853</w:t>
            </w:r>
          </w:p>
        </w:tc>
      </w:tr>
      <w:tr w14:paraId="40D58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193E3D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-47</w:t>
            </w:r>
          </w:p>
        </w:tc>
        <w:tc>
          <w:tcPr>
            <w:tcW w:w="3685" w:type="dxa"/>
            <w:tcBorders>
              <w:tl2br w:val="nil"/>
              <w:tr2bl w:val="nil"/>
            </w:tcBorders>
            <w:noWrap w:val="0"/>
            <w:vAlign w:val="center"/>
          </w:tcPr>
          <w:p w14:paraId="27D611E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0.0772</w:t>
            </w:r>
          </w:p>
        </w:tc>
        <w:tc>
          <w:tcPr>
            <w:tcW w:w="3769" w:type="dxa"/>
            <w:tcBorders>
              <w:tl2br w:val="nil"/>
              <w:tr2bl w:val="nil"/>
            </w:tcBorders>
            <w:noWrap w:val="0"/>
            <w:vAlign w:val="center"/>
          </w:tcPr>
          <w:p w14:paraId="3891CDE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0.499</w:t>
            </w:r>
          </w:p>
        </w:tc>
      </w:tr>
      <w:tr w14:paraId="63481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12C55D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3685" w:type="dxa"/>
            <w:tcBorders>
              <w:tl2br w:val="nil"/>
              <w:tr2bl w:val="nil"/>
            </w:tcBorders>
            <w:noWrap w:val="0"/>
            <w:vAlign w:val="center"/>
          </w:tcPr>
          <w:p w14:paraId="33705EE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0.0798</w:t>
            </w:r>
          </w:p>
        </w:tc>
        <w:tc>
          <w:tcPr>
            <w:tcW w:w="3769" w:type="dxa"/>
            <w:tcBorders>
              <w:tl2br w:val="nil"/>
              <w:tr2bl w:val="nil"/>
            </w:tcBorders>
            <w:noWrap w:val="0"/>
            <w:vAlign w:val="center"/>
          </w:tcPr>
          <w:p w14:paraId="3B41FE1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0.5132</w:t>
            </w:r>
          </w:p>
        </w:tc>
      </w:tr>
      <w:tr w14:paraId="208D4A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E9F00D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3685" w:type="dxa"/>
            <w:tcBorders>
              <w:tl2br w:val="nil"/>
              <w:tr2bl w:val="nil"/>
            </w:tcBorders>
            <w:noWrap w:val="0"/>
            <w:vAlign w:val="center"/>
          </w:tcPr>
          <w:p w14:paraId="52E08D2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0.0824</w:t>
            </w:r>
          </w:p>
        </w:tc>
        <w:tc>
          <w:tcPr>
            <w:tcW w:w="3769" w:type="dxa"/>
            <w:tcBorders>
              <w:tl2br w:val="nil"/>
              <w:tr2bl w:val="nil"/>
            </w:tcBorders>
            <w:noWrap w:val="0"/>
            <w:vAlign w:val="center"/>
          </w:tcPr>
          <w:p w14:paraId="0AEF59C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0.5278</w:t>
            </w:r>
          </w:p>
        </w:tc>
      </w:tr>
      <w:tr w14:paraId="141DBD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A13B8B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w:t>
            </w:r>
          </w:p>
        </w:tc>
        <w:tc>
          <w:tcPr>
            <w:tcW w:w="3685" w:type="dxa"/>
            <w:tcBorders>
              <w:tl2br w:val="nil"/>
              <w:tr2bl w:val="nil"/>
            </w:tcBorders>
            <w:noWrap w:val="0"/>
            <w:vAlign w:val="center"/>
          </w:tcPr>
          <w:p w14:paraId="20A0EC4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0.085</w:t>
            </w:r>
          </w:p>
        </w:tc>
        <w:tc>
          <w:tcPr>
            <w:tcW w:w="3769" w:type="dxa"/>
            <w:tcBorders>
              <w:tl2br w:val="nil"/>
              <w:tr2bl w:val="nil"/>
            </w:tcBorders>
            <w:noWrap w:val="0"/>
            <w:vAlign w:val="center"/>
          </w:tcPr>
          <w:p w14:paraId="1CEDFE1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0.543</w:t>
            </w:r>
          </w:p>
        </w:tc>
      </w:tr>
      <w:tr w14:paraId="39A40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190523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w:t>
            </w:r>
          </w:p>
        </w:tc>
        <w:tc>
          <w:tcPr>
            <w:tcW w:w="3685" w:type="dxa"/>
            <w:tcBorders>
              <w:tl2br w:val="nil"/>
              <w:tr2bl w:val="nil"/>
            </w:tcBorders>
            <w:noWrap w:val="0"/>
            <w:vAlign w:val="center"/>
          </w:tcPr>
          <w:p w14:paraId="3117859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0.0877</w:t>
            </w:r>
          </w:p>
        </w:tc>
        <w:tc>
          <w:tcPr>
            <w:tcW w:w="3769" w:type="dxa"/>
            <w:tcBorders>
              <w:tl2br w:val="nil"/>
              <w:tr2bl w:val="nil"/>
            </w:tcBorders>
            <w:noWrap w:val="0"/>
            <w:vAlign w:val="center"/>
          </w:tcPr>
          <w:p w14:paraId="260DEC8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0.5587</w:t>
            </w:r>
          </w:p>
        </w:tc>
      </w:tr>
      <w:tr w14:paraId="64CD7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0190A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685" w:type="dxa"/>
            <w:tcBorders>
              <w:tl2br w:val="nil"/>
              <w:tr2bl w:val="nil"/>
            </w:tcBorders>
            <w:noWrap w:val="0"/>
            <w:vAlign w:val="center"/>
          </w:tcPr>
          <w:p w14:paraId="2BDFDA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0.0905</w:t>
            </w:r>
          </w:p>
        </w:tc>
        <w:tc>
          <w:tcPr>
            <w:tcW w:w="3769" w:type="dxa"/>
            <w:tcBorders>
              <w:tl2br w:val="nil"/>
              <w:tr2bl w:val="nil"/>
            </w:tcBorders>
            <w:noWrap w:val="0"/>
            <w:vAlign w:val="center"/>
          </w:tcPr>
          <w:p w14:paraId="783F9AF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0.5749</w:t>
            </w:r>
          </w:p>
        </w:tc>
      </w:tr>
      <w:tr w14:paraId="49F58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1C79EC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685" w:type="dxa"/>
            <w:tcBorders>
              <w:tl2br w:val="nil"/>
              <w:tr2bl w:val="nil"/>
            </w:tcBorders>
            <w:noWrap w:val="0"/>
            <w:vAlign w:val="center"/>
          </w:tcPr>
          <w:p w14:paraId="4C33971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0.0933</w:t>
            </w:r>
          </w:p>
        </w:tc>
        <w:tc>
          <w:tcPr>
            <w:tcW w:w="3769" w:type="dxa"/>
            <w:tcBorders>
              <w:tl2br w:val="nil"/>
              <w:tr2bl w:val="nil"/>
            </w:tcBorders>
            <w:noWrap w:val="0"/>
            <w:vAlign w:val="center"/>
          </w:tcPr>
          <w:p w14:paraId="5628460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0.5916</w:t>
            </w:r>
          </w:p>
        </w:tc>
      </w:tr>
      <w:tr w14:paraId="559C5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550A9C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3685" w:type="dxa"/>
            <w:tcBorders>
              <w:tl2br w:val="nil"/>
              <w:tr2bl w:val="nil"/>
            </w:tcBorders>
            <w:noWrap w:val="0"/>
            <w:vAlign w:val="center"/>
          </w:tcPr>
          <w:p w14:paraId="6B63D61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0.0962</w:t>
            </w:r>
          </w:p>
        </w:tc>
        <w:tc>
          <w:tcPr>
            <w:tcW w:w="3769" w:type="dxa"/>
            <w:tcBorders>
              <w:tl2br w:val="nil"/>
              <w:tr2bl w:val="nil"/>
            </w:tcBorders>
            <w:noWrap w:val="0"/>
            <w:vAlign w:val="center"/>
          </w:tcPr>
          <w:p w14:paraId="0C80EA8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0.6088</w:t>
            </w:r>
          </w:p>
        </w:tc>
      </w:tr>
      <w:tr w14:paraId="4820D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BFEF2F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3685" w:type="dxa"/>
            <w:tcBorders>
              <w:tl2br w:val="nil"/>
              <w:tr2bl w:val="nil"/>
            </w:tcBorders>
            <w:noWrap w:val="0"/>
            <w:vAlign w:val="center"/>
          </w:tcPr>
          <w:p w14:paraId="33AC73E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0.0991</w:t>
            </w:r>
          </w:p>
        </w:tc>
        <w:tc>
          <w:tcPr>
            <w:tcW w:w="3769" w:type="dxa"/>
            <w:tcBorders>
              <w:tl2br w:val="nil"/>
              <w:tr2bl w:val="nil"/>
            </w:tcBorders>
            <w:noWrap w:val="0"/>
            <w:vAlign w:val="center"/>
          </w:tcPr>
          <w:p w14:paraId="61C5787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0.6267</w:t>
            </w:r>
          </w:p>
        </w:tc>
      </w:tr>
      <w:tr w14:paraId="031EF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D0E90E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3685" w:type="dxa"/>
            <w:tcBorders>
              <w:tl2br w:val="nil"/>
              <w:tr2bl w:val="nil"/>
            </w:tcBorders>
            <w:noWrap w:val="0"/>
            <w:vAlign w:val="center"/>
          </w:tcPr>
          <w:p w14:paraId="64FC587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0.102</w:t>
            </w:r>
            <w:r>
              <w:rPr>
                <w:rFonts w:hint="eastAsia" w:ascii="Times New Roman" w:hAnsi="Times New Roman" w:cs="Times New Roman"/>
                <w:i w:val="0"/>
                <w:iCs w:val="0"/>
                <w:color w:val="auto"/>
                <w:kern w:val="0"/>
                <w:sz w:val="21"/>
                <w:szCs w:val="21"/>
                <w:u w:val="none"/>
                <w:lang w:val="en-US" w:eastAsia="zh-CN" w:bidi="ar"/>
              </w:rPr>
              <w:t>0</w:t>
            </w:r>
          </w:p>
        </w:tc>
        <w:tc>
          <w:tcPr>
            <w:tcW w:w="3769" w:type="dxa"/>
            <w:tcBorders>
              <w:tl2br w:val="nil"/>
              <w:tr2bl w:val="nil"/>
            </w:tcBorders>
            <w:noWrap w:val="0"/>
            <w:vAlign w:val="center"/>
          </w:tcPr>
          <w:p w14:paraId="59B247F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0.645</w:t>
            </w:r>
            <w:r>
              <w:rPr>
                <w:rFonts w:hint="eastAsia" w:ascii="Times New Roman" w:hAnsi="Times New Roman" w:cs="Times New Roman"/>
                <w:i w:val="0"/>
                <w:iCs w:val="0"/>
                <w:color w:val="auto"/>
                <w:kern w:val="0"/>
                <w:sz w:val="21"/>
                <w:szCs w:val="21"/>
                <w:u w:val="none"/>
                <w:lang w:val="en-US" w:eastAsia="zh-CN" w:bidi="ar"/>
              </w:rPr>
              <w:t>0</w:t>
            </w:r>
          </w:p>
        </w:tc>
      </w:tr>
      <w:tr w14:paraId="3372B4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09D706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w:t>
            </w:r>
          </w:p>
        </w:tc>
        <w:tc>
          <w:tcPr>
            <w:tcW w:w="3685" w:type="dxa"/>
            <w:tcBorders>
              <w:tl2br w:val="nil"/>
              <w:tr2bl w:val="nil"/>
            </w:tcBorders>
            <w:noWrap w:val="0"/>
            <w:vAlign w:val="center"/>
          </w:tcPr>
          <w:p w14:paraId="3A63274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0.1049</w:t>
            </w:r>
          </w:p>
        </w:tc>
        <w:tc>
          <w:tcPr>
            <w:tcW w:w="3769" w:type="dxa"/>
            <w:tcBorders>
              <w:tl2br w:val="nil"/>
              <w:tr2bl w:val="nil"/>
            </w:tcBorders>
            <w:noWrap w:val="0"/>
            <w:vAlign w:val="center"/>
          </w:tcPr>
          <w:p w14:paraId="119592D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0.664</w:t>
            </w:r>
          </w:p>
        </w:tc>
      </w:tr>
      <w:tr w14:paraId="2A645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D724B7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3685" w:type="dxa"/>
            <w:tcBorders>
              <w:tl2br w:val="nil"/>
              <w:tr2bl w:val="nil"/>
            </w:tcBorders>
            <w:noWrap w:val="0"/>
            <w:vAlign w:val="center"/>
          </w:tcPr>
          <w:p w14:paraId="2D80CEC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0.1079</w:t>
            </w:r>
          </w:p>
        </w:tc>
        <w:tc>
          <w:tcPr>
            <w:tcW w:w="3769" w:type="dxa"/>
            <w:tcBorders>
              <w:tl2br w:val="nil"/>
              <w:tr2bl w:val="nil"/>
            </w:tcBorders>
            <w:noWrap w:val="0"/>
            <w:vAlign w:val="center"/>
          </w:tcPr>
          <w:p w14:paraId="5DB66A6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0.6835</w:t>
            </w:r>
          </w:p>
        </w:tc>
      </w:tr>
      <w:tr w14:paraId="50032F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C4E7F2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685" w:type="dxa"/>
            <w:tcBorders>
              <w:tl2br w:val="nil"/>
              <w:tr2bl w:val="nil"/>
            </w:tcBorders>
            <w:noWrap w:val="0"/>
            <w:vAlign w:val="center"/>
          </w:tcPr>
          <w:p w14:paraId="609D7CF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0.1108</w:t>
            </w:r>
          </w:p>
        </w:tc>
        <w:tc>
          <w:tcPr>
            <w:tcW w:w="3769" w:type="dxa"/>
            <w:tcBorders>
              <w:tl2br w:val="nil"/>
              <w:tr2bl w:val="nil"/>
            </w:tcBorders>
            <w:noWrap w:val="0"/>
            <w:vAlign w:val="center"/>
          </w:tcPr>
          <w:p w14:paraId="42F9AF3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0.7036</w:t>
            </w:r>
          </w:p>
        </w:tc>
      </w:tr>
      <w:tr w14:paraId="7866BB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FDA393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3685" w:type="dxa"/>
            <w:tcBorders>
              <w:tl2br w:val="nil"/>
              <w:tr2bl w:val="nil"/>
            </w:tcBorders>
            <w:noWrap w:val="0"/>
            <w:vAlign w:val="center"/>
          </w:tcPr>
          <w:p w14:paraId="74A8831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0.1137</w:t>
            </w:r>
          </w:p>
        </w:tc>
        <w:tc>
          <w:tcPr>
            <w:tcW w:w="3769" w:type="dxa"/>
            <w:tcBorders>
              <w:tl2br w:val="nil"/>
              <w:tr2bl w:val="nil"/>
            </w:tcBorders>
            <w:noWrap w:val="0"/>
            <w:vAlign w:val="center"/>
          </w:tcPr>
          <w:p w14:paraId="6DF69E1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0.7242</w:t>
            </w:r>
          </w:p>
        </w:tc>
      </w:tr>
      <w:tr w14:paraId="71B41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4A670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3685" w:type="dxa"/>
            <w:tcBorders>
              <w:tl2br w:val="nil"/>
              <w:tr2bl w:val="nil"/>
            </w:tcBorders>
            <w:noWrap w:val="0"/>
            <w:vAlign w:val="center"/>
          </w:tcPr>
          <w:p w14:paraId="02F43E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0.1165</w:t>
            </w:r>
          </w:p>
        </w:tc>
        <w:tc>
          <w:tcPr>
            <w:tcW w:w="3769" w:type="dxa"/>
            <w:tcBorders>
              <w:tl2br w:val="nil"/>
              <w:tr2bl w:val="nil"/>
            </w:tcBorders>
            <w:noWrap w:val="0"/>
            <w:vAlign w:val="center"/>
          </w:tcPr>
          <w:p w14:paraId="027BDE0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0.7454</w:t>
            </w:r>
          </w:p>
        </w:tc>
      </w:tr>
      <w:tr w14:paraId="1DEA8B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597D19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3685" w:type="dxa"/>
            <w:tcBorders>
              <w:tl2br w:val="nil"/>
              <w:tr2bl w:val="nil"/>
            </w:tcBorders>
            <w:noWrap w:val="0"/>
            <w:vAlign w:val="center"/>
          </w:tcPr>
          <w:p w14:paraId="640F89E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0.1193</w:t>
            </w:r>
          </w:p>
        </w:tc>
        <w:tc>
          <w:tcPr>
            <w:tcW w:w="3769" w:type="dxa"/>
            <w:tcBorders>
              <w:tl2br w:val="nil"/>
              <w:tr2bl w:val="nil"/>
            </w:tcBorders>
            <w:noWrap w:val="0"/>
            <w:vAlign w:val="center"/>
          </w:tcPr>
          <w:p w14:paraId="4C623BC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0.7671</w:t>
            </w:r>
          </w:p>
        </w:tc>
      </w:tr>
      <w:tr w14:paraId="23A099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BD956D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3685" w:type="dxa"/>
            <w:tcBorders>
              <w:tl2br w:val="nil"/>
              <w:tr2bl w:val="nil"/>
            </w:tcBorders>
            <w:noWrap w:val="0"/>
            <w:vAlign w:val="center"/>
          </w:tcPr>
          <w:p w14:paraId="59556DE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0.122</w:t>
            </w:r>
          </w:p>
        </w:tc>
        <w:tc>
          <w:tcPr>
            <w:tcW w:w="3769" w:type="dxa"/>
            <w:tcBorders>
              <w:tl2br w:val="nil"/>
              <w:tr2bl w:val="nil"/>
            </w:tcBorders>
            <w:noWrap w:val="0"/>
            <w:vAlign w:val="center"/>
          </w:tcPr>
          <w:p w14:paraId="2778356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0.7894</w:t>
            </w:r>
          </w:p>
        </w:tc>
      </w:tr>
      <w:tr w14:paraId="430EF3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385198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3685" w:type="dxa"/>
            <w:tcBorders>
              <w:tl2br w:val="nil"/>
              <w:tr2bl w:val="nil"/>
            </w:tcBorders>
            <w:noWrap w:val="0"/>
            <w:vAlign w:val="center"/>
          </w:tcPr>
          <w:p w14:paraId="0EE6E3C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0.1245</w:t>
            </w:r>
          </w:p>
        </w:tc>
        <w:tc>
          <w:tcPr>
            <w:tcW w:w="3769" w:type="dxa"/>
            <w:tcBorders>
              <w:tl2br w:val="nil"/>
              <w:tr2bl w:val="nil"/>
            </w:tcBorders>
            <w:noWrap w:val="0"/>
            <w:vAlign w:val="center"/>
          </w:tcPr>
          <w:p w14:paraId="088A53A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0.8122</w:t>
            </w:r>
          </w:p>
        </w:tc>
      </w:tr>
      <w:tr w14:paraId="4FB391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485FBE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3685" w:type="dxa"/>
            <w:tcBorders>
              <w:tl2br w:val="nil"/>
              <w:tr2bl w:val="nil"/>
            </w:tcBorders>
            <w:noWrap w:val="0"/>
            <w:vAlign w:val="center"/>
          </w:tcPr>
          <w:p w14:paraId="600D443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0.1269</w:t>
            </w:r>
          </w:p>
        </w:tc>
        <w:tc>
          <w:tcPr>
            <w:tcW w:w="3769" w:type="dxa"/>
            <w:tcBorders>
              <w:tl2br w:val="nil"/>
              <w:tr2bl w:val="nil"/>
            </w:tcBorders>
            <w:noWrap w:val="0"/>
            <w:vAlign w:val="center"/>
          </w:tcPr>
          <w:p w14:paraId="1BE5DC7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0.8355</w:t>
            </w:r>
          </w:p>
        </w:tc>
      </w:tr>
      <w:tr w14:paraId="10BFC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707254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685" w:type="dxa"/>
            <w:tcBorders>
              <w:tl2br w:val="nil"/>
              <w:tr2bl w:val="nil"/>
            </w:tcBorders>
            <w:noWrap w:val="0"/>
            <w:vAlign w:val="center"/>
          </w:tcPr>
          <w:p w14:paraId="70080D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0.1291</w:t>
            </w:r>
          </w:p>
        </w:tc>
        <w:tc>
          <w:tcPr>
            <w:tcW w:w="3769" w:type="dxa"/>
            <w:tcBorders>
              <w:tl2br w:val="nil"/>
              <w:tr2bl w:val="nil"/>
            </w:tcBorders>
            <w:noWrap w:val="0"/>
            <w:vAlign w:val="center"/>
          </w:tcPr>
          <w:p w14:paraId="3C06B06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0.8592</w:t>
            </w:r>
          </w:p>
        </w:tc>
      </w:tr>
      <w:tr w14:paraId="6F8216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2A0C84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w:t>
            </w:r>
          </w:p>
        </w:tc>
        <w:tc>
          <w:tcPr>
            <w:tcW w:w="3685" w:type="dxa"/>
            <w:tcBorders>
              <w:tl2br w:val="nil"/>
              <w:tr2bl w:val="nil"/>
            </w:tcBorders>
            <w:noWrap w:val="0"/>
            <w:vAlign w:val="center"/>
          </w:tcPr>
          <w:p w14:paraId="7889916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0.1311</w:t>
            </w:r>
          </w:p>
        </w:tc>
        <w:tc>
          <w:tcPr>
            <w:tcW w:w="3769" w:type="dxa"/>
            <w:tcBorders>
              <w:tl2br w:val="nil"/>
              <w:tr2bl w:val="nil"/>
            </w:tcBorders>
            <w:noWrap w:val="0"/>
            <w:vAlign w:val="center"/>
          </w:tcPr>
          <w:p w14:paraId="369BB6C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0.8834</w:t>
            </w:r>
          </w:p>
        </w:tc>
      </w:tr>
      <w:tr w14:paraId="2E95E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6BF2D6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685" w:type="dxa"/>
            <w:tcBorders>
              <w:tl2br w:val="nil"/>
              <w:tr2bl w:val="nil"/>
            </w:tcBorders>
            <w:noWrap w:val="0"/>
            <w:vAlign w:val="center"/>
          </w:tcPr>
          <w:p w14:paraId="333C0A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0.1329</w:t>
            </w:r>
          </w:p>
        </w:tc>
        <w:tc>
          <w:tcPr>
            <w:tcW w:w="3769" w:type="dxa"/>
            <w:tcBorders>
              <w:tl2br w:val="nil"/>
              <w:tr2bl w:val="nil"/>
            </w:tcBorders>
            <w:noWrap w:val="0"/>
            <w:vAlign w:val="center"/>
          </w:tcPr>
          <w:p w14:paraId="4E997A5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0.908</w:t>
            </w:r>
          </w:p>
        </w:tc>
      </w:tr>
      <w:tr w14:paraId="35F4F1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30B7AB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3685" w:type="dxa"/>
            <w:tcBorders>
              <w:tl2br w:val="nil"/>
              <w:tr2bl w:val="nil"/>
            </w:tcBorders>
            <w:noWrap w:val="0"/>
            <w:vAlign w:val="center"/>
          </w:tcPr>
          <w:p w14:paraId="7F3EC37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0.1344</w:t>
            </w:r>
          </w:p>
        </w:tc>
        <w:tc>
          <w:tcPr>
            <w:tcW w:w="3769" w:type="dxa"/>
            <w:tcBorders>
              <w:tl2br w:val="nil"/>
              <w:tr2bl w:val="nil"/>
            </w:tcBorders>
            <w:noWrap w:val="0"/>
            <w:vAlign w:val="center"/>
          </w:tcPr>
          <w:p w14:paraId="6AE9DC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0.9328</w:t>
            </w:r>
          </w:p>
        </w:tc>
      </w:tr>
      <w:tr w14:paraId="7BE2AE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7508D8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3685" w:type="dxa"/>
            <w:tcBorders>
              <w:tl2br w:val="nil"/>
              <w:tr2bl w:val="nil"/>
            </w:tcBorders>
            <w:noWrap w:val="0"/>
            <w:vAlign w:val="center"/>
          </w:tcPr>
          <w:p w14:paraId="2C10704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0.1356</w:t>
            </w:r>
          </w:p>
        </w:tc>
        <w:tc>
          <w:tcPr>
            <w:tcW w:w="3769" w:type="dxa"/>
            <w:tcBorders>
              <w:tl2br w:val="nil"/>
              <w:tr2bl w:val="nil"/>
            </w:tcBorders>
            <w:noWrap w:val="0"/>
            <w:vAlign w:val="center"/>
          </w:tcPr>
          <w:p w14:paraId="0E62271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0.958</w:t>
            </w:r>
          </w:p>
        </w:tc>
      </w:tr>
      <w:tr w14:paraId="2728C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11FD6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685" w:type="dxa"/>
            <w:tcBorders>
              <w:tl2br w:val="nil"/>
              <w:tr2bl w:val="nil"/>
            </w:tcBorders>
            <w:noWrap w:val="0"/>
            <w:vAlign w:val="center"/>
          </w:tcPr>
          <w:p w14:paraId="5772B4D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0.1364</w:t>
            </w:r>
          </w:p>
        </w:tc>
        <w:tc>
          <w:tcPr>
            <w:tcW w:w="3769" w:type="dxa"/>
            <w:tcBorders>
              <w:tl2br w:val="nil"/>
              <w:tr2bl w:val="nil"/>
            </w:tcBorders>
            <w:noWrap w:val="0"/>
            <w:vAlign w:val="center"/>
          </w:tcPr>
          <w:p w14:paraId="2D0EBF4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0.9834</w:t>
            </w:r>
          </w:p>
        </w:tc>
      </w:tr>
      <w:tr w14:paraId="012BA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B40942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3685" w:type="dxa"/>
            <w:tcBorders>
              <w:tl2br w:val="nil"/>
              <w:tr2bl w:val="nil"/>
            </w:tcBorders>
            <w:shd w:val="clear" w:color="auto" w:fill="7E7E7E" w:themeFill="background1" w:themeFillShade="7F"/>
            <w:noWrap w:val="0"/>
            <w:vAlign w:val="center"/>
          </w:tcPr>
          <w:p w14:paraId="5595459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0.1368</w:t>
            </w:r>
          </w:p>
        </w:tc>
        <w:tc>
          <w:tcPr>
            <w:tcW w:w="3769" w:type="dxa"/>
            <w:tcBorders>
              <w:tl2br w:val="nil"/>
              <w:tr2bl w:val="nil"/>
            </w:tcBorders>
            <w:noWrap w:val="0"/>
            <w:vAlign w:val="center"/>
          </w:tcPr>
          <w:p w14:paraId="5FCEB90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1.0089</w:t>
            </w:r>
          </w:p>
        </w:tc>
      </w:tr>
      <w:tr w14:paraId="3AC7F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910F65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3685" w:type="dxa"/>
            <w:tcBorders>
              <w:tl2br w:val="nil"/>
              <w:tr2bl w:val="nil"/>
            </w:tcBorders>
            <w:shd w:val="clear" w:color="auto" w:fill="7E7E7E" w:themeFill="background1" w:themeFillShade="7F"/>
            <w:noWrap w:val="0"/>
            <w:vAlign w:val="center"/>
          </w:tcPr>
          <w:p w14:paraId="21C3839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0.1368</w:t>
            </w:r>
          </w:p>
        </w:tc>
        <w:tc>
          <w:tcPr>
            <w:tcW w:w="3769" w:type="dxa"/>
            <w:tcBorders>
              <w:tl2br w:val="nil"/>
              <w:tr2bl w:val="nil"/>
            </w:tcBorders>
            <w:noWrap w:val="0"/>
            <w:vAlign w:val="center"/>
          </w:tcPr>
          <w:p w14:paraId="4C7D033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1.0344</w:t>
            </w:r>
          </w:p>
        </w:tc>
      </w:tr>
      <w:tr w14:paraId="028DEB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C0834D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3685" w:type="dxa"/>
            <w:tcBorders>
              <w:tl2br w:val="nil"/>
              <w:tr2bl w:val="nil"/>
            </w:tcBorders>
            <w:noWrap w:val="0"/>
            <w:vAlign w:val="center"/>
          </w:tcPr>
          <w:p w14:paraId="7B0695B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0.1362</w:t>
            </w:r>
          </w:p>
        </w:tc>
        <w:tc>
          <w:tcPr>
            <w:tcW w:w="3769" w:type="dxa"/>
            <w:tcBorders>
              <w:tl2br w:val="nil"/>
              <w:tr2bl w:val="nil"/>
            </w:tcBorders>
            <w:noWrap w:val="0"/>
            <w:vAlign w:val="center"/>
          </w:tcPr>
          <w:p w14:paraId="2CA2FEF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1.06</w:t>
            </w:r>
          </w:p>
        </w:tc>
      </w:tr>
      <w:tr w14:paraId="53293C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A4A886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3685" w:type="dxa"/>
            <w:tcBorders>
              <w:tl2br w:val="nil"/>
              <w:tr2bl w:val="nil"/>
            </w:tcBorders>
            <w:noWrap w:val="0"/>
            <w:vAlign w:val="center"/>
          </w:tcPr>
          <w:p w14:paraId="5BBD13E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0.1352</w:t>
            </w:r>
          </w:p>
        </w:tc>
        <w:tc>
          <w:tcPr>
            <w:tcW w:w="3769" w:type="dxa"/>
            <w:tcBorders>
              <w:tl2br w:val="nil"/>
              <w:tr2bl w:val="nil"/>
            </w:tcBorders>
            <w:noWrap w:val="0"/>
            <w:vAlign w:val="center"/>
          </w:tcPr>
          <w:p w14:paraId="0237A65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1.0854</w:t>
            </w:r>
          </w:p>
        </w:tc>
      </w:tr>
      <w:tr w14:paraId="11C10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AA13C2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3685" w:type="dxa"/>
            <w:tcBorders>
              <w:tl2br w:val="nil"/>
              <w:tr2bl w:val="nil"/>
            </w:tcBorders>
            <w:noWrap w:val="0"/>
            <w:vAlign w:val="center"/>
          </w:tcPr>
          <w:p w14:paraId="2B7D761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0.1336</w:t>
            </w:r>
          </w:p>
        </w:tc>
        <w:tc>
          <w:tcPr>
            <w:tcW w:w="3769" w:type="dxa"/>
            <w:tcBorders>
              <w:tl2br w:val="nil"/>
              <w:tr2bl w:val="nil"/>
            </w:tcBorders>
            <w:noWrap w:val="0"/>
            <w:vAlign w:val="center"/>
          </w:tcPr>
          <w:p w14:paraId="04F6AC3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1.1105</w:t>
            </w:r>
          </w:p>
        </w:tc>
      </w:tr>
      <w:tr w14:paraId="0561E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005CB5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3685" w:type="dxa"/>
            <w:tcBorders>
              <w:tl2br w:val="nil"/>
              <w:tr2bl w:val="nil"/>
            </w:tcBorders>
            <w:noWrap w:val="0"/>
            <w:vAlign w:val="center"/>
          </w:tcPr>
          <w:p w14:paraId="655C64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0.1314</w:t>
            </w:r>
          </w:p>
        </w:tc>
        <w:tc>
          <w:tcPr>
            <w:tcW w:w="3769" w:type="dxa"/>
            <w:tcBorders>
              <w:tl2br w:val="nil"/>
              <w:tr2bl w:val="nil"/>
            </w:tcBorders>
            <w:noWrap w:val="0"/>
            <w:vAlign w:val="center"/>
          </w:tcPr>
          <w:p w14:paraId="56F89E0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1.1354</w:t>
            </w:r>
          </w:p>
        </w:tc>
      </w:tr>
      <w:tr w14:paraId="23040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70FFDB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3685" w:type="dxa"/>
            <w:tcBorders>
              <w:tl2br w:val="nil"/>
              <w:tr2bl w:val="nil"/>
            </w:tcBorders>
            <w:noWrap w:val="0"/>
            <w:vAlign w:val="center"/>
          </w:tcPr>
          <w:p w14:paraId="3F0B987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0.1286</w:t>
            </w:r>
          </w:p>
        </w:tc>
        <w:tc>
          <w:tcPr>
            <w:tcW w:w="3769" w:type="dxa"/>
            <w:tcBorders>
              <w:tl2br w:val="nil"/>
              <w:tr2bl w:val="nil"/>
            </w:tcBorders>
            <w:noWrap w:val="0"/>
            <w:vAlign w:val="center"/>
          </w:tcPr>
          <w:p w14:paraId="6305069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1.1597</w:t>
            </w:r>
          </w:p>
        </w:tc>
      </w:tr>
      <w:tr w14:paraId="334F9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5149B2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3685" w:type="dxa"/>
            <w:tcBorders>
              <w:tl2br w:val="nil"/>
              <w:tr2bl w:val="nil"/>
            </w:tcBorders>
            <w:noWrap w:val="0"/>
            <w:vAlign w:val="center"/>
          </w:tcPr>
          <w:p w14:paraId="5902E5F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0.1252</w:t>
            </w:r>
          </w:p>
        </w:tc>
        <w:tc>
          <w:tcPr>
            <w:tcW w:w="3769" w:type="dxa"/>
            <w:tcBorders>
              <w:tl2br w:val="nil"/>
              <w:tr2bl w:val="nil"/>
            </w:tcBorders>
            <w:noWrap w:val="0"/>
            <w:vAlign w:val="center"/>
          </w:tcPr>
          <w:p w14:paraId="6F14EB2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1.1835</w:t>
            </w:r>
          </w:p>
        </w:tc>
      </w:tr>
      <w:tr w14:paraId="7F282E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6E6EDD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685" w:type="dxa"/>
            <w:tcBorders>
              <w:tl2br w:val="nil"/>
              <w:tr2bl w:val="nil"/>
            </w:tcBorders>
            <w:noWrap w:val="0"/>
            <w:vAlign w:val="center"/>
          </w:tcPr>
          <w:p w14:paraId="584B236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0.1211</w:t>
            </w:r>
          </w:p>
        </w:tc>
        <w:tc>
          <w:tcPr>
            <w:tcW w:w="3769" w:type="dxa"/>
            <w:tcBorders>
              <w:tl2br w:val="nil"/>
              <w:tr2bl w:val="nil"/>
            </w:tcBorders>
            <w:noWrap w:val="0"/>
            <w:vAlign w:val="center"/>
          </w:tcPr>
          <w:p w14:paraId="25A30CD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1.2065</w:t>
            </w:r>
          </w:p>
        </w:tc>
      </w:tr>
      <w:tr w14:paraId="6088F6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AD5859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685" w:type="dxa"/>
            <w:tcBorders>
              <w:tl2br w:val="nil"/>
              <w:tr2bl w:val="nil"/>
            </w:tcBorders>
            <w:noWrap w:val="0"/>
            <w:vAlign w:val="center"/>
          </w:tcPr>
          <w:p w14:paraId="25943C5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0.1163</w:t>
            </w:r>
          </w:p>
        </w:tc>
        <w:tc>
          <w:tcPr>
            <w:tcW w:w="3769" w:type="dxa"/>
            <w:tcBorders>
              <w:tl2br w:val="nil"/>
              <w:tr2bl w:val="nil"/>
            </w:tcBorders>
            <w:noWrap w:val="0"/>
            <w:vAlign w:val="center"/>
          </w:tcPr>
          <w:p w14:paraId="313AA48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1.2288</w:t>
            </w:r>
          </w:p>
        </w:tc>
      </w:tr>
      <w:tr w14:paraId="49216D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144180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685" w:type="dxa"/>
            <w:tcBorders>
              <w:tl2br w:val="nil"/>
              <w:tr2bl w:val="nil"/>
            </w:tcBorders>
            <w:noWrap w:val="0"/>
            <w:vAlign w:val="center"/>
          </w:tcPr>
          <w:p w14:paraId="1C26CCF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0.1109</w:t>
            </w:r>
          </w:p>
        </w:tc>
        <w:tc>
          <w:tcPr>
            <w:tcW w:w="3769" w:type="dxa"/>
            <w:tcBorders>
              <w:tl2br w:val="nil"/>
              <w:tr2bl w:val="nil"/>
            </w:tcBorders>
            <w:noWrap w:val="0"/>
            <w:vAlign w:val="center"/>
          </w:tcPr>
          <w:p w14:paraId="70150B8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1.25</w:t>
            </w:r>
          </w:p>
        </w:tc>
      </w:tr>
      <w:tr w14:paraId="77B66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4BBA1E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3685" w:type="dxa"/>
            <w:tcBorders>
              <w:tl2br w:val="nil"/>
              <w:tr2bl w:val="nil"/>
            </w:tcBorders>
            <w:noWrap w:val="0"/>
            <w:vAlign w:val="center"/>
          </w:tcPr>
          <w:p w14:paraId="72F8398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0.1047</w:t>
            </w:r>
          </w:p>
        </w:tc>
        <w:tc>
          <w:tcPr>
            <w:tcW w:w="3769" w:type="dxa"/>
            <w:tcBorders>
              <w:tl2br w:val="nil"/>
              <w:tr2bl w:val="nil"/>
            </w:tcBorders>
            <w:noWrap w:val="0"/>
            <w:vAlign w:val="center"/>
          </w:tcPr>
          <w:p w14:paraId="027E361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1.2701</w:t>
            </w:r>
          </w:p>
        </w:tc>
      </w:tr>
      <w:tr w14:paraId="505A62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012ECE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3685" w:type="dxa"/>
            <w:tcBorders>
              <w:tl2br w:val="nil"/>
              <w:tr2bl w:val="nil"/>
            </w:tcBorders>
            <w:noWrap w:val="0"/>
            <w:vAlign w:val="center"/>
          </w:tcPr>
          <w:p w14:paraId="06C4BEE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0.098</w:t>
            </w:r>
          </w:p>
        </w:tc>
        <w:tc>
          <w:tcPr>
            <w:tcW w:w="3769" w:type="dxa"/>
            <w:tcBorders>
              <w:tl2br w:val="nil"/>
              <w:tr2bl w:val="nil"/>
            </w:tcBorders>
            <w:noWrap w:val="0"/>
            <w:vAlign w:val="center"/>
          </w:tcPr>
          <w:p w14:paraId="4A2C332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1.2891</w:t>
            </w:r>
          </w:p>
        </w:tc>
      </w:tr>
      <w:tr w14:paraId="7D302E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3D5478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3685" w:type="dxa"/>
            <w:tcBorders>
              <w:tl2br w:val="nil"/>
              <w:tr2bl w:val="nil"/>
            </w:tcBorders>
            <w:noWrap w:val="0"/>
            <w:vAlign w:val="center"/>
          </w:tcPr>
          <w:p w14:paraId="4C5C5A4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0.0906</w:t>
            </w:r>
          </w:p>
        </w:tc>
        <w:tc>
          <w:tcPr>
            <w:tcW w:w="3769" w:type="dxa"/>
            <w:tcBorders>
              <w:tl2br w:val="nil"/>
              <w:tr2bl w:val="nil"/>
            </w:tcBorders>
            <w:noWrap w:val="0"/>
            <w:vAlign w:val="center"/>
          </w:tcPr>
          <w:p w14:paraId="04B91D8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1.3066</w:t>
            </w:r>
          </w:p>
        </w:tc>
      </w:tr>
      <w:tr w14:paraId="3F0E0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156704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3685" w:type="dxa"/>
            <w:tcBorders>
              <w:tl2br w:val="nil"/>
              <w:tr2bl w:val="nil"/>
            </w:tcBorders>
            <w:noWrap w:val="0"/>
            <w:vAlign w:val="center"/>
          </w:tcPr>
          <w:p w14:paraId="6390920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0.0826</w:t>
            </w:r>
          </w:p>
        </w:tc>
        <w:tc>
          <w:tcPr>
            <w:tcW w:w="3769" w:type="dxa"/>
            <w:tcBorders>
              <w:tl2br w:val="nil"/>
              <w:tr2bl w:val="nil"/>
            </w:tcBorders>
            <w:noWrap w:val="0"/>
            <w:vAlign w:val="center"/>
          </w:tcPr>
          <w:p w14:paraId="6638D5B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1.3227</w:t>
            </w:r>
          </w:p>
        </w:tc>
      </w:tr>
      <w:tr w14:paraId="33DDCD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A497FA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3685" w:type="dxa"/>
            <w:tcBorders>
              <w:tl2br w:val="nil"/>
              <w:tr2bl w:val="nil"/>
            </w:tcBorders>
            <w:noWrap w:val="0"/>
            <w:vAlign w:val="center"/>
          </w:tcPr>
          <w:p w14:paraId="4B5D848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0.074</w:t>
            </w:r>
          </w:p>
        </w:tc>
        <w:tc>
          <w:tcPr>
            <w:tcW w:w="3769" w:type="dxa"/>
            <w:tcBorders>
              <w:tl2br w:val="nil"/>
              <w:tr2bl w:val="nil"/>
            </w:tcBorders>
            <w:noWrap w:val="0"/>
            <w:vAlign w:val="center"/>
          </w:tcPr>
          <w:p w14:paraId="6634FEB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1.3371</w:t>
            </w:r>
          </w:p>
        </w:tc>
      </w:tr>
      <w:tr w14:paraId="1AD35D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AF4482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3685" w:type="dxa"/>
            <w:tcBorders>
              <w:tl2br w:val="nil"/>
              <w:tr2bl w:val="nil"/>
            </w:tcBorders>
            <w:noWrap w:val="0"/>
            <w:vAlign w:val="center"/>
          </w:tcPr>
          <w:p w14:paraId="66F3DAE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0.0651</w:t>
            </w:r>
          </w:p>
        </w:tc>
        <w:tc>
          <w:tcPr>
            <w:tcW w:w="3769" w:type="dxa"/>
            <w:tcBorders>
              <w:tl2br w:val="nil"/>
              <w:tr2bl w:val="nil"/>
            </w:tcBorders>
            <w:noWrap w:val="0"/>
            <w:vAlign w:val="center"/>
          </w:tcPr>
          <w:p w14:paraId="43255DA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1.3499</w:t>
            </w:r>
          </w:p>
        </w:tc>
      </w:tr>
      <w:tr w14:paraId="6914C5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CD8A8E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3685" w:type="dxa"/>
            <w:tcBorders>
              <w:tl2br w:val="nil"/>
              <w:tr2bl w:val="nil"/>
            </w:tcBorders>
            <w:noWrap w:val="0"/>
            <w:vAlign w:val="center"/>
          </w:tcPr>
          <w:p w14:paraId="56AB9BD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0.0557</w:t>
            </w:r>
          </w:p>
        </w:tc>
        <w:tc>
          <w:tcPr>
            <w:tcW w:w="3769" w:type="dxa"/>
            <w:tcBorders>
              <w:tl2br w:val="nil"/>
              <w:tr2bl w:val="nil"/>
            </w:tcBorders>
            <w:noWrap w:val="0"/>
            <w:vAlign w:val="center"/>
          </w:tcPr>
          <w:p w14:paraId="160A049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1.3609</w:t>
            </w:r>
          </w:p>
        </w:tc>
      </w:tr>
      <w:tr w14:paraId="4B826F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A3FE0D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3685" w:type="dxa"/>
            <w:tcBorders>
              <w:tl2br w:val="nil"/>
              <w:tr2bl w:val="nil"/>
            </w:tcBorders>
            <w:noWrap w:val="0"/>
            <w:vAlign w:val="center"/>
          </w:tcPr>
          <w:p w14:paraId="021CFF5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0.0461</w:t>
            </w:r>
          </w:p>
        </w:tc>
        <w:tc>
          <w:tcPr>
            <w:tcW w:w="3769" w:type="dxa"/>
            <w:tcBorders>
              <w:tl2br w:val="nil"/>
              <w:tr2bl w:val="nil"/>
            </w:tcBorders>
            <w:noWrap w:val="0"/>
            <w:vAlign w:val="center"/>
          </w:tcPr>
          <w:p w14:paraId="18AC73A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1.37</w:t>
            </w:r>
          </w:p>
        </w:tc>
      </w:tr>
      <w:tr w14:paraId="35171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C79E57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3685" w:type="dxa"/>
            <w:tcBorders>
              <w:tl2br w:val="nil"/>
              <w:tr2bl w:val="nil"/>
            </w:tcBorders>
            <w:noWrap w:val="0"/>
            <w:vAlign w:val="center"/>
          </w:tcPr>
          <w:p w14:paraId="4A62610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0.0366</w:t>
            </w:r>
          </w:p>
        </w:tc>
        <w:tc>
          <w:tcPr>
            <w:tcW w:w="3769" w:type="dxa"/>
            <w:tcBorders>
              <w:tl2br w:val="nil"/>
              <w:tr2bl w:val="nil"/>
            </w:tcBorders>
            <w:noWrap w:val="0"/>
            <w:vAlign w:val="center"/>
          </w:tcPr>
          <w:p w14:paraId="2E5026B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1.3771</w:t>
            </w:r>
          </w:p>
        </w:tc>
      </w:tr>
      <w:tr w14:paraId="29AE9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8C5A6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3685" w:type="dxa"/>
            <w:tcBorders>
              <w:tl2br w:val="nil"/>
              <w:tr2bl w:val="nil"/>
            </w:tcBorders>
            <w:noWrap w:val="0"/>
            <w:vAlign w:val="center"/>
          </w:tcPr>
          <w:p w14:paraId="1B5B31B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0.0274</w:t>
            </w:r>
          </w:p>
        </w:tc>
        <w:tc>
          <w:tcPr>
            <w:tcW w:w="3769" w:type="dxa"/>
            <w:tcBorders>
              <w:tl2br w:val="nil"/>
              <w:tr2bl w:val="nil"/>
            </w:tcBorders>
            <w:noWrap w:val="0"/>
            <w:vAlign w:val="center"/>
          </w:tcPr>
          <w:p w14:paraId="2164EB8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1.3823</w:t>
            </w:r>
          </w:p>
        </w:tc>
      </w:tr>
      <w:tr w14:paraId="38F7D6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B6E898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3685" w:type="dxa"/>
            <w:tcBorders>
              <w:tl2br w:val="nil"/>
              <w:tr2bl w:val="nil"/>
            </w:tcBorders>
            <w:noWrap w:val="0"/>
            <w:vAlign w:val="center"/>
          </w:tcPr>
          <w:p w14:paraId="4575692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0.0199</w:t>
            </w:r>
          </w:p>
        </w:tc>
        <w:tc>
          <w:tcPr>
            <w:tcW w:w="3769" w:type="dxa"/>
            <w:tcBorders>
              <w:tl2br w:val="nil"/>
              <w:tr2bl w:val="nil"/>
            </w:tcBorders>
            <w:noWrap w:val="0"/>
            <w:vAlign w:val="center"/>
          </w:tcPr>
          <w:p w14:paraId="178F9B3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1.3854</w:t>
            </w:r>
          </w:p>
        </w:tc>
      </w:tr>
      <w:tr w14:paraId="31D2E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64AF94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3685" w:type="dxa"/>
            <w:tcBorders>
              <w:tl2br w:val="nil"/>
              <w:tr2bl w:val="nil"/>
            </w:tcBorders>
            <w:noWrap w:val="0"/>
            <w:vAlign w:val="center"/>
          </w:tcPr>
          <w:p w14:paraId="6037875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0.0166</w:t>
            </w:r>
          </w:p>
        </w:tc>
        <w:tc>
          <w:tcPr>
            <w:tcW w:w="3769" w:type="dxa"/>
            <w:tcBorders>
              <w:tl2br w:val="nil"/>
              <w:tr2bl w:val="nil"/>
            </w:tcBorders>
            <w:shd w:val="clear" w:color="auto" w:fill="7E7E7E" w:themeFill="background1" w:themeFillShade="7F"/>
            <w:noWrap w:val="0"/>
            <w:vAlign w:val="center"/>
          </w:tcPr>
          <w:p w14:paraId="2519955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1.3864</w:t>
            </w:r>
          </w:p>
        </w:tc>
      </w:tr>
      <w:tr w14:paraId="15851A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AA57B2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3685" w:type="dxa"/>
            <w:tcBorders>
              <w:tl2br w:val="nil"/>
              <w:tr2bl w:val="nil"/>
            </w:tcBorders>
            <w:noWrap w:val="0"/>
            <w:vAlign w:val="center"/>
          </w:tcPr>
          <w:p w14:paraId="1FB7F36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0.0199</w:t>
            </w:r>
          </w:p>
        </w:tc>
        <w:tc>
          <w:tcPr>
            <w:tcW w:w="3769" w:type="dxa"/>
            <w:tcBorders>
              <w:tl2br w:val="nil"/>
              <w:tr2bl w:val="nil"/>
            </w:tcBorders>
            <w:noWrap w:val="0"/>
            <w:vAlign w:val="center"/>
          </w:tcPr>
          <w:p w14:paraId="3E2823C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1.3854</w:t>
            </w:r>
          </w:p>
        </w:tc>
      </w:tr>
      <w:tr w14:paraId="532F24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A3759D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3685" w:type="dxa"/>
            <w:tcBorders>
              <w:tl2br w:val="nil"/>
              <w:tr2bl w:val="nil"/>
            </w:tcBorders>
            <w:noWrap w:val="0"/>
            <w:vAlign w:val="center"/>
          </w:tcPr>
          <w:p w14:paraId="41EB8AB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0.0274</w:t>
            </w:r>
          </w:p>
        </w:tc>
        <w:tc>
          <w:tcPr>
            <w:tcW w:w="3769" w:type="dxa"/>
            <w:tcBorders>
              <w:tl2br w:val="nil"/>
              <w:tr2bl w:val="nil"/>
            </w:tcBorders>
            <w:noWrap w:val="0"/>
            <w:vAlign w:val="center"/>
          </w:tcPr>
          <w:p w14:paraId="0BD5EDA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1.3823</w:t>
            </w:r>
          </w:p>
        </w:tc>
      </w:tr>
      <w:tr w14:paraId="2EA61C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E4A84C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3685" w:type="dxa"/>
            <w:tcBorders>
              <w:tl2br w:val="nil"/>
              <w:tr2bl w:val="nil"/>
            </w:tcBorders>
            <w:noWrap w:val="0"/>
            <w:vAlign w:val="center"/>
          </w:tcPr>
          <w:p w14:paraId="4A15C88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0.0366</w:t>
            </w:r>
          </w:p>
        </w:tc>
        <w:tc>
          <w:tcPr>
            <w:tcW w:w="3769" w:type="dxa"/>
            <w:tcBorders>
              <w:tl2br w:val="nil"/>
              <w:tr2bl w:val="nil"/>
            </w:tcBorders>
            <w:noWrap w:val="0"/>
            <w:vAlign w:val="center"/>
          </w:tcPr>
          <w:p w14:paraId="742E620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1.3771</w:t>
            </w:r>
          </w:p>
        </w:tc>
      </w:tr>
      <w:tr w14:paraId="06828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F79D8A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3685" w:type="dxa"/>
            <w:tcBorders>
              <w:tl2br w:val="nil"/>
              <w:tr2bl w:val="nil"/>
            </w:tcBorders>
            <w:noWrap w:val="0"/>
            <w:vAlign w:val="center"/>
          </w:tcPr>
          <w:p w14:paraId="11C9465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0.0461</w:t>
            </w:r>
          </w:p>
        </w:tc>
        <w:tc>
          <w:tcPr>
            <w:tcW w:w="3769" w:type="dxa"/>
            <w:tcBorders>
              <w:tl2br w:val="nil"/>
              <w:tr2bl w:val="nil"/>
            </w:tcBorders>
            <w:noWrap w:val="0"/>
            <w:vAlign w:val="center"/>
          </w:tcPr>
          <w:p w14:paraId="04A9DE2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1.37</w:t>
            </w:r>
          </w:p>
        </w:tc>
      </w:tr>
      <w:tr w14:paraId="083F7E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75983B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3685" w:type="dxa"/>
            <w:tcBorders>
              <w:tl2br w:val="nil"/>
              <w:tr2bl w:val="nil"/>
            </w:tcBorders>
            <w:noWrap w:val="0"/>
            <w:vAlign w:val="center"/>
          </w:tcPr>
          <w:p w14:paraId="00EC675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0.0557</w:t>
            </w:r>
          </w:p>
        </w:tc>
        <w:tc>
          <w:tcPr>
            <w:tcW w:w="3769" w:type="dxa"/>
            <w:tcBorders>
              <w:tl2br w:val="nil"/>
              <w:tr2bl w:val="nil"/>
            </w:tcBorders>
            <w:noWrap w:val="0"/>
            <w:vAlign w:val="center"/>
          </w:tcPr>
          <w:p w14:paraId="4CDF41A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1.3609</w:t>
            </w:r>
          </w:p>
        </w:tc>
      </w:tr>
      <w:tr w14:paraId="0DC8E3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8698A1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3685" w:type="dxa"/>
            <w:tcBorders>
              <w:tl2br w:val="nil"/>
              <w:tr2bl w:val="nil"/>
            </w:tcBorders>
            <w:noWrap w:val="0"/>
            <w:vAlign w:val="center"/>
          </w:tcPr>
          <w:p w14:paraId="1394A98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0.0651</w:t>
            </w:r>
          </w:p>
        </w:tc>
        <w:tc>
          <w:tcPr>
            <w:tcW w:w="3769" w:type="dxa"/>
            <w:tcBorders>
              <w:tl2br w:val="nil"/>
              <w:tr2bl w:val="nil"/>
            </w:tcBorders>
            <w:noWrap w:val="0"/>
            <w:vAlign w:val="center"/>
          </w:tcPr>
          <w:p w14:paraId="5B40163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1.3499</w:t>
            </w:r>
          </w:p>
        </w:tc>
      </w:tr>
      <w:tr w14:paraId="68DFED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165BFB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3685" w:type="dxa"/>
            <w:tcBorders>
              <w:tl2br w:val="nil"/>
              <w:tr2bl w:val="nil"/>
            </w:tcBorders>
            <w:noWrap w:val="0"/>
            <w:vAlign w:val="center"/>
          </w:tcPr>
          <w:p w14:paraId="6B204B2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0.074</w:t>
            </w:r>
          </w:p>
        </w:tc>
        <w:tc>
          <w:tcPr>
            <w:tcW w:w="3769" w:type="dxa"/>
            <w:tcBorders>
              <w:tl2br w:val="nil"/>
              <w:tr2bl w:val="nil"/>
            </w:tcBorders>
            <w:noWrap w:val="0"/>
            <w:vAlign w:val="center"/>
          </w:tcPr>
          <w:p w14:paraId="1EB4D81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1.3371</w:t>
            </w:r>
          </w:p>
        </w:tc>
      </w:tr>
      <w:tr w14:paraId="02F9DD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56FF26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3685" w:type="dxa"/>
            <w:tcBorders>
              <w:tl2br w:val="nil"/>
              <w:tr2bl w:val="nil"/>
            </w:tcBorders>
            <w:noWrap w:val="0"/>
            <w:vAlign w:val="center"/>
          </w:tcPr>
          <w:p w14:paraId="3AAFCCF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0.0826</w:t>
            </w:r>
          </w:p>
        </w:tc>
        <w:tc>
          <w:tcPr>
            <w:tcW w:w="3769" w:type="dxa"/>
            <w:tcBorders>
              <w:tl2br w:val="nil"/>
              <w:tr2bl w:val="nil"/>
            </w:tcBorders>
            <w:noWrap w:val="0"/>
            <w:vAlign w:val="center"/>
          </w:tcPr>
          <w:p w14:paraId="7DA56D5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1.3227</w:t>
            </w:r>
          </w:p>
        </w:tc>
      </w:tr>
      <w:tr w14:paraId="450C1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5EBF69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3685" w:type="dxa"/>
            <w:tcBorders>
              <w:tl2br w:val="nil"/>
              <w:tr2bl w:val="nil"/>
            </w:tcBorders>
            <w:noWrap w:val="0"/>
            <w:vAlign w:val="center"/>
          </w:tcPr>
          <w:p w14:paraId="62F9A3E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0.0906</w:t>
            </w:r>
          </w:p>
        </w:tc>
        <w:tc>
          <w:tcPr>
            <w:tcW w:w="3769" w:type="dxa"/>
            <w:tcBorders>
              <w:tl2br w:val="nil"/>
              <w:tr2bl w:val="nil"/>
            </w:tcBorders>
            <w:noWrap w:val="0"/>
            <w:vAlign w:val="center"/>
          </w:tcPr>
          <w:p w14:paraId="7EEE0D3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1.3066</w:t>
            </w:r>
          </w:p>
        </w:tc>
      </w:tr>
      <w:tr w14:paraId="2F45C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C167B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3685" w:type="dxa"/>
            <w:tcBorders>
              <w:tl2br w:val="nil"/>
              <w:tr2bl w:val="nil"/>
            </w:tcBorders>
            <w:noWrap w:val="0"/>
            <w:vAlign w:val="center"/>
          </w:tcPr>
          <w:p w14:paraId="62B54F4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0.098</w:t>
            </w:r>
          </w:p>
        </w:tc>
        <w:tc>
          <w:tcPr>
            <w:tcW w:w="3769" w:type="dxa"/>
            <w:tcBorders>
              <w:tl2br w:val="nil"/>
              <w:tr2bl w:val="nil"/>
            </w:tcBorders>
            <w:noWrap w:val="0"/>
            <w:vAlign w:val="center"/>
          </w:tcPr>
          <w:p w14:paraId="6C83585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1.2891</w:t>
            </w:r>
          </w:p>
        </w:tc>
      </w:tr>
      <w:tr w14:paraId="28B32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3A689B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3685" w:type="dxa"/>
            <w:tcBorders>
              <w:tl2br w:val="nil"/>
              <w:tr2bl w:val="nil"/>
            </w:tcBorders>
            <w:noWrap w:val="0"/>
            <w:vAlign w:val="center"/>
          </w:tcPr>
          <w:p w14:paraId="47D237D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0.1047</w:t>
            </w:r>
          </w:p>
        </w:tc>
        <w:tc>
          <w:tcPr>
            <w:tcW w:w="3769" w:type="dxa"/>
            <w:tcBorders>
              <w:tl2br w:val="nil"/>
              <w:tr2bl w:val="nil"/>
            </w:tcBorders>
            <w:noWrap w:val="0"/>
            <w:vAlign w:val="center"/>
          </w:tcPr>
          <w:p w14:paraId="33F3864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1.2701</w:t>
            </w:r>
          </w:p>
        </w:tc>
      </w:tr>
      <w:tr w14:paraId="76BCA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69710D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685" w:type="dxa"/>
            <w:tcBorders>
              <w:tl2br w:val="nil"/>
              <w:tr2bl w:val="nil"/>
            </w:tcBorders>
            <w:noWrap w:val="0"/>
            <w:vAlign w:val="center"/>
          </w:tcPr>
          <w:p w14:paraId="2A077E1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0.1109</w:t>
            </w:r>
          </w:p>
        </w:tc>
        <w:tc>
          <w:tcPr>
            <w:tcW w:w="3769" w:type="dxa"/>
            <w:tcBorders>
              <w:tl2br w:val="nil"/>
              <w:tr2bl w:val="nil"/>
            </w:tcBorders>
            <w:noWrap w:val="0"/>
            <w:vAlign w:val="center"/>
          </w:tcPr>
          <w:p w14:paraId="0C54FD1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1.25</w:t>
            </w:r>
          </w:p>
        </w:tc>
      </w:tr>
      <w:tr w14:paraId="75B510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88F96C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685" w:type="dxa"/>
            <w:tcBorders>
              <w:tl2br w:val="nil"/>
              <w:tr2bl w:val="nil"/>
            </w:tcBorders>
            <w:noWrap w:val="0"/>
            <w:vAlign w:val="center"/>
          </w:tcPr>
          <w:p w14:paraId="45356BC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0.1163</w:t>
            </w:r>
          </w:p>
        </w:tc>
        <w:tc>
          <w:tcPr>
            <w:tcW w:w="3769" w:type="dxa"/>
            <w:tcBorders>
              <w:tl2br w:val="nil"/>
              <w:tr2bl w:val="nil"/>
            </w:tcBorders>
            <w:noWrap w:val="0"/>
            <w:vAlign w:val="center"/>
          </w:tcPr>
          <w:p w14:paraId="5EB707C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1.2288</w:t>
            </w:r>
          </w:p>
        </w:tc>
      </w:tr>
      <w:tr w14:paraId="17897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2C917C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685" w:type="dxa"/>
            <w:tcBorders>
              <w:tl2br w:val="nil"/>
              <w:tr2bl w:val="nil"/>
            </w:tcBorders>
            <w:noWrap w:val="0"/>
            <w:vAlign w:val="center"/>
          </w:tcPr>
          <w:p w14:paraId="33A1BE9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0.1211</w:t>
            </w:r>
          </w:p>
        </w:tc>
        <w:tc>
          <w:tcPr>
            <w:tcW w:w="3769" w:type="dxa"/>
            <w:tcBorders>
              <w:tl2br w:val="nil"/>
              <w:tr2bl w:val="nil"/>
            </w:tcBorders>
            <w:noWrap w:val="0"/>
            <w:vAlign w:val="center"/>
          </w:tcPr>
          <w:p w14:paraId="03ED20A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1.2065</w:t>
            </w:r>
          </w:p>
        </w:tc>
      </w:tr>
      <w:tr w14:paraId="682201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F6B869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3685" w:type="dxa"/>
            <w:tcBorders>
              <w:tl2br w:val="nil"/>
              <w:tr2bl w:val="nil"/>
            </w:tcBorders>
            <w:noWrap w:val="0"/>
            <w:vAlign w:val="center"/>
          </w:tcPr>
          <w:p w14:paraId="52E5D27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0.1252</w:t>
            </w:r>
          </w:p>
        </w:tc>
        <w:tc>
          <w:tcPr>
            <w:tcW w:w="3769" w:type="dxa"/>
            <w:tcBorders>
              <w:tl2br w:val="nil"/>
              <w:tr2bl w:val="nil"/>
            </w:tcBorders>
            <w:noWrap w:val="0"/>
            <w:vAlign w:val="center"/>
          </w:tcPr>
          <w:p w14:paraId="2D41509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1.1835</w:t>
            </w:r>
          </w:p>
        </w:tc>
      </w:tr>
      <w:tr w14:paraId="746FAB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CE2156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3685" w:type="dxa"/>
            <w:tcBorders>
              <w:tl2br w:val="nil"/>
              <w:tr2bl w:val="nil"/>
            </w:tcBorders>
            <w:noWrap w:val="0"/>
            <w:vAlign w:val="center"/>
          </w:tcPr>
          <w:p w14:paraId="5DA58BB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0.1286</w:t>
            </w:r>
          </w:p>
        </w:tc>
        <w:tc>
          <w:tcPr>
            <w:tcW w:w="3769" w:type="dxa"/>
            <w:tcBorders>
              <w:tl2br w:val="nil"/>
              <w:tr2bl w:val="nil"/>
            </w:tcBorders>
            <w:noWrap w:val="0"/>
            <w:vAlign w:val="center"/>
          </w:tcPr>
          <w:p w14:paraId="32DA520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1.1597</w:t>
            </w:r>
          </w:p>
        </w:tc>
      </w:tr>
      <w:tr w14:paraId="0AB10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C9597B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3685" w:type="dxa"/>
            <w:tcBorders>
              <w:tl2br w:val="nil"/>
              <w:tr2bl w:val="nil"/>
            </w:tcBorders>
            <w:noWrap w:val="0"/>
            <w:vAlign w:val="center"/>
          </w:tcPr>
          <w:p w14:paraId="6D2E9C2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0.1314</w:t>
            </w:r>
          </w:p>
        </w:tc>
        <w:tc>
          <w:tcPr>
            <w:tcW w:w="3769" w:type="dxa"/>
            <w:tcBorders>
              <w:tl2br w:val="nil"/>
              <w:tr2bl w:val="nil"/>
            </w:tcBorders>
            <w:noWrap w:val="0"/>
            <w:vAlign w:val="center"/>
          </w:tcPr>
          <w:p w14:paraId="73ADE2B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1.1354</w:t>
            </w:r>
          </w:p>
        </w:tc>
      </w:tr>
      <w:tr w14:paraId="20CDE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155C3F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3685" w:type="dxa"/>
            <w:tcBorders>
              <w:tl2br w:val="nil"/>
              <w:tr2bl w:val="nil"/>
            </w:tcBorders>
            <w:noWrap w:val="0"/>
            <w:vAlign w:val="center"/>
          </w:tcPr>
          <w:p w14:paraId="1F8EC6B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0.1336</w:t>
            </w:r>
          </w:p>
        </w:tc>
        <w:tc>
          <w:tcPr>
            <w:tcW w:w="3769" w:type="dxa"/>
            <w:tcBorders>
              <w:tl2br w:val="nil"/>
              <w:tr2bl w:val="nil"/>
            </w:tcBorders>
            <w:noWrap w:val="0"/>
            <w:vAlign w:val="center"/>
          </w:tcPr>
          <w:p w14:paraId="2FC5115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1.1105</w:t>
            </w:r>
          </w:p>
        </w:tc>
      </w:tr>
      <w:tr w14:paraId="4DBEE4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1C0647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3685" w:type="dxa"/>
            <w:tcBorders>
              <w:tl2br w:val="nil"/>
              <w:tr2bl w:val="nil"/>
            </w:tcBorders>
            <w:noWrap w:val="0"/>
            <w:vAlign w:val="center"/>
          </w:tcPr>
          <w:p w14:paraId="64FEFE6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0.1352</w:t>
            </w:r>
          </w:p>
        </w:tc>
        <w:tc>
          <w:tcPr>
            <w:tcW w:w="3769" w:type="dxa"/>
            <w:tcBorders>
              <w:tl2br w:val="nil"/>
              <w:tr2bl w:val="nil"/>
            </w:tcBorders>
            <w:noWrap w:val="0"/>
            <w:vAlign w:val="center"/>
          </w:tcPr>
          <w:p w14:paraId="39E3352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1.0854</w:t>
            </w:r>
          </w:p>
        </w:tc>
      </w:tr>
      <w:tr w14:paraId="4FEC3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3DC8E5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3685" w:type="dxa"/>
            <w:tcBorders>
              <w:tl2br w:val="nil"/>
              <w:tr2bl w:val="nil"/>
            </w:tcBorders>
            <w:noWrap w:val="0"/>
            <w:vAlign w:val="center"/>
          </w:tcPr>
          <w:p w14:paraId="4B4A86E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0.1362</w:t>
            </w:r>
          </w:p>
        </w:tc>
        <w:tc>
          <w:tcPr>
            <w:tcW w:w="3769" w:type="dxa"/>
            <w:tcBorders>
              <w:tl2br w:val="nil"/>
              <w:tr2bl w:val="nil"/>
            </w:tcBorders>
            <w:noWrap w:val="0"/>
            <w:vAlign w:val="center"/>
          </w:tcPr>
          <w:p w14:paraId="76D2251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1.06</w:t>
            </w:r>
          </w:p>
        </w:tc>
      </w:tr>
      <w:tr w14:paraId="0584F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4383A1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3685" w:type="dxa"/>
            <w:tcBorders>
              <w:tl2br w:val="nil"/>
              <w:tr2bl w:val="nil"/>
            </w:tcBorders>
            <w:shd w:val="clear" w:color="auto" w:fill="7E7E7E" w:themeFill="background1" w:themeFillShade="7F"/>
            <w:noWrap w:val="0"/>
            <w:vAlign w:val="center"/>
          </w:tcPr>
          <w:p w14:paraId="0B4473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0.1368</w:t>
            </w:r>
          </w:p>
        </w:tc>
        <w:tc>
          <w:tcPr>
            <w:tcW w:w="3769" w:type="dxa"/>
            <w:tcBorders>
              <w:tl2br w:val="nil"/>
              <w:tr2bl w:val="nil"/>
            </w:tcBorders>
            <w:noWrap w:val="0"/>
            <w:vAlign w:val="center"/>
          </w:tcPr>
          <w:p w14:paraId="4C9E138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1.0344</w:t>
            </w:r>
          </w:p>
        </w:tc>
      </w:tr>
      <w:tr w14:paraId="3AEDC8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90333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3685" w:type="dxa"/>
            <w:tcBorders>
              <w:tl2br w:val="nil"/>
              <w:tr2bl w:val="nil"/>
            </w:tcBorders>
            <w:shd w:val="clear" w:color="auto" w:fill="7E7E7E" w:themeFill="background1" w:themeFillShade="7F"/>
            <w:noWrap w:val="0"/>
            <w:vAlign w:val="center"/>
          </w:tcPr>
          <w:p w14:paraId="74DD667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0.1368</w:t>
            </w:r>
          </w:p>
        </w:tc>
        <w:tc>
          <w:tcPr>
            <w:tcW w:w="3769" w:type="dxa"/>
            <w:tcBorders>
              <w:tl2br w:val="nil"/>
              <w:tr2bl w:val="nil"/>
            </w:tcBorders>
            <w:noWrap w:val="0"/>
            <w:vAlign w:val="center"/>
          </w:tcPr>
          <w:p w14:paraId="7C0164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1.0089</w:t>
            </w:r>
          </w:p>
        </w:tc>
      </w:tr>
      <w:tr w14:paraId="24BE49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DC66A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685" w:type="dxa"/>
            <w:tcBorders>
              <w:tl2br w:val="nil"/>
              <w:tr2bl w:val="nil"/>
            </w:tcBorders>
            <w:noWrap w:val="0"/>
            <w:vAlign w:val="center"/>
          </w:tcPr>
          <w:p w14:paraId="0C63C70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0.1364</w:t>
            </w:r>
          </w:p>
        </w:tc>
        <w:tc>
          <w:tcPr>
            <w:tcW w:w="3769" w:type="dxa"/>
            <w:tcBorders>
              <w:tl2br w:val="nil"/>
              <w:tr2bl w:val="nil"/>
            </w:tcBorders>
            <w:noWrap w:val="0"/>
            <w:vAlign w:val="center"/>
          </w:tcPr>
          <w:p w14:paraId="50D267B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0.9834</w:t>
            </w:r>
          </w:p>
        </w:tc>
      </w:tr>
      <w:tr w14:paraId="64B723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501136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3685" w:type="dxa"/>
            <w:tcBorders>
              <w:tl2br w:val="nil"/>
              <w:tr2bl w:val="nil"/>
            </w:tcBorders>
            <w:noWrap w:val="0"/>
            <w:vAlign w:val="center"/>
          </w:tcPr>
          <w:p w14:paraId="64AAA7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0.1356</w:t>
            </w:r>
          </w:p>
        </w:tc>
        <w:tc>
          <w:tcPr>
            <w:tcW w:w="3769" w:type="dxa"/>
            <w:tcBorders>
              <w:tl2br w:val="nil"/>
              <w:tr2bl w:val="nil"/>
            </w:tcBorders>
            <w:noWrap w:val="0"/>
            <w:vAlign w:val="center"/>
          </w:tcPr>
          <w:p w14:paraId="799F989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0.958</w:t>
            </w:r>
          </w:p>
        </w:tc>
      </w:tr>
      <w:tr w14:paraId="720544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90893C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3685" w:type="dxa"/>
            <w:tcBorders>
              <w:tl2br w:val="nil"/>
              <w:tr2bl w:val="nil"/>
            </w:tcBorders>
            <w:noWrap w:val="0"/>
            <w:vAlign w:val="center"/>
          </w:tcPr>
          <w:p w14:paraId="0EFF55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0.1344</w:t>
            </w:r>
          </w:p>
        </w:tc>
        <w:tc>
          <w:tcPr>
            <w:tcW w:w="3769" w:type="dxa"/>
            <w:tcBorders>
              <w:tl2br w:val="nil"/>
              <w:tr2bl w:val="nil"/>
            </w:tcBorders>
            <w:noWrap w:val="0"/>
            <w:vAlign w:val="center"/>
          </w:tcPr>
          <w:p w14:paraId="39950A4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0.9328</w:t>
            </w:r>
          </w:p>
        </w:tc>
      </w:tr>
      <w:tr w14:paraId="6FCD0C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BECC13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685" w:type="dxa"/>
            <w:tcBorders>
              <w:tl2br w:val="nil"/>
              <w:tr2bl w:val="nil"/>
            </w:tcBorders>
            <w:noWrap w:val="0"/>
            <w:vAlign w:val="center"/>
          </w:tcPr>
          <w:p w14:paraId="2EEB6D7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0.1329</w:t>
            </w:r>
          </w:p>
        </w:tc>
        <w:tc>
          <w:tcPr>
            <w:tcW w:w="3769" w:type="dxa"/>
            <w:tcBorders>
              <w:tl2br w:val="nil"/>
              <w:tr2bl w:val="nil"/>
            </w:tcBorders>
            <w:noWrap w:val="0"/>
            <w:vAlign w:val="center"/>
          </w:tcPr>
          <w:p w14:paraId="36DC294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0.908</w:t>
            </w:r>
          </w:p>
        </w:tc>
      </w:tr>
      <w:tr w14:paraId="5F641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C3FCC5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w:t>
            </w:r>
          </w:p>
        </w:tc>
        <w:tc>
          <w:tcPr>
            <w:tcW w:w="3685" w:type="dxa"/>
            <w:tcBorders>
              <w:tl2br w:val="nil"/>
              <w:tr2bl w:val="nil"/>
            </w:tcBorders>
            <w:noWrap w:val="0"/>
            <w:vAlign w:val="center"/>
          </w:tcPr>
          <w:p w14:paraId="7645AFD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0.1311</w:t>
            </w:r>
          </w:p>
        </w:tc>
        <w:tc>
          <w:tcPr>
            <w:tcW w:w="3769" w:type="dxa"/>
            <w:tcBorders>
              <w:tl2br w:val="nil"/>
              <w:tr2bl w:val="nil"/>
            </w:tcBorders>
            <w:noWrap w:val="0"/>
            <w:vAlign w:val="center"/>
          </w:tcPr>
          <w:p w14:paraId="0B895CC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0.8834</w:t>
            </w:r>
          </w:p>
        </w:tc>
      </w:tr>
      <w:tr w14:paraId="0DFB1E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634D29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685" w:type="dxa"/>
            <w:tcBorders>
              <w:tl2br w:val="nil"/>
              <w:tr2bl w:val="nil"/>
            </w:tcBorders>
            <w:noWrap w:val="0"/>
            <w:vAlign w:val="center"/>
          </w:tcPr>
          <w:p w14:paraId="20A37E3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0.1291</w:t>
            </w:r>
          </w:p>
        </w:tc>
        <w:tc>
          <w:tcPr>
            <w:tcW w:w="3769" w:type="dxa"/>
            <w:tcBorders>
              <w:tl2br w:val="nil"/>
              <w:tr2bl w:val="nil"/>
            </w:tcBorders>
            <w:noWrap w:val="0"/>
            <w:vAlign w:val="center"/>
          </w:tcPr>
          <w:p w14:paraId="48FD0F3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0.8592</w:t>
            </w:r>
          </w:p>
        </w:tc>
      </w:tr>
      <w:tr w14:paraId="11C45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B02B0F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3685" w:type="dxa"/>
            <w:tcBorders>
              <w:tl2br w:val="nil"/>
              <w:tr2bl w:val="nil"/>
            </w:tcBorders>
            <w:noWrap w:val="0"/>
            <w:vAlign w:val="center"/>
          </w:tcPr>
          <w:p w14:paraId="3F208D2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0.1269</w:t>
            </w:r>
          </w:p>
        </w:tc>
        <w:tc>
          <w:tcPr>
            <w:tcW w:w="3769" w:type="dxa"/>
            <w:tcBorders>
              <w:tl2br w:val="nil"/>
              <w:tr2bl w:val="nil"/>
            </w:tcBorders>
            <w:noWrap w:val="0"/>
            <w:vAlign w:val="center"/>
          </w:tcPr>
          <w:p w14:paraId="7118259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0.8355</w:t>
            </w:r>
          </w:p>
        </w:tc>
      </w:tr>
      <w:tr w14:paraId="7ABA10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A54F59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3685" w:type="dxa"/>
            <w:tcBorders>
              <w:tl2br w:val="nil"/>
              <w:tr2bl w:val="nil"/>
            </w:tcBorders>
            <w:noWrap w:val="0"/>
            <w:vAlign w:val="center"/>
          </w:tcPr>
          <w:p w14:paraId="4306554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0.1245</w:t>
            </w:r>
          </w:p>
        </w:tc>
        <w:tc>
          <w:tcPr>
            <w:tcW w:w="3769" w:type="dxa"/>
            <w:tcBorders>
              <w:tl2br w:val="nil"/>
              <w:tr2bl w:val="nil"/>
            </w:tcBorders>
            <w:noWrap w:val="0"/>
            <w:vAlign w:val="center"/>
          </w:tcPr>
          <w:p w14:paraId="458C83D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0.8122</w:t>
            </w:r>
          </w:p>
        </w:tc>
      </w:tr>
      <w:tr w14:paraId="195DF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8352CB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3685" w:type="dxa"/>
            <w:tcBorders>
              <w:tl2br w:val="nil"/>
              <w:tr2bl w:val="nil"/>
            </w:tcBorders>
            <w:noWrap w:val="0"/>
            <w:vAlign w:val="center"/>
          </w:tcPr>
          <w:p w14:paraId="3E534D8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0.122</w:t>
            </w:r>
          </w:p>
        </w:tc>
        <w:tc>
          <w:tcPr>
            <w:tcW w:w="3769" w:type="dxa"/>
            <w:tcBorders>
              <w:tl2br w:val="nil"/>
              <w:tr2bl w:val="nil"/>
            </w:tcBorders>
            <w:noWrap w:val="0"/>
            <w:vAlign w:val="center"/>
          </w:tcPr>
          <w:p w14:paraId="72C0925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0.7894</w:t>
            </w:r>
          </w:p>
        </w:tc>
      </w:tr>
      <w:tr w14:paraId="4550E2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D2A76D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3685" w:type="dxa"/>
            <w:tcBorders>
              <w:tl2br w:val="nil"/>
              <w:tr2bl w:val="nil"/>
            </w:tcBorders>
            <w:noWrap w:val="0"/>
            <w:vAlign w:val="center"/>
          </w:tcPr>
          <w:p w14:paraId="7A3118C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0.1193</w:t>
            </w:r>
          </w:p>
        </w:tc>
        <w:tc>
          <w:tcPr>
            <w:tcW w:w="3769" w:type="dxa"/>
            <w:tcBorders>
              <w:tl2br w:val="nil"/>
              <w:tr2bl w:val="nil"/>
            </w:tcBorders>
            <w:noWrap w:val="0"/>
            <w:vAlign w:val="center"/>
          </w:tcPr>
          <w:p w14:paraId="4406039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0.7671</w:t>
            </w:r>
          </w:p>
        </w:tc>
      </w:tr>
      <w:tr w14:paraId="03A9FD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0D93E5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3685" w:type="dxa"/>
            <w:tcBorders>
              <w:tl2br w:val="nil"/>
              <w:tr2bl w:val="nil"/>
            </w:tcBorders>
            <w:noWrap w:val="0"/>
            <w:vAlign w:val="center"/>
          </w:tcPr>
          <w:p w14:paraId="3A48B7A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0.1165</w:t>
            </w:r>
          </w:p>
        </w:tc>
        <w:tc>
          <w:tcPr>
            <w:tcW w:w="3769" w:type="dxa"/>
            <w:tcBorders>
              <w:tl2br w:val="nil"/>
              <w:tr2bl w:val="nil"/>
            </w:tcBorders>
            <w:noWrap w:val="0"/>
            <w:vAlign w:val="center"/>
          </w:tcPr>
          <w:p w14:paraId="0CDF9E8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0.7454</w:t>
            </w:r>
          </w:p>
        </w:tc>
      </w:tr>
      <w:tr w14:paraId="61AC43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9895CF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3685" w:type="dxa"/>
            <w:tcBorders>
              <w:tl2br w:val="nil"/>
              <w:tr2bl w:val="nil"/>
            </w:tcBorders>
            <w:noWrap w:val="0"/>
            <w:vAlign w:val="center"/>
          </w:tcPr>
          <w:p w14:paraId="3DB6165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0.1137</w:t>
            </w:r>
          </w:p>
        </w:tc>
        <w:tc>
          <w:tcPr>
            <w:tcW w:w="3769" w:type="dxa"/>
            <w:tcBorders>
              <w:tl2br w:val="nil"/>
              <w:tr2bl w:val="nil"/>
            </w:tcBorders>
            <w:noWrap w:val="0"/>
            <w:vAlign w:val="center"/>
          </w:tcPr>
          <w:p w14:paraId="6D99FA6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0.7242</w:t>
            </w:r>
          </w:p>
        </w:tc>
      </w:tr>
      <w:tr w14:paraId="16874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CE5BBC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685" w:type="dxa"/>
            <w:tcBorders>
              <w:tl2br w:val="nil"/>
              <w:tr2bl w:val="nil"/>
            </w:tcBorders>
            <w:noWrap w:val="0"/>
            <w:vAlign w:val="center"/>
          </w:tcPr>
          <w:p w14:paraId="61482BE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0.1108</w:t>
            </w:r>
          </w:p>
        </w:tc>
        <w:tc>
          <w:tcPr>
            <w:tcW w:w="3769" w:type="dxa"/>
            <w:tcBorders>
              <w:tl2br w:val="nil"/>
              <w:tr2bl w:val="nil"/>
            </w:tcBorders>
            <w:noWrap w:val="0"/>
            <w:vAlign w:val="center"/>
          </w:tcPr>
          <w:p w14:paraId="4EAE352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0.7036</w:t>
            </w:r>
          </w:p>
        </w:tc>
      </w:tr>
      <w:tr w14:paraId="55E4DB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0C33E9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3685" w:type="dxa"/>
            <w:tcBorders>
              <w:tl2br w:val="nil"/>
              <w:tr2bl w:val="nil"/>
            </w:tcBorders>
            <w:noWrap w:val="0"/>
            <w:vAlign w:val="center"/>
          </w:tcPr>
          <w:p w14:paraId="2A8084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0.1079</w:t>
            </w:r>
          </w:p>
        </w:tc>
        <w:tc>
          <w:tcPr>
            <w:tcW w:w="3769" w:type="dxa"/>
            <w:tcBorders>
              <w:tl2br w:val="nil"/>
              <w:tr2bl w:val="nil"/>
            </w:tcBorders>
            <w:noWrap w:val="0"/>
            <w:vAlign w:val="center"/>
          </w:tcPr>
          <w:p w14:paraId="3AFEB2A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0.6835</w:t>
            </w:r>
          </w:p>
        </w:tc>
      </w:tr>
      <w:tr w14:paraId="0EC50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EC28DB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w:t>
            </w:r>
          </w:p>
        </w:tc>
        <w:tc>
          <w:tcPr>
            <w:tcW w:w="3685" w:type="dxa"/>
            <w:tcBorders>
              <w:tl2br w:val="nil"/>
              <w:tr2bl w:val="nil"/>
            </w:tcBorders>
            <w:noWrap w:val="0"/>
            <w:vAlign w:val="center"/>
          </w:tcPr>
          <w:p w14:paraId="7EE0589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0.1049</w:t>
            </w:r>
          </w:p>
        </w:tc>
        <w:tc>
          <w:tcPr>
            <w:tcW w:w="3769" w:type="dxa"/>
            <w:tcBorders>
              <w:tl2br w:val="nil"/>
              <w:tr2bl w:val="nil"/>
            </w:tcBorders>
            <w:noWrap w:val="0"/>
            <w:vAlign w:val="center"/>
          </w:tcPr>
          <w:p w14:paraId="71D3C5D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0.664</w:t>
            </w:r>
          </w:p>
        </w:tc>
      </w:tr>
      <w:tr w14:paraId="284D2D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C204D4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3685" w:type="dxa"/>
            <w:tcBorders>
              <w:tl2br w:val="nil"/>
              <w:tr2bl w:val="nil"/>
            </w:tcBorders>
            <w:noWrap w:val="0"/>
            <w:vAlign w:val="center"/>
          </w:tcPr>
          <w:p w14:paraId="45C4452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0.102</w:t>
            </w:r>
          </w:p>
        </w:tc>
        <w:tc>
          <w:tcPr>
            <w:tcW w:w="3769" w:type="dxa"/>
            <w:tcBorders>
              <w:tl2br w:val="nil"/>
              <w:tr2bl w:val="nil"/>
            </w:tcBorders>
            <w:noWrap w:val="0"/>
            <w:vAlign w:val="center"/>
          </w:tcPr>
          <w:p w14:paraId="4CF675A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0.645</w:t>
            </w:r>
          </w:p>
        </w:tc>
      </w:tr>
      <w:tr w14:paraId="1B889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0F0B24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3685" w:type="dxa"/>
            <w:tcBorders>
              <w:tl2br w:val="nil"/>
              <w:tr2bl w:val="nil"/>
            </w:tcBorders>
            <w:noWrap w:val="0"/>
            <w:vAlign w:val="center"/>
          </w:tcPr>
          <w:p w14:paraId="19373A5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0.0991</w:t>
            </w:r>
          </w:p>
        </w:tc>
        <w:tc>
          <w:tcPr>
            <w:tcW w:w="3769" w:type="dxa"/>
            <w:tcBorders>
              <w:tl2br w:val="nil"/>
              <w:tr2bl w:val="nil"/>
            </w:tcBorders>
            <w:noWrap w:val="0"/>
            <w:vAlign w:val="center"/>
          </w:tcPr>
          <w:p w14:paraId="3FE28C3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0.6267</w:t>
            </w:r>
          </w:p>
        </w:tc>
      </w:tr>
      <w:tr w14:paraId="1EA33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8FE08B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3685" w:type="dxa"/>
            <w:tcBorders>
              <w:tl2br w:val="nil"/>
              <w:tr2bl w:val="nil"/>
            </w:tcBorders>
            <w:noWrap w:val="0"/>
            <w:vAlign w:val="center"/>
          </w:tcPr>
          <w:p w14:paraId="5CBFF06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0.0962</w:t>
            </w:r>
          </w:p>
        </w:tc>
        <w:tc>
          <w:tcPr>
            <w:tcW w:w="3769" w:type="dxa"/>
            <w:tcBorders>
              <w:tl2br w:val="nil"/>
              <w:tr2bl w:val="nil"/>
            </w:tcBorders>
            <w:noWrap w:val="0"/>
            <w:vAlign w:val="center"/>
          </w:tcPr>
          <w:p w14:paraId="32DA467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0.6088</w:t>
            </w:r>
          </w:p>
        </w:tc>
      </w:tr>
      <w:tr w14:paraId="23628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702D1E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685" w:type="dxa"/>
            <w:tcBorders>
              <w:tl2br w:val="nil"/>
              <w:tr2bl w:val="nil"/>
            </w:tcBorders>
            <w:noWrap w:val="0"/>
            <w:vAlign w:val="center"/>
          </w:tcPr>
          <w:p w14:paraId="23C2C6CC">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0.0933</w:t>
            </w:r>
          </w:p>
        </w:tc>
        <w:tc>
          <w:tcPr>
            <w:tcW w:w="3769" w:type="dxa"/>
            <w:tcBorders>
              <w:tl2br w:val="nil"/>
              <w:tr2bl w:val="nil"/>
            </w:tcBorders>
            <w:noWrap w:val="0"/>
            <w:vAlign w:val="center"/>
          </w:tcPr>
          <w:p w14:paraId="555E0A7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0.5916</w:t>
            </w:r>
          </w:p>
        </w:tc>
      </w:tr>
      <w:tr w14:paraId="18FBFB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A716DB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685" w:type="dxa"/>
            <w:tcBorders>
              <w:tl2br w:val="nil"/>
              <w:tr2bl w:val="nil"/>
            </w:tcBorders>
            <w:noWrap w:val="0"/>
            <w:vAlign w:val="center"/>
          </w:tcPr>
          <w:p w14:paraId="72EDCFBE">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0.0905</w:t>
            </w:r>
          </w:p>
        </w:tc>
        <w:tc>
          <w:tcPr>
            <w:tcW w:w="3769" w:type="dxa"/>
            <w:tcBorders>
              <w:tl2br w:val="nil"/>
              <w:tr2bl w:val="nil"/>
            </w:tcBorders>
            <w:noWrap w:val="0"/>
            <w:vAlign w:val="center"/>
          </w:tcPr>
          <w:p w14:paraId="377CC8A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0.5749</w:t>
            </w:r>
          </w:p>
        </w:tc>
      </w:tr>
      <w:tr w14:paraId="1E5938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786E3C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w:t>
            </w:r>
          </w:p>
        </w:tc>
        <w:tc>
          <w:tcPr>
            <w:tcW w:w="3685" w:type="dxa"/>
            <w:tcBorders>
              <w:tl2br w:val="nil"/>
              <w:tr2bl w:val="nil"/>
            </w:tcBorders>
            <w:noWrap w:val="0"/>
            <w:vAlign w:val="center"/>
          </w:tcPr>
          <w:p w14:paraId="32EBF70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0.0877</w:t>
            </w:r>
          </w:p>
        </w:tc>
        <w:tc>
          <w:tcPr>
            <w:tcW w:w="3769" w:type="dxa"/>
            <w:tcBorders>
              <w:tl2br w:val="nil"/>
              <w:tr2bl w:val="nil"/>
            </w:tcBorders>
            <w:noWrap w:val="0"/>
            <w:vAlign w:val="center"/>
          </w:tcPr>
          <w:p w14:paraId="4EFF922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0.5587</w:t>
            </w:r>
          </w:p>
        </w:tc>
      </w:tr>
      <w:tr w14:paraId="4CA0FB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C0B1AF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w:t>
            </w:r>
          </w:p>
        </w:tc>
        <w:tc>
          <w:tcPr>
            <w:tcW w:w="3685" w:type="dxa"/>
            <w:tcBorders>
              <w:tl2br w:val="nil"/>
              <w:tr2bl w:val="nil"/>
            </w:tcBorders>
            <w:noWrap w:val="0"/>
            <w:vAlign w:val="center"/>
          </w:tcPr>
          <w:p w14:paraId="1CF3319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0.085</w:t>
            </w:r>
          </w:p>
        </w:tc>
        <w:tc>
          <w:tcPr>
            <w:tcW w:w="3769" w:type="dxa"/>
            <w:tcBorders>
              <w:tl2br w:val="nil"/>
              <w:tr2bl w:val="nil"/>
            </w:tcBorders>
            <w:noWrap w:val="0"/>
            <w:vAlign w:val="center"/>
          </w:tcPr>
          <w:p w14:paraId="7B21A95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0.543</w:t>
            </w:r>
          </w:p>
        </w:tc>
      </w:tr>
      <w:tr w14:paraId="7E4EE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64005C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3685" w:type="dxa"/>
            <w:tcBorders>
              <w:tl2br w:val="nil"/>
              <w:tr2bl w:val="nil"/>
            </w:tcBorders>
            <w:noWrap w:val="0"/>
            <w:vAlign w:val="center"/>
          </w:tcPr>
          <w:p w14:paraId="33693CA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0.0824</w:t>
            </w:r>
          </w:p>
        </w:tc>
        <w:tc>
          <w:tcPr>
            <w:tcW w:w="3769" w:type="dxa"/>
            <w:tcBorders>
              <w:tl2br w:val="nil"/>
              <w:tr2bl w:val="nil"/>
            </w:tcBorders>
            <w:noWrap w:val="0"/>
            <w:vAlign w:val="center"/>
          </w:tcPr>
          <w:p w14:paraId="1FF0B6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0.5278</w:t>
            </w:r>
          </w:p>
        </w:tc>
      </w:tr>
      <w:tr w14:paraId="2A44F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256C6A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3685" w:type="dxa"/>
            <w:tcBorders>
              <w:tl2br w:val="nil"/>
              <w:tr2bl w:val="nil"/>
            </w:tcBorders>
            <w:noWrap w:val="0"/>
            <w:vAlign w:val="center"/>
          </w:tcPr>
          <w:p w14:paraId="21EC4A4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0.0798</w:t>
            </w:r>
          </w:p>
        </w:tc>
        <w:tc>
          <w:tcPr>
            <w:tcW w:w="3769" w:type="dxa"/>
            <w:tcBorders>
              <w:tl2br w:val="nil"/>
              <w:tr2bl w:val="nil"/>
            </w:tcBorders>
            <w:noWrap w:val="0"/>
            <w:vAlign w:val="center"/>
          </w:tcPr>
          <w:p w14:paraId="1049FD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0.5132</w:t>
            </w:r>
          </w:p>
        </w:tc>
      </w:tr>
      <w:tr w14:paraId="1F194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CEA397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47</w:t>
            </w:r>
          </w:p>
        </w:tc>
        <w:tc>
          <w:tcPr>
            <w:tcW w:w="3685" w:type="dxa"/>
            <w:tcBorders>
              <w:tl2br w:val="nil"/>
              <w:tr2bl w:val="nil"/>
            </w:tcBorders>
            <w:noWrap w:val="0"/>
            <w:vAlign w:val="center"/>
          </w:tcPr>
          <w:p w14:paraId="645C10C0">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0.0772</w:t>
            </w:r>
          </w:p>
        </w:tc>
        <w:tc>
          <w:tcPr>
            <w:tcW w:w="3769" w:type="dxa"/>
            <w:tcBorders>
              <w:tl2br w:val="nil"/>
              <w:tr2bl w:val="nil"/>
            </w:tcBorders>
            <w:noWrap w:val="0"/>
            <w:vAlign w:val="center"/>
          </w:tcPr>
          <w:p w14:paraId="47863A7D">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0.499</w:t>
            </w:r>
          </w:p>
        </w:tc>
      </w:tr>
      <w:tr w14:paraId="10DE2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7D4F42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w:t>
            </w:r>
          </w:p>
        </w:tc>
        <w:tc>
          <w:tcPr>
            <w:tcW w:w="3685" w:type="dxa"/>
            <w:tcBorders>
              <w:tl2br w:val="nil"/>
              <w:tr2bl w:val="nil"/>
            </w:tcBorders>
            <w:noWrap w:val="0"/>
            <w:vAlign w:val="center"/>
          </w:tcPr>
          <w:p w14:paraId="1BB6C6E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0.0748</w:t>
            </w:r>
          </w:p>
        </w:tc>
        <w:tc>
          <w:tcPr>
            <w:tcW w:w="3769" w:type="dxa"/>
            <w:tcBorders>
              <w:tl2br w:val="nil"/>
              <w:tr2bl w:val="nil"/>
            </w:tcBorders>
            <w:noWrap w:val="0"/>
            <w:vAlign w:val="center"/>
          </w:tcPr>
          <w:p w14:paraId="4049752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0.4853</w:t>
            </w:r>
          </w:p>
        </w:tc>
      </w:tr>
      <w:tr w14:paraId="7ADBF4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843439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w:t>
            </w:r>
          </w:p>
        </w:tc>
        <w:tc>
          <w:tcPr>
            <w:tcW w:w="3685" w:type="dxa"/>
            <w:tcBorders>
              <w:tl2br w:val="nil"/>
              <w:tr2bl w:val="nil"/>
            </w:tcBorders>
            <w:noWrap w:val="0"/>
            <w:vAlign w:val="center"/>
          </w:tcPr>
          <w:p w14:paraId="7317D187">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0.0724</w:t>
            </w:r>
          </w:p>
        </w:tc>
        <w:tc>
          <w:tcPr>
            <w:tcW w:w="3769" w:type="dxa"/>
            <w:tcBorders>
              <w:tl2br w:val="nil"/>
              <w:tr2bl w:val="nil"/>
            </w:tcBorders>
            <w:noWrap w:val="0"/>
            <w:vAlign w:val="center"/>
          </w:tcPr>
          <w:p w14:paraId="663CD9FF">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0.4721</w:t>
            </w:r>
          </w:p>
        </w:tc>
      </w:tr>
      <w:tr w14:paraId="156D9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19C89B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3685" w:type="dxa"/>
            <w:tcBorders>
              <w:tl2br w:val="nil"/>
              <w:tr2bl w:val="nil"/>
            </w:tcBorders>
            <w:noWrap w:val="0"/>
            <w:vAlign w:val="center"/>
          </w:tcPr>
          <w:p w14:paraId="6FB38A44">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w:t>
            </w:r>
          </w:p>
        </w:tc>
        <w:tc>
          <w:tcPr>
            <w:tcW w:w="3769" w:type="dxa"/>
            <w:tcBorders>
              <w:tl2br w:val="nil"/>
              <w:tr2bl w:val="nil"/>
            </w:tcBorders>
            <w:noWrap w:val="0"/>
            <w:vAlign w:val="center"/>
          </w:tcPr>
          <w:p w14:paraId="1A352E5C">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0.4593</w:t>
            </w:r>
          </w:p>
        </w:tc>
      </w:tr>
      <w:tr w14:paraId="04EF05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8EE2E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51</w:t>
            </w:r>
          </w:p>
        </w:tc>
        <w:tc>
          <w:tcPr>
            <w:tcW w:w="3685" w:type="dxa"/>
            <w:tcBorders>
              <w:tl2br w:val="nil"/>
              <w:tr2bl w:val="nil"/>
            </w:tcBorders>
            <w:noWrap w:val="0"/>
            <w:vAlign w:val="center"/>
          </w:tcPr>
          <w:p w14:paraId="4EF57522">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0.0678</w:t>
            </w:r>
          </w:p>
        </w:tc>
        <w:tc>
          <w:tcPr>
            <w:tcW w:w="3769" w:type="dxa"/>
            <w:tcBorders>
              <w:tl2br w:val="nil"/>
              <w:tr2bl w:val="nil"/>
            </w:tcBorders>
            <w:noWrap w:val="0"/>
            <w:vAlign w:val="center"/>
          </w:tcPr>
          <w:p w14:paraId="6FDA4D32">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0.4469</w:t>
            </w:r>
          </w:p>
        </w:tc>
      </w:tr>
      <w:tr w14:paraId="5828D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F1DC1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w:t>
            </w:r>
          </w:p>
        </w:tc>
        <w:tc>
          <w:tcPr>
            <w:tcW w:w="3685" w:type="dxa"/>
            <w:tcBorders>
              <w:tl2br w:val="nil"/>
              <w:tr2bl w:val="nil"/>
            </w:tcBorders>
            <w:noWrap w:val="0"/>
            <w:vAlign w:val="center"/>
          </w:tcPr>
          <w:p w14:paraId="793CD5FA">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0.0656</w:t>
            </w:r>
          </w:p>
        </w:tc>
        <w:tc>
          <w:tcPr>
            <w:tcW w:w="3769" w:type="dxa"/>
            <w:tcBorders>
              <w:tl2br w:val="nil"/>
              <w:tr2bl w:val="nil"/>
            </w:tcBorders>
            <w:noWrap w:val="0"/>
            <w:vAlign w:val="center"/>
          </w:tcPr>
          <w:p w14:paraId="13B2F32F">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0.4349</w:t>
            </w:r>
          </w:p>
        </w:tc>
      </w:tr>
      <w:tr w14:paraId="0F9AC9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E3218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w:t>
            </w:r>
          </w:p>
        </w:tc>
        <w:tc>
          <w:tcPr>
            <w:tcW w:w="3685" w:type="dxa"/>
            <w:tcBorders>
              <w:tl2br w:val="nil"/>
              <w:tr2bl w:val="nil"/>
            </w:tcBorders>
            <w:noWrap w:val="0"/>
            <w:vAlign w:val="center"/>
          </w:tcPr>
          <w:p w14:paraId="57F05A9F">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0.0634</w:t>
            </w:r>
          </w:p>
        </w:tc>
        <w:tc>
          <w:tcPr>
            <w:tcW w:w="3769" w:type="dxa"/>
            <w:tcBorders>
              <w:tl2br w:val="nil"/>
              <w:tr2bl w:val="nil"/>
            </w:tcBorders>
            <w:noWrap w:val="0"/>
            <w:vAlign w:val="center"/>
          </w:tcPr>
          <w:p w14:paraId="6216B165">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0.4234</w:t>
            </w:r>
          </w:p>
        </w:tc>
      </w:tr>
      <w:tr w14:paraId="4AD43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621E8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54</w:t>
            </w:r>
          </w:p>
        </w:tc>
        <w:tc>
          <w:tcPr>
            <w:tcW w:w="3685" w:type="dxa"/>
            <w:tcBorders>
              <w:tl2br w:val="nil"/>
              <w:tr2bl w:val="nil"/>
            </w:tcBorders>
            <w:noWrap w:val="0"/>
            <w:vAlign w:val="center"/>
          </w:tcPr>
          <w:p w14:paraId="5764D6D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0.0614</w:t>
            </w:r>
          </w:p>
        </w:tc>
        <w:tc>
          <w:tcPr>
            <w:tcW w:w="3769" w:type="dxa"/>
            <w:tcBorders>
              <w:tl2br w:val="nil"/>
              <w:tr2bl w:val="nil"/>
            </w:tcBorders>
            <w:noWrap w:val="0"/>
            <w:vAlign w:val="center"/>
          </w:tcPr>
          <w:p w14:paraId="7FD268A6">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0.4122</w:t>
            </w:r>
          </w:p>
        </w:tc>
      </w:tr>
      <w:tr w14:paraId="18566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830CD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55</w:t>
            </w:r>
          </w:p>
        </w:tc>
        <w:tc>
          <w:tcPr>
            <w:tcW w:w="3685" w:type="dxa"/>
            <w:tcBorders>
              <w:tl2br w:val="nil"/>
              <w:tr2bl w:val="nil"/>
            </w:tcBorders>
            <w:noWrap w:val="0"/>
            <w:vAlign w:val="center"/>
          </w:tcPr>
          <w:p w14:paraId="34263EF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0.0594</w:t>
            </w:r>
          </w:p>
        </w:tc>
        <w:tc>
          <w:tcPr>
            <w:tcW w:w="3769" w:type="dxa"/>
            <w:tcBorders>
              <w:tl2br w:val="nil"/>
              <w:tr2bl w:val="nil"/>
            </w:tcBorders>
            <w:noWrap w:val="0"/>
            <w:vAlign w:val="center"/>
          </w:tcPr>
          <w:p w14:paraId="6D4FE497">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0.4014</w:t>
            </w:r>
          </w:p>
        </w:tc>
      </w:tr>
      <w:tr w14:paraId="68BEF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562EB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w:t>
            </w:r>
          </w:p>
        </w:tc>
        <w:tc>
          <w:tcPr>
            <w:tcW w:w="3685" w:type="dxa"/>
            <w:tcBorders>
              <w:tl2br w:val="nil"/>
              <w:tr2bl w:val="nil"/>
            </w:tcBorders>
            <w:noWrap w:val="0"/>
            <w:vAlign w:val="center"/>
          </w:tcPr>
          <w:p w14:paraId="01FD6514">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0.0575</w:t>
            </w:r>
          </w:p>
        </w:tc>
        <w:tc>
          <w:tcPr>
            <w:tcW w:w="3769" w:type="dxa"/>
            <w:tcBorders>
              <w:tl2br w:val="nil"/>
              <w:tr2bl w:val="nil"/>
            </w:tcBorders>
            <w:noWrap w:val="0"/>
            <w:vAlign w:val="center"/>
          </w:tcPr>
          <w:p w14:paraId="1F7DC51B">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0.391</w:t>
            </w:r>
          </w:p>
        </w:tc>
      </w:tr>
      <w:tr w14:paraId="4BB06A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02E42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57</w:t>
            </w:r>
          </w:p>
        </w:tc>
        <w:tc>
          <w:tcPr>
            <w:tcW w:w="3685" w:type="dxa"/>
            <w:tcBorders>
              <w:tl2br w:val="nil"/>
              <w:tr2bl w:val="nil"/>
            </w:tcBorders>
            <w:noWrap w:val="0"/>
            <w:vAlign w:val="center"/>
          </w:tcPr>
          <w:p w14:paraId="351829C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0.0556</w:t>
            </w:r>
          </w:p>
        </w:tc>
        <w:tc>
          <w:tcPr>
            <w:tcW w:w="3769" w:type="dxa"/>
            <w:tcBorders>
              <w:tl2br w:val="nil"/>
              <w:tr2bl w:val="nil"/>
            </w:tcBorders>
            <w:noWrap w:val="0"/>
            <w:vAlign w:val="center"/>
          </w:tcPr>
          <w:p w14:paraId="24282C16">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0.3809</w:t>
            </w:r>
          </w:p>
        </w:tc>
      </w:tr>
      <w:tr w14:paraId="08098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7C415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w:t>
            </w:r>
          </w:p>
        </w:tc>
        <w:tc>
          <w:tcPr>
            <w:tcW w:w="3685" w:type="dxa"/>
            <w:tcBorders>
              <w:tl2br w:val="nil"/>
              <w:tr2bl w:val="nil"/>
            </w:tcBorders>
            <w:noWrap w:val="0"/>
            <w:vAlign w:val="center"/>
          </w:tcPr>
          <w:p w14:paraId="3EFE9BE4">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0.0538</w:t>
            </w:r>
          </w:p>
        </w:tc>
        <w:tc>
          <w:tcPr>
            <w:tcW w:w="3769" w:type="dxa"/>
            <w:tcBorders>
              <w:tl2br w:val="nil"/>
              <w:tr2bl w:val="nil"/>
            </w:tcBorders>
            <w:noWrap w:val="0"/>
            <w:vAlign w:val="center"/>
          </w:tcPr>
          <w:p w14:paraId="0E4FECEE">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0.3712</w:t>
            </w:r>
          </w:p>
        </w:tc>
      </w:tr>
      <w:tr w14:paraId="461244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9A283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59</w:t>
            </w:r>
          </w:p>
        </w:tc>
        <w:tc>
          <w:tcPr>
            <w:tcW w:w="3685" w:type="dxa"/>
            <w:tcBorders>
              <w:tl2br w:val="nil"/>
              <w:tr2bl w:val="nil"/>
            </w:tcBorders>
            <w:noWrap w:val="0"/>
            <w:vAlign w:val="center"/>
          </w:tcPr>
          <w:p w14:paraId="036C1CA2">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0.0521</w:t>
            </w:r>
          </w:p>
        </w:tc>
        <w:tc>
          <w:tcPr>
            <w:tcW w:w="3769" w:type="dxa"/>
            <w:tcBorders>
              <w:tl2br w:val="nil"/>
              <w:tr2bl w:val="nil"/>
            </w:tcBorders>
            <w:noWrap w:val="0"/>
            <w:vAlign w:val="center"/>
          </w:tcPr>
          <w:p w14:paraId="493EF537">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0.3618</w:t>
            </w:r>
          </w:p>
        </w:tc>
      </w:tr>
      <w:tr w14:paraId="10116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D14B9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3685" w:type="dxa"/>
            <w:tcBorders>
              <w:tl2br w:val="nil"/>
              <w:tr2bl w:val="nil"/>
            </w:tcBorders>
            <w:noWrap w:val="0"/>
            <w:vAlign w:val="center"/>
          </w:tcPr>
          <w:p w14:paraId="717680A2">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0.0504</w:t>
            </w:r>
          </w:p>
        </w:tc>
        <w:tc>
          <w:tcPr>
            <w:tcW w:w="3769" w:type="dxa"/>
            <w:tcBorders>
              <w:tl2br w:val="nil"/>
              <w:tr2bl w:val="nil"/>
            </w:tcBorders>
            <w:noWrap w:val="0"/>
            <w:vAlign w:val="center"/>
          </w:tcPr>
          <w:p w14:paraId="407DAAA3">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0.3527</w:t>
            </w:r>
          </w:p>
        </w:tc>
      </w:tr>
      <w:tr w14:paraId="7F5B90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C7B72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w:t>
            </w:r>
          </w:p>
        </w:tc>
        <w:tc>
          <w:tcPr>
            <w:tcW w:w="3685" w:type="dxa"/>
            <w:tcBorders>
              <w:tl2br w:val="nil"/>
              <w:tr2bl w:val="nil"/>
            </w:tcBorders>
            <w:noWrap w:val="0"/>
            <w:vAlign w:val="center"/>
          </w:tcPr>
          <w:p w14:paraId="1DAA9CAA">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0.0488</w:t>
            </w:r>
          </w:p>
        </w:tc>
        <w:tc>
          <w:tcPr>
            <w:tcW w:w="3769" w:type="dxa"/>
            <w:tcBorders>
              <w:tl2br w:val="nil"/>
              <w:tr2bl w:val="nil"/>
            </w:tcBorders>
            <w:noWrap w:val="0"/>
            <w:vAlign w:val="center"/>
          </w:tcPr>
          <w:p w14:paraId="57363405">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0.3439</w:t>
            </w:r>
          </w:p>
        </w:tc>
      </w:tr>
      <w:tr w14:paraId="38DD94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8E59F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62</w:t>
            </w:r>
          </w:p>
        </w:tc>
        <w:tc>
          <w:tcPr>
            <w:tcW w:w="3685" w:type="dxa"/>
            <w:tcBorders>
              <w:tl2br w:val="nil"/>
              <w:tr2bl w:val="nil"/>
            </w:tcBorders>
            <w:noWrap w:val="0"/>
            <w:vAlign w:val="center"/>
          </w:tcPr>
          <w:p w14:paraId="0D30039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0.0472</w:t>
            </w:r>
          </w:p>
        </w:tc>
        <w:tc>
          <w:tcPr>
            <w:tcW w:w="3769" w:type="dxa"/>
            <w:tcBorders>
              <w:tl2br w:val="nil"/>
              <w:tr2bl w:val="nil"/>
            </w:tcBorders>
            <w:noWrap w:val="0"/>
            <w:vAlign w:val="center"/>
          </w:tcPr>
          <w:p w14:paraId="7872DE35">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0.3354</w:t>
            </w:r>
          </w:p>
        </w:tc>
      </w:tr>
      <w:tr w14:paraId="356E1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0234C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63</w:t>
            </w:r>
          </w:p>
        </w:tc>
        <w:tc>
          <w:tcPr>
            <w:tcW w:w="3685" w:type="dxa"/>
            <w:tcBorders>
              <w:tl2br w:val="nil"/>
              <w:tr2bl w:val="nil"/>
            </w:tcBorders>
            <w:noWrap w:val="0"/>
            <w:vAlign w:val="center"/>
          </w:tcPr>
          <w:p w14:paraId="769617E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0.0457</w:t>
            </w:r>
          </w:p>
        </w:tc>
        <w:tc>
          <w:tcPr>
            <w:tcW w:w="3769" w:type="dxa"/>
            <w:tcBorders>
              <w:tl2br w:val="nil"/>
              <w:tr2bl w:val="nil"/>
            </w:tcBorders>
            <w:noWrap w:val="0"/>
            <w:vAlign w:val="center"/>
          </w:tcPr>
          <w:p w14:paraId="71087264">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0.3271</w:t>
            </w:r>
          </w:p>
        </w:tc>
      </w:tr>
      <w:tr w14:paraId="5ADF6C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AF445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3685" w:type="dxa"/>
            <w:tcBorders>
              <w:tl2br w:val="nil"/>
              <w:tr2bl w:val="nil"/>
            </w:tcBorders>
            <w:noWrap w:val="0"/>
            <w:vAlign w:val="center"/>
          </w:tcPr>
          <w:p w14:paraId="2ED1B353">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0.0443</w:t>
            </w:r>
          </w:p>
        </w:tc>
        <w:tc>
          <w:tcPr>
            <w:tcW w:w="3769" w:type="dxa"/>
            <w:tcBorders>
              <w:tl2br w:val="nil"/>
              <w:tr2bl w:val="nil"/>
            </w:tcBorders>
            <w:noWrap w:val="0"/>
            <w:vAlign w:val="center"/>
          </w:tcPr>
          <w:p w14:paraId="4BC3A7EF">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0.3192</w:t>
            </w:r>
          </w:p>
        </w:tc>
      </w:tr>
      <w:tr w14:paraId="57340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069B4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65</w:t>
            </w:r>
          </w:p>
        </w:tc>
        <w:tc>
          <w:tcPr>
            <w:tcW w:w="3685" w:type="dxa"/>
            <w:tcBorders>
              <w:tl2br w:val="nil"/>
              <w:tr2bl w:val="nil"/>
            </w:tcBorders>
            <w:noWrap w:val="0"/>
            <w:vAlign w:val="center"/>
          </w:tcPr>
          <w:p w14:paraId="3011C3F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0.0429</w:t>
            </w:r>
          </w:p>
        </w:tc>
        <w:tc>
          <w:tcPr>
            <w:tcW w:w="3769" w:type="dxa"/>
            <w:tcBorders>
              <w:tl2br w:val="nil"/>
              <w:tr2bl w:val="nil"/>
            </w:tcBorders>
            <w:noWrap w:val="0"/>
            <w:vAlign w:val="center"/>
          </w:tcPr>
          <w:p w14:paraId="7259CB2D">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0.3115</w:t>
            </w:r>
          </w:p>
        </w:tc>
      </w:tr>
      <w:tr w14:paraId="1CA9C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3ED0B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w:t>
            </w:r>
          </w:p>
        </w:tc>
        <w:tc>
          <w:tcPr>
            <w:tcW w:w="3685" w:type="dxa"/>
            <w:tcBorders>
              <w:tl2br w:val="nil"/>
              <w:tr2bl w:val="nil"/>
            </w:tcBorders>
            <w:noWrap w:val="0"/>
            <w:vAlign w:val="center"/>
          </w:tcPr>
          <w:p w14:paraId="758C500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0.0416</w:t>
            </w:r>
          </w:p>
        </w:tc>
        <w:tc>
          <w:tcPr>
            <w:tcW w:w="3769" w:type="dxa"/>
            <w:tcBorders>
              <w:tl2br w:val="nil"/>
              <w:tr2bl w:val="nil"/>
            </w:tcBorders>
            <w:noWrap w:val="0"/>
            <w:vAlign w:val="center"/>
          </w:tcPr>
          <w:p w14:paraId="7AE7510E">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0.304</w:t>
            </w:r>
          </w:p>
        </w:tc>
      </w:tr>
      <w:tr w14:paraId="285AD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05F13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67</w:t>
            </w:r>
          </w:p>
        </w:tc>
        <w:tc>
          <w:tcPr>
            <w:tcW w:w="3685" w:type="dxa"/>
            <w:tcBorders>
              <w:tl2br w:val="nil"/>
              <w:tr2bl w:val="nil"/>
            </w:tcBorders>
            <w:noWrap w:val="0"/>
            <w:vAlign w:val="center"/>
          </w:tcPr>
          <w:p w14:paraId="0DB8AA28">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0.0403</w:t>
            </w:r>
          </w:p>
        </w:tc>
        <w:tc>
          <w:tcPr>
            <w:tcW w:w="3769" w:type="dxa"/>
            <w:tcBorders>
              <w:tl2br w:val="nil"/>
              <w:tr2bl w:val="nil"/>
            </w:tcBorders>
            <w:noWrap w:val="0"/>
            <w:vAlign w:val="center"/>
          </w:tcPr>
          <w:p w14:paraId="7AAFD6A0">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0.2968</w:t>
            </w:r>
          </w:p>
        </w:tc>
      </w:tr>
      <w:tr w14:paraId="51D48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F68FA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68</w:t>
            </w:r>
          </w:p>
        </w:tc>
        <w:tc>
          <w:tcPr>
            <w:tcW w:w="3685" w:type="dxa"/>
            <w:tcBorders>
              <w:tl2br w:val="nil"/>
              <w:tr2bl w:val="nil"/>
            </w:tcBorders>
            <w:noWrap w:val="0"/>
            <w:vAlign w:val="center"/>
          </w:tcPr>
          <w:p w14:paraId="108DA1E1">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0.039</w:t>
            </w:r>
          </w:p>
        </w:tc>
        <w:tc>
          <w:tcPr>
            <w:tcW w:w="3769" w:type="dxa"/>
            <w:tcBorders>
              <w:tl2br w:val="nil"/>
              <w:tr2bl w:val="nil"/>
            </w:tcBorders>
            <w:noWrap w:val="0"/>
            <w:vAlign w:val="center"/>
          </w:tcPr>
          <w:p w14:paraId="3838C99F">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0.2899</w:t>
            </w:r>
          </w:p>
        </w:tc>
      </w:tr>
      <w:tr w14:paraId="53508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97B3D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69</w:t>
            </w:r>
          </w:p>
        </w:tc>
        <w:tc>
          <w:tcPr>
            <w:tcW w:w="3685" w:type="dxa"/>
            <w:tcBorders>
              <w:tl2br w:val="nil"/>
              <w:tr2bl w:val="nil"/>
            </w:tcBorders>
            <w:noWrap w:val="0"/>
            <w:vAlign w:val="center"/>
          </w:tcPr>
          <w:p w14:paraId="705AF89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0.0378</w:t>
            </w:r>
          </w:p>
        </w:tc>
        <w:tc>
          <w:tcPr>
            <w:tcW w:w="3769" w:type="dxa"/>
            <w:tcBorders>
              <w:tl2br w:val="nil"/>
              <w:tr2bl w:val="nil"/>
            </w:tcBorders>
            <w:noWrap w:val="0"/>
            <w:vAlign w:val="center"/>
          </w:tcPr>
          <w:p w14:paraId="5B9A3727">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0.2831</w:t>
            </w:r>
          </w:p>
        </w:tc>
      </w:tr>
      <w:tr w14:paraId="6C79D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07DCC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3685" w:type="dxa"/>
            <w:tcBorders>
              <w:tl2br w:val="nil"/>
              <w:tr2bl w:val="nil"/>
            </w:tcBorders>
            <w:noWrap w:val="0"/>
            <w:vAlign w:val="center"/>
          </w:tcPr>
          <w:p w14:paraId="076616E4">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0.0367</w:t>
            </w:r>
          </w:p>
        </w:tc>
        <w:tc>
          <w:tcPr>
            <w:tcW w:w="3769" w:type="dxa"/>
            <w:tcBorders>
              <w:tl2br w:val="nil"/>
              <w:tr2bl w:val="nil"/>
            </w:tcBorders>
            <w:noWrap w:val="0"/>
            <w:vAlign w:val="center"/>
          </w:tcPr>
          <w:p w14:paraId="73552F61">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0.2766</w:t>
            </w:r>
          </w:p>
        </w:tc>
      </w:tr>
      <w:tr w14:paraId="72E42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88408B4">
            <w:pPr>
              <w:snapToGrid w:val="0"/>
              <w:spacing w:line="240" w:lineRule="auto"/>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最大值</w:t>
            </w:r>
          </w:p>
        </w:tc>
        <w:tc>
          <w:tcPr>
            <w:tcW w:w="3685" w:type="dxa"/>
            <w:tcBorders>
              <w:tl2br w:val="nil"/>
              <w:tr2bl w:val="nil"/>
            </w:tcBorders>
            <w:noWrap w:val="0"/>
            <w:vAlign w:val="bottom"/>
          </w:tcPr>
          <w:p w14:paraId="4B1978D3">
            <w:pPr>
              <w:pStyle w:val="71"/>
              <w:kinsoku w:val="0"/>
              <w:overflowPunct w:val="0"/>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0.1368</w:t>
            </w:r>
          </w:p>
        </w:tc>
        <w:tc>
          <w:tcPr>
            <w:tcW w:w="3769" w:type="dxa"/>
            <w:tcBorders>
              <w:tl2br w:val="nil"/>
              <w:tr2bl w:val="nil"/>
            </w:tcBorders>
            <w:noWrap w:val="0"/>
            <w:vAlign w:val="bottom"/>
          </w:tcPr>
          <w:p w14:paraId="0E6DD2D7">
            <w:pPr>
              <w:pStyle w:val="71"/>
              <w:kinsoku w:val="0"/>
              <w:overflowPunct w:val="0"/>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1.3864</w:t>
            </w:r>
          </w:p>
        </w:tc>
      </w:tr>
    </w:tbl>
    <w:p w14:paraId="796A85C3">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cs="Times New Roman"/>
          <w:b/>
          <w:bCs/>
          <w:color w:val="auto"/>
          <w:sz w:val="24"/>
          <w:highlight w:val="none"/>
        </w:rPr>
      </w:pPr>
      <w:r>
        <w:rPr>
          <w:color w:val="auto"/>
        </w:rPr>
        <w:drawing>
          <wp:inline distT="0" distB="0" distL="114300" distR="114300">
            <wp:extent cx="5290185" cy="2702560"/>
            <wp:effectExtent l="4445" t="4445" r="20320" b="17145"/>
            <wp:docPr id="25" name="图表 25" descr="7b0a202020202263686172745265734964223a202232303437363933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27D207D3">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6-</w:t>
      </w:r>
      <w:r>
        <w:rPr>
          <w:rFonts w:hint="default" w:ascii="Times New Roman" w:hAnsi="Times New Roman" w:cs="Times New Roman"/>
          <w:b/>
          <w:bCs/>
          <w:color w:val="auto"/>
          <w:sz w:val="24"/>
          <w:highlight w:val="none"/>
          <w:lang w:val="en-US" w:eastAsia="zh-CN"/>
        </w:rPr>
        <w:t>7</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en-US" w:eastAsia="zh-CN"/>
        </w:rPr>
        <w:t>抬高改造段110千伏单回架空线路</w:t>
      </w:r>
      <w:r>
        <w:rPr>
          <w:rFonts w:hint="default" w:ascii="Times New Roman" w:hAnsi="Times New Roman" w:cs="Times New Roman"/>
          <w:b/>
          <w:bCs/>
          <w:color w:val="auto"/>
          <w:sz w:val="24"/>
          <w:highlight w:val="none"/>
        </w:rPr>
        <w:t>工频电场变化趋势图</w:t>
      </w:r>
    </w:p>
    <w:p w14:paraId="3F98BB58">
      <w:pPr>
        <w:pStyle w:val="10"/>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color w:val="auto"/>
          <w:sz w:val="24"/>
          <w:highlight w:val="none"/>
        </w:rPr>
      </w:pPr>
      <w:r>
        <w:rPr>
          <w:color w:val="auto"/>
        </w:rPr>
        <w:drawing>
          <wp:inline distT="0" distB="0" distL="114300" distR="114300">
            <wp:extent cx="5280025" cy="2665095"/>
            <wp:effectExtent l="4445" t="4445" r="11430" b="16510"/>
            <wp:docPr id="31" name="图表 25" descr="7b0a202020202263686172745265734964223a202232303437363933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0CB6AB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6-</w:t>
      </w:r>
      <w:r>
        <w:rPr>
          <w:rFonts w:hint="default" w:ascii="Times New Roman" w:hAnsi="Times New Roman" w:cs="Times New Roman"/>
          <w:b/>
          <w:bCs/>
          <w:color w:val="auto"/>
          <w:sz w:val="24"/>
          <w:highlight w:val="none"/>
          <w:lang w:val="en-US" w:eastAsia="zh-CN"/>
        </w:rPr>
        <w:t>8</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en-US" w:eastAsia="zh-CN"/>
        </w:rPr>
        <w:t>抬高改造段110千伏单回架空线路</w:t>
      </w:r>
      <w:r>
        <w:rPr>
          <w:rFonts w:hint="default" w:ascii="Times New Roman" w:hAnsi="Times New Roman" w:cs="Times New Roman"/>
          <w:b/>
          <w:bCs/>
          <w:color w:val="auto"/>
          <w:sz w:val="24"/>
          <w:highlight w:val="none"/>
        </w:rPr>
        <w:t>工频</w:t>
      </w:r>
      <w:r>
        <w:rPr>
          <w:rFonts w:hint="default" w:ascii="Times New Roman" w:hAnsi="Times New Roman" w:cs="Times New Roman"/>
          <w:b/>
          <w:bCs/>
          <w:color w:val="auto"/>
          <w:sz w:val="24"/>
          <w:highlight w:val="none"/>
          <w:lang w:eastAsia="zh-CN"/>
        </w:rPr>
        <w:t>磁场</w:t>
      </w:r>
      <w:r>
        <w:rPr>
          <w:rFonts w:hint="default" w:ascii="Times New Roman" w:hAnsi="Times New Roman" w:cs="Times New Roman"/>
          <w:b/>
          <w:bCs/>
          <w:color w:val="auto"/>
          <w:sz w:val="24"/>
          <w:highlight w:val="none"/>
        </w:rPr>
        <w:t>变化趋势图</w:t>
      </w:r>
    </w:p>
    <w:p w14:paraId="7F06AF1F">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ind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③</w:t>
      </w:r>
      <w:r>
        <w:rPr>
          <w:rFonts w:hint="default" w:ascii="Times New Roman" w:hAnsi="Times New Roman" w:cs="Times New Roman"/>
          <w:b w:val="0"/>
          <w:bCs w:val="0"/>
          <w:color w:val="auto"/>
          <w:sz w:val="24"/>
          <w:highlight w:val="none"/>
          <w:lang w:val="en-US" w:eastAsia="zh-CN"/>
        </w:rPr>
        <w:t>11</w:t>
      </w:r>
      <w:r>
        <w:rPr>
          <w:rFonts w:hint="default" w:ascii="Times New Roman" w:hAnsi="Times New Roman" w:cs="Times New Roman"/>
          <w:b w:val="0"/>
          <w:bCs w:val="0"/>
          <w:color w:val="auto"/>
          <w:sz w:val="24"/>
          <w:highlight w:val="none"/>
        </w:rPr>
        <w:t>0</w:t>
      </w:r>
      <w:r>
        <w:rPr>
          <w:rFonts w:hint="default" w:ascii="Times New Roman" w:hAnsi="Times New Roman" w:cs="Times New Roman"/>
          <w:b w:val="0"/>
          <w:bCs w:val="0"/>
          <w:color w:val="auto"/>
          <w:sz w:val="24"/>
          <w:highlight w:val="none"/>
          <w:lang w:val="en-US" w:eastAsia="zh-CN"/>
        </w:rPr>
        <w:t>千伏</w:t>
      </w:r>
      <w:r>
        <w:rPr>
          <w:rFonts w:hint="default" w:ascii="Times New Roman" w:hAnsi="Times New Roman" w:cs="Times New Roman"/>
          <w:color w:val="auto"/>
          <w:sz w:val="24"/>
          <w:highlight w:val="none"/>
        </w:rPr>
        <w:t>双回架空线路</w:t>
      </w:r>
    </w:p>
    <w:p w14:paraId="553624B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双回路架空线路</w:t>
      </w:r>
      <w:r>
        <w:rPr>
          <w:rFonts w:hint="default" w:ascii="Times New Roman" w:hAnsi="Times New Roman" w:cs="Times New Roman"/>
          <w:color w:val="auto"/>
          <w:sz w:val="24"/>
          <w:highlight w:val="none"/>
        </w:rPr>
        <w:t>导线对地</w:t>
      </w:r>
      <w:r>
        <w:rPr>
          <w:rFonts w:hint="default" w:ascii="Times New Roman" w:hAnsi="Times New Roman" w:cs="Times New Roman"/>
          <w:color w:val="auto"/>
          <w:sz w:val="24"/>
          <w:highlight w:val="none"/>
          <w:lang w:val="en-US" w:eastAsia="zh-CN"/>
        </w:rPr>
        <w:t>最低</w:t>
      </w:r>
      <w:r>
        <w:rPr>
          <w:rFonts w:hint="default" w:ascii="Times New Roman" w:hAnsi="Times New Roman" w:cs="Times New Roman"/>
          <w:color w:val="auto"/>
          <w:sz w:val="24"/>
          <w:highlight w:val="none"/>
        </w:rPr>
        <w:t>高度</w:t>
      </w:r>
      <w:r>
        <w:rPr>
          <w:rFonts w:hint="default" w:ascii="Times New Roman" w:hAnsi="Times New Roman" w:cs="Times New Roman"/>
          <w:color w:val="auto"/>
          <w:sz w:val="24"/>
          <w:highlight w:val="none"/>
          <w:lang w:val="en-US" w:eastAsia="zh-CN"/>
        </w:rPr>
        <w:t>为1</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rPr>
        <w:t>m</w:t>
      </w:r>
      <w:r>
        <w:rPr>
          <w:rFonts w:hint="default" w:ascii="Times New Roman" w:hAnsi="Times New Roman" w:eastAsia="宋体" w:cs="Times New Roman"/>
          <w:color w:val="auto"/>
          <w:sz w:val="24"/>
          <w:highlight w:val="none"/>
          <w:lang w:val="en-US" w:eastAsia="zh-CN"/>
        </w:rPr>
        <w:t>时</w:t>
      </w:r>
      <w:r>
        <w:rPr>
          <w:rFonts w:hint="default" w:ascii="Times New Roman" w:hAnsi="Times New Roman" w:cs="Times New Roman"/>
          <w:color w:val="auto"/>
          <w:sz w:val="24"/>
          <w:highlight w:val="none"/>
        </w:rPr>
        <w:t>，垂直线路方向为-</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0m，计算点离地面高1.5m，其线下工频电场强度、工频磁感应强度的计算结果见下表。</w:t>
      </w:r>
    </w:p>
    <w:p w14:paraId="3CD24EE8">
      <w:pPr>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专题表6-</w:t>
      </w: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 xml:space="preserve">  本项目</w:t>
      </w:r>
      <w:r>
        <w:rPr>
          <w:rFonts w:hint="default" w:ascii="Times New Roman" w:hAnsi="Times New Roman" w:cs="Times New Roman"/>
          <w:b/>
          <w:bCs/>
          <w:color w:val="auto"/>
          <w:sz w:val="24"/>
          <w:highlight w:val="none"/>
          <w:lang w:val="en-US" w:eastAsia="zh-CN"/>
        </w:rPr>
        <w:t>11</w:t>
      </w:r>
      <w:r>
        <w:rPr>
          <w:rFonts w:hint="default" w:ascii="Times New Roman" w:hAnsi="Times New Roman" w:cs="Times New Roman"/>
          <w:b/>
          <w:bCs/>
          <w:color w:val="auto"/>
          <w:sz w:val="24"/>
          <w:highlight w:val="none"/>
        </w:rPr>
        <w:t>0</w:t>
      </w:r>
      <w:r>
        <w:rPr>
          <w:rFonts w:hint="default" w:ascii="Times New Roman" w:hAnsi="Times New Roman" w:cs="Times New Roman"/>
          <w:b/>
          <w:bCs/>
          <w:color w:val="auto"/>
          <w:sz w:val="24"/>
          <w:highlight w:val="none"/>
          <w:lang w:val="en-US" w:eastAsia="zh-CN"/>
        </w:rPr>
        <w:t>千伏</w:t>
      </w:r>
      <w:r>
        <w:rPr>
          <w:rFonts w:hint="default" w:ascii="Times New Roman" w:hAnsi="Times New Roman" w:cs="Times New Roman"/>
          <w:b/>
          <w:bCs/>
          <w:color w:val="auto"/>
          <w:sz w:val="24"/>
          <w:highlight w:val="none"/>
        </w:rPr>
        <w:t>双回架空线路电磁计算结果</w:t>
      </w:r>
    </w:p>
    <w:tbl>
      <w:tblPr>
        <w:tblStyle w:val="32"/>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3685"/>
        <w:gridCol w:w="3769"/>
      </w:tblGrid>
      <w:tr w14:paraId="105D6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vMerge w:val="restart"/>
            <w:tcBorders>
              <w:tl2br w:val="nil"/>
              <w:tr2bl w:val="nil"/>
            </w:tcBorders>
            <w:noWrap w:val="0"/>
            <w:vAlign w:val="center"/>
          </w:tcPr>
          <w:p w14:paraId="780F8662">
            <w:pPr>
              <w:pStyle w:val="71"/>
              <w:kinsoku w:val="0"/>
              <w:overflowPunct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距线路走廊中心距离</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lang w:eastAsia="zh-CN"/>
              </w:rPr>
              <w:t>）</w:t>
            </w:r>
          </w:p>
        </w:tc>
        <w:tc>
          <w:tcPr>
            <w:tcW w:w="7454" w:type="dxa"/>
            <w:gridSpan w:val="2"/>
            <w:tcBorders>
              <w:tl2br w:val="nil"/>
              <w:tr2bl w:val="nil"/>
            </w:tcBorders>
            <w:noWrap w:val="0"/>
            <w:vAlign w:val="center"/>
          </w:tcPr>
          <w:p w14:paraId="5501AEB6">
            <w:pPr>
              <w:pStyle w:val="71"/>
              <w:kinsoku w:val="0"/>
              <w:overflowPunct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导线对地高度1</w:t>
            </w:r>
            <w:r>
              <w:rPr>
                <w:rFonts w:hint="eastAsia" w:cs="Times New Roman"/>
                <w:b/>
                <w:bCs/>
                <w:color w:val="auto"/>
                <w:sz w:val="21"/>
                <w:szCs w:val="21"/>
                <w:highlight w:val="none"/>
                <w:lang w:val="en-US" w:eastAsia="zh-CN"/>
              </w:rPr>
              <w:t>5.0</w:t>
            </w:r>
            <w:r>
              <w:rPr>
                <w:rFonts w:hint="default" w:ascii="Times New Roman" w:hAnsi="Times New Roman" w:cs="Times New Roman"/>
                <w:b/>
                <w:bCs/>
                <w:color w:val="auto"/>
                <w:sz w:val="21"/>
                <w:szCs w:val="21"/>
                <w:highlight w:val="none"/>
              </w:rPr>
              <w:t>m</w:t>
            </w:r>
          </w:p>
        </w:tc>
      </w:tr>
      <w:tr w14:paraId="705E0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vMerge w:val="continue"/>
            <w:tcBorders>
              <w:tl2br w:val="nil"/>
              <w:tr2bl w:val="nil"/>
            </w:tcBorders>
            <w:noWrap w:val="0"/>
            <w:vAlign w:val="top"/>
          </w:tcPr>
          <w:p w14:paraId="0347E801">
            <w:pPr>
              <w:spacing w:line="240" w:lineRule="auto"/>
              <w:jc w:val="center"/>
              <w:rPr>
                <w:rFonts w:hint="default" w:ascii="Times New Roman" w:hAnsi="Times New Roman" w:cs="Times New Roman"/>
                <w:b/>
                <w:bCs/>
                <w:color w:val="auto"/>
                <w:kern w:val="0"/>
                <w:sz w:val="21"/>
                <w:szCs w:val="21"/>
                <w:highlight w:val="none"/>
              </w:rPr>
            </w:pPr>
          </w:p>
        </w:tc>
        <w:tc>
          <w:tcPr>
            <w:tcW w:w="3685" w:type="dxa"/>
            <w:tcBorders>
              <w:tl2br w:val="nil"/>
              <w:tr2bl w:val="nil"/>
            </w:tcBorders>
            <w:noWrap w:val="0"/>
            <w:vAlign w:val="center"/>
          </w:tcPr>
          <w:p w14:paraId="19A3CB79">
            <w:pPr>
              <w:pStyle w:val="71"/>
              <w:kinsoku w:val="0"/>
              <w:overflowPunct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工频电场强度（kV/m）</w:t>
            </w:r>
          </w:p>
        </w:tc>
        <w:tc>
          <w:tcPr>
            <w:tcW w:w="3769" w:type="dxa"/>
            <w:tcBorders>
              <w:tl2br w:val="nil"/>
              <w:tr2bl w:val="nil"/>
            </w:tcBorders>
            <w:noWrap w:val="0"/>
            <w:vAlign w:val="center"/>
          </w:tcPr>
          <w:p w14:paraId="0F5E3B58">
            <w:pPr>
              <w:pStyle w:val="71"/>
              <w:kinsoku w:val="0"/>
              <w:overflowPunct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工频磁感应强度（μT）</w:t>
            </w:r>
          </w:p>
        </w:tc>
      </w:tr>
      <w:tr w14:paraId="5B353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019C3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3685" w:type="dxa"/>
            <w:tcBorders>
              <w:tl2br w:val="nil"/>
              <w:tr2bl w:val="nil"/>
            </w:tcBorders>
            <w:noWrap w:val="0"/>
            <w:vAlign w:val="center"/>
          </w:tcPr>
          <w:p w14:paraId="744B76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0.0447</w:t>
            </w:r>
          </w:p>
        </w:tc>
        <w:tc>
          <w:tcPr>
            <w:tcW w:w="3769" w:type="dxa"/>
            <w:tcBorders>
              <w:tl2br w:val="nil"/>
              <w:tr2bl w:val="nil"/>
            </w:tcBorders>
            <w:noWrap w:val="0"/>
            <w:vAlign w:val="center"/>
          </w:tcPr>
          <w:p w14:paraId="1F3646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0.2746</w:t>
            </w:r>
          </w:p>
        </w:tc>
      </w:tr>
      <w:tr w14:paraId="742552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BF430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-69</w:t>
            </w:r>
          </w:p>
        </w:tc>
        <w:tc>
          <w:tcPr>
            <w:tcW w:w="3685" w:type="dxa"/>
            <w:tcBorders>
              <w:tl2br w:val="nil"/>
              <w:tr2bl w:val="nil"/>
            </w:tcBorders>
            <w:noWrap w:val="0"/>
            <w:vAlign w:val="center"/>
          </w:tcPr>
          <w:p w14:paraId="0CECF2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0.0456</w:t>
            </w:r>
          </w:p>
        </w:tc>
        <w:tc>
          <w:tcPr>
            <w:tcW w:w="3769" w:type="dxa"/>
            <w:tcBorders>
              <w:tl2br w:val="nil"/>
              <w:tr2bl w:val="nil"/>
            </w:tcBorders>
            <w:noWrap w:val="0"/>
            <w:vAlign w:val="center"/>
          </w:tcPr>
          <w:p w14:paraId="7C381C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0.2821</w:t>
            </w:r>
          </w:p>
        </w:tc>
      </w:tr>
      <w:tr w14:paraId="3522C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FE6C1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-68</w:t>
            </w:r>
          </w:p>
        </w:tc>
        <w:tc>
          <w:tcPr>
            <w:tcW w:w="3685" w:type="dxa"/>
            <w:tcBorders>
              <w:tl2br w:val="nil"/>
              <w:tr2bl w:val="nil"/>
            </w:tcBorders>
            <w:noWrap w:val="0"/>
            <w:vAlign w:val="center"/>
          </w:tcPr>
          <w:p w14:paraId="3598AF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0.0466</w:t>
            </w:r>
          </w:p>
        </w:tc>
        <w:tc>
          <w:tcPr>
            <w:tcW w:w="3769" w:type="dxa"/>
            <w:tcBorders>
              <w:tl2br w:val="nil"/>
              <w:tr2bl w:val="nil"/>
            </w:tcBorders>
            <w:noWrap w:val="0"/>
            <w:vAlign w:val="center"/>
          </w:tcPr>
          <w:p w14:paraId="102765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0.2899</w:t>
            </w:r>
          </w:p>
        </w:tc>
      </w:tr>
      <w:tr w14:paraId="48F2C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E055A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-67</w:t>
            </w:r>
          </w:p>
        </w:tc>
        <w:tc>
          <w:tcPr>
            <w:tcW w:w="3685" w:type="dxa"/>
            <w:tcBorders>
              <w:tl2br w:val="nil"/>
              <w:tr2bl w:val="nil"/>
            </w:tcBorders>
            <w:noWrap w:val="0"/>
            <w:vAlign w:val="center"/>
          </w:tcPr>
          <w:p w14:paraId="512FEB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0.0476</w:t>
            </w:r>
          </w:p>
        </w:tc>
        <w:tc>
          <w:tcPr>
            <w:tcW w:w="3769" w:type="dxa"/>
            <w:tcBorders>
              <w:tl2br w:val="nil"/>
              <w:tr2bl w:val="nil"/>
            </w:tcBorders>
            <w:noWrap w:val="0"/>
            <w:vAlign w:val="center"/>
          </w:tcPr>
          <w:p w14:paraId="74C5E4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0.2981</w:t>
            </w:r>
          </w:p>
        </w:tc>
      </w:tr>
      <w:tr w14:paraId="5CBC7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16204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w:t>
            </w:r>
          </w:p>
        </w:tc>
        <w:tc>
          <w:tcPr>
            <w:tcW w:w="3685" w:type="dxa"/>
            <w:tcBorders>
              <w:tl2br w:val="nil"/>
              <w:tr2bl w:val="nil"/>
            </w:tcBorders>
            <w:noWrap w:val="0"/>
            <w:vAlign w:val="center"/>
          </w:tcPr>
          <w:p w14:paraId="71ADB3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0.0486</w:t>
            </w:r>
          </w:p>
        </w:tc>
        <w:tc>
          <w:tcPr>
            <w:tcW w:w="3769" w:type="dxa"/>
            <w:tcBorders>
              <w:tl2br w:val="nil"/>
              <w:tr2bl w:val="nil"/>
            </w:tcBorders>
            <w:noWrap w:val="0"/>
            <w:vAlign w:val="center"/>
          </w:tcPr>
          <w:p w14:paraId="4D1DCD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0.3066</w:t>
            </w:r>
          </w:p>
        </w:tc>
      </w:tr>
      <w:tr w14:paraId="2655C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C8785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-65</w:t>
            </w:r>
          </w:p>
        </w:tc>
        <w:tc>
          <w:tcPr>
            <w:tcW w:w="3685" w:type="dxa"/>
            <w:tcBorders>
              <w:tl2br w:val="nil"/>
              <w:tr2bl w:val="nil"/>
            </w:tcBorders>
            <w:noWrap w:val="0"/>
            <w:vAlign w:val="center"/>
          </w:tcPr>
          <w:p w14:paraId="3D0162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0.0496</w:t>
            </w:r>
          </w:p>
        </w:tc>
        <w:tc>
          <w:tcPr>
            <w:tcW w:w="3769" w:type="dxa"/>
            <w:tcBorders>
              <w:tl2br w:val="nil"/>
              <w:tr2bl w:val="nil"/>
            </w:tcBorders>
            <w:noWrap w:val="0"/>
            <w:vAlign w:val="center"/>
          </w:tcPr>
          <w:p w14:paraId="1987B3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0.3154</w:t>
            </w:r>
          </w:p>
        </w:tc>
      </w:tr>
      <w:tr w14:paraId="1055C0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FBC2B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3685" w:type="dxa"/>
            <w:tcBorders>
              <w:tl2br w:val="nil"/>
              <w:tr2bl w:val="nil"/>
            </w:tcBorders>
            <w:noWrap w:val="0"/>
            <w:vAlign w:val="center"/>
          </w:tcPr>
          <w:p w14:paraId="213C3D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0.0507</w:t>
            </w:r>
          </w:p>
        </w:tc>
        <w:tc>
          <w:tcPr>
            <w:tcW w:w="3769" w:type="dxa"/>
            <w:tcBorders>
              <w:tl2br w:val="nil"/>
              <w:tr2bl w:val="nil"/>
            </w:tcBorders>
            <w:noWrap w:val="0"/>
            <w:vAlign w:val="center"/>
          </w:tcPr>
          <w:p w14:paraId="2A0D34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0.3246</w:t>
            </w:r>
          </w:p>
        </w:tc>
      </w:tr>
      <w:tr w14:paraId="253ED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41242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-63</w:t>
            </w:r>
          </w:p>
        </w:tc>
        <w:tc>
          <w:tcPr>
            <w:tcW w:w="3685" w:type="dxa"/>
            <w:tcBorders>
              <w:tl2br w:val="nil"/>
              <w:tr2bl w:val="nil"/>
            </w:tcBorders>
            <w:noWrap w:val="0"/>
            <w:vAlign w:val="center"/>
          </w:tcPr>
          <w:p w14:paraId="5B76F7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0.0517</w:t>
            </w:r>
          </w:p>
        </w:tc>
        <w:tc>
          <w:tcPr>
            <w:tcW w:w="3769" w:type="dxa"/>
            <w:tcBorders>
              <w:tl2br w:val="nil"/>
              <w:tr2bl w:val="nil"/>
            </w:tcBorders>
            <w:noWrap w:val="0"/>
            <w:vAlign w:val="center"/>
          </w:tcPr>
          <w:p w14:paraId="043C2A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0.3342</w:t>
            </w:r>
          </w:p>
        </w:tc>
      </w:tr>
      <w:tr w14:paraId="55C77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4D314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-62</w:t>
            </w:r>
          </w:p>
        </w:tc>
        <w:tc>
          <w:tcPr>
            <w:tcW w:w="3685" w:type="dxa"/>
            <w:tcBorders>
              <w:tl2br w:val="nil"/>
              <w:tr2bl w:val="nil"/>
            </w:tcBorders>
            <w:noWrap w:val="0"/>
            <w:vAlign w:val="center"/>
          </w:tcPr>
          <w:p w14:paraId="5B2312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0.0528</w:t>
            </w:r>
          </w:p>
        </w:tc>
        <w:tc>
          <w:tcPr>
            <w:tcW w:w="3769" w:type="dxa"/>
            <w:tcBorders>
              <w:tl2br w:val="nil"/>
              <w:tr2bl w:val="nil"/>
            </w:tcBorders>
            <w:noWrap w:val="0"/>
            <w:vAlign w:val="center"/>
          </w:tcPr>
          <w:p w14:paraId="711BC6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0.3443</w:t>
            </w:r>
          </w:p>
        </w:tc>
      </w:tr>
      <w:tr w14:paraId="6481A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AAE84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w:t>
            </w:r>
          </w:p>
        </w:tc>
        <w:tc>
          <w:tcPr>
            <w:tcW w:w="3685" w:type="dxa"/>
            <w:tcBorders>
              <w:tl2br w:val="nil"/>
              <w:tr2bl w:val="nil"/>
            </w:tcBorders>
            <w:noWrap w:val="0"/>
            <w:vAlign w:val="center"/>
          </w:tcPr>
          <w:p w14:paraId="672E0F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0.054</w:t>
            </w:r>
          </w:p>
        </w:tc>
        <w:tc>
          <w:tcPr>
            <w:tcW w:w="3769" w:type="dxa"/>
            <w:tcBorders>
              <w:tl2br w:val="nil"/>
              <w:tr2bl w:val="nil"/>
            </w:tcBorders>
            <w:noWrap w:val="0"/>
            <w:vAlign w:val="center"/>
          </w:tcPr>
          <w:p w14:paraId="547FE9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0.3548</w:t>
            </w:r>
          </w:p>
        </w:tc>
      </w:tr>
      <w:tr w14:paraId="68F08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C86D1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3685" w:type="dxa"/>
            <w:tcBorders>
              <w:tl2br w:val="nil"/>
              <w:tr2bl w:val="nil"/>
            </w:tcBorders>
            <w:noWrap w:val="0"/>
            <w:vAlign w:val="center"/>
          </w:tcPr>
          <w:p w14:paraId="3DFD15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0.0551</w:t>
            </w:r>
          </w:p>
        </w:tc>
        <w:tc>
          <w:tcPr>
            <w:tcW w:w="3769" w:type="dxa"/>
            <w:tcBorders>
              <w:tl2br w:val="nil"/>
              <w:tr2bl w:val="nil"/>
            </w:tcBorders>
            <w:noWrap w:val="0"/>
            <w:vAlign w:val="center"/>
          </w:tcPr>
          <w:p w14:paraId="18D584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0.3657</w:t>
            </w:r>
          </w:p>
        </w:tc>
      </w:tr>
      <w:tr w14:paraId="07ADA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95B36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-59</w:t>
            </w:r>
          </w:p>
        </w:tc>
        <w:tc>
          <w:tcPr>
            <w:tcW w:w="3685" w:type="dxa"/>
            <w:tcBorders>
              <w:tl2br w:val="nil"/>
              <w:tr2bl w:val="nil"/>
            </w:tcBorders>
            <w:noWrap w:val="0"/>
            <w:vAlign w:val="center"/>
          </w:tcPr>
          <w:p w14:paraId="7C19D0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0.0563</w:t>
            </w:r>
          </w:p>
        </w:tc>
        <w:tc>
          <w:tcPr>
            <w:tcW w:w="3769" w:type="dxa"/>
            <w:tcBorders>
              <w:tl2br w:val="nil"/>
              <w:tr2bl w:val="nil"/>
            </w:tcBorders>
            <w:noWrap w:val="0"/>
            <w:vAlign w:val="center"/>
          </w:tcPr>
          <w:p w14:paraId="3CFF17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0.3772</w:t>
            </w:r>
          </w:p>
        </w:tc>
      </w:tr>
      <w:tr w14:paraId="7569E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03C22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w:t>
            </w:r>
          </w:p>
        </w:tc>
        <w:tc>
          <w:tcPr>
            <w:tcW w:w="3685" w:type="dxa"/>
            <w:tcBorders>
              <w:tl2br w:val="nil"/>
              <w:tr2bl w:val="nil"/>
            </w:tcBorders>
            <w:noWrap w:val="0"/>
            <w:vAlign w:val="center"/>
          </w:tcPr>
          <w:p w14:paraId="07E06B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0.0575</w:t>
            </w:r>
          </w:p>
        </w:tc>
        <w:tc>
          <w:tcPr>
            <w:tcW w:w="3769" w:type="dxa"/>
            <w:tcBorders>
              <w:tl2br w:val="nil"/>
              <w:tr2bl w:val="nil"/>
            </w:tcBorders>
            <w:noWrap w:val="0"/>
            <w:vAlign w:val="center"/>
          </w:tcPr>
          <w:p w14:paraId="676C96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0.3891</w:t>
            </w:r>
          </w:p>
        </w:tc>
      </w:tr>
      <w:tr w14:paraId="1EDA0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2623A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-57</w:t>
            </w:r>
          </w:p>
        </w:tc>
        <w:tc>
          <w:tcPr>
            <w:tcW w:w="3685" w:type="dxa"/>
            <w:tcBorders>
              <w:tl2br w:val="nil"/>
              <w:tr2bl w:val="nil"/>
            </w:tcBorders>
            <w:noWrap w:val="0"/>
            <w:vAlign w:val="center"/>
          </w:tcPr>
          <w:p w14:paraId="47ABEE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0.0587</w:t>
            </w:r>
          </w:p>
        </w:tc>
        <w:tc>
          <w:tcPr>
            <w:tcW w:w="3769" w:type="dxa"/>
            <w:tcBorders>
              <w:tl2br w:val="nil"/>
              <w:tr2bl w:val="nil"/>
            </w:tcBorders>
            <w:noWrap w:val="0"/>
            <w:vAlign w:val="center"/>
          </w:tcPr>
          <w:p w14:paraId="0CACEB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0.4017</w:t>
            </w:r>
          </w:p>
        </w:tc>
      </w:tr>
      <w:tr w14:paraId="1975DB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8AEE8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w:t>
            </w:r>
          </w:p>
        </w:tc>
        <w:tc>
          <w:tcPr>
            <w:tcW w:w="3685" w:type="dxa"/>
            <w:tcBorders>
              <w:tl2br w:val="nil"/>
              <w:tr2bl w:val="nil"/>
            </w:tcBorders>
            <w:noWrap w:val="0"/>
            <w:vAlign w:val="center"/>
          </w:tcPr>
          <w:p w14:paraId="36E809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0.0599</w:t>
            </w:r>
          </w:p>
        </w:tc>
        <w:tc>
          <w:tcPr>
            <w:tcW w:w="3769" w:type="dxa"/>
            <w:tcBorders>
              <w:tl2br w:val="nil"/>
              <w:tr2bl w:val="nil"/>
            </w:tcBorders>
            <w:noWrap w:val="0"/>
            <w:vAlign w:val="center"/>
          </w:tcPr>
          <w:p w14:paraId="231ACE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0.4148</w:t>
            </w:r>
          </w:p>
        </w:tc>
      </w:tr>
      <w:tr w14:paraId="1B6F0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8CFB9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-55</w:t>
            </w:r>
          </w:p>
        </w:tc>
        <w:tc>
          <w:tcPr>
            <w:tcW w:w="3685" w:type="dxa"/>
            <w:tcBorders>
              <w:tl2br w:val="nil"/>
              <w:tr2bl w:val="nil"/>
            </w:tcBorders>
            <w:noWrap w:val="0"/>
            <w:vAlign w:val="center"/>
          </w:tcPr>
          <w:p w14:paraId="405510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0.0611</w:t>
            </w:r>
          </w:p>
        </w:tc>
        <w:tc>
          <w:tcPr>
            <w:tcW w:w="3769" w:type="dxa"/>
            <w:tcBorders>
              <w:tl2br w:val="nil"/>
              <w:tr2bl w:val="nil"/>
            </w:tcBorders>
            <w:noWrap w:val="0"/>
            <w:vAlign w:val="center"/>
          </w:tcPr>
          <w:p w14:paraId="30353A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0.4286</w:t>
            </w:r>
          </w:p>
        </w:tc>
      </w:tr>
      <w:tr w14:paraId="105A5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EA7E9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-54</w:t>
            </w:r>
          </w:p>
        </w:tc>
        <w:tc>
          <w:tcPr>
            <w:tcW w:w="3685" w:type="dxa"/>
            <w:tcBorders>
              <w:tl2br w:val="nil"/>
              <w:tr2bl w:val="nil"/>
            </w:tcBorders>
            <w:noWrap w:val="0"/>
            <w:vAlign w:val="center"/>
          </w:tcPr>
          <w:p w14:paraId="798250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0.0623</w:t>
            </w:r>
          </w:p>
        </w:tc>
        <w:tc>
          <w:tcPr>
            <w:tcW w:w="3769" w:type="dxa"/>
            <w:tcBorders>
              <w:tl2br w:val="nil"/>
              <w:tr2bl w:val="nil"/>
            </w:tcBorders>
            <w:noWrap w:val="0"/>
            <w:vAlign w:val="center"/>
          </w:tcPr>
          <w:p w14:paraId="1D8431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0.443</w:t>
            </w:r>
          </w:p>
        </w:tc>
      </w:tr>
      <w:tr w14:paraId="1AD1E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CC645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w:t>
            </w:r>
          </w:p>
        </w:tc>
        <w:tc>
          <w:tcPr>
            <w:tcW w:w="3685" w:type="dxa"/>
            <w:tcBorders>
              <w:tl2br w:val="nil"/>
              <w:tr2bl w:val="nil"/>
            </w:tcBorders>
            <w:noWrap w:val="0"/>
            <w:vAlign w:val="center"/>
          </w:tcPr>
          <w:p w14:paraId="425FDE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0.0635</w:t>
            </w:r>
          </w:p>
        </w:tc>
        <w:tc>
          <w:tcPr>
            <w:tcW w:w="3769" w:type="dxa"/>
            <w:tcBorders>
              <w:tl2br w:val="nil"/>
              <w:tr2bl w:val="nil"/>
            </w:tcBorders>
            <w:noWrap w:val="0"/>
            <w:vAlign w:val="center"/>
          </w:tcPr>
          <w:p w14:paraId="30AA7C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0.4582</w:t>
            </w:r>
          </w:p>
        </w:tc>
      </w:tr>
      <w:tr w14:paraId="148046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E69A8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w:t>
            </w:r>
          </w:p>
        </w:tc>
        <w:tc>
          <w:tcPr>
            <w:tcW w:w="3685" w:type="dxa"/>
            <w:tcBorders>
              <w:tl2br w:val="nil"/>
              <w:tr2bl w:val="nil"/>
            </w:tcBorders>
            <w:noWrap w:val="0"/>
            <w:vAlign w:val="center"/>
          </w:tcPr>
          <w:p w14:paraId="189A61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0.0648</w:t>
            </w:r>
          </w:p>
        </w:tc>
        <w:tc>
          <w:tcPr>
            <w:tcW w:w="3769" w:type="dxa"/>
            <w:tcBorders>
              <w:tl2br w:val="nil"/>
              <w:tr2bl w:val="nil"/>
            </w:tcBorders>
            <w:noWrap w:val="0"/>
            <w:vAlign w:val="center"/>
          </w:tcPr>
          <w:p w14:paraId="44036F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0.474</w:t>
            </w:r>
          </w:p>
        </w:tc>
      </w:tr>
      <w:tr w14:paraId="1A0345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842F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-51</w:t>
            </w:r>
          </w:p>
        </w:tc>
        <w:tc>
          <w:tcPr>
            <w:tcW w:w="3685" w:type="dxa"/>
            <w:tcBorders>
              <w:tl2br w:val="nil"/>
              <w:tr2bl w:val="nil"/>
            </w:tcBorders>
            <w:noWrap w:val="0"/>
            <w:vAlign w:val="center"/>
          </w:tcPr>
          <w:p w14:paraId="6867B7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0.066</w:t>
            </w:r>
          </w:p>
        </w:tc>
        <w:tc>
          <w:tcPr>
            <w:tcW w:w="3769" w:type="dxa"/>
            <w:tcBorders>
              <w:tl2br w:val="nil"/>
              <w:tr2bl w:val="nil"/>
            </w:tcBorders>
            <w:noWrap w:val="0"/>
            <w:vAlign w:val="center"/>
          </w:tcPr>
          <w:p w14:paraId="698B2B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0.4908</w:t>
            </w:r>
          </w:p>
        </w:tc>
      </w:tr>
      <w:tr w14:paraId="27AE87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F1EDBD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3685" w:type="dxa"/>
            <w:tcBorders>
              <w:tl2br w:val="nil"/>
              <w:tr2bl w:val="nil"/>
            </w:tcBorders>
            <w:noWrap w:val="0"/>
            <w:vAlign w:val="center"/>
          </w:tcPr>
          <w:p w14:paraId="12D968D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0.0672</w:t>
            </w:r>
          </w:p>
        </w:tc>
        <w:tc>
          <w:tcPr>
            <w:tcW w:w="3769" w:type="dxa"/>
            <w:tcBorders>
              <w:tl2br w:val="nil"/>
              <w:tr2bl w:val="nil"/>
            </w:tcBorders>
            <w:noWrap w:val="0"/>
            <w:vAlign w:val="center"/>
          </w:tcPr>
          <w:p w14:paraId="241C147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0.5083</w:t>
            </w:r>
          </w:p>
        </w:tc>
      </w:tr>
      <w:tr w14:paraId="09AA4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83D2DE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w:t>
            </w:r>
          </w:p>
        </w:tc>
        <w:tc>
          <w:tcPr>
            <w:tcW w:w="3685" w:type="dxa"/>
            <w:tcBorders>
              <w:tl2br w:val="nil"/>
              <w:tr2bl w:val="nil"/>
            </w:tcBorders>
            <w:noWrap w:val="0"/>
            <w:vAlign w:val="center"/>
          </w:tcPr>
          <w:p w14:paraId="4D24EAB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0.0684</w:t>
            </w:r>
          </w:p>
        </w:tc>
        <w:tc>
          <w:tcPr>
            <w:tcW w:w="3769" w:type="dxa"/>
            <w:tcBorders>
              <w:tl2br w:val="nil"/>
              <w:tr2bl w:val="nil"/>
            </w:tcBorders>
            <w:noWrap w:val="0"/>
            <w:vAlign w:val="center"/>
          </w:tcPr>
          <w:p w14:paraId="33AFD61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0.5268</w:t>
            </w:r>
          </w:p>
        </w:tc>
      </w:tr>
      <w:tr w14:paraId="0E66F4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4CF807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w:t>
            </w:r>
          </w:p>
        </w:tc>
        <w:tc>
          <w:tcPr>
            <w:tcW w:w="3685" w:type="dxa"/>
            <w:tcBorders>
              <w:tl2br w:val="nil"/>
              <w:tr2bl w:val="nil"/>
            </w:tcBorders>
            <w:noWrap w:val="0"/>
            <w:vAlign w:val="center"/>
          </w:tcPr>
          <w:p w14:paraId="1140DB5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0.0696</w:t>
            </w:r>
          </w:p>
        </w:tc>
        <w:tc>
          <w:tcPr>
            <w:tcW w:w="3769" w:type="dxa"/>
            <w:tcBorders>
              <w:tl2br w:val="nil"/>
              <w:tr2bl w:val="nil"/>
            </w:tcBorders>
            <w:noWrap w:val="0"/>
            <w:vAlign w:val="center"/>
          </w:tcPr>
          <w:p w14:paraId="0963AF1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0.5462</w:t>
            </w:r>
          </w:p>
        </w:tc>
      </w:tr>
      <w:tr w14:paraId="204DF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91C90E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-47</w:t>
            </w:r>
          </w:p>
        </w:tc>
        <w:tc>
          <w:tcPr>
            <w:tcW w:w="3685" w:type="dxa"/>
            <w:tcBorders>
              <w:tl2br w:val="nil"/>
              <w:tr2bl w:val="nil"/>
            </w:tcBorders>
            <w:noWrap w:val="0"/>
            <w:vAlign w:val="center"/>
          </w:tcPr>
          <w:p w14:paraId="1C50F7C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0.0707</w:t>
            </w:r>
          </w:p>
        </w:tc>
        <w:tc>
          <w:tcPr>
            <w:tcW w:w="3769" w:type="dxa"/>
            <w:tcBorders>
              <w:tl2br w:val="nil"/>
              <w:tr2bl w:val="nil"/>
            </w:tcBorders>
            <w:noWrap w:val="0"/>
            <w:vAlign w:val="center"/>
          </w:tcPr>
          <w:p w14:paraId="41BBC4E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0.5667</w:t>
            </w:r>
          </w:p>
        </w:tc>
      </w:tr>
      <w:tr w14:paraId="71FECA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179E20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3685" w:type="dxa"/>
            <w:tcBorders>
              <w:tl2br w:val="nil"/>
              <w:tr2bl w:val="nil"/>
            </w:tcBorders>
            <w:noWrap w:val="0"/>
            <w:vAlign w:val="center"/>
          </w:tcPr>
          <w:p w14:paraId="1799D58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0.0718</w:t>
            </w:r>
          </w:p>
        </w:tc>
        <w:tc>
          <w:tcPr>
            <w:tcW w:w="3769" w:type="dxa"/>
            <w:tcBorders>
              <w:tl2br w:val="nil"/>
              <w:tr2bl w:val="nil"/>
            </w:tcBorders>
            <w:noWrap w:val="0"/>
            <w:vAlign w:val="center"/>
          </w:tcPr>
          <w:p w14:paraId="757A2C0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0.5883</w:t>
            </w:r>
          </w:p>
        </w:tc>
      </w:tr>
      <w:tr w14:paraId="682DA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6444E3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3685" w:type="dxa"/>
            <w:tcBorders>
              <w:tl2br w:val="nil"/>
              <w:tr2bl w:val="nil"/>
            </w:tcBorders>
            <w:noWrap w:val="0"/>
            <w:vAlign w:val="center"/>
          </w:tcPr>
          <w:p w14:paraId="3AD2B70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0.0728</w:t>
            </w:r>
          </w:p>
        </w:tc>
        <w:tc>
          <w:tcPr>
            <w:tcW w:w="3769" w:type="dxa"/>
            <w:tcBorders>
              <w:tl2br w:val="nil"/>
              <w:tr2bl w:val="nil"/>
            </w:tcBorders>
            <w:noWrap w:val="0"/>
            <w:vAlign w:val="center"/>
          </w:tcPr>
          <w:p w14:paraId="25BC0C5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0.6111</w:t>
            </w:r>
          </w:p>
        </w:tc>
      </w:tr>
      <w:tr w14:paraId="17325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4C3F2E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w:t>
            </w:r>
          </w:p>
        </w:tc>
        <w:tc>
          <w:tcPr>
            <w:tcW w:w="3685" w:type="dxa"/>
            <w:tcBorders>
              <w:tl2br w:val="nil"/>
              <w:tr2bl w:val="nil"/>
            </w:tcBorders>
            <w:noWrap w:val="0"/>
            <w:vAlign w:val="center"/>
          </w:tcPr>
          <w:p w14:paraId="687ADD5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0.0738</w:t>
            </w:r>
          </w:p>
        </w:tc>
        <w:tc>
          <w:tcPr>
            <w:tcW w:w="3769" w:type="dxa"/>
            <w:tcBorders>
              <w:tl2br w:val="nil"/>
              <w:tr2bl w:val="nil"/>
            </w:tcBorders>
            <w:noWrap w:val="0"/>
            <w:vAlign w:val="center"/>
          </w:tcPr>
          <w:p w14:paraId="51472D0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0.6352</w:t>
            </w:r>
          </w:p>
        </w:tc>
      </w:tr>
      <w:tr w14:paraId="6B9F98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2982C5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w:t>
            </w:r>
          </w:p>
        </w:tc>
        <w:tc>
          <w:tcPr>
            <w:tcW w:w="3685" w:type="dxa"/>
            <w:tcBorders>
              <w:tl2br w:val="nil"/>
              <w:tr2bl w:val="nil"/>
            </w:tcBorders>
            <w:noWrap w:val="0"/>
            <w:vAlign w:val="center"/>
          </w:tcPr>
          <w:p w14:paraId="4B54196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0.0746</w:t>
            </w:r>
          </w:p>
        </w:tc>
        <w:tc>
          <w:tcPr>
            <w:tcW w:w="3769" w:type="dxa"/>
            <w:tcBorders>
              <w:tl2br w:val="nil"/>
              <w:tr2bl w:val="nil"/>
            </w:tcBorders>
            <w:noWrap w:val="0"/>
            <w:vAlign w:val="center"/>
          </w:tcPr>
          <w:p w14:paraId="17CB182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0.6606</w:t>
            </w:r>
          </w:p>
        </w:tc>
      </w:tr>
      <w:tr w14:paraId="21B97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427781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685" w:type="dxa"/>
            <w:tcBorders>
              <w:tl2br w:val="nil"/>
              <w:tr2bl w:val="nil"/>
            </w:tcBorders>
            <w:noWrap w:val="0"/>
            <w:vAlign w:val="center"/>
          </w:tcPr>
          <w:p w14:paraId="40E2E34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0.0753</w:t>
            </w:r>
          </w:p>
        </w:tc>
        <w:tc>
          <w:tcPr>
            <w:tcW w:w="3769" w:type="dxa"/>
            <w:tcBorders>
              <w:tl2br w:val="nil"/>
              <w:tr2bl w:val="nil"/>
            </w:tcBorders>
            <w:noWrap w:val="0"/>
            <w:vAlign w:val="center"/>
          </w:tcPr>
          <w:p w14:paraId="255B9CA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0.6875</w:t>
            </w:r>
          </w:p>
        </w:tc>
      </w:tr>
      <w:tr w14:paraId="73B26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11F07F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685" w:type="dxa"/>
            <w:tcBorders>
              <w:tl2br w:val="nil"/>
              <w:tr2bl w:val="nil"/>
            </w:tcBorders>
            <w:noWrap w:val="0"/>
            <w:vAlign w:val="center"/>
          </w:tcPr>
          <w:p w14:paraId="1C7AE3B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0.0759</w:t>
            </w:r>
          </w:p>
        </w:tc>
        <w:tc>
          <w:tcPr>
            <w:tcW w:w="3769" w:type="dxa"/>
            <w:tcBorders>
              <w:tl2br w:val="nil"/>
              <w:tr2bl w:val="nil"/>
            </w:tcBorders>
            <w:noWrap w:val="0"/>
            <w:vAlign w:val="center"/>
          </w:tcPr>
          <w:p w14:paraId="2C100C9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0.7159</w:t>
            </w:r>
          </w:p>
        </w:tc>
      </w:tr>
      <w:tr w14:paraId="46F10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1EA5E8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3685" w:type="dxa"/>
            <w:tcBorders>
              <w:tl2br w:val="nil"/>
              <w:tr2bl w:val="nil"/>
            </w:tcBorders>
            <w:noWrap w:val="0"/>
            <w:vAlign w:val="center"/>
          </w:tcPr>
          <w:p w14:paraId="4E00F94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0.0763</w:t>
            </w:r>
          </w:p>
        </w:tc>
        <w:tc>
          <w:tcPr>
            <w:tcW w:w="3769" w:type="dxa"/>
            <w:tcBorders>
              <w:tl2br w:val="nil"/>
              <w:tr2bl w:val="nil"/>
            </w:tcBorders>
            <w:noWrap w:val="0"/>
            <w:vAlign w:val="center"/>
          </w:tcPr>
          <w:p w14:paraId="73572D4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0.746</w:t>
            </w:r>
          </w:p>
        </w:tc>
      </w:tr>
      <w:tr w14:paraId="53C9F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D3E542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3685" w:type="dxa"/>
            <w:tcBorders>
              <w:tl2br w:val="nil"/>
              <w:tr2bl w:val="nil"/>
            </w:tcBorders>
            <w:noWrap w:val="0"/>
            <w:vAlign w:val="center"/>
          </w:tcPr>
          <w:p w14:paraId="66C17F1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0.0765</w:t>
            </w:r>
          </w:p>
        </w:tc>
        <w:tc>
          <w:tcPr>
            <w:tcW w:w="3769" w:type="dxa"/>
            <w:tcBorders>
              <w:tl2br w:val="nil"/>
              <w:tr2bl w:val="nil"/>
            </w:tcBorders>
            <w:noWrap w:val="0"/>
            <w:vAlign w:val="center"/>
          </w:tcPr>
          <w:p w14:paraId="00C19E2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0.7778</w:t>
            </w:r>
          </w:p>
        </w:tc>
      </w:tr>
      <w:tr w14:paraId="5B389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B894E7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3685" w:type="dxa"/>
            <w:tcBorders>
              <w:tl2br w:val="nil"/>
              <w:tr2bl w:val="nil"/>
            </w:tcBorders>
            <w:noWrap w:val="0"/>
            <w:vAlign w:val="center"/>
          </w:tcPr>
          <w:p w14:paraId="7681511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0.0765</w:t>
            </w:r>
          </w:p>
        </w:tc>
        <w:tc>
          <w:tcPr>
            <w:tcW w:w="3769" w:type="dxa"/>
            <w:tcBorders>
              <w:tl2br w:val="nil"/>
              <w:tr2bl w:val="nil"/>
            </w:tcBorders>
            <w:noWrap w:val="0"/>
            <w:vAlign w:val="center"/>
          </w:tcPr>
          <w:p w14:paraId="2122B66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0.8116</w:t>
            </w:r>
          </w:p>
        </w:tc>
      </w:tr>
      <w:tr w14:paraId="01D9D8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17135E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w:t>
            </w:r>
          </w:p>
        </w:tc>
        <w:tc>
          <w:tcPr>
            <w:tcW w:w="3685" w:type="dxa"/>
            <w:tcBorders>
              <w:tl2br w:val="nil"/>
              <w:tr2bl w:val="nil"/>
            </w:tcBorders>
            <w:noWrap w:val="0"/>
            <w:vAlign w:val="center"/>
          </w:tcPr>
          <w:p w14:paraId="203BD52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0.0761</w:t>
            </w:r>
          </w:p>
        </w:tc>
        <w:tc>
          <w:tcPr>
            <w:tcW w:w="3769" w:type="dxa"/>
            <w:tcBorders>
              <w:tl2br w:val="nil"/>
              <w:tr2bl w:val="nil"/>
            </w:tcBorders>
            <w:noWrap w:val="0"/>
            <w:vAlign w:val="center"/>
          </w:tcPr>
          <w:p w14:paraId="22753B7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0.8475</w:t>
            </w:r>
          </w:p>
        </w:tc>
      </w:tr>
      <w:tr w14:paraId="65C75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4ACA9D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3685" w:type="dxa"/>
            <w:tcBorders>
              <w:tl2br w:val="nil"/>
              <w:tr2bl w:val="nil"/>
            </w:tcBorders>
            <w:noWrap w:val="0"/>
            <w:vAlign w:val="center"/>
          </w:tcPr>
          <w:p w14:paraId="1A94A18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0.0754</w:t>
            </w:r>
          </w:p>
        </w:tc>
        <w:tc>
          <w:tcPr>
            <w:tcW w:w="3769" w:type="dxa"/>
            <w:tcBorders>
              <w:tl2br w:val="nil"/>
              <w:tr2bl w:val="nil"/>
            </w:tcBorders>
            <w:noWrap w:val="0"/>
            <w:vAlign w:val="center"/>
          </w:tcPr>
          <w:p w14:paraId="22FB66F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0.8855</w:t>
            </w:r>
          </w:p>
        </w:tc>
      </w:tr>
      <w:tr w14:paraId="3169B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A57933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685" w:type="dxa"/>
            <w:tcBorders>
              <w:tl2br w:val="nil"/>
              <w:tr2bl w:val="nil"/>
            </w:tcBorders>
            <w:noWrap w:val="0"/>
            <w:vAlign w:val="center"/>
          </w:tcPr>
          <w:p w14:paraId="6DF685D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0.0744</w:t>
            </w:r>
          </w:p>
        </w:tc>
        <w:tc>
          <w:tcPr>
            <w:tcW w:w="3769" w:type="dxa"/>
            <w:tcBorders>
              <w:tl2br w:val="nil"/>
              <w:tr2bl w:val="nil"/>
            </w:tcBorders>
            <w:noWrap w:val="0"/>
            <w:vAlign w:val="center"/>
          </w:tcPr>
          <w:p w14:paraId="3275C58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0.9259</w:t>
            </w:r>
          </w:p>
        </w:tc>
      </w:tr>
      <w:tr w14:paraId="3712F5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1DB38C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3685" w:type="dxa"/>
            <w:tcBorders>
              <w:tl2br w:val="nil"/>
              <w:tr2bl w:val="nil"/>
            </w:tcBorders>
            <w:noWrap w:val="0"/>
            <w:vAlign w:val="center"/>
          </w:tcPr>
          <w:p w14:paraId="0808F0C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0.0728</w:t>
            </w:r>
          </w:p>
        </w:tc>
        <w:tc>
          <w:tcPr>
            <w:tcW w:w="3769" w:type="dxa"/>
            <w:tcBorders>
              <w:tl2br w:val="nil"/>
              <w:tr2bl w:val="nil"/>
            </w:tcBorders>
            <w:noWrap w:val="0"/>
            <w:vAlign w:val="center"/>
          </w:tcPr>
          <w:p w14:paraId="43DA8B1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0.9688</w:t>
            </w:r>
          </w:p>
        </w:tc>
      </w:tr>
      <w:tr w14:paraId="59966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CE562D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3685" w:type="dxa"/>
            <w:tcBorders>
              <w:tl2br w:val="nil"/>
              <w:tr2bl w:val="nil"/>
            </w:tcBorders>
            <w:noWrap w:val="0"/>
            <w:vAlign w:val="center"/>
          </w:tcPr>
          <w:p w14:paraId="6A92444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0.0707</w:t>
            </w:r>
          </w:p>
        </w:tc>
        <w:tc>
          <w:tcPr>
            <w:tcW w:w="3769" w:type="dxa"/>
            <w:tcBorders>
              <w:tl2br w:val="nil"/>
              <w:tr2bl w:val="nil"/>
            </w:tcBorders>
            <w:noWrap w:val="0"/>
            <w:vAlign w:val="center"/>
          </w:tcPr>
          <w:p w14:paraId="345FB5F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1.0145</w:t>
            </w:r>
          </w:p>
        </w:tc>
      </w:tr>
      <w:tr w14:paraId="768B95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A53C2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3685" w:type="dxa"/>
            <w:tcBorders>
              <w:tl2br w:val="nil"/>
              <w:tr2bl w:val="nil"/>
            </w:tcBorders>
            <w:noWrap w:val="0"/>
            <w:vAlign w:val="center"/>
          </w:tcPr>
          <w:p w14:paraId="2B1A957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0.068</w:t>
            </w:r>
          </w:p>
        </w:tc>
        <w:tc>
          <w:tcPr>
            <w:tcW w:w="3769" w:type="dxa"/>
            <w:tcBorders>
              <w:tl2br w:val="nil"/>
              <w:tr2bl w:val="nil"/>
            </w:tcBorders>
            <w:noWrap w:val="0"/>
            <w:vAlign w:val="center"/>
          </w:tcPr>
          <w:p w14:paraId="0D9AF08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1.0631</w:t>
            </w:r>
          </w:p>
        </w:tc>
      </w:tr>
      <w:tr w14:paraId="67B297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4B49D9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3685" w:type="dxa"/>
            <w:tcBorders>
              <w:tl2br w:val="nil"/>
              <w:tr2bl w:val="nil"/>
            </w:tcBorders>
            <w:noWrap w:val="0"/>
            <w:vAlign w:val="center"/>
          </w:tcPr>
          <w:p w14:paraId="33B4CB6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0.0646</w:t>
            </w:r>
          </w:p>
        </w:tc>
        <w:tc>
          <w:tcPr>
            <w:tcW w:w="3769" w:type="dxa"/>
            <w:tcBorders>
              <w:tl2br w:val="nil"/>
              <w:tr2bl w:val="nil"/>
            </w:tcBorders>
            <w:noWrap w:val="0"/>
            <w:vAlign w:val="center"/>
          </w:tcPr>
          <w:p w14:paraId="31207ED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1.1147</w:t>
            </w:r>
          </w:p>
        </w:tc>
      </w:tr>
      <w:tr w14:paraId="47FC8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44EE86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3685" w:type="dxa"/>
            <w:tcBorders>
              <w:tl2br w:val="nil"/>
              <w:tr2bl w:val="nil"/>
            </w:tcBorders>
            <w:noWrap w:val="0"/>
            <w:vAlign w:val="center"/>
          </w:tcPr>
          <w:p w14:paraId="7752EA5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0.0603</w:t>
            </w:r>
          </w:p>
        </w:tc>
        <w:tc>
          <w:tcPr>
            <w:tcW w:w="3769" w:type="dxa"/>
            <w:tcBorders>
              <w:tl2br w:val="nil"/>
              <w:tr2bl w:val="nil"/>
            </w:tcBorders>
            <w:noWrap w:val="0"/>
            <w:vAlign w:val="center"/>
          </w:tcPr>
          <w:p w14:paraId="5EF51A4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1.1698</w:t>
            </w:r>
          </w:p>
        </w:tc>
      </w:tr>
      <w:tr w14:paraId="742BB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109CB7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3685" w:type="dxa"/>
            <w:tcBorders>
              <w:tl2br w:val="nil"/>
              <w:tr2bl w:val="nil"/>
            </w:tcBorders>
            <w:noWrap w:val="0"/>
            <w:vAlign w:val="center"/>
          </w:tcPr>
          <w:p w14:paraId="1A2A636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0.0552</w:t>
            </w:r>
          </w:p>
        </w:tc>
        <w:tc>
          <w:tcPr>
            <w:tcW w:w="3769" w:type="dxa"/>
            <w:tcBorders>
              <w:tl2br w:val="nil"/>
              <w:tr2bl w:val="nil"/>
            </w:tcBorders>
            <w:noWrap w:val="0"/>
            <w:vAlign w:val="center"/>
          </w:tcPr>
          <w:p w14:paraId="6DB0902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1.2283</w:t>
            </w:r>
          </w:p>
        </w:tc>
      </w:tr>
      <w:tr w14:paraId="3AB6E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3824CC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685" w:type="dxa"/>
            <w:tcBorders>
              <w:tl2br w:val="nil"/>
              <w:tr2bl w:val="nil"/>
            </w:tcBorders>
            <w:noWrap w:val="0"/>
            <w:vAlign w:val="center"/>
          </w:tcPr>
          <w:p w14:paraId="095A3B7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0.0491</w:t>
            </w:r>
          </w:p>
        </w:tc>
        <w:tc>
          <w:tcPr>
            <w:tcW w:w="3769" w:type="dxa"/>
            <w:tcBorders>
              <w:tl2br w:val="nil"/>
              <w:tr2bl w:val="nil"/>
            </w:tcBorders>
            <w:noWrap w:val="0"/>
            <w:vAlign w:val="center"/>
          </w:tcPr>
          <w:p w14:paraId="0FD1AAC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1.2907</w:t>
            </w:r>
          </w:p>
        </w:tc>
      </w:tr>
      <w:tr w14:paraId="4886C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0441B7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w:t>
            </w:r>
          </w:p>
        </w:tc>
        <w:tc>
          <w:tcPr>
            <w:tcW w:w="3685" w:type="dxa"/>
            <w:tcBorders>
              <w:tl2br w:val="nil"/>
              <w:tr2bl w:val="nil"/>
            </w:tcBorders>
            <w:noWrap w:val="0"/>
            <w:vAlign w:val="center"/>
          </w:tcPr>
          <w:p w14:paraId="036B552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0.042</w:t>
            </w:r>
          </w:p>
        </w:tc>
        <w:tc>
          <w:tcPr>
            <w:tcW w:w="3769" w:type="dxa"/>
            <w:tcBorders>
              <w:tl2br w:val="nil"/>
              <w:tr2bl w:val="nil"/>
            </w:tcBorders>
            <w:noWrap w:val="0"/>
            <w:vAlign w:val="center"/>
          </w:tcPr>
          <w:p w14:paraId="3B716B9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1.3572</w:t>
            </w:r>
          </w:p>
        </w:tc>
      </w:tr>
      <w:tr w14:paraId="2A28C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3D55A1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685" w:type="dxa"/>
            <w:tcBorders>
              <w:tl2br w:val="nil"/>
              <w:tr2bl w:val="nil"/>
            </w:tcBorders>
            <w:noWrap w:val="0"/>
            <w:vAlign w:val="center"/>
          </w:tcPr>
          <w:p w14:paraId="1092452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0.0342</w:t>
            </w:r>
          </w:p>
        </w:tc>
        <w:tc>
          <w:tcPr>
            <w:tcW w:w="3769" w:type="dxa"/>
            <w:tcBorders>
              <w:tl2br w:val="nil"/>
              <w:tr2bl w:val="nil"/>
            </w:tcBorders>
            <w:noWrap w:val="0"/>
            <w:vAlign w:val="center"/>
          </w:tcPr>
          <w:p w14:paraId="35353FE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1.4279</w:t>
            </w:r>
          </w:p>
        </w:tc>
      </w:tr>
      <w:tr w14:paraId="0AA832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7D1A7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3685" w:type="dxa"/>
            <w:tcBorders>
              <w:tl2br w:val="nil"/>
              <w:tr2bl w:val="nil"/>
            </w:tcBorders>
            <w:noWrap w:val="0"/>
            <w:vAlign w:val="center"/>
          </w:tcPr>
          <w:p w14:paraId="1AE3E3C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0.0268</w:t>
            </w:r>
          </w:p>
        </w:tc>
        <w:tc>
          <w:tcPr>
            <w:tcW w:w="3769" w:type="dxa"/>
            <w:tcBorders>
              <w:tl2br w:val="nil"/>
              <w:tr2bl w:val="nil"/>
            </w:tcBorders>
            <w:noWrap w:val="0"/>
            <w:vAlign w:val="center"/>
          </w:tcPr>
          <w:p w14:paraId="1929855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1.5031</w:t>
            </w:r>
          </w:p>
        </w:tc>
      </w:tr>
      <w:tr w14:paraId="46B61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B4587A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3685" w:type="dxa"/>
            <w:tcBorders>
              <w:tl2br w:val="nil"/>
              <w:tr2bl w:val="nil"/>
            </w:tcBorders>
            <w:noWrap w:val="0"/>
            <w:vAlign w:val="center"/>
          </w:tcPr>
          <w:p w14:paraId="476A6E2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0.0229</w:t>
            </w:r>
          </w:p>
        </w:tc>
        <w:tc>
          <w:tcPr>
            <w:tcW w:w="3769" w:type="dxa"/>
            <w:tcBorders>
              <w:tl2br w:val="nil"/>
              <w:tr2bl w:val="nil"/>
            </w:tcBorders>
            <w:noWrap w:val="0"/>
            <w:vAlign w:val="center"/>
          </w:tcPr>
          <w:p w14:paraId="3B26F70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1.5832</w:t>
            </w:r>
          </w:p>
        </w:tc>
      </w:tr>
      <w:tr w14:paraId="3088DC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D0CB97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685" w:type="dxa"/>
            <w:tcBorders>
              <w:tl2br w:val="nil"/>
              <w:tr2bl w:val="nil"/>
            </w:tcBorders>
            <w:noWrap w:val="0"/>
            <w:vAlign w:val="center"/>
          </w:tcPr>
          <w:p w14:paraId="3C0DB0B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0.0279</w:t>
            </w:r>
          </w:p>
        </w:tc>
        <w:tc>
          <w:tcPr>
            <w:tcW w:w="3769" w:type="dxa"/>
            <w:tcBorders>
              <w:tl2br w:val="nil"/>
              <w:tr2bl w:val="nil"/>
            </w:tcBorders>
            <w:noWrap w:val="0"/>
            <w:vAlign w:val="center"/>
          </w:tcPr>
          <w:p w14:paraId="1BA396E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1.6682</w:t>
            </w:r>
          </w:p>
        </w:tc>
      </w:tr>
      <w:tr w14:paraId="64236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95B6DF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3685" w:type="dxa"/>
            <w:tcBorders>
              <w:tl2br w:val="nil"/>
              <w:tr2bl w:val="nil"/>
            </w:tcBorders>
            <w:noWrap w:val="0"/>
            <w:vAlign w:val="center"/>
          </w:tcPr>
          <w:p w14:paraId="566BB16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0.0414</w:t>
            </w:r>
          </w:p>
        </w:tc>
        <w:tc>
          <w:tcPr>
            <w:tcW w:w="3769" w:type="dxa"/>
            <w:tcBorders>
              <w:tl2br w:val="nil"/>
              <w:tr2bl w:val="nil"/>
            </w:tcBorders>
            <w:noWrap w:val="0"/>
            <w:vAlign w:val="center"/>
          </w:tcPr>
          <w:p w14:paraId="16B51AF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1.7584</w:t>
            </w:r>
          </w:p>
        </w:tc>
      </w:tr>
      <w:tr w14:paraId="512A9E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AB306E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3685" w:type="dxa"/>
            <w:tcBorders>
              <w:tl2br w:val="nil"/>
              <w:tr2bl w:val="nil"/>
            </w:tcBorders>
            <w:noWrap w:val="0"/>
            <w:vAlign w:val="center"/>
          </w:tcPr>
          <w:p w14:paraId="44CCC4A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0.0605</w:t>
            </w:r>
          </w:p>
        </w:tc>
        <w:tc>
          <w:tcPr>
            <w:tcW w:w="3769" w:type="dxa"/>
            <w:tcBorders>
              <w:tl2br w:val="nil"/>
              <w:tr2bl w:val="nil"/>
            </w:tcBorders>
            <w:noWrap w:val="0"/>
            <w:vAlign w:val="center"/>
          </w:tcPr>
          <w:p w14:paraId="0AEB5D4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1.8539</w:t>
            </w:r>
          </w:p>
        </w:tc>
      </w:tr>
      <w:tr w14:paraId="2654B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CF4624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3685" w:type="dxa"/>
            <w:tcBorders>
              <w:tl2br w:val="nil"/>
              <w:tr2bl w:val="nil"/>
            </w:tcBorders>
            <w:noWrap w:val="0"/>
            <w:vAlign w:val="center"/>
          </w:tcPr>
          <w:p w14:paraId="22A2F32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0.0839</w:t>
            </w:r>
          </w:p>
        </w:tc>
        <w:tc>
          <w:tcPr>
            <w:tcW w:w="3769" w:type="dxa"/>
            <w:tcBorders>
              <w:tl2br w:val="nil"/>
              <w:tr2bl w:val="nil"/>
            </w:tcBorders>
            <w:noWrap w:val="0"/>
            <w:vAlign w:val="center"/>
          </w:tcPr>
          <w:p w14:paraId="6F54B5D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1.9549</w:t>
            </w:r>
          </w:p>
        </w:tc>
      </w:tr>
      <w:tr w14:paraId="76AC1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FCF11F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3685" w:type="dxa"/>
            <w:tcBorders>
              <w:tl2br w:val="nil"/>
              <w:tr2bl w:val="nil"/>
            </w:tcBorders>
            <w:noWrap w:val="0"/>
            <w:vAlign w:val="center"/>
          </w:tcPr>
          <w:p w14:paraId="583D101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0.1114</w:t>
            </w:r>
          </w:p>
        </w:tc>
        <w:tc>
          <w:tcPr>
            <w:tcW w:w="3769" w:type="dxa"/>
            <w:tcBorders>
              <w:tl2br w:val="nil"/>
              <w:tr2bl w:val="nil"/>
            </w:tcBorders>
            <w:noWrap w:val="0"/>
            <w:vAlign w:val="center"/>
          </w:tcPr>
          <w:p w14:paraId="6643C39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2.0614</w:t>
            </w:r>
          </w:p>
        </w:tc>
      </w:tr>
      <w:tr w14:paraId="37BAC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80E0D0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3685" w:type="dxa"/>
            <w:tcBorders>
              <w:tl2br w:val="nil"/>
              <w:tr2bl w:val="nil"/>
            </w:tcBorders>
            <w:noWrap w:val="0"/>
            <w:vAlign w:val="center"/>
          </w:tcPr>
          <w:p w14:paraId="71AD132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0.143</w:t>
            </w:r>
          </w:p>
        </w:tc>
        <w:tc>
          <w:tcPr>
            <w:tcW w:w="3769" w:type="dxa"/>
            <w:tcBorders>
              <w:tl2br w:val="nil"/>
              <w:tr2bl w:val="nil"/>
            </w:tcBorders>
            <w:noWrap w:val="0"/>
            <w:vAlign w:val="center"/>
          </w:tcPr>
          <w:p w14:paraId="7E76DD8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2.1732</w:t>
            </w:r>
          </w:p>
        </w:tc>
      </w:tr>
      <w:tr w14:paraId="5A56FB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9B3D6B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3685" w:type="dxa"/>
            <w:tcBorders>
              <w:tl2br w:val="nil"/>
              <w:tr2bl w:val="nil"/>
            </w:tcBorders>
            <w:noWrap w:val="0"/>
            <w:vAlign w:val="center"/>
          </w:tcPr>
          <w:p w14:paraId="7BC356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0.1787</w:t>
            </w:r>
          </w:p>
        </w:tc>
        <w:tc>
          <w:tcPr>
            <w:tcW w:w="3769" w:type="dxa"/>
            <w:tcBorders>
              <w:tl2br w:val="nil"/>
              <w:tr2bl w:val="nil"/>
            </w:tcBorders>
            <w:noWrap w:val="0"/>
            <w:vAlign w:val="center"/>
          </w:tcPr>
          <w:p w14:paraId="0D8A3B8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2.2902</w:t>
            </w:r>
          </w:p>
        </w:tc>
      </w:tr>
      <w:tr w14:paraId="0ED06A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F4FD8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3685" w:type="dxa"/>
            <w:tcBorders>
              <w:tl2br w:val="nil"/>
              <w:tr2bl w:val="nil"/>
            </w:tcBorders>
            <w:noWrap w:val="0"/>
            <w:vAlign w:val="center"/>
          </w:tcPr>
          <w:p w14:paraId="62553AD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0.2186</w:t>
            </w:r>
          </w:p>
        </w:tc>
        <w:tc>
          <w:tcPr>
            <w:tcW w:w="3769" w:type="dxa"/>
            <w:tcBorders>
              <w:tl2br w:val="nil"/>
              <w:tr2bl w:val="nil"/>
            </w:tcBorders>
            <w:noWrap w:val="0"/>
            <w:vAlign w:val="center"/>
          </w:tcPr>
          <w:p w14:paraId="13F6C78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2.4119</w:t>
            </w:r>
          </w:p>
        </w:tc>
      </w:tr>
      <w:tr w14:paraId="26726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4C3348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3685" w:type="dxa"/>
            <w:tcBorders>
              <w:tl2br w:val="nil"/>
              <w:tr2bl w:val="nil"/>
            </w:tcBorders>
            <w:noWrap w:val="0"/>
            <w:vAlign w:val="center"/>
          </w:tcPr>
          <w:p w14:paraId="4D8210C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0.2627</w:t>
            </w:r>
          </w:p>
        </w:tc>
        <w:tc>
          <w:tcPr>
            <w:tcW w:w="3769" w:type="dxa"/>
            <w:tcBorders>
              <w:tl2br w:val="nil"/>
              <w:tr2bl w:val="nil"/>
            </w:tcBorders>
            <w:noWrap w:val="0"/>
            <w:vAlign w:val="center"/>
          </w:tcPr>
          <w:p w14:paraId="35474E7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2.5377</w:t>
            </w:r>
          </w:p>
        </w:tc>
      </w:tr>
      <w:tr w14:paraId="0B68D4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AAC6C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685" w:type="dxa"/>
            <w:tcBorders>
              <w:tl2br w:val="nil"/>
              <w:tr2bl w:val="nil"/>
            </w:tcBorders>
            <w:noWrap w:val="0"/>
            <w:vAlign w:val="center"/>
          </w:tcPr>
          <w:p w14:paraId="736D729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0.3109</w:t>
            </w:r>
          </w:p>
        </w:tc>
        <w:tc>
          <w:tcPr>
            <w:tcW w:w="3769" w:type="dxa"/>
            <w:tcBorders>
              <w:tl2br w:val="nil"/>
              <w:tr2bl w:val="nil"/>
            </w:tcBorders>
            <w:noWrap w:val="0"/>
            <w:vAlign w:val="center"/>
          </w:tcPr>
          <w:p w14:paraId="18498FC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2.6668</w:t>
            </w:r>
          </w:p>
        </w:tc>
      </w:tr>
      <w:tr w14:paraId="08BBD6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FE109C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685" w:type="dxa"/>
            <w:tcBorders>
              <w:tl2br w:val="nil"/>
              <w:tr2bl w:val="nil"/>
            </w:tcBorders>
            <w:noWrap w:val="0"/>
            <w:vAlign w:val="center"/>
          </w:tcPr>
          <w:p w14:paraId="6AFC56A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0.3625</w:t>
            </w:r>
          </w:p>
        </w:tc>
        <w:tc>
          <w:tcPr>
            <w:tcW w:w="3769" w:type="dxa"/>
            <w:tcBorders>
              <w:tl2br w:val="nil"/>
              <w:tr2bl w:val="nil"/>
            </w:tcBorders>
            <w:noWrap w:val="0"/>
            <w:vAlign w:val="center"/>
          </w:tcPr>
          <w:p w14:paraId="582761D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2.798</w:t>
            </w:r>
          </w:p>
        </w:tc>
      </w:tr>
      <w:tr w14:paraId="77032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15FD75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685" w:type="dxa"/>
            <w:tcBorders>
              <w:tl2br w:val="nil"/>
              <w:tr2bl w:val="nil"/>
            </w:tcBorders>
            <w:noWrap w:val="0"/>
            <w:vAlign w:val="center"/>
          </w:tcPr>
          <w:p w14:paraId="5717990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0.4171</w:t>
            </w:r>
          </w:p>
        </w:tc>
        <w:tc>
          <w:tcPr>
            <w:tcW w:w="3769" w:type="dxa"/>
            <w:tcBorders>
              <w:tl2br w:val="nil"/>
              <w:tr2bl w:val="nil"/>
            </w:tcBorders>
            <w:noWrap w:val="0"/>
            <w:vAlign w:val="center"/>
          </w:tcPr>
          <w:p w14:paraId="393EBEB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2.93</w:t>
            </w:r>
          </w:p>
        </w:tc>
      </w:tr>
      <w:tr w14:paraId="060B2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D2F4EC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3685" w:type="dxa"/>
            <w:tcBorders>
              <w:tl2br w:val="nil"/>
              <w:tr2bl w:val="nil"/>
            </w:tcBorders>
            <w:noWrap w:val="0"/>
            <w:vAlign w:val="center"/>
          </w:tcPr>
          <w:p w14:paraId="5209756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0.4734</w:t>
            </w:r>
          </w:p>
        </w:tc>
        <w:tc>
          <w:tcPr>
            <w:tcW w:w="3769" w:type="dxa"/>
            <w:tcBorders>
              <w:tl2br w:val="nil"/>
              <w:tr2bl w:val="nil"/>
            </w:tcBorders>
            <w:noWrap w:val="0"/>
            <w:vAlign w:val="center"/>
          </w:tcPr>
          <w:p w14:paraId="147ACDA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3.0609</w:t>
            </w:r>
          </w:p>
        </w:tc>
      </w:tr>
      <w:tr w14:paraId="17018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674D4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3685" w:type="dxa"/>
            <w:tcBorders>
              <w:tl2br w:val="nil"/>
              <w:tr2bl w:val="nil"/>
            </w:tcBorders>
            <w:noWrap w:val="0"/>
            <w:vAlign w:val="center"/>
          </w:tcPr>
          <w:p w14:paraId="10A54BE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0.5303</w:t>
            </w:r>
          </w:p>
        </w:tc>
        <w:tc>
          <w:tcPr>
            <w:tcW w:w="3769" w:type="dxa"/>
            <w:tcBorders>
              <w:tl2br w:val="nil"/>
              <w:tr2bl w:val="nil"/>
            </w:tcBorders>
            <w:noWrap w:val="0"/>
            <w:vAlign w:val="center"/>
          </w:tcPr>
          <w:p w14:paraId="20C038D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3.1888</w:t>
            </w:r>
          </w:p>
        </w:tc>
      </w:tr>
      <w:tr w14:paraId="45318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2FDC62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3685" w:type="dxa"/>
            <w:tcBorders>
              <w:tl2br w:val="nil"/>
              <w:tr2bl w:val="nil"/>
            </w:tcBorders>
            <w:noWrap w:val="0"/>
            <w:vAlign w:val="center"/>
          </w:tcPr>
          <w:p w14:paraId="5E5F1D9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0.5862</w:t>
            </w:r>
          </w:p>
        </w:tc>
        <w:tc>
          <w:tcPr>
            <w:tcW w:w="3769" w:type="dxa"/>
            <w:tcBorders>
              <w:tl2br w:val="nil"/>
              <w:tr2bl w:val="nil"/>
            </w:tcBorders>
            <w:noWrap w:val="0"/>
            <w:vAlign w:val="center"/>
          </w:tcPr>
          <w:p w14:paraId="7A410DA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3.3115</w:t>
            </w:r>
          </w:p>
        </w:tc>
      </w:tr>
      <w:tr w14:paraId="4084F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4E43AA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3685" w:type="dxa"/>
            <w:tcBorders>
              <w:tl2br w:val="nil"/>
              <w:tr2bl w:val="nil"/>
            </w:tcBorders>
            <w:noWrap w:val="0"/>
            <w:vAlign w:val="center"/>
          </w:tcPr>
          <w:p w14:paraId="73A676A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0.6392</w:t>
            </w:r>
          </w:p>
        </w:tc>
        <w:tc>
          <w:tcPr>
            <w:tcW w:w="3769" w:type="dxa"/>
            <w:tcBorders>
              <w:tl2br w:val="nil"/>
              <w:tr2bl w:val="nil"/>
            </w:tcBorders>
            <w:noWrap w:val="0"/>
            <w:vAlign w:val="center"/>
          </w:tcPr>
          <w:p w14:paraId="09B5C42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3.4266</w:t>
            </w:r>
          </w:p>
        </w:tc>
      </w:tr>
      <w:tr w14:paraId="2AF338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13580E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3685" w:type="dxa"/>
            <w:tcBorders>
              <w:tl2br w:val="nil"/>
              <w:tr2bl w:val="nil"/>
            </w:tcBorders>
            <w:noWrap w:val="0"/>
            <w:vAlign w:val="center"/>
          </w:tcPr>
          <w:p w14:paraId="60D57A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0.6878</w:t>
            </w:r>
          </w:p>
        </w:tc>
        <w:tc>
          <w:tcPr>
            <w:tcW w:w="3769" w:type="dxa"/>
            <w:tcBorders>
              <w:tl2br w:val="nil"/>
              <w:tr2bl w:val="nil"/>
            </w:tcBorders>
            <w:noWrap w:val="0"/>
            <w:vAlign w:val="center"/>
          </w:tcPr>
          <w:p w14:paraId="272105D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3.532</w:t>
            </w:r>
          </w:p>
        </w:tc>
      </w:tr>
      <w:tr w14:paraId="3B342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A5A69D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3685" w:type="dxa"/>
            <w:tcBorders>
              <w:tl2br w:val="nil"/>
              <w:tr2bl w:val="nil"/>
            </w:tcBorders>
            <w:noWrap w:val="0"/>
            <w:vAlign w:val="center"/>
          </w:tcPr>
          <w:p w14:paraId="69B4E88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0.7302</w:t>
            </w:r>
          </w:p>
        </w:tc>
        <w:tc>
          <w:tcPr>
            <w:tcW w:w="3769" w:type="dxa"/>
            <w:tcBorders>
              <w:tl2br w:val="nil"/>
              <w:tr2bl w:val="nil"/>
            </w:tcBorders>
            <w:noWrap w:val="0"/>
            <w:vAlign w:val="center"/>
          </w:tcPr>
          <w:p w14:paraId="17018A7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3.6256</w:t>
            </w:r>
          </w:p>
        </w:tc>
      </w:tr>
      <w:tr w14:paraId="41010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F2F10D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3685" w:type="dxa"/>
            <w:tcBorders>
              <w:tl2br w:val="nil"/>
              <w:tr2bl w:val="nil"/>
            </w:tcBorders>
            <w:noWrap w:val="0"/>
            <w:vAlign w:val="center"/>
          </w:tcPr>
          <w:p w14:paraId="701D82A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0.7656</w:t>
            </w:r>
          </w:p>
        </w:tc>
        <w:tc>
          <w:tcPr>
            <w:tcW w:w="3769" w:type="dxa"/>
            <w:tcBorders>
              <w:tl2br w:val="nil"/>
              <w:tr2bl w:val="nil"/>
            </w:tcBorders>
            <w:noWrap w:val="0"/>
            <w:vAlign w:val="center"/>
          </w:tcPr>
          <w:p w14:paraId="61017FF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3.7058</w:t>
            </w:r>
          </w:p>
        </w:tc>
      </w:tr>
      <w:tr w14:paraId="0C931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48983B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3685" w:type="dxa"/>
            <w:tcBorders>
              <w:tl2br w:val="nil"/>
              <w:tr2bl w:val="nil"/>
            </w:tcBorders>
            <w:noWrap w:val="0"/>
            <w:vAlign w:val="center"/>
          </w:tcPr>
          <w:p w14:paraId="4FF0397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0.7933</w:t>
            </w:r>
          </w:p>
        </w:tc>
        <w:tc>
          <w:tcPr>
            <w:tcW w:w="3769" w:type="dxa"/>
            <w:tcBorders>
              <w:tl2br w:val="nil"/>
              <w:tr2bl w:val="nil"/>
            </w:tcBorders>
            <w:noWrap w:val="0"/>
            <w:vAlign w:val="center"/>
          </w:tcPr>
          <w:p w14:paraId="1DC2810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3.7717</w:t>
            </w:r>
          </w:p>
        </w:tc>
      </w:tr>
      <w:tr w14:paraId="48328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9242BD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3685" w:type="dxa"/>
            <w:tcBorders>
              <w:tl2br w:val="nil"/>
              <w:tr2bl w:val="nil"/>
            </w:tcBorders>
            <w:noWrap w:val="0"/>
            <w:vAlign w:val="center"/>
          </w:tcPr>
          <w:p w14:paraId="36CBC31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0.8135</w:t>
            </w:r>
          </w:p>
        </w:tc>
        <w:tc>
          <w:tcPr>
            <w:tcW w:w="3769" w:type="dxa"/>
            <w:tcBorders>
              <w:tl2br w:val="nil"/>
              <w:tr2bl w:val="nil"/>
            </w:tcBorders>
            <w:noWrap w:val="0"/>
            <w:vAlign w:val="center"/>
          </w:tcPr>
          <w:p w14:paraId="4896EAE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3.8228</w:t>
            </w:r>
          </w:p>
        </w:tc>
      </w:tr>
      <w:tr w14:paraId="4F2C49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0F8ED4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3685" w:type="dxa"/>
            <w:tcBorders>
              <w:tl2br w:val="nil"/>
              <w:tr2bl w:val="nil"/>
            </w:tcBorders>
            <w:noWrap w:val="0"/>
            <w:vAlign w:val="center"/>
          </w:tcPr>
          <w:p w14:paraId="2987924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0.827</w:t>
            </w:r>
          </w:p>
        </w:tc>
        <w:tc>
          <w:tcPr>
            <w:tcW w:w="3769" w:type="dxa"/>
            <w:tcBorders>
              <w:tl2br w:val="nil"/>
              <w:tr2bl w:val="nil"/>
            </w:tcBorders>
            <w:noWrap w:val="0"/>
            <w:vAlign w:val="center"/>
          </w:tcPr>
          <w:p w14:paraId="13CD0E0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3.859</w:t>
            </w:r>
          </w:p>
        </w:tc>
      </w:tr>
      <w:tr w14:paraId="2E81D2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6E1A9E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3685" w:type="dxa"/>
            <w:tcBorders>
              <w:tl2br w:val="nil"/>
              <w:tr2bl w:val="nil"/>
            </w:tcBorders>
            <w:noWrap w:val="0"/>
            <w:vAlign w:val="center"/>
          </w:tcPr>
          <w:p w14:paraId="0DB5D82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0.8346</w:t>
            </w:r>
          </w:p>
        </w:tc>
        <w:tc>
          <w:tcPr>
            <w:tcW w:w="3769" w:type="dxa"/>
            <w:tcBorders>
              <w:tl2br w:val="nil"/>
              <w:tr2bl w:val="nil"/>
            </w:tcBorders>
            <w:noWrap w:val="0"/>
            <w:vAlign w:val="center"/>
          </w:tcPr>
          <w:p w14:paraId="2D847D8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3.8805</w:t>
            </w:r>
          </w:p>
        </w:tc>
      </w:tr>
      <w:tr w14:paraId="4BDF71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D611C0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3685" w:type="dxa"/>
            <w:tcBorders>
              <w:tl2br w:val="nil"/>
              <w:tr2bl w:val="nil"/>
            </w:tcBorders>
            <w:shd w:val="clear" w:color="auto" w:fill="A4A4A4" w:themeFill="background1" w:themeFillShade="A5"/>
            <w:noWrap w:val="0"/>
            <w:vAlign w:val="center"/>
          </w:tcPr>
          <w:p w14:paraId="0CC07E8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0.837</w:t>
            </w:r>
          </w:p>
        </w:tc>
        <w:tc>
          <w:tcPr>
            <w:tcW w:w="3769" w:type="dxa"/>
            <w:tcBorders>
              <w:tl2br w:val="nil"/>
              <w:tr2bl w:val="nil"/>
            </w:tcBorders>
            <w:shd w:val="clear" w:color="auto" w:fill="A4A4A4" w:themeFill="background1" w:themeFillShade="A5"/>
            <w:noWrap w:val="0"/>
            <w:vAlign w:val="center"/>
          </w:tcPr>
          <w:p w14:paraId="17FECEE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3.8877</w:t>
            </w:r>
          </w:p>
        </w:tc>
      </w:tr>
      <w:tr w14:paraId="7D16A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BF443A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3685" w:type="dxa"/>
            <w:tcBorders>
              <w:tl2br w:val="nil"/>
              <w:tr2bl w:val="nil"/>
            </w:tcBorders>
            <w:noWrap w:val="0"/>
            <w:vAlign w:val="center"/>
          </w:tcPr>
          <w:p w14:paraId="5CE414E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0.8346</w:t>
            </w:r>
          </w:p>
        </w:tc>
        <w:tc>
          <w:tcPr>
            <w:tcW w:w="3769" w:type="dxa"/>
            <w:tcBorders>
              <w:tl2br w:val="nil"/>
              <w:tr2bl w:val="nil"/>
            </w:tcBorders>
            <w:noWrap w:val="0"/>
            <w:vAlign w:val="center"/>
          </w:tcPr>
          <w:p w14:paraId="2DDBD0E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3.8805</w:t>
            </w:r>
          </w:p>
        </w:tc>
      </w:tr>
      <w:tr w14:paraId="5732FD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BE3A32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3685" w:type="dxa"/>
            <w:tcBorders>
              <w:tl2br w:val="nil"/>
              <w:tr2bl w:val="nil"/>
            </w:tcBorders>
            <w:noWrap w:val="0"/>
            <w:vAlign w:val="center"/>
          </w:tcPr>
          <w:p w14:paraId="7578BDE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0.827</w:t>
            </w:r>
          </w:p>
        </w:tc>
        <w:tc>
          <w:tcPr>
            <w:tcW w:w="3769" w:type="dxa"/>
            <w:tcBorders>
              <w:tl2br w:val="nil"/>
              <w:tr2bl w:val="nil"/>
            </w:tcBorders>
            <w:noWrap w:val="0"/>
            <w:vAlign w:val="center"/>
          </w:tcPr>
          <w:p w14:paraId="6D49808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3.859</w:t>
            </w:r>
          </w:p>
        </w:tc>
      </w:tr>
      <w:tr w14:paraId="3248C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3EA27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3685" w:type="dxa"/>
            <w:tcBorders>
              <w:tl2br w:val="nil"/>
              <w:tr2bl w:val="nil"/>
            </w:tcBorders>
            <w:noWrap w:val="0"/>
            <w:vAlign w:val="center"/>
          </w:tcPr>
          <w:p w14:paraId="5D10909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0.8135</w:t>
            </w:r>
          </w:p>
        </w:tc>
        <w:tc>
          <w:tcPr>
            <w:tcW w:w="3769" w:type="dxa"/>
            <w:tcBorders>
              <w:tl2br w:val="nil"/>
              <w:tr2bl w:val="nil"/>
            </w:tcBorders>
            <w:noWrap w:val="0"/>
            <w:vAlign w:val="center"/>
          </w:tcPr>
          <w:p w14:paraId="3569C5B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3.8228</w:t>
            </w:r>
          </w:p>
        </w:tc>
      </w:tr>
      <w:tr w14:paraId="0614C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1FD9E5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3685" w:type="dxa"/>
            <w:tcBorders>
              <w:tl2br w:val="nil"/>
              <w:tr2bl w:val="nil"/>
            </w:tcBorders>
            <w:noWrap w:val="0"/>
            <w:vAlign w:val="center"/>
          </w:tcPr>
          <w:p w14:paraId="1E6B90A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0.7933</w:t>
            </w:r>
          </w:p>
        </w:tc>
        <w:tc>
          <w:tcPr>
            <w:tcW w:w="3769" w:type="dxa"/>
            <w:tcBorders>
              <w:tl2br w:val="nil"/>
              <w:tr2bl w:val="nil"/>
            </w:tcBorders>
            <w:noWrap w:val="0"/>
            <w:vAlign w:val="center"/>
          </w:tcPr>
          <w:p w14:paraId="4CD8E68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3.7717</w:t>
            </w:r>
          </w:p>
        </w:tc>
      </w:tr>
      <w:tr w14:paraId="6DF7F5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56A397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3685" w:type="dxa"/>
            <w:tcBorders>
              <w:tl2br w:val="nil"/>
              <w:tr2bl w:val="nil"/>
            </w:tcBorders>
            <w:noWrap w:val="0"/>
            <w:vAlign w:val="center"/>
          </w:tcPr>
          <w:p w14:paraId="6AC44B0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0.7656</w:t>
            </w:r>
          </w:p>
        </w:tc>
        <w:tc>
          <w:tcPr>
            <w:tcW w:w="3769" w:type="dxa"/>
            <w:tcBorders>
              <w:tl2br w:val="nil"/>
              <w:tr2bl w:val="nil"/>
            </w:tcBorders>
            <w:noWrap w:val="0"/>
            <w:vAlign w:val="center"/>
          </w:tcPr>
          <w:p w14:paraId="02D3CAE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3.7058</w:t>
            </w:r>
          </w:p>
        </w:tc>
      </w:tr>
      <w:tr w14:paraId="1460F5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6380C4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3685" w:type="dxa"/>
            <w:tcBorders>
              <w:tl2br w:val="nil"/>
              <w:tr2bl w:val="nil"/>
            </w:tcBorders>
            <w:noWrap w:val="0"/>
            <w:vAlign w:val="center"/>
          </w:tcPr>
          <w:p w14:paraId="48C9739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0.7302</w:t>
            </w:r>
          </w:p>
        </w:tc>
        <w:tc>
          <w:tcPr>
            <w:tcW w:w="3769" w:type="dxa"/>
            <w:tcBorders>
              <w:tl2br w:val="nil"/>
              <w:tr2bl w:val="nil"/>
            </w:tcBorders>
            <w:noWrap w:val="0"/>
            <w:vAlign w:val="center"/>
          </w:tcPr>
          <w:p w14:paraId="4DC6604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3.6256</w:t>
            </w:r>
          </w:p>
        </w:tc>
      </w:tr>
      <w:tr w14:paraId="04830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0EEFB4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3685" w:type="dxa"/>
            <w:tcBorders>
              <w:tl2br w:val="nil"/>
              <w:tr2bl w:val="nil"/>
            </w:tcBorders>
            <w:noWrap w:val="0"/>
            <w:vAlign w:val="center"/>
          </w:tcPr>
          <w:p w14:paraId="16BAFD4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0.6878</w:t>
            </w:r>
          </w:p>
        </w:tc>
        <w:tc>
          <w:tcPr>
            <w:tcW w:w="3769" w:type="dxa"/>
            <w:tcBorders>
              <w:tl2br w:val="nil"/>
              <w:tr2bl w:val="nil"/>
            </w:tcBorders>
            <w:noWrap w:val="0"/>
            <w:vAlign w:val="center"/>
          </w:tcPr>
          <w:p w14:paraId="4D54357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3.532</w:t>
            </w:r>
          </w:p>
        </w:tc>
      </w:tr>
      <w:tr w14:paraId="30BBC5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B4D919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3685" w:type="dxa"/>
            <w:tcBorders>
              <w:tl2br w:val="nil"/>
              <w:tr2bl w:val="nil"/>
            </w:tcBorders>
            <w:noWrap w:val="0"/>
            <w:vAlign w:val="center"/>
          </w:tcPr>
          <w:p w14:paraId="4D374C3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0.6392</w:t>
            </w:r>
          </w:p>
        </w:tc>
        <w:tc>
          <w:tcPr>
            <w:tcW w:w="3769" w:type="dxa"/>
            <w:tcBorders>
              <w:tl2br w:val="nil"/>
              <w:tr2bl w:val="nil"/>
            </w:tcBorders>
            <w:noWrap w:val="0"/>
            <w:vAlign w:val="center"/>
          </w:tcPr>
          <w:p w14:paraId="6DE6ADF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3.4266</w:t>
            </w:r>
          </w:p>
        </w:tc>
      </w:tr>
      <w:tr w14:paraId="171BB4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0BFED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3685" w:type="dxa"/>
            <w:tcBorders>
              <w:tl2br w:val="nil"/>
              <w:tr2bl w:val="nil"/>
            </w:tcBorders>
            <w:noWrap w:val="0"/>
            <w:vAlign w:val="center"/>
          </w:tcPr>
          <w:p w14:paraId="487C136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0.5862</w:t>
            </w:r>
          </w:p>
        </w:tc>
        <w:tc>
          <w:tcPr>
            <w:tcW w:w="3769" w:type="dxa"/>
            <w:tcBorders>
              <w:tl2br w:val="nil"/>
              <w:tr2bl w:val="nil"/>
            </w:tcBorders>
            <w:noWrap w:val="0"/>
            <w:vAlign w:val="center"/>
          </w:tcPr>
          <w:p w14:paraId="0E34D11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3.3115</w:t>
            </w:r>
          </w:p>
        </w:tc>
      </w:tr>
      <w:tr w14:paraId="337EA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3DAB9B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3685" w:type="dxa"/>
            <w:tcBorders>
              <w:tl2br w:val="nil"/>
              <w:tr2bl w:val="nil"/>
            </w:tcBorders>
            <w:noWrap w:val="0"/>
            <w:vAlign w:val="center"/>
          </w:tcPr>
          <w:p w14:paraId="1D20CD5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0.5303</w:t>
            </w:r>
          </w:p>
        </w:tc>
        <w:tc>
          <w:tcPr>
            <w:tcW w:w="3769" w:type="dxa"/>
            <w:tcBorders>
              <w:tl2br w:val="nil"/>
              <w:tr2bl w:val="nil"/>
            </w:tcBorders>
            <w:noWrap w:val="0"/>
            <w:vAlign w:val="center"/>
          </w:tcPr>
          <w:p w14:paraId="222D86D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3.1888</w:t>
            </w:r>
          </w:p>
        </w:tc>
      </w:tr>
      <w:tr w14:paraId="2896B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E21BEA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3685" w:type="dxa"/>
            <w:tcBorders>
              <w:tl2br w:val="nil"/>
              <w:tr2bl w:val="nil"/>
            </w:tcBorders>
            <w:noWrap w:val="0"/>
            <w:vAlign w:val="center"/>
          </w:tcPr>
          <w:p w14:paraId="073F47C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0.4734</w:t>
            </w:r>
          </w:p>
        </w:tc>
        <w:tc>
          <w:tcPr>
            <w:tcW w:w="3769" w:type="dxa"/>
            <w:tcBorders>
              <w:tl2br w:val="nil"/>
              <w:tr2bl w:val="nil"/>
            </w:tcBorders>
            <w:noWrap w:val="0"/>
            <w:vAlign w:val="center"/>
          </w:tcPr>
          <w:p w14:paraId="2DB872F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3.0609</w:t>
            </w:r>
          </w:p>
        </w:tc>
      </w:tr>
      <w:tr w14:paraId="06D39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7CECD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685" w:type="dxa"/>
            <w:tcBorders>
              <w:tl2br w:val="nil"/>
              <w:tr2bl w:val="nil"/>
            </w:tcBorders>
            <w:noWrap w:val="0"/>
            <w:vAlign w:val="center"/>
          </w:tcPr>
          <w:p w14:paraId="724CC9C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0.4171</w:t>
            </w:r>
          </w:p>
        </w:tc>
        <w:tc>
          <w:tcPr>
            <w:tcW w:w="3769" w:type="dxa"/>
            <w:tcBorders>
              <w:tl2br w:val="nil"/>
              <w:tr2bl w:val="nil"/>
            </w:tcBorders>
            <w:noWrap w:val="0"/>
            <w:vAlign w:val="center"/>
          </w:tcPr>
          <w:p w14:paraId="531EC24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2.93</w:t>
            </w:r>
          </w:p>
        </w:tc>
      </w:tr>
      <w:tr w14:paraId="6FF14F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1DF07A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685" w:type="dxa"/>
            <w:tcBorders>
              <w:tl2br w:val="nil"/>
              <w:tr2bl w:val="nil"/>
            </w:tcBorders>
            <w:noWrap w:val="0"/>
            <w:vAlign w:val="center"/>
          </w:tcPr>
          <w:p w14:paraId="221AF98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0.3625</w:t>
            </w:r>
          </w:p>
        </w:tc>
        <w:tc>
          <w:tcPr>
            <w:tcW w:w="3769" w:type="dxa"/>
            <w:tcBorders>
              <w:tl2br w:val="nil"/>
              <w:tr2bl w:val="nil"/>
            </w:tcBorders>
            <w:noWrap w:val="0"/>
            <w:vAlign w:val="center"/>
          </w:tcPr>
          <w:p w14:paraId="0418F50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2.798</w:t>
            </w:r>
          </w:p>
        </w:tc>
      </w:tr>
      <w:tr w14:paraId="15162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62C92A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685" w:type="dxa"/>
            <w:tcBorders>
              <w:tl2br w:val="nil"/>
              <w:tr2bl w:val="nil"/>
            </w:tcBorders>
            <w:noWrap w:val="0"/>
            <w:vAlign w:val="center"/>
          </w:tcPr>
          <w:p w14:paraId="16C217C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0.3109</w:t>
            </w:r>
          </w:p>
        </w:tc>
        <w:tc>
          <w:tcPr>
            <w:tcW w:w="3769" w:type="dxa"/>
            <w:tcBorders>
              <w:tl2br w:val="nil"/>
              <w:tr2bl w:val="nil"/>
            </w:tcBorders>
            <w:noWrap w:val="0"/>
            <w:vAlign w:val="center"/>
          </w:tcPr>
          <w:p w14:paraId="67E45B6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2.6668</w:t>
            </w:r>
          </w:p>
        </w:tc>
      </w:tr>
      <w:tr w14:paraId="4C046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F868CB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3685" w:type="dxa"/>
            <w:tcBorders>
              <w:tl2br w:val="nil"/>
              <w:tr2bl w:val="nil"/>
            </w:tcBorders>
            <w:noWrap w:val="0"/>
            <w:vAlign w:val="center"/>
          </w:tcPr>
          <w:p w14:paraId="07FBCEF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0.2627</w:t>
            </w:r>
          </w:p>
        </w:tc>
        <w:tc>
          <w:tcPr>
            <w:tcW w:w="3769" w:type="dxa"/>
            <w:tcBorders>
              <w:tl2br w:val="nil"/>
              <w:tr2bl w:val="nil"/>
            </w:tcBorders>
            <w:noWrap w:val="0"/>
            <w:vAlign w:val="center"/>
          </w:tcPr>
          <w:p w14:paraId="247F366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2.5377</w:t>
            </w:r>
          </w:p>
        </w:tc>
      </w:tr>
      <w:tr w14:paraId="705342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21482E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3685" w:type="dxa"/>
            <w:tcBorders>
              <w:tl2br w:val="nil"/>
              <w:tr2bl w:val="nil"/>
            </w:tcBorders>
            <w:noWrap w:val="0"/>
            <w:vAlign w:val="center"/>
          </w:tcPr>
          <w:p w14:paraId="296B7AE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0.2186</w:t>
            </w:r>
          </w:p>
        </w:tc>
        <w:tc>
          <w:tcPr>
            <w:tcW w:w="3769" w:type="dxa"/>
            <w:tcBorders>
              <w:tl2br w:val="nil"/>
              <w:tr2bl w:val="nil"/>
            </w:tcBorders>
            <w:noWrap w:val="0"/>
            <w:vAlign w:val="center"/>
          </w:tcPr>
          <w:p w14:paraId="6AC5204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2.4119</w:t>
            </w:r>
          </w:p>
        </w:tc>
      </w:tr>
      <w:tr w14:paraId="76DB7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F228B0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3685" w:type="dxa"/>
            <w:tcBorders>
              <w:tl2br w:val="nil"/>
              <w:tr2bl w:val="nil"/>
            </w:tcBorders>
            <w:noWrap w:val="0"/>
            <w:vAlign w:val="center"/>
          </w:tcPr>
          <w:p w14:paraId="71B2308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0.1787</w:t>
            </w:r>
          </w:p>
        </w:tc>
        <w:tc>
          <w:tcPr>
            <w:tcW w:w="3769" w:type="dxa"/>
            <w:tcBorders>
              <w:tl2br w:val="nil"/>
              <w:tr2bl w:val="nil"/>
            </w:tcBorders>
            <w:noWrap w:val="0"/>
            <w:vAlign w:val="center"/>
          </w:tcPr>
          <w:p w14:paraId="7636B30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2.2902</w:t>
            </w:r>
          </w:p>
        </w:tc>
      </w:tr>
      <w:tr w14:paraId="61C006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9563A4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3685" w:type="dxa"/>
            <w:tcBorders>
              <w:tl2br w:val="nil"/>
              <w:tr2bl w:val="nil"/>
            </w:tcBorders>
            <w:noWrap w:val="0"/>
            <w:vAlign w:val="center"/>
          </w:tcPr>
          <w:p w14:paraId="50F900A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0.143</w:t>
            </w:r>
          </w:p>
        </w:tc>
        <w:tc>
          <w:tcPr>
            <w:tcW w:w="3769" w:type="dxa"/>
            <w:tcBorders>
              <w:tl2br w:val="nil"/>
              <w:tr2bl w:val="nil"/>
            </w:tcBorders>
            <w:noWrap w:val="0"/>
            <w:vAlign w:val="center"/>
          </w:tcPr>
          <w:p w14:paraId="3482AF6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2.1732</w:t>
            </w:r>
          </w:p>
        </w:tc>
      </w:tr>
      <w:tr w14:paraId="7C7A5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09A6CB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3685" w:type="dxa"/>
            <w:tcBorders>
              <w:tl2br w:val="nil"/>
              <w:tr2bl w:val="nil"/>
            </w:tcBorders>
            <w:noWrap w:val="0"/>
            <w:vAlign w:val="center"/>
          </w:tcPr>
          <w:p w14:paraId="627B4EC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0.1114</w:t>
            </w:r>
          </w:p>
        </w:tc>
        <w:tc>
          <w:tcPr>
            <w:tcW w:w="3769" w:type="dxa"/>
            <w:tcBorders>
              <w:tl2br w:val="nil"/>
              <w:tr2bl w:val="nil"/>
            </w:tcBorders>
            <w:noWrap w:val="0"/>
            <w:vAlign w:val="center"/>
          </w:tcPr>
          <w:p w14:paraId="629345D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2.0614</w:t>
            </w:r>
          </w:p>
        </w:tc>
      </w:tr>
      <w:tr w14:paraId="22CD5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7BAA44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3685" w:type="dxa"/>
            <w:tcBorders>
              <w:tl2br w:val="nil"/>
              <w:tr2bl w:val="nil"/>
            </w:tcBorders>
            <w:noWrap w:val="0"/>
            <w:vAlign w:val="center"/>
          </w:tcPr>
          <w:p w14:paraId="27BD104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0.0839</w:t>
            </w:r>
          </w:p>
        </w:tc>
        <w:tc>
          <w:tcPr>
            <w:tcW w:w="3769" w:type="dxa"/>
            <w:tcBorders>
              <w:tl2br w:val="nil"/>
              <w:tr2bl w:val="nil"/>
            </w:tcBorders>
            <w:noWrap w:val="0"/>
            <w:vAlign w:val="center"/>
          </w:tcPr>
          <w:p w14:paraId="3087BDA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1.9549</w:t>
            </w:r>
          </w:p>
        </w:tc>
      </w:tr>
      <w:tr w14:paraId="658A3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D898A4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3685" w:type="dxa"/>
            <w:tcBorders>
              <w:tl2br w:val="nil"/>
              <w:tr2bl w:val="nil"/>
            </w:tcBorders>
            <w:noWrap w:val="0"/>
            <w:vAlign w:val="center"/>
          </w:tcPr>
          <w:p w14:paraId="6D70913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0.0605</w:t>
            </w:r>
          </w:p>
        </w:tc>
        <w:tc>
          <w:tcPr>
            <w:tcW w:w="3769" w:type="dxa"/>
            <w:tcBorders>
              <w:tl2br w:val="nil"/>
              <w:tr2bl w:val="nil"/>
            </w:tcBorders>
            <w:noWrap w:val="0"/>
            <w:vAlign w:val="center"/>
          </w:tcPr>
          <w:p w14:paraId="770C664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1.8539</w:t>
            </w:r>
          </w:p>
        </w:tc>
      </w:tr>
      <w:tr w14:paraId="6990B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25FF9D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3685" w:type="dxa"/>
            <w:tcBorders>
              <w:tl2br w:val="nil"/>
              <w:tr2bl w:val="nil"/>
            </w:tcBorders>
            <w:noWrap w:val="0"/>
            <w:vAlign w:val="center"/>
          </w:tcPr>
          <w:p w14:paraId="05C8878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0.0414</w:t>
            </w:r>
          </w:p>
        </w:tc>
        <w:tc>
          <w:tcPr>
            <w:tcW w:w="3769" w:type="dxa"/>
            <w:tcBorders>
              <w:tl2br w:val="nil"/>
              <w:tr2bl w:val="nil"/>
            </w:tcBorders>
            <w:noWrap w:val="0"/>
            <w:vAlign w:val="center"/>
          </w:tcPr>
          <w:p w14:paraId="4EC5EB0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1.7584</w:t>
            </w:r>
          </w:p>
        </w:tc>
      </w:tr>
      <w:tr w14:paraId="1D71E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209AA1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685" w:type="dxa"/>
            <w:tcBorders>
              <w:tl2br w:val="nil"/>
              <w:tr2bl w:val="nil"/>
            </w:tcBorders>
            <w:noWrap w:val="0"/>
            <w:vAlign w:val="center"/>
          </w:tcPr>
          <w:p w14:paraId="51F48D9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0.0279</w:t>
            </w:r>
          </w:p>
        </w:tc>
        <w:tc>
          <w:tcPr>
            <w:tcW w:w="3769" w:type="dxa"/>
            <w:tcBorders>
              <w:tl2br w:val="nil"/>
              <w:tr2bl w:val="nil"/>
            </w:tcBorders>
            <w:noWrap w:val="0"/>
            <w:vAlign w:val="center"/>
          </w:tcPr>
          <w:p w14:paraId="0255B26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1.6682</w:t>
            </w:r>
          </w:p>
        </w:tc>
      </w:tr>
      <w:tr w14:paraId="27DFB7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EDD377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3685" w:type="dxa"/>
            <w:tcBorders>
              <w:tl2br w:val="nil"/>
              <w:tr2bl w:val="nil"/>
            </w:tcBorders>
            <w:noWrap w:val="0"/>
            <w:vAlign w:val="center"/>
          </w:tcPr>
          <w:p w14:paraId="77C6734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0.0229</w:t>
            </w:r>
          </w:p>
        </w:tc>
        <w:tc>
          <w:tcPr>
            <w:tcW w:w="3769" w:type="dxa"/>
            <w:tcBorders>
              <w:tl2br w:val="nil"/>
              <w:tr2bl w:val="nil"/>
            </w:tcBorders>
            <w:noWrap w:val="0"/>
            <w:vAlign w:val="center"/>
          </w:tcPr>
          <w:p w14:paraId="5A15D84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1.5832</w:t>
            </w:r>
          </w:p>
        </w:tc>
      </w:tr>
      <w:tr w14:paraId="3A2F3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096DA3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3685" w:type="dxa"/>
            <w:tcBorders>
              <w:tl2br w:val="nil"/>
              <w:tr2bl w:val="nil"/>
            </w:tcBorders>
            <w:noWrap w:val="0"/>
            <w:vAlign w:val="center"/>
          </w:tcPr>
          <w:p w14:paraId="02D6F7A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0.0268</w:t>
            </w:r>
          </w:p>
        </w:tc>
        <w:tc>
          <w:tcPr>
            <w:tcW w:w="3769" w:type="dxa"/>
            <w:tcBorders>
              <w:tl2br w:val="nil"/>
              <w:tr2bl w:val="nil"/>
            </w:tcBorders>
            <w:noWrap w:val="0"/>
            <w:vAlign w:val="center"/>
          </w:tcPr>
          <w:p w14:paraId="54CAEC3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1.5031</w:t>
            </w:r>
          </w:p>
        </w:tc>
      </w:tr>
      <w:tr w14:paraId="03842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17BD01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685" w:type="dxa"/>
            <w:tcBorders>
              <w:tl2br w:val="nil"/>
              <w:tr2bl w:val="nil"/>
            </w:tcBorders>
            <w:noWrap w:val="0"/>
            <w:vAlign w:val="center"/>
          </w:tcPr>
          <w:p w14:paraId="73E6999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0.0342</w:t>
            </w:r>
          </w:p>
        </w:tc>
        <w:tc>
          <w:tcPr>
            <w:tcW w:w="3769" w:type="dxa"/>
            <w:tcBorders>
              <w:tl2br w:val="nil"/>
              <w:tr2bl w:val="nil"/>
            </w:tcBorders>
            <w:noWrap w:val="0"/>
            <w:vAlign w:val="center"/>
          </w:tcPr>
          <w:p w14:paraId="0BF7546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1.4279</w:t>
            </w:r>
          </w:p>
        </w:tc>
      </w:tr>
      <w:tr w14:paraId="038E2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1FC1F9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w:t>
            </w:r>
          </w:p>
        </w:tc>
        <w:tc>
          <w:tcPr>
            <w:tcW w:w="3685" w:type="dxa"/>
            <w:tcBorders>
              <w:tl2br w:val="nil"/>
              <w:tr2bl w:val="nil"/>
            </w:tcBorders>
            <w:noWrap w:val="0"/>
            <w:vAlign w:val="center"/>
          </w:tcPr>
          <w:p w14:paraId="77AA40C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0.042</w:t>
            </w:r>
          </w:p>
        </w:tc>
        <w:tc>
          <w:tcPr>
            <w:tcW w:w="3769" w:type="dxa"/>
            <w:tcBorders>
              <w:tl2br w:val="nil"/>
              <w:tr2bl w:val="nil"/>
            </w:tcBorders>
            <w:noWrap w:val="0"/>
            <w:vAlign w:val="center"/>
          </w:tcPr>
          <w:p w14:paraId="5A48AFC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1.3572</w:t>
            </w:r>
          </w:p>
        </w:tc>
      </w:tr>
      <w:tr w14:paraId="0DE30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01F4A5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685" w:type="dxa"/>
            <w:tcBorders>
              <w:tl2br w:val="nil"/>
              <w:tr2bl w:val="nil"/>
            </w:tcBorders>
            <w:noWrap w:val="0"/>
            <w:vAlign w:val="center"/>
          </w:tcPr>
          <w:p w14:paraId="5DAAF40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0.0491</w:t>
            </w:r>
          </w:p>
        </w:tc>
        <w:tc>
          <w:tcPr>
            <w:tcW w:w="3769" w:type="dxa"/>
            <w:tcBorders>
              <w:tl2br w:val="nil"/>
              <w:tr2bl w:val="nil"/>
            </w:tcBorders>
            <w:noWrap w:val="0"/>
            <w:vAlign w:val="center"/>
          </w:tcPr>
          <w:p w14:paraId="3F236EE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1.2907</w:t>
            </w:r>
          </w:p>
        </w:tc>
      </w:tr>
      <w:tr w14:paraId="4F5515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E0F60B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3685" w:type="dxa"/>
            <w:tcBorders>
              <w:tl2br w:val="nil"/>
              <w:tr2bl w:val="nil"/>
            </w:tcBorders>
            <w:noWrap w:val="0"/>
            <w:vAlign w:val="center"/>
          </w:tcPr>
          <w:p w14:paraId="590E0A4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0.0552</w:t>
            </w:r>
          </w:p>
        </w:tc>
        <w:tc>
          <w:tcPr>
            <w:tcW w:w="3769" w:type="dxa"/>
            <w:tcBorders>
              <w:tl2br w:val="nil"/>
              <w:tr2bl w:val="nil"/>
            </w:tcBorders>
            <w:noWrap w:val="0"/>
            <w:vAlign w:val="center"/>
          </w:tcPr>
          <w:p w14:paraId="596B306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1.2283</w:t>
            </w:r>
          </w:p>
        </w:tc>
      </w:tr>
      <w:tr w14:paraId="046AB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C6EA8A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3685" w:type="dxa"/>
            <w:tcBorders>
              <w:tl2br w:val="nil"/>
              <w:tr2bl w:val="nil"/>
            </w:tcBorders>
            <w:noWrap w:val="0"/>
            <w:vAlign w:val="center"/>
          </w:tcPr>
          <w:p w14:paraId="4761B0B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0.0603</w:t>
            </w:r>
          </w:p>
        </w:tc>
        <w:tc>
          <w:tcPr>
            <w:tcW w:w="3769" w:type="dxa"/>
            <w:tcBorders>
              <w:tl2br w:val="nil"/>
              <w:tr2bl w:val="nil"/>
            </w:tcBorders>
            <w:noWrap w:val="0"/>
            <w:vAlign w:val="center"/>
          </w:tcPr>
          <w:p w14:paraId="5BF6A89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1.1698</w:t>
            </w:r>
          </w:p>
        </w:tc>
      </w:tr>
      <w:tr w14:paraId="2D035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6F532B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3685" w:type="dxa"/>
            <w:tcBorders>
              <w:tl2br w:val="nil"/>
              <w:tr2bl w:val="nil"/>
            </w:tcBorders>
            <w:noWrap w:val="0"/>
            <w:vAlign w:val="center"/>
          </w:tcPr>
          <w:p w14:paraId="4857207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0.0646</w:t>
            </w:r>
          </w:p>
        </w:tc>
        <w:tc>
          <w:tcPr>
            <w:tcW w:w="3769" w:type="dxa"/>
            <w:tcBorders>
              <w:tl2br w:val="nil"/>
              <w:tr2bl w:val="nil"/>
            </w:tcBorders>
            <w:noWrap w:val="0"/>
            <w:vAlign w:val="center"/>
          </w:tcPr>
          <w:p w14:paraId="7521E6D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1.1147</w:t>
            </w:r>
          </w:p>
        </w:tc>
      </w:tr>
      <w:tr w14:paraId="2ABE30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2CAEA7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3685" w:type="dxa"/>
            <w:tcBorders>
              <w:tl2br w:val="nil"/>
              <w:tr2bl w:val="nil"/>
            </w:tcBorders>
            <w:noWrap w:val="0"/>
            <w:vAlign w:val="center"/>
          </w:tcPr>
          <w:p w14:paraId="30176CB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0.068</w:t>
            </w:r>
          </w:p>
        </w:tc>
        <w:tc>
          <w:tcPr>
            <w:tcW w:w="3769" w:type="dxa"/>
            <w:tcBorders>
              <w:tl2br w:val="nil"/>
              <w:tr2bl w:val="nil"/>
            </w:tcBorders>
            <w:noWrap w:val="0"/>
            <w:vAlign w:val="center"/>
          </w:tcPr>
          <w:p w14:paraId="7B5E95B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1.0631</w:t>
            </w:r>
          </w:p>
        </w:tc>
      </w:tr>
      <w:tr w14:paraId="576A9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0F469E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3685" w:type="dxa"/>
            <w:tcBorders>
              <w:tl2br w:val="nil"/>
              <w:tr2bl w:val="nil"/>
            </w:tcBorders>
            <w:noWrap w:val="0"/>
            <w:vAlign w:val="center"/>
          </w:tcPr>
          <w:p w14:paraId="41A1C76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0.0707</w:t>
            </w:r>
          </w:p>
        </w:tc>
        <w:tc>
          <w:tcPr>
            <w:tcW w:w="3769" w:type="dxa"/>
            <w:tcBorders>
              <w:tl2br w:val="nil"/>
              <w:tr2bl w:val="nil"/>
            </w:tcBorders>
            <w:noWrap w:val="0"/>
            <w:vAlign w:val="center"/>
          </w:tcPr>
          <w:p w14:paraId="430C0AD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1.0145</w:t>
            </w:r>
          </w:p>
        </w:tc>
      </w:tr>
      <w:tr w14:paraId="60AE2E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84714C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3685" w:type="dxa"/>
            <w:tcBorders>
              <w:tl2br w:val="nil"/>
              <w:tr2bl w:val="nil"/>
            </w:tcBorders>
            <w:noWrap w:val="0"/>
            <w:vAlign w:val="center"/>
          </w:tcPr>
          <w:p w14:paraId="6176C3E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0.0728</w:t>
            </w:r>
          </w:p>
        </w:tc>
        <w:tc>
          <w:tcPr>
            <w:tcW w:w="3769" w:type="dxa"/>
            <w:tcBorders>
              <w:tl2br w:val="nil"/>
              <w:tr2bl w:val="nil"/>
            </w:tcBorders>
            <w:noWrap w:val="0"/>
            <w:vAlign w:val="center"/>
          </w:tcPr>
          <w:p w14:paraId="51BB504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0.9688</w:t>
            </w:r>
          </w:p>
        </w:tc>
      </w:tr>
      <w:tr w14:paraId="0D6706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DF623B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685" w:type="dxa"/>
            <w:tcBorders>
              <w:tl2br w:val="nil"/>
              <w:tr2bl w:val="nil"/>
            </w:tcBorders>
            <w:noWrap w:val="0"/>
            <w:vAlign w:val="center"/>
          </w:tcPr>
          <w:p w14:paraId="05402AE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0.0744</w:t>
            </w:r>
          </w:p>
        </w:tc>
        <w:tc>
          <w:tcPr>
            <w:tcW w:w="3769" w:type="dxa"/>
            <w:tcBorders>
              <w:tl2br w:val="nil"/>
              <w:tr2bl w:val="nil"/>
            </w:tcBorders>
            <w:noWrap w:val="0"/>
            <w:vAlign w:val="center"/>
          </w:tcPr>
          <w:p w14:paraId="3207681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0.9259</w:t>
            </w:r>
          </w:p>
        </w:tc>
      </w:tr>
      <w:tr w14:paraId="5E745A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10B423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3685" w:type="dxa"/>
            <w:tcBorders>
              <w:tl2br w:val="nil"/>
              <w:tr2bl w:val="nil"/>
            </w:tcBorders>
            <w:noWrap w:val="0"/>
            <w:vAlign w:val="center"/>
          </w:tcPr>
          <w:p w14:paraId="158D323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0.0754</w:t>
            </w:r>
          </w:p>
        </w:tc>
        <w:tc>
          <w:tcPr>
            <w:tcW w:w="3769" w:type="dxa"/>
            <w:tcBorders>
              <w:tl2br w:val="nil"/>
              <w:tr2bl w:val="nil"/>
            </w:tcBorders>
            <w:noWrap w:val="0"/>
            <w:vAlign w:val="center"/>
          </w:tcPr>
          <w:p w14:paraId="5C5725F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0.8855</w:t>
            </w:r>
          </w:p>
        </w:tc>
      </w:tr>
      <w:tr w14:paraId="6D085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77F795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w:t>
            </w:r>
          </w:p>
        </w:tc>
        <w:tc>
          <w:tcPr>
            <w:tcW w:w="3685" w:type="dxa"/>
            <w:tcBorders>
              <w:tl2br w:val="nil"/>
              <w:tr2bl w:val="nil"/>
            </w:tcBorders>
            <w:noWrap w:val="0"/>
            <w:vAlign w:val="center"/>
          </w:tcPr>
          <w:p w14:paraId="7E7E2F3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0.0761</w:t>
            </w:r>
          </w:p>
        </w:tc>
        <w:tc>
          <w:tcPr>
            <w:tcW w:w="3769" w:type="dxa"/>
            <w:tcBorders>
              <w:tl2br w:val="nil"/>
              <w:tr2bl w:val="nil"/>
            </w:tcBorders>
            <w:noWrap w:val="0"/>
            <w:vAlign w:val="center"/>
          </w:tcPr>
          <w:p w14:paraId="79FFD45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0.8475</w:t>
            </w:r>
          </w:p>
        </w:tc>
      </w:tr>
      <w:tr w14:paraId="08C2B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BEBA2C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3685" w:type="dxa"/>
            <w:tcBorders>
              <w:tl2br w:val="nil"/>
              <w:tr2bl w:val="nil"/>
            </w:tcBorders>
            <w:noWrap w:val="0"/>
            <w:vAlign w:val="center"/>
          </w:tcPr>
          <w:p w14:paraId="3A24463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0.0765</w:t>
            </w:r>
          </w:p>
        </w:tc>
        <w:tc>
          <w:tcPr>
            <w:tcW w:w="3769" w:type="dxa"/>
            <w:tcBorders>
              <w:tl2br w:val="nil"/>
              <w:tr2bl w:val="nil"/>
            </w:tcBorders>
            <w:noWrap w:val="0"/>
            <w:vAlign w:val="center"/>
          </w:tcPr>
          <w:p w14:paraId="69E2C38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0.8116</w:t>
            </w:r>
          </w:p>
        </w:tc>
      </w:tr>
      <w:tr w14:paraId="0086A3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8718AD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3685" w:type="dxa"/>
            <w:tcBorders>
              <w:tl2br w:val="nil"/>
              <w:tr2bl w:val="nil"/>
            </w:tcBorders>
            <w:noWrap w:val="0"/>
            <w:vAlign w:val="center"/>
          </w:tcPr>
          <w:p w14:paraId="4DE0D1D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0.0765</w:t>
            </w:r>
          </w:p>
        </w:tc>
        <w:tc>
          <w:tcPr>
            <w:tcW w:w="3769" w:type="dxa"/>
            <w:tcBorders>
              <w:tl2br w:val="nil"/>
              <w:tr2bl w:val="nil"/>
            </w:tcBorders>
            <w:noWrap w:val="0"/>
            <w:vAlign w:val="center"/>
          </w:tcPr>
          <w:p w14:paraId="2F842F8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0.7778</w:t>
            </w:r>
          </w:p>
        </w:tc>
      </w:tr>
      <w:tr w14:paraId="62D53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4CFC3E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3685" w:type="dxa"/>
            <w:tcBorders>
              <w:tl2br w:val="nil"/>
              <w:tr2bl w:val="nil"/>
            </w:tcBorders>
            <w:noWrap w:val="0"/>
            <w:vAlign w:val="center"/>
          </w:tcPr>
          <w:p w14:paraId="0B3E54C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0.0763</w:t>
            </w:r>
          </w:p>
        </w:tc>
        <w:tc>
          <w:tcPr>
            <w:tcW w:w="3769" w:type="dxa"/>
            <w:tcBorders>
              <w:tl2br w:val="nil"/>
              <w:tr2bl w:val="nil"/>
            </w:tcBorders>
            <w:noWrap w:val="0"/>
            <w:vAlign w:val="center"/>
          </w:tcPr>
          <w:p w14:paraId="22CC73D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0.746</w:t>
            </w:r>
          </w:p>
        </w:tc>
      </w:tr>
      <w:tr w14:paraId="5AC4B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13D6DF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685" w:type="dxa"/>
            <w:tcBorders>
              <w:tl2br w:val="nil"/>
              <w:tr2bl w:val="nil"/>
            </w:tcBorders>
            <w:noWrap w:val="0"/>
            <w:vAlign w:val="center"/>
          </w:tcPr>
          <w:p w14:paraId="4F0A6EF3">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0.0759</w:t>
            </w:r>
          </w:p>
        </w:tc>
        <w:tc>
          <w:tcPr>
            <w:tcW w:w="3769" w:type="dxa"/>
            <w:tcBorders>
              <w:tl2br w:val="nil"/>
              <w:tr2bl w:val="nil"/>
            </w:tcBorders>
            <w:noWrap w:val="0"/>
            <w:vAlign w:val="center"/>
          </w:tcPr>
          <w:p w14:paraId="5D65728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0.7159</w:t>
            </w:r>
          </w:p>
        </w:tc>
      </w:tr>
      <w:tr w14:paraId="334CB1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683D1D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685" w:type="dxa"/>
            <w:tcBorders>
              <w:tl2br w:val="nil"/>
              <w:tr2bl w:val="nil"/>
            </w:tcBorders>
            <w:noWrap w:val="0"/>
            <w:vAlign w:val="center"/>
          </w:tcPr>
          <w:p w14:paraId="5B0C235E">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0.0753</w:t>
            </w:r>
          </w:p>
        </w:tc>
        <w:tc>
          <w:tcPr>
            <w:tcW w:w="3769" w:type="dxa"/>
            <w:tcBorders>
              <w:tl2br w:val="nil"/>
              <w:tr2bl w:val="nil"/>
            </w:tcBorders>
            <w:noWrap w:val="0"/>
            <w:vAlign w:val="center"/>
          </w:tcPr>
          <w:p w14:paraId="6795D9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0.6875</w:t>
            </w:r>
          </w:p>
        </w:tc>
      </w:tr>
      <w:tr w14:paraId="6F3FB1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9641B5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w:t>
            </w:r>
          </w:p>
        </w:tc>
        <w:tc>
          <w:tcPr>
            <w:tcW w:w="3685" w:type="dxa"/>
            <w:tcBorders>
              <w:tl2br w:val="nil"/>
              <w:tr2bl w:val="nil"/>
            </w:tcBorders>
            <w:noWrap w:val="0"/>
            <w:vAlign w:val="center"/>
          </w:tcPr>
          <w:p w14:paraId="6AFECBF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0.0746</w:t>
            </w:r>
          </w:p>
        </w:tc>
        <w:tc>
          <w:tcPr>
            <w:tcW w:w="3769" w:type="dxa"/>
            <w:tcBorders>
              <w:tl2br w:val="nil"/>
              <w:tr2bl w:val="nil"/>
            </w:tcBorders>
            <w:noWrap w:val="0"/>
            <w:vAlign w:val="center"/>
          </w:tcPr>
          <w:p w14:paraId="15EC5BF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0.6606</w:t>
            </w:r>
          </w:p>
        </w:tc>
      </w:tr>
      <w:tr w14:paraId="00C72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2503DF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w:t>
            </w:r>
          </w:p>
        </w:tc>
        <w:tc>
          <w:tcPr>
            <w:tcW w:w="3685" w:type="dxa"/>
            <w:tcBorders>
              <w:tl2br w:val="nil"/>
              <w:tr2bl w:val="nil"/>
            </w:tcBorders>
            <w:noWrap w:val="0"/>
            <w:vAlign w:val="center"/>
          </w:tcPr>
          <w:p w14:paraId="129441F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0.0738</w:t>
            </w:r>
          </w:p>
        </w:tc>
        <w:tc>
          <w:tcPr>
            <w:tcW w:w="3769" w:type="dxa"/>
            <w:tcBorders>
              <w:tl2br w:val="nil"/>
              <w:tr2bl w:val="nil"/>
            </w:tcBorders>
            <w:noWrap w:val="0"/>
            <w:vAlign w:val="center"/>
          </w:tcPr>
          <w:p w14:paraId="03AC954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0.6352</w:t>
            </w:r>
          </w:p>
        </w:tc>
      </w:tr>
      <w:tr w14:paraId="0C057F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015DAA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3685" w:type="dxa"/>
            <w:tcBorders>
              <w:tl2br w:val="nil"/>
              <w:tr2bl w:val="nil"/>
            </w:tcBorders>
            <w:noWrap w:val="0"/>
            <w:vAlign w:val="center"/>
          </w:tcPr>
          <w:p w14:paraId="43F1E42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0.0728</w:t>
            </w:r>
          </w:p>
        </w:tc>
        <w:tc>
          <w:tcPr>
            <w:tcW w:w="3769" w:type="dxa"/>
            <w:tcBorders>
              <w:tl2br w:val="nil"/>
              <w:tr2bl w:val="nil"/>
            </w:tcBorders>
            <w:noWrap w:val="0"/>
            <w:vAlign w:val="center"/>
          </w:tcPr>
          <w:p w14:paraId="37F3467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0.6111</w:t>
            </w:r>
          </w:p>
        </w:tc>
      </w:tr>
      <w:tr w14:paraId="1383E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B48795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3685" w:type="dxa"/>
            <w:tcBorders>
              <w:tl2br w:val="nil"/>
              <w:tr2bl w:val="nil"/>
            </w:tcBorders>
            <w:noWrap w:val="0"/>
            <w:vAlign w:val="center"/>
          </w:tcPr>
          <w:p w14:paraId="07DD70D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0.0718</w:t>
            </w:r>
          </w:p>
        </w:tc>
        <w:tc>
          <w:tcPr>
            <w:tcW w:w="3769" w:type="dxa"/>
            <w:tcBorders>
              <w:tl2br w:val="nil"/>
              <w:tr2bl w:val="nil"/>
            </w:tcBorders>
            <w:noWrap w:val="0"/>
            <w:vAlign w:val="center"/>
          </w:tcPr>
          <w:p w14:paraId="4D15BD6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0.5883</w:t>
            </w:r>
          </w:p>
        </w:tc>
      </w:tr>
      <w:tr w14:paraId="46B4F7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06A067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47</w:t>
            </w:r>
          </w:p>
        </w:tc>
        <w:tc>
          <w:tcPr>
            <w:tcW w:w="3685" w:type="dxa"/>
            <w:tcBorders>
              <w:tl2br w:val="nil"/>
              <w:tr2bl w:val="nil"/>
            </w:tcBorders>
            <w:noWrap w:val="0"/>
            <w:vAlign w:val="center"/>
          </w:tcPr>
          <w:p w14:paraId="4FFB4A53">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0.0707</w:t>
            </w:r>
          </w:p>
        </w:tc>
        <w:tc>
          <w:tcPr>
            <w:tcW w:w="3769" w:type="dxa"/>
            <w:tcBorders>
              <w:tl2br w:val="nil"/>
              <w:tr2bl w:val="nil"/>
            </w:tcBorders>
            <w:noWrap w:val="0"/>
            <w:vAlign w:val="center"/>
          </w:tcPr>
          <w:p w14:paraId="0DF030E4">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0.5667</w:t>
            </w:r>
          </w:p>
        </w:tc>
      </w:tr>
      <w:tr w14:paraId="68DF05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4953D2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w:t>
            </w:r>
          </w:p>
        </w:tc>
        <w:tc>
          <w:tcPr>
            <w:tcW w:w="3685" w:type="dxa"/>
            <w:tcBorders>
              <w:tl2br w:val="nil"/>
              <w:tr2bl w:val="nil"/>
            </w:tcBorders>
            <w:noWrap w:val="0"/>
            <w:vAlign w:val="center"/>
          </w:tcPr>
          <w:p w14:paraId="07A0606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0.0696</w:t>
            </w:r>
          </w:p>
        </w:tc>
        <w:tc>
          <w:tcPr>
            <w:tcW w:w="3769" w:type="dxa"/>
            <w:tcBorders>
              <w:tl2br w:val="nil"/>
              <w:tr2bl w:val="nil"/>
            </w:tcBorders>
            <w:noWrap w:val="0"/>
            <w:vAlign w:val="center"/>
          </w:tcPr>
          <w:p w14:paraId="53F8F9E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0.5462</w:t>
            </w:r>
          </w:p>
        </w:tc>
      </w:tr>
      <w:tr w14:paraId="5673ED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E0BD44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w:t>
            </w:r>
          </w:p>
        </w:tc>
        <w:tc>
          <w:tcPr>
            <w:tcW w:w="3685" w:type="dxa"/>
            <w:tcBorders>
              <w:tl2br w:val="nil"/>
              <w:tr2bl w:val="nil"/>
            </w:tcBorders>
            <w:noWrap w:val="0"/>
            <w:vAlign w:val="center"/>
          </w:tcPr>
          <w:p w14:paraId="0ED38A67">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0.0684</w:t>
            </w:r>
          </w:p>
        </w:tc>
        <w:tc>
          <w:tcPr>
            <w:tcW w:w="3769" w:type="dxa"/>
            <w:tcBorders>
              <w:tl2br w:val="nil"/>
              <w:tr2bl w:val="nil"/>
            </w:tcBorders>
            <w:noWrap w:val="0"/>
            <w:vAlign w:val="center"/>
          </w:tcPr>
          <w:p w14:paraId="0FA48CBE">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0.5268</w:t>
            </w:r>
          </w:p>
        </w:tc>
      </w:tr>
      <w:tr w14:paraId="276B1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6457C9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3685" w:type="dxa"/>
            <w:tcBorders>
              <w:tl2br w:val="nil"/>
              <w:tr2bl w:val="nil"/>
            </w:tcBorders>
            <w:noWrap w:val="0"/>
            <w:vAlign w:val="center"/>
          </w:tcPr>
          <w:p w14:paraId="260EED4A">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0.0672</w:t>
            </w:r>
          </w:p>
        </w:tc>
        <w:tc>
          <w:tcPr>
            <w:tcW w:w="3769" w:type="dxa"/>
            <w:tcBorders>
              <w:tl2br w:val="nil"/>
              <w:tr2bl w:val="nil"/>
            </w:tcBorders>
            <w:noWrap w:val="0"/>
            <w:vAlign w:val="center"/>
          </w:tcPr>
          <w:p w14:paraId="63659C2E">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0.5083</w:t>
            </w:r>
          </w:p>
        </w:tc>
      </w:tr>
      <w:tr w14:paraId="775749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FC968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51</w:t>
            </w:r>
          </w:p>
        </w:tc>
        <w:tc>
          <w:tcPr>
            <w:tcW w:w="3685" w:type="dxa"/>
            <w:tcBorders>
              <w:tl2br w:val="nil"/>
              <w:tr2bl w:val="nil"/>
            </w:tcBorders>
            <w:noWrap w:val="0"/>
            <w:vAlign w:val="center"/>
          </w:tcPr>
          <w:p w14:paraId="43AF3E8D">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0.066</w:t>
            </w:r>
          </w:p>
        </w:tc>
        <w:tc>
          <w:tcPr>
            <w:tcW w:w="3769" w:type="dxa"/>
            <w:tcBorders>
              <w:tl2br w:val="nil"/>
              <w:tr2bl w:val="nil"/>
            </w:tcBorders>
            <w:noWrap w:val="0"/>
            <w:vAlign w:val="center"/>
          </w:tcPr>
          <w:p w14:paraId="7AEB80BC">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0.4908</w:t>
            </w:r>
          </w:p>
        </w:tc>
      </w:tr>
      <w:tr w14:paraId="18E8E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C5EED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w:t>
            </w:r>
          </w:p>
        </w:tc>
        <w:tc>
          <w:tcPr>
            <w:tcW w:w="3685" w:type="dxa"/>
            <w:tcBorders>
              <w:tl2br w:val="nil"/>
              <w:tr2bl w:val="nil"/>
            </w:tcBorders>
            <w:noWrap w:val="0"/>
            <w:vAlign w:val="center"/>
          </w:tcPr>
          <w:p w14:paraId="2B587F62">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0.0648</w:t>
            </w:r>
          </w:p>
        </w:tc>
        <w:tc>
          <w:tcPr>
            <w:tcW w:w="3769" w:type="dxa"/>
            <w:tcBorders>
              <w:tl2br w:val="nil"/>
              <w:tr2bl w:val="nil"/>
            </w:tcBorders>
            <w:noWrap w:val="0"/>
            <w:vAlign w:val="center"/>
          </w:tcPr>
          <w:p w14:paraId="29893542">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0.474</w:t>
            </w:r>
          </w:p>
        </w:tc>
      </w:tr>
      <w:tr w14:paraId="3F8AFE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88CFF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w:t>
            </w:r>
          </w:p>
        </w:tc>
        <w:tc>
          <w:tcPr>
            <w:tcW w:w="3685" w:type="dxa"/>
            <w:tcBorders>
              <w:tl2br w:val="nil"/>
              <w:tr2bl w:val="nil"/>
            </w:tcBorders>
            <w:noWrap w:val="0"/>
            <w:vAlign w:val="center"/>
          </w:tcPr>
          <w:p w14:paraId="620EFE4F">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0.0635</w:t>
            </w:r>
          </w:p>
        </w:tc>
        <w:tc>
          <w:tcPr>
            <w:tcW w:w="3769" w:type="dxa"/>
            <w:tcBorders>
              <w:tl2br w:val="nil"/>
              <w:tr2bl w:val="nil"/>
            </w:tcBorders>
            <w:noWrap w:val="0"/>
            <w:vAlign w:val="center"/>
          </w:tcPr>
          <w:p w14:paraId="03E6CE03">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0.4582</w:t>
            </w:r>
          </w:p>
        </w:tc>
      </w:tr>
      <w:tr w14:paraId="2AC69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4D9A8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54</w:t>
            </w:r>
          </w:p>
        </w:tc>
        <w:tc>
          <w:tcPr>
            <w:tcW w:w="3685" w:type="dxa"/>
            <w:tcBorders>
              <w:tl2br w:val="nil"/>
              <w:tr2bl w:val="nil"/>
            </w:tcBorders>
            <w:noWrap w:val="0"/>
            <w:vAlign w:val="center"/>
          </w:tcPr>
          <w:p w14:paraId="1978465D">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0.0623</w:t>
            </w:r>
          </w:p>
        </w:tc>
        <w:tc>
          <w:tcPr>
            <w:tcW w:w="3769" w:type="dxa"/>
            <w:tcBorders>
              <w:tl2br w:val="nil"/>
              <w:tr2bl w:val="nil"/>
            </w:tcBorders>
            <w:noWrap w:val="0"/>
            <w:vAlign w:val="center"/>
          </w:tcPr>
          <w:p w14:paraId="2B62E3CB">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0.443</w:t>
            </w:r>
          </w:p>
        </w:tc>
      </w:tr>
      <w:tr w14:paraId="42A9B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1172C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55</w:t>
            </w:r>
          </w:p>
        </w:tc>
        <w:tc>
          <w:tcPr>
            <w:tcW w:w="3685" w:type="dxa"/>
            <w:tcBorders>
              <w:tl2br w:val="nil"/>
              <w:tr2bl w:val="nil"/>
            </w:tcBorders>
            <w:noWrap w:val="0"/>
            <w:vAlign w:val="center"/>
          </w:tcPr>
          <w:p w14:paraId="044E2E8E">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0.0611</w:t>
            </w:r>
          </w:p>
        </w:tc>
        <w:tc>
          <w:tcPr>
            <w:tcW w:w="3769" w:type="dxa"/>
            <w:tcBorders>
              <w:tl2br w:val="nil"/>
              <w:tr2bl w:val="nil"/>
            </w:tcBorders>
            <w:noWrap w:val="0"/>
            <w:vAlign w:val="center"/>
          </w:tcPr>
          <w:p w14:paraId="20F3EB63">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0.4286</w:t>
            </w:r>
          </w:p>
        </w:tc>
      </w:tr>
      <w:tr w14:paraId="0E3F37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2BB60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w:t>
            </w:r>
          </w:p>
        </w:tc>
        <w:tc>
          <w:tcPr>
            <w:tcW w:w="3685" w:type="dxa"/>
            <w:tcBorders>
              <w:tl2br w:val="nil"/>
              <w:tr2bl w:val="nil"/>
            </w:tcBorders>
            <w:noWrap w:val="0"/>
            <w:vAlign w:val="center"/>
          </w:tcPr>
          <w:p w14:paraId="638F0EF8">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0.0599</w:t>
            </w:r>
          </w:p>
        </w:tc>
        <w:tc>
          <w:tcPr>
            <w:tcW w:w="3769" w:type="dxa"/>
            <w:tcBorders>
              <w:tl2br w:val="nil"/>
              <w:tr2bl w:val="nil"/>
            </w:tcBorders>
            <w:noWrap w:val="0"/>
            <w:vAlign w:val="center"/>
          </w:tcPr>
          <w:p w14:paraId="5063CC31">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0.4148</w:t>
            </w:r>
          </w:p>
        </w:tc>
      </w:tr>
      <w:tr w14:paraId="759A4E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36C4F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57</w:t>
            </w:r>
          </w:p>
        </w:tc>
        <w:tc>
          <w:tcPr>
            <w:tcW w:w="3685" w:type="dxa"/>
            <w:tcBorders>
              <w:tl2br w:val="nil"/>
              <w:tr2bl w:val="nil"/>
            </w:tcBorders>
            <w:noWrap w:val="0"/>
            <w:vAlign w:val="center"/>
          </w:tcPr>
          <w:p w14:paraId="7157E678">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0.0587</w:t>
            </w:r>
          </w:p>
        </w:tc>
        <w:tc>
          <w:tcPr>
            <w:tcW w:w="3769" w:type="dxa"/>
            <w:tcBorders>
              <w:tl2br w:val="nil"/>
              <w:tr2bl w:val="nil"/>
            </w:tcBorders>
            <w:noWrap w:val="0"/>
            <w:vAlign w:val="center"/>
          </w:tcPr>
          <w:p w14:paraId="5C1F55AA">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0.4017</w:t>
            </w:r>
          </w:p>
        </w:tc>
      </w:tr>
      <w:tr w14:paraId="368FC8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6773A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w:t>
            </w:r>
          </w:p>
        </w:tc>
        <w:tc>
          <w:tcPr>
            <w:tcW w:w="3685" w:type="dxa"/>
            <w:tcBorders>
              <w:tl2br w:val="nil"/>
              <w:tr2bl w:val="nil"/>
            </w:tcBorders>
            <w:noWrap w:val="0"/>
            <w:vAlign w:val="center"/>
          </w:tcPr>
          <w:p w14:paraId="06CBCB58">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0.0575</w:t>
            </w:r>
          </w:p>
        </w:tc>
        <w:tc>
          <w:tcPr>
            <w:tcW w:w="3769" w:type="dxa"/>
            <w:tcBorders>
              <w:tl2br w:val="nil"/>
              <w:tr2bl w:val="nil"/>
            </w:tcBorders>
            <w:noWrap w:val="0"/>
            <w:vAlign w:val="center"/>
          </w:tcPr>
          <w:p w14:paraId="4C08A57F">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0.3891</w:t>
            </w:r>
          </w:p>
        </w:tc>
      </w:tr>
      <w:tr w14:paraId="17C43F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601C2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59</w:t>
            </w:r>
          </w:p>
        </w:tc>
        <w:tc>
          <w:tcPr>
            <w:tcW w:w="3685" w:type="dxa"/>
            <w:tcBorders>
              <w:tl2br w:val="nil"/>
              <w:tr2bl w:val="nil"/>
            </w:tcBorders>
            <w:noWrap w:val="0"/>
            <w:vAlign w:val="center"/>
          </w:tcPr>
          <w:p w14:paraId="210E22FE">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0.0563</w:t>
            </w:r>
          </w:p>
        </w:tc>
        <w:tc>
          <w:tcPr>
            <w:tcW w:w="3769" w:type="dxa"/>
            <w:tcBorders>
              <w:tl2br w:val="nil"/>
              <w:tr2bl w:val="nil"/>
            </w:tcBorders>
            <w:noWrap w:val="0"/>
            <w:vAlign w:val="center"/>
          </w:tcPr>
          <w:p w14:paraId="15738439">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0.3772</w:t>
            </w:r>
          </w:p>
        </w:tc>
      </w:tr>
      <w:tr w14:paraId="55E6EE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AB99D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3685" w:type="dxa"/>
            <w:tcBorders>
              <w:tl2br w:val="nil"/>
              <w:tr2bl w:val="nil"/>
            </w:tcBorders>
            <w:noWrap w:val="0"/>
            <w:vAlign w:val="center"/>
          </w:tcPr>
          <w:p w14:paraId="0B3430E1">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0.0551</w:t>
            </w:r>
          </w:p>
        </w:tc>
        <w:tc>
          <w:tcPr>
            <w:tcW w:w="3769" w:type="dxa"/>
            <w:tcBorders>
              <w:tl2br w:val="nil"/>
              <w:tr2bl w:val="nil"/>
            </w:tcBorders>
            <w:noWrap w:val="0"/>
            <w:vAlign w:val="center"/>
          </w:tcPr>
          <w:p w14:paraId="5A4C8E45">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0.3657</w:t>
            </w:r>
          </w:p>
        </w:tc>
      </w:tr>
      <w:tr w14:paraId="540DE0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AC924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w:t>
            </w:r>
          </w:p>
        </w:tc>
        <w:tc>
          <w:tcPr>
            <w:tcW w:w="3685" w:type="dxa"/>
            <w:tcBorders>
              <w:tl2br w:val="nil"/>
              <w:tr2bl w:val="nil"/>
            </w:tcBorders>
            <w:noWrap w:val="0"/>
            <w:vAlign w:val="center"/>
          </w:tcPr>
          <w:p w14:paraId="68E45DC6">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0.054</w:t>
            </w:r>
          </w:p>
        </w:tc>
        <w:tc>
          <w:tcPr>
            <w:tcW w:w="3769" w:type="dxa"/>
            <w:tcBorders>
              <w:tl2br w:val="nil"/>
              <w:tr2bl w:val="nil"/>
            </w:tcBorders>
            <w:noWrap w:val="0"/>
            <w:vAlign w:val="center"/>
          </w:tcPr>
          <w:p w14:paraId="2C83C1F5">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0.3548</w:t>
            </w:r>
          </w:p>
        </w:tc>
      </w:tr>
      <w:tr w14:paraId="05981A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FF077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62</w:t>
            </w:r>
          </w:p>
        </w:tc>
        <w:tc>
          <w:tcPr>
            <w:tcW w:w="3685" w:type="dxa"/>
            <w:tcBorders>
              <w:tl2br w:val="nil"/>
              <w:tr2bl w:val="nil"/>
            </w:tcBorders>
            <w:noWrap w:val="0"/>
            <w:vAlign w:val="center"/>
          </w:tcPr>
          <w:p w14:paraId="36CF389E">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0.0528</w:t>
            </w:r>
          </w:p>
        </w:tc>
        <w:tc>
          <w:tcPr>
            <w:tcW w:w="3769" w:type="dxa"/>
            <w:tcBorders>
              <w:tl2br w:val="nil"/>
              <w:tr2bl w:val="nil"/>
            </w:tcBorders>
            <w:noWrap w:val="0"/>
            <w:vAlign w:val="center"/>
          </w:tcPr>
          <w:p w14:paraId="2E04355C">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0.3443</w:t>
            </w:r>
          </w:p>
        </w:tc>
      </w:tr>
      <w:tr w14:paraId="4D8F3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3B08E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63</w:t>
            </w:r>
          </w:p>
        </w:tc>
        <w:tc>
          <w:tcPr>
            <w:tcW w:w="3685" w:type="dxa"/>
            <w:tcBorders>
              <w:tl2br w:val="nil"/>
              <w:tr2bl w:val="nil"/>
            </w:tcBorders>
            <w:noWrap w:val="0"/>
            <w:vAlign w:val="center"/>
          </w:tcPr>
          <w:p w14:paraId="679D87AC">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0.0517</w:t>
            </w:r>
          </w:p>
        </w:tc>
        <w:tc>
          <w:tcPr>
            <w:tcW w:w="3769" w:type="dxa"/>
            <w:tcBorders>
              <w:tl2br w:val="nil"/>
              <w:tr2bl w:val="nil"/>
            </w:tcBorders>
            <w:noWrap w:val="0"/>
            <w:vAlign w:val="center"/>
          </w:tcPr>
          <w:p w14:paraId="5FE47D55">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0.3342</w:t>
            </w:r>
          </w:p>
        </w:tc>
      </w:tr>
      <w:tr w14:paraId="02E642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0D352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3685" w:type="dxa"/>
            <w:tcBorders>
              <w:tl2br w:val="nil"/>
              <w:tr2bl w:val="nil"/>
            </w:tcBorders>
            <w:noWrap w:val="0"/>
            <w:vAlign w:val="center"/>
          </w:tcPr>
          <w:p w14:paraId="6F027BD7">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0.0507</w:t>
            </w:r>
          </w:p>
        </w:tc>
        <w:tc>
          <w:tcPr>
            <w:tcW w:w="3769" w:type="dxa"/>
            <w:tcBorders>
              <w:tl2br w:val="nil"/>
              <w:tr2bl w:val="nil"/>
            </w:tcBorders>
            <w:noWrap w:val="0"/>
            <w:vAlign w:val="center"/>
          </w:tcPr>
          <w:p w14:paraId="202F93D4">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0.3246</w:t>
            </w:r>
          </w:p>
        </w:tc>
      </w:tr>
      <w:tr w14:paraId="492F7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AE091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65</w:t>
            </w:r>
          </w:p>
        </w:tc>
        <w:tc>
          <w:tcPr>
            <w:tcW w:w="3685" w:type="dxa"/>
            <w:tcBorders>
              <w:tl2br w:val="nil"/>
              <w:tr2bl w:val="nil"/>
            </w:tcBorders>
            <w:noWrap w:val="0"/>
            <w:vAlign w:val="center"/>
          </w:tcPr>
          <w:p w14:paraId="1D95980A">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0.0496</w:t>
            </w:r>
          </w:p>
        </w:tc>
        <w:tc>
          <w:tcPr>
            <w:tcW w:w="3769" w:type="dxa"/>
            <w:tcBorders>
              <w:tl2br w:val="nil"/>
              <w:tr2bl w:val="nil"/>
            </w:tcBorders>
            <w:noWrap w:val="0"/>
            <w:vAlign w:val="center"/>
          </w:tcPr>
          <w:p w14:paraId="43FAB109">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0.3154</w:t>
            </w:r>
          </w:p>
        </w:tc>
      </w:tr>
      <w:tr w14:paraId="2BAB6A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AC1B4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w:t>
            </w:r>
          </w:p>
        </w:tc>
        <w:tc>
          <w:tcPr>
            <w:tcW w:w="3685" w:type="dxa"/>
            <w:tcBorders>
              <w:tl2br w:val="nil"/>
              <w:tr2bl w:val="nil"/>
            </w:tcBorders>
            <w:noWrap w:val="0"/>
            <w:vAlign w:val="center"/>
          </w:tcPr>
          <w:p w14:paraId="10F5B812">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0.0486</w:t>
            </w:r>
          </w:p>
        </w:tc>
        <w:tc>
          <w:tcPr>
            <w:tcW w:w="3769" w:type="dxa"/>
            <w:tcBorders>
              <w:tl2br w:val="nil"/>
              <w:tr2bl w:val="nil"/>
            </w:tcBorders>
            <w:noWrap w:val="0"/>
            <w:vAlign w:val="center"/>
          </w:tcPr>
          <w:p w14:paraId="794B8FB9">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0.3066</w:t>
            </w:r>
          </w:p>
        </w:tc>
      </w:tr>
      <w:tr w14:paraId="314D8E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69142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67</w:t>
            </w:r>
          </w:p>
        </w:tc>
        <w:tc>
          <w:tcPr>
            <w:tcW w:w="3685" w:type="dxa"/>
            <w:tcBorders>
              <w:tl2br w:val="nil"/>
              <w:tr2bl w:val="nil"/>
            </w:tcBorders>
            <w:noWrap w:val="0"/>
            <w:vAlign w:val="center"/>
          </w:tcPr>
          <w:p w14:paraId="392D206C">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0.0476</w:t>
            </w:r>
          </w:p>
        </w:tc>
        <w:tc>
          <w:tcPr>
            <w:tcW w:w="3769" w:type="dxa"/>
            <w:tcBorders>
              <w:tl2br w:val="nil"/>
              <w:tr2bl w:val="nil"/>
            </w:tcBorders>
            <w:noWrap w:val="0"/>
            <w:vAlign w:val="center"/>
          </w:tcPr>
          <w:p w14:paraId="18A54FCE">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0.2981</w:t>
            </w:r>
          </w:p>
        </w:tc>
      </w:tr>
      <w:tr w14:paraId="3CDE8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94678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68</w:t>
            </w:r>
          </w:p>
        </w:tc>
        <w:tc>
          <w:tcPr>
            <w:tcW w:w="3685" w:type="dxa"/>
            <w:tcBorders>
              <w:tl2br w:val="nil"/>
              <w:tr2bl w:val="nil"/>
            </w:tcBorders>
            <w:noWrap w:val="0"/>
            <w:vAlign w:val="center"/>
          </w:tcPr>
          <w:p w14:paraId="0C5F95A2">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0.0466</w:t>
            </w:r>
          </w:p>
        </w:tc>
        <w:tc>
          <w:tcPr>
            <w:tcW w:w="3769" w:type="dxa"/>
            <w:tcBorders>
              <w:tl2br w:val="nil"/>
              <w:tr2bl w:val="nil"/>
            </w:tcBorders>
            <w:noWrap w:val="0"/>
            <w:vAlign w:val="center"/>
          </w:tcPr>
          <w:p w14:paraId="40C972D5">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0.2899</w:t>
            </w:r>
          </w:p>
        </w:tc>
      </w:tr>
      <w:tr w14:paraId="79BB1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49486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69</w:t>
            </w:r>
          </w:p>
        </w:tc>
        <w:tc>
          <w:tcPr>
            <w:tcW w:w="3685" w:type="dxa"/>
            <w:tcBorders>
              <w:tl2br w:val="nil"/>
              <w:tr2bl w:val="nil"/>
            </w:tcBorders>
            <w:noWrap w:val="0"/>
            <w:vAlign w:val="center"/>
          </w:tcPr>
          <w:p w14:paraId="03CCB0A0">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0.0456</w:t>
            </w:r>
          </w:p>
        </w:tc>
        <w:tc>
          <w:tcPr>
            <w:tcW w:w="3769" w:type="dxa"/>
            <w:tcBorders>
              <w:tl2br w:val="nil"/>
              <w:tr2bl w:val="nil"/>
            </w:tcBorders>
            <w:noWrap w:val="0"/>
            <w:vAlign w:val="center"/>
          </w:tcPr>
          <w:p w14:paraId="7E6251BB">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0.2821</w:t>
            </w:r>
          </w:p>
        </w:tc>
      </w:tr>
      <w:tr w14:paraId="12848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F99A1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3685" w:type="dxa"/>
            <w:tcBorders>
              <w:tl2br w:val="nil"/>
              <w:tr2bl w:val="nil"/>
            </w:tcBorders>
            <w:noWrap w:val="0"/>
            <w:vAlign w:val="center"/>
          </w:tcPr>
          <w:p w14:paraId="124DC3BF">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0.0447</w:t>
            </w:r>
          </w:p>
        </w:tc>
        <w:tc>
          <w:tcPr>
            <w:tcW w:w="3769" w:type="dxa"/>
            <w:tcBorders>
              <w:tl2br w:val="nil"/>
              <w:tr2bl w:val="nil"/>
            </w:tcBorders>
            <w:noWrap w:val="0"/>
            <w:vAlign w:val="center"/>
          </w:tcPr>
          <w:p w14:paraId="7FD6C3A4">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0.2746</w:t>
            </w:r>
          </w:p>
        </w:tc>
      </w:tr>
      <w:tr w14:paraId="6BE94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3931CAA">
            <w:pPr>
              <w:snapToGrid w:val="0"/>
              <w:spacing w:line="240" w:lineRule="auto"/>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最大值</w:t>
            </w:r>
          </w:p>
        </w:tc>
        <w:tc>
          <w:tcPr>
            <w:tcW w:w="3685" w:type="dxa"/>
            <w:tcBorders>
              <w:tl2br w:val="nil"/>
              <w:tr2bl w:val="nil"/>
            </w:tcBorders>
            <w:noWrap w:val="0"/>
            <w:vAlign w:val="bottom"/>
          </w:tcPr>
          <w:p w14:paraId="3DE6DDB0">
            <w:pPr>
              <w:pStyle w:val="71"/>
              <w:kinsoku w:val="0"/>
              <w:overflowPunct w:val="0"/>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0.837</w:t>
            </w:r>
          </w:p>
        </w:tc>
        <w:tc>
          <w:tcPr>
            <w:tcW w:w="3769" w:type="dxa"/>
            <w:tcBorders>
              <w:tl2br w:val="nil"/>
              <w:tr2bl w:val="nil"/>
            </w:tcBorders>
            <w:noWrap w:val="0"/>
            <w:vAlign w:val="bottom"/>
          </w:tcPr>
          <w:p w14:paraId="07744324">
            <w:pPr>
              <w:pStyle w:val="71"/>
              <w:kinsoku w:val="0"/>
              <w:overflowPunct w:val="0"/>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3.8877</w:t>
            </w:r>
          </w:p>
        </w:tc>
      </w:tr>
    </w:tbl>
    <w:p w14:paraId="18DCE265">
      <w:pPr>
        <w:jc w:val="center"/>
        <w:rPr>
          <w:rFonts w:hint="default" w:ascii="Times New Roman" w:hAnsi="Times New Roman" w:cs="Times New Roman"/>
          <w:b/>
          <w:bCs/>
          <w:color w:val="auto"/>
          <w:sz w:val="24"/>
          <w:highlight w:val="none"/>
        </w:rPr>
      </w:pPr>
      <w:r>
        <w:rPr>
          <w:color w:val="auto"/>
        </w:rPr>
        <w:drawing>
          <wp:inline distT="0" distB="0" distL="114300" distR="114300">
            <wp:extent cx="5280025" cy="2665095"/>
            <wp:effectExtent l="4445" t="4445" r="11430" b="16510"/>
            <wp:docPr id="32" name="图表 25" descr="7b0a202020202263686172745265734964223a202232303437363933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E03AC1F">
      <w:pPr>
        <w:spacing w:line="360" w:lineRule="auto"/>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6-</w:t>
      </w:r>
      <w:r>
        <w:rPr>
          <w:rFonts w:hint="default" w:ascii="Times New Roman" w:hAnsi="Times New Roman" w:cs="Times New Roman"/>
          <w:b/>
          <w:bCs/>
          <w:color w:val="auto"/>
          <w:sz w:val="24"/>
          <w:highlight w:val="none"/>
          <w:lang w:val="en-US" w:eastAsia="zh-CN"/>
        </w:rPr>
        <w:t>7</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en-US" w:eastAsia="zh-CN"/>
        </w:rPr>
        <w:t xml:space="preserve"> 11</w:t>
      </w:r>
      <w:r>
        <w:rPr>
          <w:rFonts w:hint="default" w:ascii="Times New Roman" w:hAnsi="Times New Roman" w:cs="Times New Roman"/>
          <w:b/>
          <w:bCs/>
          <w:color w:val="auto"/>
          <w:sz w:val="24"/>
          <w:highlight w:val="none"/>
        </w:rPr>
        <w:t>0</w:t>
      </w:r>
      <w:r>
        <w:rPr>
          <w:rFonts w:hint="default" w:ascii="Times New Roman" w:hAnsi="Times New Roman" w:cs="Times New Roman"/>
          <w:b/>
          <w:bCs/>
          <w:color w:val="auto"/>
          <w:sz w:val="24"/>
          <w:highlight w:val="none"/>
          <w:lang w:val="en-US" w:eastAsia="zh-CN"/>
        </w:rPr>
        <w:t>千伏</w:t>
      </w:r>
      <w:r>
        <w:rPr>
          <w:rFonts w:hint="default" w:ascii="Times New Roman" w:hAnsi="Times New Roman" w:cs="Times New Roman"/>
          <w:b/>
          <w:bCs/>
          <w:color w:val="auto"/>
          <w:sz w:val="24"/>
          <w:highlight w:val="none"/>
        </w:rPr>
        <w:t>双回架空线路工频电场变化趋势图</w:t>
      </w:r>
    </w:p>
    <w:p w14:paraId="0A71B6D5">
      <w:pPr>
        <w:pStyle w:val="10"/>
        <w:keepNext w:val="0"/>
        <w:keepLines w:val="0"/>
        <w:pageBreakBefore w:val="0"/>
        <w:widowControl/>
        <w:kinsoku/>
        <w:wordWrap/>
        <w:overflowPunct/>
        <w:topLinePunct w:val="0"/>
        <w:autoSpaceDE/>
        <w:autoSpaceDN/>
        <w:bidi w:val="0"/>
        <w:adjustRightInd w:val="0"/>
        <w:snapToGrid w:val="0"/>
        <w:spacing w:before="0" w:after="0" w:line="260" w:lineRule="auto"/>
        <w:ind w:right="0"/>
        <w:jc w:val="center"/>
        <w:textAlignment w:val="auto"/>
        <w:rPr>
          <w:rFonts w:hint="default" w:ascii="Times New Roman" w:hAnsi="Times New Roman" w:cs="Times New Roman"/>
          <w:color w:val="auto"/>
          <w:sz w:val="24"/>
          <w:highlight w:val="none"/>
        </w:rPr>
      </w:pPr>
      <w:r>
        <w:rPr>
          <w:color w:val="auto"/>
        </w:rPr>
        <w:drawing>
          <wp:inline distT="0" distB="0" distL="114300" distR="114300">
            <wp:extent cx="5280025" cy="2665095"/>
            <wp:effectExtent l="4445" t="4445" r="11430" b="16510"/>
            <wp:docPr id="33" name="图表 25" descr="7b0a202020202263686172745265734964223a202232303437363933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82C3BDA">
      <w:pPr>
        <w:spacing w:line="360" w:lineRule="auto"/>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6-</w:t>
      </w:r>
      <w:r>
        <w:rPr>
          <w:rFonts w:hint="default" w:ascii="Times New Roman" w:hAnsi="Times New Roman" w:cs="Times New Roman"/>
          <w:b/>
          <w:bCs/>
          <w:color w:val="auto"/>
          <w:sz w:val="24"/>
          <w:highlight w:val="none"/>
          <w:lang w:val="en-US" w:eastAsia="zh-CN"/>
        </w:rPr>
        <w:t>8</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en-US" w:eastAsia="zh-CN"/>
        </w:rPr>
        <w:t xml:space="preserve"> 11</w:t>
      </w:r>
      <w:r>
        <w:rPr>
          <w:rFonts w:hint="default" w:ascii="Times New Roman" w:hAnsi="Times New Roman" w:cs="Times New Roman"/>
          <w:b/>
          <w:bCs/>
          <w:color w:val="auto"/>
          <w:sz w:val="24"/>
          <w:highlight w:val="none"/>
        </w:rPr>
        <w:t>0</w:t>
      </w:r>
      <w:r>
        <w:rPr>
          <w:rFonts w:hint="default" w:ascii="Times New Roman" w:hAnsi="Times New Roman" w:cs="Times New Roman"/>
          <w:b/>
          <w:bCs/>
          <w:color w:val="auto"/>
          <w:sz w:val="24"/>
          <w:highlight w:val="none"/>
          <w:lang w:val="en-US" w:eastAsia="zh-CN"/>
        </w:rPr>
        <w:t>千伏</w:t>
      </w:r>
      <w:r>
        <w:rPr>
          <w:rFonts w:hint="default" w:ascii="Times New Roman" w:hAnsi="Times New Roman" w:cs="Times New Roman"/>
          <w:b/>
          <w:bCs/>
          <w:color w:val="auto"/>
          <w:sz w:val="24"/>
          <w:highlight w:val="none"/>
        </w:rPr>
        <w:t>双回架空线路工频磁场变化趋势图</w:t>
      </w:r>
    </w:p>
    <w:p w14:paraId="60F25785">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ind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b w:val="0"/>
          <w:bCs w:val="0"/>
          <w:color w:val="auto"/>
          <w:sz w:val="24"/>
          <w:highlight w:val="none"/>
          <w:lang w:val="en-US" w:eastAsia="zh-CN"/>
        </w:rPr>
        <w:t>④11</w:t>
      </w:r>
      <w:r>
        <w:rPr>
          <w:rFonts w:hint="default" w:ascii="Times New Roman" w:hAnsi="Times New Roman" w:cs="Times New Roman"/>
          <w:b w:val="0"/>
          <w:bCs w:val="0"/>
          <w:color w:val="auto"/>
          <w:sz w:val="24"/>
          <w:highlight w:val="none"/>
        </w:rPr>
        <w:t>0</w:t>
      </w:r>
      <w:r>
        <w:rPr>
          <w:rFonts w:hint="default" w:ascii="Times New Roman" w:hAnsi="Times New Roman" w:cs="Times New Roman"/>
          <w:b w:val="0"/>
          <w:bCs w:val="0"/>
          <w:color w:val="auto"/>
          <w:sz w:val="24"/>
          <w:highlight w:val="none"/>
          <w:lang w:val="en-US" w:eastAsia="zh-CN"/>
        </w:rPr>
        <w:t>千伏</w:t>
      </w:r>
      <w:r>
        <w:rPr>
          <w:rFonts w:hint="default" w:ascii="Times New Roman" w:hAnsi="Times New Roman" w:cs="Times New Roman"/>
          <w:color w:val="auto"/>
          <w:sz w:val="24"/>
          <w:highlight w:val="none"/>
        </w:rPr>
        <w:t>双回架空线路</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单侧运行</w:t>
      </w:r>
      <w:r>
        <w:rPr>
          <w:rFonts w:hint="default" w:ascii="Times New Roman" w:hAnsi="Times New Roman" w:cs="Times New Roman"/>
          <w:color w:val="auto"/>
          <w:sz w:val="24"/>
          <w:highlight w:val="none"/>
          <w:lang w:eastAsia="zh-CN"/>
        </w:rPr>
        <w:t>）</w:t>
      </w:r>
    </w:p>
    <w:p w14:paraId="119F0D9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计算</w:t>
      </w:r>
      <w:r>
        <w:rPr>
          <w:rFonts w:hint="default" w:ascii="Times New Roman" w:hAnsi="Times New Roman" w:cs="Times New Roman"/>
          <w:color w:val="auto"/>
          <w:sz w:val="24"/>
          <w:highlight w:val="none"/>
        </w:rPr>
        <w:t>导线对地</w:t>
      </w:r>
      <w:r>
        <w:rPr>
          <w:rFonts w:hint="default" w:ascii="Times New Roman" w:hAnsi="Times New Roman" w:cs="Times New Roman"/>
          <w:color w:val="auto"/>
          <w:sz w:val="24"/>
          <w:highlight w:val="none"/>
          <w:lang w:val="en-US" w:eastAsia="zh-CN"/>
        </w:rPr>
        <w:t>最低</w:t>
      </w:r>
      <w:r>
        <w:rPr>
          <w:rFonts w:hint="default" w:ascii="Times New Roman" w:hAnsi="Times New Roman" w:cs="Times New Roman"/>
          <w:color w:val="auto"/>
          <w:sz w:val="24"/>
          <w:highlight w:val="none"/>
        </w:rPr>
        <w:t>高度</w:t>
      </w:r>
      <w:r>
        <w:rPr>
          <w:rFonts w:hint="default" w:ascii="Times New Roman" w:hAnsi="Times New Roman" w:cs="Times New Roman"/>
          <w:color w:val="auto"/>
          <w:sz w:val="24"/>
          <w:highlight w:val="none"/>
          <w:lang w:val="en-US" w:eastAsia="zh-CN"/>
        </w:rPr>
        <w:t>为1</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rPr>
        <w:t>m</w:t>
      </w:r>
      <w:r>
        <w:rPr>
          <w:rFonts w:hint="default" w:ascii="Times New Roman" w:hAnsi="Times New Roman" w:eastAsia="宋体" w:cs="Times New Roman"/>
          <w:color w:val="auto"/>
          <w:sz w:val="24"/>
          <w:highlight w:val="none"/>
          <w:lang w:val="en-US" w:eastAsia="zh-CN"/>
        </w:rPr>
        <w:t>时</w:t>
      </w:r>
      <w:r>
        <w:rPr>
          <w:rFonts w:hint="default" w:ascii="Times New Roman" w:hAnsi="Times New Roman" w:cs="Times New Roman"/>
          <w:color w:val="auto"/>
          <w:sz w:val="24"/>
          <w:highlight w:val="none"/>
        </w:rPr>
        <w:t>，垂直线路方向为-</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0m，计算点离地面高1.5m，其线下工频电场强度、工频磁感应强度的计算结果见下表。</w:t>
      </w:r>
    </w:p>
    <w:p w14:paraId="795647BA">
      <w:pPr>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专题表6-</w:t>
      </w: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 xml:space="preserve">  本项目</w:t>
      </w:r>
      <w:r>
        <w:rPr>
          <w:rFonts w:hint="default" w:ascii="Times New Roman" w:hAnsi="Times New Roman" w:cs="Times New Roman"/>
          <w:b/>
          <w:bCs/>
          <w:color w:val="auto"/>
          <w:sz w:val="24"/>
          <w:highlight w:val="none"/>
          <w:lang w:val="en-US" w:eastAsia="zh-CN"/>
        </w:rPr>
        <w:t>11</w:t>
      </w:r>
      <w:r>
        <w:rPr>
          <w:rFonts w:hint="default" w:ascii="Times New Roman" w:hAnsi="Times New Roman" w:cs="Times New Roman"/>
          <w:b/>
          <w:bCs/>
          <w:color w:val="auto"/>
          <w:sz w:val="24"/>
          <w:highlight w:val="none"/>
        </w:rPr>
        <w:t>0</w:t>
      </w:r>
      <w:r>
        <w:rPr>
          <w:rFonts w:hint="default" w:ascii="Times New Roman" w:hAnsi="Times New Roman" w:cs="Times New Roman"/>
          <w:b/>
          <w:bCs/>
          <w:color w:val="auto"/>
          <w:sz w:val="24"/>
          <w:highlight w:val="none"/>
          <w:lang w:val="en-US" w:eastAsia="zh-CN"/>
        </w:rPr>
        <w:t>千伏</w:t>
      </w:r>
      <w:r>
        <w:rPr>
          <w:rFonts w:hint="default" w:ascii="Times New Roman" w:hAnsi="Times New Roman" w:cs="Times New Roman"/>
          <w:b/>
          <w:bCs/>
          <w:color w:val="auto"/>
          <w:sz w:val="24"/>
          <w:highlight w:val="none"/>
        </w:rPr>
        <w:t>双回架空线路</w:t>
      </w:r>
      <w:r>
        <w:rPr>
          <w:rFonts w:hint="default" w:ascii="Times New Roman" w:hAnsi="Times New Roman" w:cs="Times New Roman"/>
          <w:b/>
          <w:bCs/>
          <w:color w:val="auto"/>
          <w:sz w:val="24"/>
          <w:highlight w:val="none"/>
          <w:lang w:eastAsia="zh-CN"/>
        </w:rPr>
        <w:t>（单侧运行）</w:t>
      </w:r>
      <w:r>
        <w:rPr>
          <w:rFonts w:hint="default" w:ascii="Times New Roman" w:hAnsi="Times New Roman" w:cs="Times New Roman"/>
          <w:b/>
          <w:bCs/>
          <w:color w:val="auto"/>
          <w:sz w:val="24"/>
          <w:highlight w:val="none"/>
        </w:rPr>
        <w:t>电磁计算结果</w:t>
      </w:r>
    </w:p>
    <w:tbl>
      <w:tblPr>
        <w:tblStyle w:val="32"/>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3685"/>
        <w:gridCol w:w="3769"/>
      </w:tblGrid>
      <w:tr w14:paraId="74B15D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vMerge w:val="restart"/>
            <w:tcBorders>
              <w:tl2br w:val="nil"/>
              <w:tr2bl w:val="nil"/>
            </w:tcBorders>
            <w:noWrap w:val="0"/>
            <w:vAlign w:val="center"/>
          </w:tcPr>
          <w:p w14:paraId="24EF18C4">
            <w:pPr>
              <w:pStyle w:val="71"/>
              <w:kinsoku w:val="0"/>
              <w:overflowPunct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距线路走廊中心距离</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lang w:eastAsia="zh-CN"/>
              </w:rPr>
              <w:t>）</w:t>
            </w:r>
          </w:p>
        </w:tc>
        <w:tc>
          <w:tcPr>
            <w:tcW w:w="7454" w:type="dxa"/>
            <w:gridSpan w:val="2"/>
            <w:tcBorders>
              <w:tl2br w:val="nil"/>
              <w:tr2bl w:val="nil"/>
            </w:tcBorders>
            <w:noWrap w:val="0"/>
            <w:vAlign w:val="center"/>
          </w:tcPr>
          <w:p w14:paraId="5FE7A922">
            <w:pPr>
              <w:pStyle w:val="71"/>
              <w:kinsoku w:val="0"/>
              <w:overflowPunct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导线对地高度1</w:t>
            </w:r>
            <w:r>
              <w:rPr>
                <w:rFonts w:hint="eastAsia" w:cs="Times New Roman"/>
                <w:b/>
                <w:bCs/>
                <w:color w:val="auto"/>
                <w:sz w:val="21"/>
                <w:szCs w:val="21"/>
                <w:highlight w:val="none"/>
                <w:lang w:val="en-US" w:eastAsia="zh-CN"/>
              </w:rPr>
              <w:t>5.0</w:t>
            </w:r>
            <w:r>
              <w:rPr>
                <w:rFonts w:hint="default" w:ascii="Times New Roman" w:hAnsi="Times New Roman" w:cs="Times New Roman"/>
                <w:b/>
                <w:bCs/>
                <w:color w:val="auto"/>
                <w:sz w:val="21"/>
                <w:szCs w:val="21"/>
                <w:highlight w:val="none"/>
              </w:rPr>
              <w:t>m</w:t>
            </w:r>
          </w:p>
        </w:tc>
      </w:tr>
      <w:tr w14:paraId="41B83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vMerge w:val="continue"/>
            <w:tcBorders>
              <w:tl2br w:val="nil"/>
              <w:tr2bl w:val="nil"/>
            </w:tcBorders>
            <w:noWrap w:val="0"/>
            <w:vAlign w:val="top"/>
          </w:tcPr>
          <w:p w14:paraId="54AF91FE">
            <w:pPr>
              <w:spacing w:line="240" w:lineRule="auto"/>
              <w:jc w:val="center"/>
              <w:rPr>
                <w:rFonts w:hint="default" w:ascii="Times New Roman" w:hAnsi="Times New Roman" w:cs="Times New Roman"/>
                <w:b/>
                <w:bCs/>
                <w:color w:val="auto"/>
                <w:kern w:val="0"/>
                <w:sz w:val="21"/>
                <w:szCs w:val="21"/>
                <w:highlight w:val="none"/>
              </w:rPr>
            </w:pPr>
          </w:p>
        </w:tc>
        <w:tc>
          <w:tcPr>
            <w:tcW w:w="3685" w:type="dxa"/>
            <w:tcBorders>
              <w:tl2br w:val="nil"/>
              <w:tr2bl w:val="nil"/>
            </w:tcBorders>
            <w:noWrap w:val="0"/>
            <w:vAlign w:val="center"/>
          </w:tcPr>
          <w:p w14:paraId="6B4F9F64">
            <w:pPr>
              <w:pStyle w:val="71"/>
              <w:kinsoku w:val="0"/>
              <w:overflowPunct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工频电场强度（kV/m）</w:t>
            </w:r>
          </w:p>
        </w:tc>
        <w:tc>
          <w:tcPr>
            <w:tcW w:w="3769" w:type="dxa"/>
            <w:tcBorders>
              <w:tl2br w:val="nil"/>
              <w:tr2bl w:val="nil"/>
            </w:tcBorders>
            <w:noWrap w:val="0"/>
            <w:vAlign w:val="center"/>
          </w:tcPr>
          <w:p w14:paraId="39B5F230">
            <w:pPr>
              <w:pStyle w:val="71"/>
              <w:kinsoku w:val="0"/>
              <w:overflowPunct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工频磁感应强度（μT）</w:t>
            </w:r>
          </w:p>
        </w:tc>
      </w:tr>
      <w:tr w14:paraId="5B3B88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02FA3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3685" w:type="dxa"/>
            <w:tcBorders>
              <w:tl2br w:val="nil"/>
              <w:tr2bl w:val="nil"/>
            </w:tcBorders>
            <w:noWrap w:val="0"/>
            <w:vAlign w:val="center"/>
          </w:tcPr>
          <w:p w14:paraId="468E56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0.0279</w:t>
            </w:r>
          </w:p>
        </w:tc>
        <w:tc>
          <w:tcPr>
            <w:tcW w:w="3769" w:type="dxa"/>
            <w:tcBorders>
              <w:tl2br w:val="nil"/>
              <w:tr2bl w:val="nil"/>
            </w:tcBorders>
            <w:noWrap w:val="0"/>
            <w:vAlign w:val="center"/>
          </w:tcPr>
          <w:p w14:paraId="2A67C1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0.1429</w:t>
            </w:r>
          </w:p>
        </w:tc>
      </w:tr>
      <w:tr w14:paraId="1FCB6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5295B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-69</w:t>
            </w:r>
          </w:p>
        </w:tc>
        <w:tc>
          <w:tcPr>
            <w:tcW w:w="3685" w:type="dxa"/>
            <w:tcBorders>
              <w:tl2br w:val="nil"/>
              <w:tr2bl w:val="nil"/>
            </w:tcBorders>
            <w:noWrap w:val="0"/>
            <w:vAlign w:val="center"/>
          </w:tcPr>
          <w:p w14:paraId="2D439A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0.0285</w:t>
            </w:r>
          </w:p>
        </w:tc>
        <w:tc>
          <w:tcPr>
            <w:tcW w:w="3769" w:type="dxa"/>
            <w:tcBorders>
              <w:tl2br w:val="nil"/>
              <w:tr2bl w:val="nil"/>
            </w:tcBorders>
            <w:noWrap w:val="0"/>
            <w:vAlign w:val="center"/>
          </w:tcPr>
          <w:p w14:paraId="293581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0.1467</w:t>
            </w:r>
          </w:p>
        </w:tc>
      </w:tr>
      <w:tr w14:paraId="2177E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BAB5C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-68</w:t>
            </w:r>
          </w:p>
        </w:tc>
        <w:tc>
          <w:tcPr>
            <w:tcW w:w="3685" w:type="dxa"/>
            <w:tcBorders>
              <w:tl2br w:val="nil"/>
              <w:tr2bl w:val="nil"/>
            </w:tcBorders>
            <w:noWrap w:val="0"/>
            <w:vAlign w:val="center"/>
          </w:tcPr>
          <w:p w14:paraId="4F36A2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0.0292</w:t>
            </w:r>
          </w:p>
        </w:tc>
        <w:tc>
          <w:tcPr>
            <w:tcW w:w="3769" w:type="dxa"/>
            <w:tcBorders>
              <w:tl2br w:val="nil"/>
              <w:tr2bl w:val="nil"/>
            </w:tcBorders>
            <w:noWrap w:val="0"/>
            <w:vAlign w:val="center"/>
          </w:tcPr>
          <w:p w14:paraId="21AE3A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0.1505</w:t>
            </w:r>
          </w:p>
        </w:tc>
      </w:tr>
      <w:tr w14:paraId="051C9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D6413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-67</w:t>
            </w:r>
          </w:p>
        </w:tc>
        <w:tc>
          <w:tcPr>
            <w:tcW w:w="3685" w:type="dxa"/>
            <w:tcBorders>
              <w:tl2br w:val="nil"/>
              <w:tr2bl w:val="nil"/>
            </w:tcBorders>
            <w:noWrap w:val="0"/>
            <w:vAlign w:val="center"/>
          </w:tcPr>
          <w:p w14:paraId="04813D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0.0298</w:t>
            </w:r>
          </w:p>
        </w:tc>
        <w:tc>
          <w:tcPr>
            <w:tcW w:w="3769" w:type="dxa"/>
            <w:tcBorders>
              <w:tl2br w:val="nil"/>
              <w:tr2bl w:val="nil"/>
            </w:tcBorders>
            <w:noWrap w:val="0"/>
            <w:vAlign w:val="center"/>
          </w:tcPr>
          <w:p w14:paraId="0ECD15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0.1545</w:t>
            </w:r>
          </w:p>
        </w:tc>
      </w:tr>
      <w:tr w14:paraId="586E3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44066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w:t>
            </w:r>
          </w:p>
        </w:tc>
        <w:tc>
          <w:tcPr>
            <w:tcW w:w="3685" w:type="dxa"/>
            <w:tcBorders>
              <w:tl2br w:val="nil"/>
              <w:tr2bl w:val="nil"/>
            </w:tcBorders>
            <w:noWrap w:val="0"/>
            <w:vAlign w:val="center"/>
          </w:tcPr>
          <w:p w14:paraId="688716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0.0305</w:t>
            </w:r>
          </w:p>
        </w:tc>
        <w:tc>
          <w:tcPr>
            <w:tcW w:w="3769" w:type="dxa"/>
            <w:tcBorders>
              <w:tl2br w:val="nil"/>
              <w:tr2bl w:val="nil"/>
            </w:tcBorders>
            <w:noWrap w:val="0"/>
            <w:vAlign w:val="center"/>
          </w:tcPr>
          <w:p w14:paraId="40676C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0.1587</w:t>
            </w:r>
          </w:p>
        </w:tc>
      </w:tr>
      <w:tr w14:paraId="167A1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02482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-65</w:t>
            </w:r>
          </w:p>
        </w:tc>
        <w:tc>
          <w:tcPr>
            <w:tcW w:w="3685" w:type="dxa"/>
            <w:tcBorders>
              <w:tl2br w:val="nil"/>
              <w:tr2bl w:val="nil"/>
            </w:tcBorders>
            <w:noWrap w:val="0"/>
            <w:vAlign w:val="center"/>
          </w:tcPr>
          <w:p w14:paraId="5F4F87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0.0312</w:t>
            </w:r>
          </w:p>
        </w:tc>
        <w:tc>
          <w:tcPr>
            <w:tcW w:w="3769" w:type="dxa"/>
            <w:tcBorders>
              <w:tl2br w:val="nil"/>
              <w:tr2bl w:val="nil"/>
            </w:tcBorders>
            <w:noWrap w:val="0"/>
            <w:vAlign w:val="center"/>
          </w:tcPr>
          <w:p w14:paraId="4E425D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0.1631</w:t>
            </w:r>
          </w:p>
        </w:tc>
      </w:tr>
      <w:tr w14:paraId="42EB1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03946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3685" w:type="dxa"/>
            <w:tcBorders>
              <w:tl2br w:val="nil"/>
              <w:tr2bl w:val="nil"/>
            </w:tcBorders>
            <w:noWrap w:val="0"/>
            <w:vAlign w:val="center"/>
          </w:tcPr>
          <w:p w14:paraId="0A81DE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0.032</w:t>
            </w:r>
          </w:p>
        </w:tc>
        <w:tc>
          <w:tcPr>
            <w:tcW w:w="3769" w:type="dxa"/>
            <w:tcBorders>
              <w:tl2br w:val="nil"/>
              <w:tr2bl w:val="nil"/>
            </w:tcBorders>
            <w:noWrap w:val="0"/>
            <w:vAlign w:val="center"/>
          </w:tcPr>
          <w:p w14:paraId="0FB8A7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0.1676</w:t>
            </w:r>
          </w:p>
        </w:tc>
      </w:tr>
      <w:tr w14:paraId="4E3497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26005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-63</w:t>
            </w:r>
          </w:p>
        </w:tc>
        <w:tc>
          <w:tcPr>
            <w:tcW w:w="3685" w:type="dxa"/>
            <w:tcBorders>
              <w:tl2br w:val="nil"/>
              <w:tr2bl w:val="nil"/>
            </w:tcBorders>
            <w:noWrap w:val="0"/>
            <w:vAlign w:val="center"/>
          </w:tcPr>
          <w:p w14:paraId="5B9BCB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0.0327</w:t>
            </w:r>
          </w:p>
        </w:tc>
        <w:tc>
          <w:tcPr>
            <w:tcW w:w="3769" w:type="dxa"/>
            <w:tcBorders>
              <w:tl2br w:val="nil"/>
              <w:tr2bl w:val="nil"/>
            </w:tcBorders>
            <w:noWrap w:val="0"/>
            <w:vAlign w:val="center"/>
          </w:tcPr>
          <w:p w14:paraId="194EE7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0.1723</w:t>
            </w:r>
          </w:p>
        </w:tc>
      </w:tr>
      <w:tr w14:paraId="246A3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006CE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-62</w:t>
            </w:r>
          </w:p>
        </w:tc>
        <w:tc>
          <w:tcPr>
            <w:tcW w:w="3685" w:type="dxa"/>
            <w:tcBorders>
              <w:tl2br w:val="nil"/>
              <w:tr2bl w:val="nil"/>
            </w:tcBorders>
            <w:noWrap w:val="0"/>
            <w:vAlign w:val="center"/>
          </w:tcPr>
          <w:p w14:paraId="5A21DA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0.0335</w:t>
            </w:r>
          </w:p>
        </w:tc>
        <w:tc>
          <w:tcPr>
            <w:tcW w:w="3769" w:type="dxa"/>
            <w:tcBorders>
              <w:tl2br w:val="nil"/>
              <w:tr2bl w:val="nil"/>
            </w:tcBorders>
            <w:noWrap w:val="0"/>
            <w:vAlign w:val="center"/>
          </w:tcPr>
          <w:p w14:paraId="123CEF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0.1772</w:t>
            </w:r>
          </w:p>
        </w:tc>
      </w:tr>
      <w:tr w14:paraId="558D5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E6D97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w:t>
            </w:r>
          </w:p>
        </w:tc>
        <w:tc>
          <w:tcPr>
            <w:tcW w:w="3685" w:type="dxa"/>
            <w:tcBorders>
              <w:tl2br w:val="nil"/>
              <w:tr2bl w:val="nil"/>
            </w:tcBorders>
            <w:noWrap w:val="0"/>
            <w:vAlign w:val="center"/>
          </w:tcPr>
          <w:p w14:paraId="2CF20D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0.0343</w:t>
            </w:r>
          </w:p>
        </w:tc>
        <w:tc>
          <w:tcPr>
            <w:tcW w:w="3769" w:type="dxa"/>
            <w:tcBorders>
              <w:tl2br w:val="nil"/>
              <w:tr2bl w:val="nil"/>
            </w:tcBorders>
            <w:noWrap w:val="0"/>
            <w:vAlign w:val="center"/>
          </w:tcPr>
          <w:p w14:paraId="11A526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0.1824</w:t>
            </w:r>
          </w:p>
        </w:tc>
      </w:tr>
      <w:tr w14:paraId="1BACC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B8CE2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3685" w:type="dxa"/>
            <w:tcBorders>
              <w:tl2br w:val="nil"/>
              <w:tr2bl w:val="nil"/>
            </w:tcBorders>
            <w:noWrap w:val="0"/>
            <w:vAlign w:val="center"/>
          </w:tcPr>
          <w:p w14:paraId="5585C7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0.0351</w:t>
            </w:r>
          </w:p>
        </w:tc>
        <w:tc>
          <w:tcPr>
            <w:tcW w:w="3769" w:type="dxa"/>
            <w:tcBorders>
              <w:tl2br w:val="nil"/>
              <w:tr2bl w:val="nil"/>
            </w:tcBorders>
            <w:noWrap w:val="0"/>
            <w:vAlign w:val="center"/>
          </w:tcPr>
          <w:p w14:paraId="4F1C53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0.1877</w:t>
            </w:r>
          </w:p>
        </w:tc>
      </w:tr>
      <w:tr w14:paraId="236EE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AA41D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-59</w:t>
            </w:r>
          </w:p>
        </w:tc>
        <w:tc>
          <w:tcPr>
            <w:tcW w:w="3685" w:type="dxa"/>
            <w:tcBorders>
              <w:tl2br w:val="nil"/>
              <w:tr2bl w:val="nil"/>
            </w:tcBorders>
            <w:noWrap w:val="0"/>
            <w:vAlign w:val="center"/>
          </w:tcPr>
          <w:p w14:paraId="4B03F3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0.0359</w:t>
            </w:r>
          </w:p>
        </w:tc>
        <w:tc>
          <w:tcPr>
            <w:tcW w:w="3769" w:type="dxa"/>
            <w:tcBorders>
              <w:tl2br w:val="nil"/>
              <w:tr2bl w:val="nil"/>
            </w:tcBorders>
            <w:noWrap w:val="0"/>
            <w:vAlign w:val="center"/>
          </w:tcPr>
          <w:p w14:paraId="71FDC6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0.1933</w:t>
            </w:r>
          </w:p>
        </w:tc>
      </w:tr>
      <w:tr w14:paraId="48BCD3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933BE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w:t>
            </w:r>
          </w:p>
        </w:tc>
        <w:tc>
          <w:tcPr>
            <w:tcW w:w="3685" w:type="dxa"/>
            <w:tcBorders>
              <w:tl2br w:val="nil"/>
              <w:tr2bl w:val="nil"/>
            </w:tcBorders>
            <w:noWrap w:val="0"/>
            <w:vAlign w:val="center"/>
          </w:tcPr>
          <w:p w14:paraId="4B1508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0.0368</w:t>
            </w:r>
          </w:p>
        </w:tc>
        <w:tc>
          <w:tcPr>
            <w:tcW w:w="3769" w:type="dxa"/>
            <w:tcBorders>
              <w:tl2br w:val="nil"/>
              <w:tr2bl w:val="nil"/>
            </w:tcBorders>
            <w:noWrap w:val="0"/>
            <w:vAlign w:val="center"/>
          </w:tcPr>
          <w:p w14:paraId="3BB00A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0.1991</w:t>
            </w:r>
          </w:p>
        </w:tc>
      </w:tr>
      <w:tr w14:paraId="6EFB7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A3A43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-57</w:t>
            </w:r>
          </w:p>
        </w:tc>
        <w:tc>
          <w:tcPr>
            <w:tcW w:w="3685" w:type="dxa"/>
            <w:tcBorders>
              <w:tl2br w:val="nil"/>
              <w:tr2bl w:val="nil"/>
            </w:tcBorders>
            <w:noWrap w:val="0"/>
            <w:vAlign w:val="center"/>
          </w:tcPr>
          <w:p w14:paraId="33D497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0.0377</w:t>
            </w:r>
          </w:p>
        </w:tc>
        <w:tc>
          <w:tcPr>
            <w:tcW w:w="3769" w:type="dxa"/>
            <w:tcBorders>
              <w:tl2br w:val="nil"/>
              <w:tr2bl w:val="nil"/>
            </w:tcBorders>
            <w:noWrap w:val="0"/>
            <w:vAlign w:val="center"/>
          </w:tcPr>
          <w:p w14:paraId="47B9FA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0.2052</w:t>
            </w:r>
          </w:p>
        </w:tc>
      </w:tr>
      <w:tr w14:paraId="490F5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81C6E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w:t>
            </w:r>
          </w:p>
        </w:tc>
        <w:tc>
          <w:tcPr>
            <w:tcW w:w="3685" w:type="dxa"/>
            <w:tcBorders>
              <w:tl2br w:val="nil"/>
              <w:tr2bl w:val="nil"/>
            </w:tcBorders>
            <w:noWrap w:val="0"/>
            <w:vAlign w:val="center"/>
          </w:tcPr>
          <w:p w14:paraId="5B7575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0.0386</w:t>
            </w:r>
          </w:p>
        </w:tc>
        <w:tc>
          <w:tcPr>
            <w:tcW w:w="3769" w:type="dxa"/>
            <w:tcBorders>
              <w:tl2br w:val="nil"/>
              <w:tr2bl w:val="nil"/>
            </w:tcBorders>
            <w:noWrap w:val="0"/>
            <w:vAlign w:val="center"/>
          </w:tcPr>
          <w:p w14:paraId="7DD9EC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0.2115</w:t>
            </w:r>
          </w:p>
        </w:tc>
      </w:tr>
      <w:tr w14:paraId="1F376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85BE0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-55</w:t>
            </w:r>
          </w:p>
        </w:tc>
        <w:tc>
          <w:tcPr>
            <w:tcW w:w="3685" w:type="dxa"/>
            <w:tcBorders>
              <w:tl2br w:val="nil"/>
              <w:tr2bl w:val="nil"/>
            </w:tcBorders>
            <w:noWrap w:val="0"/>
            <w:vAlign w:val="center"/>
          </w:tcPr>
          <w:p w14:paraId="170BFD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0.0395</w:t>
            </w:r>
          </w:p>
        </w:tc>
        <w:tc>
          <w:tcPr>
            <w:tcW w:w="3769" w:type="dxa"/>
            <w:tcBorders>
              <w:tl2br w:val="nil"/>
              <w:tr2bl w:val="nil"/>
            </w:tcBorders>
            <w:noWrap w:val="0"/>
            <w:vAlign w:val="center"/>
          </w:tcPr>
          <w:p w14:paraId="4C281C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0.2182</w:t>
            </w:r>
          </w:p>
        </w:tc>
      </w:tr>
      <w:tr w14:paraId="74DD0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F7381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-54</w:t>
            </w:r>
          </w:p>
        </w:tc>
        <w:tc>
          <w:tcPr>
            <w:tcW w:w="3685" w:type="dxa"/>
            <w:tcBorders>
              <w:tl2br w:val="nil"/>
              <w:tr2bl w:val="nil"/>
            </w:tcBorders>
            <w:noWrap w:val="0"/>
            <w:vAlign w:val="center"/>
          </w:tcPr>
          <w:p w14:paraId="56705A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0.0405</w:t>
            </w:r>
          </w:p>
        </w:tc>
        <w:tc>
          <w:tcPr>
            <w:tcW w:w="3769" w:type="dxa"/>
            <w:tcBorders>
              <w:tl2br w:val="nil"/>
              <w:tr2bl w:val="nil"/>
            </w:tcBorders>
            <w:noWrap w:val="0"/>
            <w:vAlign w:val="center"/>
          </w:tcPr>
          <w:p w14:paraId="44CF41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0.2251</w:t>
            </w:r>
          </w:p>
        </w:tc>
      </w:tr>
      <w:tr w14:paraId="5E0B9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322B0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w:t>
            </w:r>
          </w:p>
        </w:tc>
        <w:tc>
          <w:tcPr>
            <w:tcW w:w="3685" w:type="dxa"/>
            <w:tcBorders>
              <w:tl2br w:val="nil"/>
              <w:tr2bl w:val="nil"/>
            </w:tcBorders>
            <w:noWrap w:val="0"/>
            <w:vAlign w:val="center"/>
          </w:tcPr>
          <w:p w14:paraId="77A8B3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0.0415</w:t>
            </w:r>
          </w:p>
        </w:tc>
        <w:tc>
          <w:tcPr>
            <w:tcW w:w="3769" w:type="dxa"/>
            <w:tcBorders>
              <w:tl2br w:val="nil"/>
              <w:tr2bl w:val="nil"/>
            </w:tcBorders>
            <w:noWrap w:val="0"/>
            <w:vAlign w:val="center"/>
          </w:tcPr>
          <w:p w14:paraId="5EE44B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0.2324</w:t>
            </w:r>
          </w:p>
        </w:tc>
      </w:tr>
      <w:tr w14:paraId="10C038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D2550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w:t>
            </w:r>
          </w:p>
        </w:tc>
        <w:tc>
          <w:tcPr>
            <w:tcW w:w="3685" w:type="dxa"/>
            <w:tcBorders>
              <w:tl2br w:val="nil"/>
              <w:tr2bl w:val="nil"/>
            </w:tcBorders>
            <w:noWrap w:val="0"/>
            <w:vAlign w:val="center"/>
          </w:tcPr>
          <w:p w14:paraId="6CFDC4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0.0425</w:t>
            </w:r>
          </w:p>
        </w:tc>
        <w:tc>
          <w:tcPr>
            <w:tcW w:w="3769" w:type="dxa"/>
            <w:tcBorders>
              <w:tl2br w:val="nil"/>
              <w:tr2bl w:val="nil"/>
            </w:tcBorders>
            <w:noWrap w:val="0"/>
            <w:vAlign w:val="center"/>
          </w:tcPr>
          <w:p w14:paraId="68FD7E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0.24</w:t>
            </w:r>
          </w:p>
        </w:tc>
      </w:tr>
      <w:tr w14:paraId="0467CD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2C139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-51</w:t>
            </w:r>
          </w:p>
        </w:tc>
        <w:tc>
          <w:tcPr>
            <w:tcW w:w="3685" w:type="dxa"/>
            <w:tcBorders>
              <w:tl2br w:val="nil"/>
              <w:tr2bl w:val="nil"/>
            </w:tcBorders>
            <w:noWrap w:val="0"/>
            <w:vAlign w:val="center"/>
          </w:tcPr>
          <w:p w14:paraId="44BD0E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0.0436</w:t>
            </w:r>
          </w:p>
        </w:tc>
        <w:tc>
          <w:tcPr>
            <w:tcW w:w="3769" w:type="dxa"/>
            <w:tcBorders>
              <w:tl2br w:val="nil"/>
              <w:tr2bl w:val="nil"/>
            </w:tcBorders>
            <w:noWrap w:val="0"/>
            <w:vAlign w:val="center"/>
          </w:tcPr>
          <w:p w14:paraId="1986EB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0.248</w:t>
            </w:r>
          </w:p>
        </w:tc>
      </w:tr>
      <w:tr w14:paraId="27465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2A9C68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3685" w:type="dxa"/>
            <w:tcBorders>
              <w:tl2br w:val="nil"/>
              <w:tr2bl w:val="nil"/>
            </w:tcBorders>
            <w:noWrap w:val="0"/>
            <w:vAlign w:val="center"/>
          </w:tcPr>
          <w:p w14:paraId="2F978B1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0.0447</w:t>
            </w:r>
          </w:p>
        </w:tc>
        <w:tc>
          <w:tcPr>
            <w:tcW w:w="3769" w:type="dxa"/>
            <w:tcBorders>
              <w:tl2br w:val="nil"/>
              <w:tr2bl w:val="nil"/>
            </w:tcBorders>
            <w:noWrap w:val="0"/>
            <w:vAlign w:val="center"/>
          </w:tcPr>
          <w:p w14:paraId="1A78BC8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0.2564</w:t>
            </w:r>
          </w:p>
        </w:tc>
      </w:tr>
      <w:tr w14:paraId="0BB42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A9EB5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w:t>
            </w:r>
          </w:p>
        </w:tc>
        <w:tc>
          <w:tcPr>
            <w:tcW w:w="3685" w:type="dxa"/>
            <w:tcBorders>
              <w:tl2br w:val="nil"/>
              <w:tr2bl w:val="nil"/>
            </w:tcBorders>
            <w:noWrap w:val="0"/>
            <w:vAlign w:val="center"/>
          </w:tcPr>
          <w:p w14:paraId="6AACEF9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0.0458</w:t>
            </w:r>
          </w:p>
        </w:tc>
        <w:tc>
          <w:tcPr>
            <w:tcW w:w="3769" w:type="dxa"/>
            <w:tcBorders>
              <w:tl2br w:val="nil"/>
              <w:tr2bl w:val="nil"/>
            </w:tcBorders>
            <w:noWrap w:val="0"/>
            <w:vAlign w:val="center"/>
          </w:tcPr>
          <w:p w14:paraId="0475C62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0.2652</w:t>
            </w:r>
          </w:p>
        </w:tc>
      </w:tr>
      <w:tr w14:paraId="761AC7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E4A4BB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w:t>
            </w:r>
          </w:p>
        </w:tc>
        <w:tc>
          <w:tcPr>
            <w:tcW w:w="3685" w:type="dxa"/>
            <w:tcBorders>
              <w:tl2br w:val="nil"/>
              <w:tr2bl w:val="nil"/>
            </w:tcBorders>
            <w:noWrap w:val="0"/>
            <w:vAlign w:val="center"/>
          </w:tcPr>
          <w:p w14:paraId="44CA162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0.0469</w:t>
            </w:r>
          </w:p>
        </w:tc>
        <w:tc>
          <w:tcPr>
            <w:tcW w:w="3769" w:type="dxa"/>
            <w:tcBorders>
              <w:tl2br w:val="nil"/>
              <w:tr2bl w:val="nil"/>
            </w:tcBorders>
            <w:noWrap w:val="0"/>
            <w:vAlign w:val="center"/>
          </w:tcPr>
          <w:p w14:paraId="73C1610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0.2744</w:t>
            </w:r>
          </w:p>
        </w:tc>
      </w:tr>
      <w:tr w14:paraId="2D05FE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C8C369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-47</w:t>
            </w:r>
          </w:p>
        </w:tc>
        <w:tc>
          <w:tcPr>
            <w:tcW w:w="3685" w:type="dxa"/>
            <w:tcBorders>
              <w:tl2br w:val="nil"/>
              <w:tr2bl w:val="nil"/>
            </w:tcBorders>
            <w:noWrap w:val="0"/>
            <w:vAlign w:val="center"/>
          </w:tcPr>
          <w:p w14:paraId="11BE0FA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0.0481</w:t>
            </w:r>
          </w:p>
        </w:tc>
        <w:tc>
          <w:tcPr>
            <w:tcW w:w="3769" w:type="dxa"/>
            <w:tcBorders>
              <w:tl2br w:val="nil"/>
              <w:tr2bl w:val="nil"/>
            </w:tcBorders>
            <w:noWrap w:val="0"/>
            <w:vAlign w:val="center"/>
          </w:tcPr>
          <w:p w14:paraId="0F81580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0.2842</w:t>
            </w:r>
          </w:p>
        </w:tc>
      </w:tr>
      <w:tr w14:paraId="4ECCD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321E9A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3685" w:type="dxa"/>
            <w:tcBorders>
              <w:tl2br w:val="nil"/>
              <w:tr2bl w:val="nil"/>
            </w:tcBorders>
            <w:noWrap w:val="0"/>
            <w:vAlign w:val="center"/>
          </w:tcPr>
          <w:p w14:paraId="62E09F7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0.0492</w:t>
            </w:r>
          </w:p>
        </w:tc>
        <w:tc>
          <w:tcPr>
            <w:tcW w:w="3769" w:type="dxa"/>
            <w:tcBorders>
              <w:tl2br w:val="nil"/>
              <w:tr2bl w:val="nil"/>
            </w:tcBorders>
            <w:noWrap w:val="0"/>
            <w:vAlign w:val="center"/>
          </w:tcPr>
          <w:p w14:paraId="5D0B17D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0.2944</w:t>
            </w:r>
          </w:p>
        </w:tc>
      </w:tr>
      <w:tr w14:paraId="3B985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9F30DD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3685" w:type="dxa"/>
            <w:tcBorders>
              <w:tl2br w:val="nil"/>
              <w:tr2bl w:val="nil"/>
            </w:tcBorders>
            <w:noWrap w:val="0"/>
            <w:vAlign w:val="center"/>
          </w:tcPr>
          <w:p w14:paraId="1C624BA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0.0504</w:t>
            </w:r>
          </w:p>
        </w:tc>
        <w:tc>
          <w:tcPr>
            <w:tcW w:w="3769" w:type="dxa"/>
            <w:tcBorders>
              <w:tl2br w:val="nil"/>
              <w:tr2bl w:val="nil"/>
            </w:tcBorders>
            <w:noWrap w:val="0"/>
            <w:vAlign w:val="center"/>
          </w:tcPr>
          <w:p w14:paraId="4CE1814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0.3051</w:t>
            </w:r>
          </w:p>
        </w:tc>
      </w:tr>
      <w:tr w14:paraId="003B5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97977C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w:t>
            </w:r>
          </w:p>
        </w:tc>
        <w:tc>
          <w:tcPr>
            <w:tcW w:w="3685" w:type="dxa"/>
            <w:tcBorders>
              <w:tl2br w:val="nil"/>
              <w:tr2bl w:val="nil"/>
            </w:tcBorders>
            <w:noWrap w:val="0"/>
            <w:vAlign w:val="center"/>
          </w:tcPr>
          <w:p w14:paraId="3CBC2CB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0.0517</w:t>
            </w:r>
          </w:p>
        </w:tc>
        <w:tc>
          <w:tcPr>
            <w:tcW w:w="3769" w:type="dxa"/>
            <w:tcBorders>
              <w:tl2br w:val="nil"/>
              <w:tr2bl w:val="nil"/>
            </w:tcBorders>
            <w:noWrap w:val="0"/>
            <w:vAlign w:val="center"/>
          </w:tcPr>
          <w:p w14:paraId="6B5439F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0.3165</w:t>
            </w:r>
          </w:p>
        </w:tc>
      </w:tr>
      <w:tr w14:paraId="1DC10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D34048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w:t>
            </w:r>
          </w:p>
        </w:tc>
        <w:tc>
          <w:tcPr>
            <w:tcW w:w="3685" w:type="dxa"/>
            <w:tcBorders>
              <w:tl2br w:val="nil"/>
              <w:tr2bl w:val="nil"/>
            </w:tcBorders>
            <w:noWrap w:val="0"/>
            <w:vAlign w:val="center"/>
          </w:tcPr>
          <w:p w14:paraId="6E68E58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0.0529</w:t>
            </w:r>
          </w:p>
        </w:tc>
        <w:tc>
          <w:tcPr>
            <w:tcW w:w="3769" w:type="dxa"/>
            <w:tcBorders>
              <w:tl2br w:val="nil"/>
              <w:tr2bl w:val="nil"/>
            </w:tcBorders>
            <w:noWrap w:val="0"/>
            <w:vAlign w:val="center"/>
          </w:tcPr>
          <w:p w14:paraId="4E6BA0F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0.3284</w:t>
            </w:r>
          </w:p>
        </w:tc>
      </w:tr>
      <w:tr w14:paraId="37756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00B801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685" w:type="dxa"/>
            <w:tcBorders>
              <w:tl2br w:val="nil"/>
              <w:tr2bl w:val="nil"/>
            </w:tcBorders>
            <w:noWrap w:val="0"/>
            <w:vAlign w:val="center"/>
          </w:tcPr>
          <w:p w14:paraId="24ACF24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0.0542</w:t>
            </w:r>
          </w:p>
        </w:tc>
        <w:tc>
          <w:tcPr>
            <w:tcW w:w="3769" w:type="dxa"/>
            <w:tcBorders>
              <w:tl2br w:val="nil"/>
              <w:tr2bl w:val="nil"/>
            </w:tcBorders>
            <w:noWrap w:val="0"/>
            <w:vAlign w:val="center"/>
          </w:tcPr>
          <w:p w14:paraId="32A638A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0.341</w:t>
            </w:r>
          </w:p>
        </w:tc>
      </w:tr>
      <w:tr w14:paraId="65429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FE1D9D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685" w:type="dxa"/>
            <w:tcBorders>
              <w:tl2br w:val="nil"/>
              <w:tr2bl w:val="nil"/>
            </w:tcBorders>
            <w:noWrap w:val="0"/>
            <w:vAlign w:val="center"/>
          </w:tcPr>
          <w:p w14:paraId="063405F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0.0554</w:t>
            </w:r>
          </w:p>
        </w:tc>
        <w:tc>
          <w:tcPr>
            <w:tcW w:w="3769" w:type="dxa"/>
            <w:tcBorders>
              <w:tl2br w:val="nil"/>
              <w:tr2bl w:val="nil"/>
            </w:tcBorders>
            <w:noWrap w:val="0"/>
            <w:vAlign w:val="center"/>
          </w:tcPr>
          <w:p w14:paraId="3A58C7E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0.3543</w:t>
            </w:r>
          </w:p>
        </w:tc>
      </w:tr>
      <w:tr w14:paraId="7936B6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2AA2B2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3685" w:type="dxa"/>
            <w:tcBorders>
              <w:tl2br w:val="nil"/>
              <w:tr2bl w:val="nil"/>
            </w:tcBorders>
            <w:noWrap w:val="0"/>
            <w:vAlign w:val="center"/>
          </w:tcPr>
          <w:p w14:paraId="5AA8F53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0.0567</w:t>
            </w:r>
          </w:p>
        </w:tc>
        <w:tc>
          <w:tcPr>
            <w:tcW w:w="3769" w:type="dxa"/>
            <w:tcBorders>
              <w:tl2br w:val="nil"/>
              <w:tr2bl w:val="nil"/>
            </w:tcBorders>
            <w:noWrap w:val="0"/>
            <w:vAlign w:val="center"/>
          </w:tcPr>
          <w:p w14:paraId="2FBF05D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0.3684</w:t>
            </w:r>
          </w:p>
        </w:tc>
      </w:tr>
      <w:tr w14:paraId="4B188B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B4A2CF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3685" w:type="dxa"/>
            <w:tcBorders>
              <w:tl2br w:val="nil"/>
              <w:tr2bl w:val="nil"/>
            </w:tcBorders>
            <w:noWrap w:val="0"/>
            <w:vAlign w:val="center"/>
          </w:tcPr>
          <w:p w14:paraId="4D8A902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0.058</w:t>
            </w:r>
          </w:p>
        </w:tc>
        <w:tc>
          <w:tcPr>
            <w:tcW w:w="3769" w:type="dxa"/>
            <w:tcBorders>
              <w:tl2br w:val="nil"/>
              <w:tr2bl w:val="nil"/>
            </w:tcBorders>
            <w:noWrap w:val="0"/>
            <w:vAlign w:val="center"/>
          </w:tcPr>
          <w:p w14:paraId="3597A30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0.3832</w:t>
            </w:r>
          </w:p>
        </w:tc>
      </w:tr>
      <w:tr w14:paraId="03D90B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B516FB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3685" w:type="dxa"/>
            <w:tcBorders>
              <w:tl2br w:val="nil"/>
              <w:tr2bl w:val="nil"/>
            </w:tcBorders>
            <w:noWrap w:val="0"/>
            <w:vAlign w:val="center"/>
          </w:tcPr>
          <w:p w14:paraId="0ACF797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0.0593</w:t>
            </w:r>
          </w:p>
        </w:tc>
        <w:tc>
          <w:tcPr>
            <w:tcW w:w="3769" w:type="dxa"/>
            <w:tcBorders>
              <w:tl2br w:val="nil"/>
              <w:tr2bl w:val="nil"/>
            </w:tcBorders>
            <w:noWrap w:val="0"/>
            <w:vAlign w:val="center"/>
          </w:tcPr>
          <w:p w14:paraId="01B25DD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0.399</w:t>
            </w:r>
          </w:p>
        </w:tc>
      </w:tr>
      <w:tr w14:paraId="5692C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8295E5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w:t>
            </w:r>
          </w:p>
        </w:tc>
        <w:tc>
          <w:tcPr>
            <w:tcW w:w="3685" w:type="dxa"/>
            <w:tcBorders>
              <w:tl2br w:val="nil"/>
              <w:tr2bl w:val="nil"/>
            </w:tcBorders>
            <w:noWrap w:val="0"/>
            <w:vAlign w:val="center"/>
          </w:tcPr>
          <w:p w14:paraId="429A4F1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0.0605</w:t>
            </w:r>
          </w:p>
        </w:tc>
        <w:tc>
          <w:tcPr>
            <w:tcW w:w="3769" w:type="dxa"/>
            <w:tcBorders>
              <w:tl2br w:val="nil"/>
              <w:tr2bl w:val="nil"/>
            </w:tcBorders>
            <w:noWrap w:val="0"/>
            <w:vAlign w:val="center"/>
          </w:tcPr>
          <w:p w14:paraId="577C52F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0.4156</w:t>
            </w:r>
          </w:p>
        </w:tc>
      </w:tr>
      <w:tr w14:paraId="7F210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92680D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3685" w:type="dxa"/>
            <w:tcBorders>
              <w:tl2br w:val="nil"/>
              <w:tr2bl w:val="nil"/>
            </w:tcBorders>
            <w:noWrap w:val="0"/>
            <w:vAlign w:val="center"/>
          </w:tcPr>
          <w:p w14:paraId="6C23FA7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0.0618</w:t>
            </w:r>
          </w:p>
        </w:tc>
        <w:tc>
          <w:tcPr>
            <w:tcW w:w="3769" w:type="dxa"/>
            <w:tcBorders>
              <w:tl2br w:val="nil"/>
              <w:tr2bl w:val="nil"/>
            </w:tcBorders>
            <w:noWrap w:val="0"/>
            <w:vAlign w:val="center"/>
          </w:tcPr>
          <w:p w14:paraId="17F3328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0.4333</w:t>
            </w:r>
          </w:p>
        </w:tc>
      </w:tr>
      <w:tr w14:paraId="6C5FAB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E84722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685" w:type="dxa"/>
            <w:tcBorders>
              <w:tl2br w:val="nil"/>
              <w:tr2bl w:val="nil"/>
            </w:tcBorders>
            <w:noWrap w:val="0"/>
            <w:vAlign w:val="center"/>
          </w:tcPr>
          <w:p w14:paraId="1C125F9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0.063</w:t>
            </w:r>
          </w:p>
        </w:tc>
        <w:tc>
          <w:tcPr>
            <w:tcW w:w="3769" w:type="dxa"/>
            <w:tcBorders>
              <w:tl2br w:val="nil"/>
              <w:tr2bl w:val="nil"/>
            </w:tcBorders>
            <w:noWrap w:val="0"/>
            <w:vAlign w:val="center"/>
          </w:tcPr>
          <w:p w14:paraId="2491E84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0.452</w:t>
            </w:r>
          </w:p>
        </w:tc>
      </w:tr>
      <w:tr w14:paraId="1214E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01B3DF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3685" w:type="dxa"/>
            <w:tcBorders>
              <w:tl2br w:val="nil"/>
              <w:tr2bl w:val="nil"/>
            </w:tcBorders>
            <w:noWrap w:val="0"/>
            <w:vAlign w:val="center"/>
          </w:tcPr>
          <w:p w14:paraId="65DBA4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0.0642</w:t>
            </w:r>
          </w:p>
        </w:tc>
        <w:tc>
          <w:tcPr>
            <w:tcW w:w="3769" w:type="dxa"/>
            <w:tcBorders>
              <w:tl2br w:val="nil"/>
              <w:tr2bl w:val="nil"/>
            </w:tcBorders>
            <w:noWrap w:val="0"/>
            <w:vAlign w:val="center"/>
          </w:tcPr>
          <w:p w14:paraId="5A5F830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0.4719</w:t>
            </w:r>
          </w:p>
        </w:tc>
      </w:tr>
      <w:tr w14:paraId="33A90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38A903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3685" w:type="dxa"/>
            <w:tcBorders>
              <w:tl2br w:val="nil"/>
              <w:tr2bl w:val="nil"/>
            </w:tcBorders>
            <w:noWrap w:val="0"/>
            <w:vAlign w:val="center"/>
          </w:tcPr>
          <w:p w14:paraId="3BB2C3C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0.0653</w:t>
            </w:r>
          </w:p>
        </w:tc>
        <w:tc>
          <w:tcPr>
            <w:tcW w:w="3769" w:type="dxa"/>
            <w:tcBorders>
              <w:tl2br w:val="nil"/>
              <w:tr2bl w:val="nil"/>
            </w:tcBorders>
            <w:noWrap w:val="0"/>
            <w:vAlign w:val="center"/>
          </w:tcPr>
          <w:p w14:paraId="3DFE44E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0.4931</w:t>
            </w:r>
          </w:p>
        </w:tc>
      </w:tr>
      <w:tr w14:paraId="1F4793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442861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3685" w:type="dxa"/>
            <w:tcBorders>
              <w:tl2br w:val="nil"/>
              <w:tr2bl w:val="nil"/>
            </w:tcBorders>
            <w:noWrap w:val="0"/>
            <w:vAlign w:val="center"/>
          </w:tcPr>
          <w:p w14:paraId="2403EC1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0.0664</w:t>
            </w:r>
          </w:p>
        </w:tc>
        <w:tc>
          <w:tcPr>
            <w:tcW w:w="3769" w:type="dxa"/>
            <w:tcBorders>
              <w:tl2br w:val="nil"/>
              <w:tr2bl w:val="nil"/>
            </w:tcBorders>
            <w:noWrap w:val="0"/>
            <w:vAlign w:val="center"/>
          </w:tcPr>
          <w:p w14:paraId="2ED4EFE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0.5155</w:t>
            </w:r>
          </w:p>
        </w:tc>
      </w:tr>
      <w:tr w14:paraId="5E5DA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E79F86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3685" w:type="dxa"/>
            <w:tcBorders>
              <w:tl2br w:val="nil"/>
              <w:tr2bl w:val="nil"/>
            </w:tcBorders>
            <w:noWrap w:val="0"/>
            <w:vAlign w:val="center"/>
          </w:tcPr>
          <w:p w14:paraId="0A39279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0.0673</w:t>
            </w:r>
          </w:p>
        </w:tc>
        <w:tc>
          <w:tcPr>
            <w:tcW w:w="3769" w:type="dxa"/>
            <w:tcBorders>
              <w:tl2br w:val="nil"/>
              <w:tr2bl w:val="nil"/>
            </w:tcBorders>
            <w:noWrap w:val="0"/>
            <w:vAlign w:val="center"/>
          </w:tcPr>
          <w:p w14:paraId="5FF10FC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0.5395</w:t>
            </w:r>
          </w:p>
        </w:tc>
      </w:tr>
      <w:tr w14:paraId="18E20E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0C0071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3685" w:type="dxa"/>
            <w:tcBorders>
              <w:tl2br w:val="nil"/>
              <w:tr2bl w:val="nil"/>
            </w:tcBorders>
            <w:noWrap w:val="0"/>
            <w:vAlign w:val="center"/>
          </w:tcPr>
          <w:p w14:paraId="28B9BAA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0.0682</w:t>
            </w:r>
          </w:p>
        </w:tc>
        <w:tc>
          <w:tcPr>
            <w:tcW w:w="3769" w:type="dxa"/>
            <w:tcBorders>
              <w:tl2br w:val="nil"/>
              <w:tr2bl w:val="nil"/>
            </w:tcBorders>
            <w:noWrap w:val="0"/>
            <w:vAlign w:val="center"/>
          </w:tcPr>
          <w:p w14:paraId="0AF700C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0.565</w:t>
            </w:r>
          </w:p>
        </w:tc>
      </w:tr>
      <w:tr w14:paraId="35EC7D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0533B8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3685" w:type="dxa"/>
            <w:tcBorders>
              <w:tl2br w:val="nil"/>
              <w:tr2bl w:val="nil"/>
            </w:tcBorders>
            <w:noWrap w:val="0"/>
            <w:vAlign w:val="center"/>
          </w:tcPr>
          <w:p w14:paraId="0F0958D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0.069</w:t>
            </w:r>
          </w:p>
        </w:tc>
        <w:tc>
          <w:tcPr>
            <w:tcW w:w="3769" w:type="dxa"/>
            <w:tcBorders>
              <w:tl2br w:val="nil"/>
              <w:tr2bl w:val="nil"/>
            </w:tcBorders>
            <w:noWrap w:val="0"/>
            <w:vAlign w:val="center"/>
          </w:tcPr>
          <w:p w14:paraId="7C63E51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0.5921</w:t>
            </w:r>
          </w:p>
        </w:tc>
      </w:tr>
      <w:tr w14:paraId="22E0A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0BF101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685" w:type="dxa"/>
            <w:tcBorders>
              <w:tl2br w:val="nil"/>
              <w:tr2bl w:val="nil"/>
            </w:tcBorders>
            <w:noWrap w:val="0"/>
            <w:vAlign w:val="center"/>
          </w:tcPr>
          <w:p w14:paraId="48F938C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0.0696</w:t>
            </w:r>
          </w:p>
        </w:tc>
        <w:tc>
          <w:tcPr>
            <w:tcW w:w="3769" w:type="dxa"/>
            <w:tcBorders>
              <w:tl2br w:val="nil"/>
              <w:tr2bl w:val="nil"/>
            </w:tcBorders>
            <w:noWrap w:val="0"/>
            <w:vAlign w:val="center"/>
          </w:tcPr>
          <w:p w14:paraId="305820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0.6211</w:t>
            </w:r>
          </w:p>
        </w:tc>
      </w:tr>
      <w:tr w14:paraId="046E8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3EE79B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w:t>
            </w:r>
          </w:p>
        </w:tc>
        <w:tc>
          <w:tcPr>
            <w:tcW w:w="3685" w:type="dxa"/>
            <w:tcBorders>
              <w:tl2br w:val="nil"/>
              <w:tr2bl w:val="nil"/>
            </w:tcBorders>
            <w:noWrap w:val="0"/>
            <w:vAlign w:val="center"/>
          </w:tcPr>
          <w:p w14:paraId="36B5EAD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0.0701</w:t>
            </w:r>
          </w:p>
        </w:tc>
        <w:tc>
          <w:tcPr>
            <w:tcW w:w="3769" w:type="dxa"/>
            <w:tcBorders>
              <w:tl2br w:val="nil"/>
              <w:tr2bl w:val="nil"/>
            </w:tcBorders>
            <w:noWrap w:val="0"/>
            <w:vAlign w:val="center"/>
          </w:tcPr>
          <w:p w14:paraId="6AA09A6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0.6521</w:t>
            </w:r>
          </w:p>
        </w:tc>
      </w:tr>
      <w:tr w14:paraId="47122D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0D8854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685" w:type="dxa"/>
            <w:tcBorders>
              <w:tl2br w:val="nil"/>
              <w:tr2bl w:val="nil"/>
            </w:tcBorders>
            <w:noWrap w:val="0"/>
            <w:vAlign w:val="center"/>
          </w:tcPr>
          <w:p w14:paraId="2D488E8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0.0704</w:t>
            </w:r>
          </w:p>
        </w:tc>
        <w:tc>
          <w:tcPr>
            <w:tcW w:w="3769" w:type="dxa"/>
            <w:tcBorders>
              <w:tl2br w:val="nil"/>
              <w:tr2bl w:val="nil"/>
            </w:tcBorders>
            <w:noWrap w:val="0"/>
            <w:vAlign w:val="center"/>
          </w:tcPr>
          <w:p w14:paraId="1C6740C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0.6852</w:t>
            </w:r>
          </w:p>
        </w:tc>
      </w:tr>
      <w:tr w14:paraId="3DC3A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64CA2F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3685" w:type="dxa"/>
            <w:tcBorders>
              <w:tl2br w:val="nil"/>
              <w:tr2bl w:val="nil"/>
            </w:tcBorders>
            <w:noWrap w:val="0"/>
            <w:vAlign w:val="center"/>
          </w:tcPr>
          <w:p w14:paraId="14D1160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0.0705</w:t>
            </w:r>
          </w:p>
        </w:tc>
        <w:tc>
          <w:tcPr>
            <w:tcW w:w="3769" w:type="dxa"/>
            <w:tcBorders>
              <w:tl2br w:val="nil"/>
              <w:tr2bl w:val="nil"/>
            </w:tcBorders>
            <w:noWrap w:val="0"/>
            <w:vAlign w:val="center"/>
          </w:tcPr>
          <w:p w14:paraId="3632224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0.7206</w:t>
            </w:r>
          </w:p>
        </w:tc>
      </w:tr>
      <w:tr w14:paraId="477ED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C31502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3685" w:type="dxa"/>
            <w:tcBorders>
              <w:tl2br w:val="nil"/>
              <w:tr2bl w:val="nil"/>
            </w:tcBorders>
            <w:noWrap w:val="0"/>
            <w:vAlign w:val="center"/>
          </w:tcPr>
          <w:p w14:paraId="485742C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0.0705</w:t>
            </w:r>
          </w:p>
        </w:tc>
        <w:tc>
          <w:tcPr>
            <w:tcW w:w="3769" w:type="dxa"/>
            <w:tcBorders>
              <w:tl2br w:val="nil"/>
              <w:tr2bl w:val="nil"/>
            </w:tcBorders>
            <w:noWrap w:val="0"/>
            <w:vAlign w:val="center"/>
          </w:tcPr>
          <w:p w14:paraId="5C0C31B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0.7585</w:t>
            </w:r>
          </w:p>
        </w:tc>
      </w:tr>
      <w:tr w14:paraId="355AE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43A032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685" w:type="dxa"/>
            <w:tcBorders>
              <w:tl2br w:val="nil"/>
              <w:tr2bl w:val="nil"/>
            </w:tcBorders>
            <w:noWrap w:val="0"/>
            <w:vAlign w:val="center"/>
          </w:tcPr>
          <w:p w14:paraId="74CE441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0.0704</w:t>
            </w:r>
          </w:p>
        </w:tc>
        <w:tc>
          <w:tcPr>
            <w:tcW w:w="3769" w:type="dxa"/>
            <w:tcBorders>
              <w:tl2br w:val="nil"/>
              <w:tr2bl w:val="nil"/>
            </w:tcBorders>
            <w:noWrap w:val="0"/>
            <w:vAlign w:val="center"/>
          </w:tcPr>
          <w:p w14:paraId="08B54A0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0.799</w:t>
            </w:r>
          </w:p>
        </w:tc>
      </w:tr>
      <w:tr w14:paraId="143208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E2DD4A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3685" w:type="dxa"/>
            <w:tcBorders>
              <w:tl2br w:val="nil"/>
              <w:tr2bl w:val="nil"/>
            </w:tcBorders>
            <w:noWrap w:val="0"/>
            <w:vAlign w:val="center"/>
          </w:tcPr>
          <w:p w14:paraId="717A2AC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0.0702</w:t>
            </w:r>
          </w:p>
        </w:tc>
        <w:tc>
          <w:tcPr>
            <w:tcW w:w="3769" w:type="dxa"/>
            <w:tcBorders>
              <w:tl2br w:val="nil"/>
              <w:tr2bl w:val="nil"/>
            </w:tcBorders>
            <w:noWrap w:val="0"/>
            <w:vAlign w:val="center"/>
          </w:tcPr>
          <w:p w14:paraId="3FA9BC7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0.8424</w:t>
            </w:r>
          </w:p>
        </w:tc>
      </w:tr>
      <w:tr w14:paraId="23CF1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869115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3685" w:type="dxa"/>
            <w:tcBorders>
              <w:tl2br w:val="nil"/>
              <w:tr2bl w:val="nil"/>
            </w:tcBorders>
            <w:noWrap w:val="0"/>
            <w:vAlign w:val="center"/>
          </w:tcPr>
          <w:p w14:paraId="7A9955A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w:t>
            </w:r>
          </w:p>
        </w:tc>
        <w:tc>
          <w:tcPr>
            <w:tcW w:w="3769" w:type="dxa"/>
            <w:tcBorders>
              <w:tl2br w:val="nil"/>
              <w:tr2bl w:val="nil"/>
            </w:tcBorders>
            <w:noWrap w:val="0"/>
            <w:vAlign w:val="center"/>
          </w:tcPr>
          <w:p w14:paraId="0A2D780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0.8889</w:t>
            </w:r>
          </w:p>
        </w:tc>
      </w:tr>
      <w:tr w14:paraId="5CF1EF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1CF36D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3685" w:type="dxa"/>
            <w:tcBorders>
              <w:tl2br w:val="nil"/>
              <w:tr2bl w:val="nil"/>
            </w:tcBorders>
            <w:noWrap w:val="0"/>
            <w:vAlign w:val="center"/>
          </w:tcPr>
          <w:p w14:paraId="0D3FC59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0.0702</w:t>
            </w:r>
          </w:p>
        </w:tc>
        <w:tc>
          <w:tcPr>
            <w:tcW w:w="3769" w:type="dxa"/>
            <w:tcBorders>
              <w:tl2br w:val="nil"/>
              <w:tr2bl w:val="nil"/>
            </w:tcBorders>
            <w:noWrap w:val="0"/>
            <w:vAlign w:val="center"/>
          </w:tcPr>
          <w:p w14:paraId="6AC17D1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0.9388</w:t>
            </w:r>
          </w:p>
        </w:tc>
      </w:tr>
      <w:tr w14:paraId="20660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C304AD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3685" w:type="dxa"/>
            <w:tcBorders>
              <w:tl2br w:val="nil"/>
              <w:tr2bl w:val="nil"/>
            </w:tcBorders>
            <w:noWrap w:val="0"/>
            <w:vAlign w:val="center"/>
          </w:tcPr>
          <w:p w14:paraId="346E5E7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0.0708</w:t>
            </w:r>
          </w:p>
        </w:tc>
        <w:tc>
          <w:tcPr>
            <w:tcW w:w="3769" w:type="dxa"/>
            <w:tcBorders>
              <w:tl2br w:val="nil"/>
              <w:tr2bl w:val="nil"/>
            </w:tcBorders>
            <w:noWrap w:val="0"/>
            <w:vAlign w:val="center"/>
          </w:tcPr>
          <w:p w14:paraId="131B54F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0.9923</w:t>
            </w:r>
          </w:p>
        </w:tc>
      </w:tr>
      <w:tr w14:paraId="41A47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B86BEA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3685" w:type="dxa"/>
            <w:tcBorders>
              <w:tl2br w:val="nil"/>
              <w:tr2bl w:val="nil"/>
            </w:tcBorders>
            <w:noWrap w:val="0"/>
            <w:vAlign w:val="center"/>
          </w:tcPr>
          <w:p w14:paraId="4585D5D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0.0725</w:t>
            </w:r>
          </w:p>
        </w:tc>
        <w:tc>
          <w:tcPr>
            <w:tcW w:w="3769" w:type="dxa"/>
            <w:tcBorders>
              <w:tl2br w:val="nil"/>
              <w:tr2bl w:val="nil"/>
            </w:tcBorders>
            <w:noWrap w:val="0"/>
            <w:vAlign w:val="center"/>
          </w:tcPr>
          <w:p w14:paraId="61D17AE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1.0496</w:t>
            </w:r>
          </w:p>
        </w:tc>
      </w:tr>
      <w:tr w14:paraId="17CDE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D4A70F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3685" w:type="dxa"/>
            <w:tcBorders>
              <w:tl2br w:val="nil"/>
              <w:tr2bl w:val="nil"/>
            </w:tcBorders>
            <w:noWrap w:val="0"/>
            <w:vAlign w:val="center"/>
          </w:tcPr>
          <w:p w14:paraId="45E0575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0.0757</w:t>
            </w:r>
          </w:p>
        </w:tc>
        <w:tc>
          <w:tcPr>
            <w:tcW w:w="3769" w:type="dxa"/>
            <w:tcBorders>
              <w:tl2br w:val="nil"/>
              <w:tr2bl w:val="nil"/>
            </w:tcBorders>
            <w:noWrap w:val="0"/>
            <w:vAlign w:val="center"/>
          </w:tcPr>
          <w:p w14:paraId="272CB08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1.111</w:t>
            </w:r>
          </w:p>
        </w:tc>
      </w:tr>
      <w:tr w14:paraId="669CD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1DD63B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3685" w:type="dxa"/>
            <w:tcBorders>
              <w:tl2br w:val="nil"/>
              <w:tr2bl w:val="nil"/>
            </w:tcBorders>
            <w:noWrap w:val="0"/>
            <w:vAlign w:val="center"/>
          </w:tcPr>
          <w:p w14:paraId="63233DA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0.081</w:t>
            </w:r>
          </w:p>
        </w:tc>
        <w:tc>
          <w:tcPr>
            <w:tcW w:w="3769" w:type="dxa"/>
            <w:tcBorders>
              <w:tl2br w:val="nil"/>
              <w:tr2bl w:val="nil"/>
            </w:tcBorders>
            <w:noWrap w:val="0"/>
            <w:vAlign w:val="center"/>
          </w:tcPr>
          <w:p w14:paraId="15FBA9E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1.1767</w:t>
            </w:r>
          </w:p>
        </w:tc>
      </w:tr>
      <w:tr w14:paraId="7E0AA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E26F9F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3685" w:type="dxa"/>
            <w:tcBorders>
              <w:tl2br w:val="nil"/>
              <w:tr2bl w:val="nil"/>
            </w:tcBorders>
            <w:noWrap w:val="0"/>
            <w:vAlign w:val="center"/>
          </w:tcPr>
          <w:p w14:paraId="7F1C421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0.0892</w:t>
            </w:r>
          </w:p>
        </w:tc>
        <w:tc>
          <w:tcPr>
            <w:tcW w:w="3769" w:type="dxa"/>
            <w:tcBorders>
              <w:tl2br w:val="nil"/>
              <w:tr2bl w:val="nil"/>
            </w:tcBorders>
            <w:noWrap w:val="0"/>
            <w:vAlign w:val="center"/>
          </w:tcPr>
          <w:p w14:paraId="55EB08E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1.2471</w:t>
            </w:r>
          </w:p>
        </w:tc>
      </w:tr>
      <w:tr w14:paraId="2B7A4F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3AA3B4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685" w:type="dxa"/>
            <w:tcBorders>
              <w:tl2br w:val="nil"/>
              <w:tr2bl w:val="nil"/>
            </w:tcBorders>
            <w:noWrap w:val="0"/>
            <w:vAlign w:val="center"/>
          </w:tcPr>
          <w:p w14:paraId="4D9D48E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0.1007</w:t>
            </w:r>
          </w:p>
        </w:tc>
        <w:tc>
          <w:tcPr>
            <w:tcW w:w="3769" w:type="dxa"/>
            <w:tcBorders>
              <w:tl2br w:val="nil"/>
              <w:tr2bl w:val="nil"/>
            </w:tcBorders>
            <w:noWrap w:val="0"/>
            <w:vAlign w:val="center"/>
          </w:tcPr>
          <w:p w14:paraId="2CA4EC6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1.3222</w:t>
            </w:r>
          </w:p>
        </w:tc>
      </w:tr>
      <w:tr w14:paraId="4964C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CB865A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685" w:type="dxa"/>
            <w:tcBorders>
              <w:tl2br w:val="nil"/>
              <w:tr2bl w:val="nil"/>
            </w:tcBorders>
            <w:noWrap w:val="0"/>
            <w:vAlign w:val="center"/>
          </w:tcPr>
          <w:p w14:paraId="50B86C4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0.116</w:t>
            </w:r>
          </w:p>
        </w:tc>
        <w:tc>
          <w:tcPr>
            <w:tcW w:w="3769" w:type="dxa"/>
            <w:tcBorders>
              <w:tl2br w:val="nil"/>
              <w:tr2bl w:val="nil"/>
            </w:tcBorders>
            <w:noWrap w:val="0"/>
            <w:vAlign w:val="center"/>
          </w:tcPr>
          <w:p w14:paraId="7DAEA97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1.4023</w:t>
            </w:r>
          </w:p>
        </w:tc>
      </w:tr>
      <w:tr w14:paraId="75F000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332C29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685" w:type="dxa"/>
            <w:tcBorders>
              <w:tl2br w:val="nil"/>
              <w:tr2bl w:val="nil"/>
            </w:tcBorders>
            <w:noWrap w:val="0"/>
            <w:vAlign w:val="center"/>
          </w:tcPr>
          <w:p w14:paraId="49ACE04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0.1353</w:t>
            </w:r>
          </w:p>
        </w:tc>
        <w:tc>
          <w:tcPr>
            <w:tcW w:w="3769" w:type="dxa"/>
            <w:tcBorders>
              <w:tl2br w:val="nil"/>
              <w:tr2bl w:val="nil"/>
            </w:tcBorders>
            <w:noWrap w:val="0"/>
            <w:vAlign w:val="center"/>
          </w:tcPr>
          <w:p w14:paraId="44F32CB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1.4876</w:t>
            </w:r>
          </w:p>
        </w:tc>
      </w:tr>
      <w:tr w14:paraId="195D13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069264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3685" w:type="dxa"/>
            <w:tcBorders>
              <w:tl2br w:val="nil"/>
              <w:tr2bl w:val="nil"/>
            </w:tcBorders>
            <w:noWrap w:val="0"/>
            <w:vAlign w:val="center"/>
          </w:tcPr>
          <w:p w14:paraId="21BA695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0.1589</w:t>
            </w:r>
          </w:p>
        </w:tc>
        <w:tc>
          <w:tcPr>
            <w:tcW w:w="3769" w:type="dxa"/>
            <w:tcBorders>
              <w:tl2br w:val="nil"/>
              <w:tr2bl w:val="nil"/>
            </w:tcBorders>
            <w:noWrap w:val="0"/>
            <w:vAlign w:val="center"/>
          </w:tcPr>
          <w:p w14:paraId="4B6DD9F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1.5779</w:t>
            </w:r>
          </w:p>
        </w:tc>
      </w:tr>
      <w:tr w14:paraId="14652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FDDFFB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3685" w:type="dxa"/>
            <w:tcBorders>
              <w:tl2br w:val="nil"/>
              <w:tr2bl w:val="nil"/>
            </w:tcBorders>
            <w:noWrap w:val="0"/>
            <w:vAlign w:val="center"/>
          </w:tcPr>
          <w:p w14:paraId="2752D3A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0.1868</w:t>
            </w:r>
          </w:p>
        </w:tc>
        <w:tc>
          <w:tcPr>
            <w:tcW w:w="3769" w:type="dxa"/>
            <w:tcBorders>
              <w:tl2br w:val="nil"/>
              <w:tr2bl w:val="nil"/>
            </w:tcBorders>
            <w:noWrap w:val="0"/>
            <w:vAlign w:val="center"/>
          </w:tcPr>
          <w:p w14:paraId="4D23E32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1.6734</w:t>
            </w:r>
          </w:p>
        </w:tc>
      </w:tr>
      <w:tr w14:paraId="464F94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F3B3AC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3685" w:type="dxa"/>
            <w:tcBorders>
              <w:tl2br w:val="nil"/>
              <w:tr2bl w:val="nil"/>
            </w:tcBorders>
            <w:noWrap w:val="0"/>
            <w:vAlign w:val="center"/>
          </w:tcPr>
          <w:p w14:paraId="4719193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0.2192</w:t>
            </w:r>
          </w:p>
        </w:tc>
        <w:tc>
          <w:tcPr>
            <w:tcW w:w="3769" w:type="dxa"/>
            <w:tcBorders>
              <w:tl2br w:val="nil"/>
              <w:tr2bl w:val="nil"/>
            </w:tcBorders>
            <w:noWrap w:val="0"/>
            <w:vAlign w:val="center"/>
          </w:tcPr>
          <w:p w14:paraId="5B0CFD5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1.7737</w:t>
            </w:r>
          </w:p>
        </w:tc>
      </w:tr>
      <w:tr w14:paraId="6AA12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C29290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3685" w:type="dxa"/>
            <w:tcBorders>
              <w:tl2br w:val="nil"/>
              <w:tr2bl w:val="nil"/>
            </w:tcBorders>
            <w:noWrap w:val="0"/>
            <w:vAlign w:val="center"/>
          </w:tcPr>
          <w:p w14:paraId="7C12AB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0.2561</w:t>
            </w:r>
          </w:p>
        </w:tc>
        <w:tc>
          <w:tcPr>
            <w:tcW w:w="3769" w:type="dxa"/>
            <w:tcBorders>
              <w:tl2br w:val="nil"/>
              <w:tr2bl w:val="nil"/>
            </w:tcBorders>
            <w:noWrap w:val="0"/>
            <w:vAlign w:val="center"/>
          </w:tcPr>
          <w:p w14:paraId="2324238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1.8783</w:t>
            </w:r>
          </w:p>
        </w:tc>
      </w:tr>
      <w:tr w14:paraId="48BF54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938E0F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3685" w:type="dxa"/>
            <w:tcBorders>
              <w:tl2br w:val="nil"/>
              <w:tr2bl w:val="nil"/>
            </w:tcBorders>
            <w:noWrap w:val="0"/>
            <w:vAlign w:val="center"/>
          </w:tcPr>
          <w:p w14:paraId="263DBE0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0.2971</w:t>
            </w:r>
          </w:p>
        </w:tc>
        <w:tc>
          <w:tcPr>
            <w:tcW w:w="3769" w:type="dxa"/>
            <w:tcBorders>
              <w:tl2br w:val="nil"/>
              <w:tr2bl w:val="nil"/>
            </w:tcBorders>
            <w:noWrap w:val="0"/>
            <w:vAlign w:val="center"/>
          </w:tcPr>
          <w:p w14:paraId="35E18BB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1.9867</w:t>
            </w:r>
          </w:p>
        </w:tc>
      </w:tr>
      <w:tr w14:paraId="3F1E5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ADD181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3685" w:type="dxa"/>
            <w:tcBorders>
              <w:tl2br w:val="nil"/>
              <w:tr2bl w:val="nil"/>
            </w:tcBorders>
            <w:noWrap w:val="0"/>
            <w:vAlign w:val="center"/>
          </w:tcPr>
          <w:p w14:paraId="4445717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0.3421</w:t>
            </w:r>
          </w:p>
        </w:tc>
        <w:tc>
          <w:tcPr>
            <w:tcW w:w="3769" w:type="dxa"/>
            <w:tcBorders>
              <w:tl2br w:val="nil"/>
              <w:tr2bl w:val="nil"/>
            </w:tcBorders>
            <w:noWrap w:val="0"/>
            <w:vAlign w:val="center"/>
          </w:tcPr>
          <w:p w14:paraId="5015F30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2.0978</w:t>
            </w:r>
          </w:p>
        </w:tc>
      </w:tr>
      <w:tr w14:paraId="721BF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B084A4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3685" w:type="dxa"/>
            <w:tcBorders>
              <w:tl2br w:val="nil"/>
              <w:tr2bl w:val="nil"/>
            </w:tcBorders>
            <w:noWrap w:val="0"/>
            <w:vAlign w:val="center"/>
          </w:tcPr>
          <w:p w14:paraId="0863E1C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0.3902</w:t>
            </w:r>
          </w:p>
        </w:tc>
        <w:tc>
          <w:tcPr>
            <w:tcW w:w="3769" w:type="dxa"/>
            <w:tcBorders>
              <w:tl2br w:val="nil"/>
              <w:tr2bl w:val="nil"/>
            </w:tcBorders>
            <w:noWrap w:val="0"/>
            <w:vAlign w:val="center"/>
          </w:tcPr>
          <w:p w14:paraId="008DBCA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2.2102</w:t>
            </w:r>
          </w:p>
        </w:tc>
      </w:tr>
      <w:tr w14:paraId="7C179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AA5525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3685" w:type="dxa"/>
            <w:tcBorders>
              <w:tl2br w:val="nil"/>
              <w:tr2bl w:val="nil"/>
            </w:tcBorders>
            <w:noWrap w:val="0"/>
            <w:vAlign w:val="center"/>
          </w:tcPr>
          <w:p w14:paraId="1F4031B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0.4406</w:t>
            </w:r>
          </w:p>
        </w:tc>
        <w:tc>
          <w:tcPr>
            <w:tcW w:w="3769" w:type="dxa"/>
            <w:tcBorders>
              <w:tl2br w:val="nil"/>
              <w:tr2bl w:val="nil"/>
            </w:tcBorders>
            <w:noWrap w:val="0"/>
            <w:vAlign w:val="center"/>
          </w:tcPr>
          <w:p w14:paraId="310808C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2.3221</w:t>
            </w:r>
          </w:p>
        </w:tc>
      </w:tr>
      <w:tr w14:paraId="7FAE8A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9F1FAD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3685" w:type="dxa"/>
            <w:tcBorders>
              <w:tl2br w:val="nil"/>
              <w:tr2bl w:val="nil"/>
            </w:tcBorders>
            <w:noWrap w:val="0"/>
            <w:vAlign w:val="center"/>
          </w:tcPr>
          <w:p w14:paraId="7F57871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0.492</w:t>
            </w:r>
          </w:p>
        </w:tc>
        <w:tc>
          <w:tcPr>
            <w:tcW w:w="3769" w:type="dxa"/>
            <w:tcBorders>
              <w:tl2br w:val="nil"/>
              <w:tr2bl w:val="nil"/>
            </w:tcBorders>
            <w:noWrap w:val="0"/>
            <w:vAlign w:val="center"/>
          </w:tcPr>
          <w:p w14:paraId="488E691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2.4313</w:t>
            </w:r>
          </w:p>
        </w:tc>
      </w:tr>
      <w:tr w14:paraId="4C771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51210A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3685" w:type="dxa"/>
            <w:tcBorders>
              <w:tl2br w:val="nil"/>
              <w:tr2bl w:val="nil"/>
            </w:tcBorders>
            <w:noWrap w:val="0"/>
            <w:vAlign w:val="center"/>
          </w:tcPr>
          <w:p w14:paraId="47FBFAC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0.5427</w:t>
            </w:r>
          </w:p>
        </w:tc>
        <w:tc>
          <w:tcPr>
            <w:tcW w:w="3769" w:type="dxa"/>
            <w:tcBorders>
              <w:tl2br w:val="nil"/>
              <w:tr2bl w:val="nil"/>
            </w:tcBorders>
            <w:noWrap w:val="0"/>
            <w:vAlign w:val="center"/>
          </w:tcPr>
          <w:p w14:paraId="601966C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2.5351</w:t>
            </w:r>
          </w:p>
        </w:tc>
      </w:tr>
      <w:tr w14:paraId="7FBF78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B07582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3685" w:type="dxa"/>
            <w:tcBorders>
              <w:tl2br w:val="nil"/>
              <w:tr2bl w:val="nil"/>
            </w:tcBorders>
            <w:noWrap w:val="0"/>
            <w:vAlign w:val="center"/>
          </w:tcPr>
          <w:p w14:paraId="4CBC160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0.5907</w:t>
            </w:r>
          </w:p>
        </w:tc>
        <w:tc>
          <w:tcPr>
            <w:tcW w:w="3769" w:type="dxa"/>
            <w:tcBorders>
              <w:tl2br w:val="nil"/>
              <w:tr2bl w:val="nil"/>
            </w:tcBorders>
            <w:noWrap w:val="0"/>
            <w:vAlign w:val="center"/>
          </w:tcPr>
          <w:p w14:paraId="1BA3772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2.6306</w:t>
            </w:r>
          </w:p>
        </w:tc>
      </w:tr>
      <w:tr w14:paraId="7703D2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45B7C2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3685" w:type="dxa"/>
            <w:tcBorders>
              <w:tl2br w:val="nil"/>
              <w:tr2bl w:val="nil"/>
            </w:tcBorders>
            <w:noWrap w:val="0"/>
            <w:vAlign w:val="center"/>
          </w:tcPr>
          <w:p w14:paraId="6080700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0.6337</w:t>
            </w:r>
          </w:p>
        </w:tc>
        <w:tc>
          <w:tcPr>
            <w:tcW w:w="3769" w:type="dxa"/>
            <w:tcBorders>
              <w:tl2br w:val="nil"/>
              <w:tr2bl w:val="nil"/>
            </w:tcBorders>
            <w:noWrap w:val="0"/>
            <w:vAlign w:val="center"/>
          </w:tcPr>
          <w:p w14:paraId="5DEB8A2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2.7146</w:t>
            </w:r>
          </w:p>
        </w:tc>
      </w:tr>
      <w:tr w14:paraId="72BF9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358674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3685" w:type="dxa"/>
            <w:tcBorders>
              <w:tl2br w:val="nil"/>
              <w:tr2bl w:val="nil"/>
            </w:tcBorders>
            <w:noWrap w:val="0"/>
            <w:vAlign w:val="center"/>
          </w:tcPr>
          <w:p w14:paraId="61E84B9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0.6696</w:t>
            </w:r>
          </w:p>
        </w:tc>
        <w:tc>
          <w:tcPr>
            <w:tcW w:w="3769" w:type="dxa"/>
            <w:tcBorders>
              <w:tl2br w:val="nil"/>
              <w:tr2bl w:val="nil"/>
            </w:tcBorders>
            <w:noWrap w:val="0"/>
            <w:vAlign w:val="center"/>
          </w:tcPr>
          <w:p w14:paraId="6C4C72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2.7838</w:t>
            </w:r>
          </w:p>
        </w:tc>
      </w:tr>
      <w:tr w14:paraId="499ABC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1B703B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3685" w:type="dxa"/>
            <w:tcBorders>
              <w:tl2br w:val="nil"/>
              <w:tr2bl w:val="nil"/>
            </w:tcBorders>
            <w:noWrap w:val="0"/>
            <w:vAlign w:val="center"/>
          </w:tcPr>
          <w:p w14:paraId="5863A36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0.6961</w:t>
            </w:r>
          </w:p>
        </w:tc>
        <w:tc>
          <w:tcPr>
            <w:tcW w:w="3769" w:type="dxa"/>
            <w:tcBorders>
              <w:tl2br w:val="nil"/>
              <w:tr2bl w:val="nil"/>
            </w:tcBorders>
            <w:noWrap w:val="0"/>
            <w:vAlign w:val="center"/>
          </w:tcPr>
          <w:p w14:paraId="2DD4C1F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2.8353</w:t>
            </w:r>
          </w:p>
        </w:tc>
      </w:tr>
      <w:tr w14:paraId="1CEA9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EB0D21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3685" w:type="dxa"/>
            <w:tcBorders>
              <w:tl2br w:val="nil"/>
              <w:tr2bl w:val="nil"/>
            </w:tcBorders>
            <w:noWrap w:val="0"/>
            <w:vAlign w:val="center"/>
          </w:tcPr>
          <w:p w14:paraId="0A62395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0.7117</w:t>
            </w:r>
          </w:p>
        </w:tc>
        <w:tc>
          <w:tcPr>
            <w:tcW w:w="3769" w:type="dxa"/>
            <w:tcBorders>
              <w:tl2br w:val="nil"/>
              <w:tr2bl w:val="nil"/>
            </w:tcBorders>
            <w:noWrap w:val="0"/>
            <w:vAlign w:val="center"/>
          </w:tcPr>
          <w:p w14:paraId="2CAAD68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2.8668</w:t>
            </w:r>
          </w:p>
        </w:tc>
      </w:tr>
      <w:tr w14:paraId="1D06D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62E4B1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3685" w:type="dxa"/>
            <w:tcBorders>
              <w:tl2br w:val="nil"/>
              <w:tr2bl w:val="nil"/>
            </w:tcBorders>
            <w:shd w:val="clear" w:color="auto" w:fill="7E7E7E" w:themeFill="background1" w:themeFillShade="7F"/>
            <w:noWrap w:val="0"/>
            <w:vAlign w:val="center"/>
          </w:tcPr>
          <w:p w14:paraId="111F893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0.7151</w:t>
            </w:r>
          </w:p>
        </w:tc>
        <w:tc>
          <w:tcPr>
            <w:tcW w:w="3769" w:type="dxa"/>
            <w:tcBorders>
              <w:tl2br w:val="nil"/>
              <w:tr2bl w:val="nil"/>
            </w:tcBorders>
            <w:shd w:val="clear" w:color="auto" w:fill="7E7E7E" w:themeFill="background1" w:themeFillShade="7F"/>
            <w:noWrap w:val="0"/>
            <w:vAlign w:val="center"/>
          </w:tcPr>
          <w:p w14:paraId="4C6C76D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2.8767</w:t>
            </w:r>
          </w:p>
        </w:tc>
      </w:tr>
      <w:tr w14:paraId="53B6B5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D3C104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3685" w:type="dxa"/>
            <w:tcBorders>
              <w:tl2br w:val="nil"/>
              <w:tr2bl w:val="nil"/>
            </w:tcBorders>
            <w:noWrap w:val="0"/>
            <w:vAlign w:val="center"/>
          </w:tcPr>
          <w:p w14:paraId="4A32F7C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0.7062</w:t>
            </w:r>
          </w:p>
        </w:tc>
        <w:tc>
          <w:tcPr>
            <w:tcW w:w="3769" w:type="dxa"/>
            <w:tcBorders>
              <w:tl2br w:val="nil"/>
              <w:tr2bl w:val="nil"/>
            </w:tcBorders>
            <w:noWrap w:val="0"/>
            <w:vAlign w:val="center"/>
          </w:tcPr>
          <w:p w14:paraId="6930261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2.8646</w:t>
            </w:r>
          </w:p>
        </w:tc>
      </w:tr>
      <w:tr w14:paraId="7BA90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11757A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3685" w:type="dxa"/>
            <w:tcBorders>
              <w:tl2br w:val="nil"/>
              <w:tr2bl w:val="nil"/>
            </w:tcBorders>
            <w:noWrap w:val="0"/>
            <w:vAlign w:val="center"/>
          </w:tcPr>
          <w:p w14:paraId="48980FD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0.6856</w:t>
            </w:r>
          </w:p>
        </w:tc>
        <w:tc>
          <w:tcPr>
            <w:tcW w:w="3769" w:type="dxa"/>
            <w:tcBorders>
              <w:tl2br w:val="nil"/>
              <w:tr2bl w:val="nil"/>
            </w:tcBorders>
            <w:noWrap w:val="0"/>
            <w:vAlign w:val="center"/>
          </w:tcPr>
          <w:p w14:paraId="1626524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2.831</w:t>
            </w:r>
          </w:p>
        </w:tc>
      </w:tr>
      <w:tr w14:paraId="76C19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7C2129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3685" w:type="dxa"/>
            <w:tcBorders>
              <w:tl2br w:val="nil"/>
              <w:tr2bl w:val="nil"/>
            </w:tcBorders>
            <w:noWrap w:val="0"/>
            <w:vAlign w:val="center"/>
          </w:tcPr>
          <w:p w14:paraId="60AA02A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0.6545</w:t>
            </w:r>
          </w:p>
        </w:tc>
        <w:tc>
          <w:tcPr>
            <w:tcW w:w="3769" w:type="dxa"/>
            <w:tcBorders>
              <w:tl2br w:val="nil"/>
              <w:tr2bl w:val="nil"/>
            </w:tcBorders>
            <w:noWrap w:val="0"/>
            <w:vAlign w:val="center"/>
          </w:tcPr>
          <w:p w14:paraId="0728399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2.7775</w:t>
            </w:r>
          </w:p>
        </w:tc>
      </w:tr>
      <w:tr w14:paraId="1CF9B0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7DBF89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3685" w:type="dxa"/>
            <w:tcBorders>
              <w:tl2br w:val="nil"/>
              <w:tr2bl w:val="nil"/>
            </w:tcBorders>
            <w:noWrap w:val="0"/>
            <w:vAlign w:val="center"/>
          </w:tcPr>
          <w:p w14:paraId="3AE4DDD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0.6149</w:t>
            </w:r>
          </w:p>
        </w:tc>
        <w:tc>
          <w:tcPr>
            <w:tcW w:w="3769" w:type="dxa"/>
            <w:tcBorders>
              <w:tl2br w:val="nil"/>
              <w:tr2bl w:val="nil"/>
            </w:tcBorders>
            <w:noWrap w:val="0"/>
            <w:vAlign w:val="center"/>
          </w:tcPr>
          <w:p w14:paraId="33755D5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2.7066</w:t>
            </w:r>
          </w:p>
        </w:tc>
      </w:tr>
      <w:tr w14:paraId="52CEF3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0D90E7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3685" w:type="dxa"/>
            <w:tcBorders>
              <w:tl2br w:val="nil"/>
              <w:tr2bl w:val="nil"/>
            </w:tcBorders>
            <w:noWrap w:val="0"/>
            <w:vAlign w:val="center"/>
          </w:tcPr>
          <w:p w14:paraId="6BFE84C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0.5689</w:t>
            </w:r>
          </w:p>
        </w:tc>
        <w:tc>
          <w:tcPr>
            <w:tcW w:w="3769" w:type="dxa"/>
            <w:tcBorders>
              <w:tl2br w:val="nil"/>
              <w:tr2bl w:val="nil"/>
            </w:tcBorders>
            <w:noWrap w:val="0"/>
            <w:vAlign w:val="center"/>
          </w:tcPr>
          <w:p w14:paraId="443FBF5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2.6212</w:t>
            </w:r>
          </w:p>
        </w:tc>
      </w:tr>
      <w:tr w14:paraId="47224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BEA242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3685" w:type="dxa"/>
            <w:tcBorders>
              <w:tl2br w:val="nil"/>
              <w:tr2bl w:val="nil"/>
            </w:tcBorders>
            <w:noWrap w:val="0"/>
            <w:vAlign w:val="center"/>
          </w:tcPr>
          <w:p w14:paraId="5D8F225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0.5187</w:t>
            </w:r>
          </w:p>
        </w:tc>
        <w:tc>
          <w:tcPr>
            <w:tcW w:w="3769" w:type="dxa"/>
            <w:tcBorders>
              <w:tl2br w:val="nil"/>
              <w:tr2bl w:val="nil"/>
            </w:tcBorders>
            <w:noWrap w:val="0"/>
            <w:vAlign w:val="center"/>
          </w:tcPr>
          <w:p w14:paraId="4E0B263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2.5246</w:t>
            </w:r>
          </w:p>
        </w:tc>
      </w:tr>
      <w:tr w14:paraId="05607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7B93FF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3685" w:type="dxa"/>
            <w:tcBorders>
              <w:tl2br w:val="nil"/>
              <w:tr2bl w:val="nil"/>
            </w:tcBorders>
            <w:noWrap w:val="0"/>
            <w:vAlign w:val="center"/>
          </w:tcPr>
          <w:p w14:paraId="4D39DEA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0.4666</w:t>
            </w:r>
          </w:p>
        </w:tc>
        <w:tc>
          <w:tcPr>
            <w:tcW w:w="3769" w:type="dxa"/>
            <w:tcBorders>
              <w:tl2br w:val="nil"/>
              <w:tr2bl w:val="nil"/>
            </w:tcBorders>
            <w:noWrap w:val="0"/>
            <w:vAlign w:val="center"/>
          </w:tcPr>
          <w:p w14:paraId="08F8F40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2.4199</w:t>
            </w:r>
          </w:p>
        </w:tc>
      </w:tr>
      <w:tr w14:paraId="3A778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7FA92D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685" w:type="dxa"/>
            <w:tcBorders>
              <w:tl2br w:val="nil"/>
              <w:tr2bl w:val="nil"/>
            </w:tcBorders>
            <w:noWrap w:val="0"/>
            <w:vAlign w:val="center"/>
          </w:tcPr>
          <w:p w14:paraId="0A5ABEA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0.4144</w:t>
            </w:r>
          </w:p>
        </w:tc>
        <w:tc>
          <w:tcPr>
            <w:tcW w:w="3769" w:type="dxa"/>
            <w:tcBorders>
              <w:tl2br w:val="nil"/>
              <w:tr2bl w:val="nil"/>
            </w:tcBorders>
            <w:noWrap w:val="0"/>
            <w:vAlign w:val="center"/>
          </w:tcPr>
          <w:p w14:paraId="7963417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2.3101</w:t>
            </w:r>
          </w:p>
        </w:tc>
      </w:tr>
      <w:tr w14:paraId="171EC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294E5E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685" w:type="dxa"/>
            <w:tcBorders>
              <w:tl2br w:val="nil"/>
              <w:tr2bl w:val="nil"/>
            </w:tcBorders>
            <w:noWrap w:val="0"/>
            <w:vAlign w:val="center"/>
          </w:tcPr>
          <w:p w14:paraId="061EEB6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0.3636</w:t>
            </w:r>
          </w:p>
        </w:tc>
        <w:tc>
          <w:tcPr>
            <w:tcW w:w="3769" w:type="dxa"/>
            <w:tcBorders>
              <w:tl2br w:val="nil"/>
              <w:tr2bl w:val="nil"/>
            </w:tcBorders>
            <w:noWrap w:val="0"/>
            <w:vAlign w:val="center"/>
          </w:tcPr>
          <w:p w14:paraId="3948C9E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2.1979</w:t>
            </w:r>
          </w:p>
        </w:tc>
      </w:tr>
      <w:tr w14:paraId="767212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3A661D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685" w:type="dxa"/>
            <w:tcBorders>
              <w:tl2br w:val="nil"/>
              <w:tr2bl w:val="nil"/>
            </w:tcBorders>
            <w:noWrap w:val="0"/>
            <w:vAlign w:val="center"/>
          </w:tcPr>
          <w:p w14:paraId="60E6A5D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0.3152</w:t>
            </w:r>
          </w:p>
        </w:tc>
        <w:tc>
          <w:tcPr>
            <w:tcW w:w="3769" w:type="dxa"/>
            <w:tcBorders>
              <w:tl2br w:val="nil"/>
              <w:tr2bl w:val="nil"/>
            </w:tcBorders>
            <w:noWrap w:val="0"/>
            <w:vAlign w:val="center"/>
          </w:tcPr>
          <w:p w14:paraId="76C8FCA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2.0853</w:t>
            </w:r>
          </w:p>
        </w:tc>
      </w:tr>
      <w:tr w14:paraId="59C73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A91650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3685" w:type="dxa"/>
            <w:tcBorders>
              <w:tl2br w:val="nil"/>
              <w:tr2bl w:val="nil"/>
            </w:tcBorders>
            <w:noWrap w:val="0"/>
            <w:vAlign w:val="center"/>
          </w:tcPr>
          <w:p w14:paraId="36F2DE7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0.2701</w:t>
            </w:r>
          </w:p>
        </w:tc>
        <w:tc>
          <w:tcPr>
            <w:tcW w:w="3769" w:type="dxa"/>
            <w:tcBorders>
              <w:tl2br w:val="nil"/>
              <w:tr2bl w:val="nil"/>
            </w:tcBorders>
            <w:noWrap w:val="0"/>
            <w:vAlign w:val="center"/>
          </w:tcPr>
          <w:p w14:paraId="3642D69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1.9743</w:t>
            </w:r>
          </w:p>
        </w:tc>
      </w:tr>
      <w:tr w14:paraId="253FC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1F5599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3685" w:type="dxa"/>
            <w:tcBorders>
              <w:tl2br w:val="nil"/>
              <w:tr2bl w:val="nil"/>
            </w:tcBorders>
            <w:noWrap w:val="0"/>
            <w:vAlign w:val="center"/>
          </w:tcPr>
          <w:p w14:paraId="42C7EF4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0.2287</w:t>
            </w:r>
          </w:p>
        </w:tc>
        <w:tc>
          <w:tcPr>
            <w:tcW w:w="3769" w:type="dxa"/>
            <w:tcBorders>
              <w:tl2br w:val="nil"/>
              <w:tr2bl w:val="nil"/>
            </w:tcBorders>
            <w:noWrap w:val="0"/>
            <w:vAlign w:val="center"/>
          </w:tcPr>
          <w:p w14:paraId="2C200D3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1.866</w:t>
            </w:r>
          </w:p>
        </w:tc>
      </w:tr>
      <w:tr w14:paraId="02794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20CA25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3685" w:type="dxa"/>
            <w:tcBorders>
              <w:tl2br w:val="nil"/>
              <w:tr2bl w:val="nil"/>
            </w:tcBorders>
            <w:noWrap w:val="0"/>
            <w:vAlign w:val="center"/>
          </w:tcPr>
          <w:p w14:paraId="3A2BFC9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0.1912</w:t>
            </w:r>
          </w:p>
        </w:tc>
        <w:tc>
          <w:tcPr>
            <w:tcW w:w="3769" w:type="dxa"/>
            <w:tcBorders>
              <w:tl2br w:val="nil"/>
              <w:tr2bl w:val="nil"/>
            </w:tcBorders>
            <w:noWrap w:val="0"/>
            <w:vAlign w:val="center"/>
          </w:tcPr>
          <w:p w14:paraId="784119C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1.7616</w:t>
            </w:r>
          </w:p>
        </w:tc>
      </w:tr>
      <w:tr w14:paraId="490DF2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5208BE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3685" w:type="dxa"/>
            <w:tcBorders>
              <w:tl2br w:val="nil"/>
              <w:tr2bl w:val="nil"/>
            </w:tcBorders>
            <w:noWrap w:val="0"/>
            <w:vAlign w:val="center"/>
          </w:tcPr>
          <w:p w14:paraId="5A8E472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0.1576</w:t>
            </w:r>
          </w:p>
        </w:tc>
        <w:tc>
          <w:tcPr>
            <w:tcW w:w="3769" w:type="dxa"/>
            <w:tcBorders>
              <w:tl2br w:val="nil"/>
              <w:tr2bl w:val="nil"/>
            </w:tcBorders>
            <w:noWrap w:val="0"/>
            <w:vAlign w:val="center"/>
          </w:tcPr>
          <w:p w14:paraId="5481C21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1.6616</w:t>
            </w:r>
          </w:p>
        </w:tc>
      </w:tr>
      <w:tr w14:paraId="27BB1A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32C355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3685" w:type="dxa"/>
            <w:tcBorders>
              <w:tl2br w:val="nil"/>
              <w:tr2bl w:val="nil"/>
            </w:tcBorders>
            <w:noWrap w:val="0"/>
            <w:vAlign w:val="center"/>
          </w:tcPr>
          <w:p w14:paraId="1BF00F3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0.1279</w:t>
            </w:r>
          </w:p>
        </w:tc>
        <w:tc>
          <w:tcPr>
            <w:tcW w:w="3769" w:type="dxa"/>
            <w:tcBorders>
              <w:tl2br w:val="nil"/>
              <w:tr2bl w:val="nil"/>
            </w:tcBorders>
            <w:noWrap w:val="0"/>
            <w:vAlign w:val="center"/>
          </w:tcPr>
          <w:p w14:paraId="1A90768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1.5665</w:t>
            </w:r>
          </w:p>
        </w:tc>
      </w:tr>
      <w:tr w14:paraId="2A4AD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01A21B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3685" w:type="dxa"/>
            <w:tcBorders>
              <w:tl2br w:val="nil"/>
              <w:tr2bl w:val="nil"/>
            </w:tcBorders>
            <w:noWrap w:val="0"/>
            <w:vAlign w:val="center"/>
          </w:tcPr>
          <w:p w14:paraId="032957A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0.1017</w:t>
            </w:r>
          </w:p>
        </w:tc>
        <w:tc>
          <w:tcPr>
            <w:tcW w:w="3769" w:type="dxa"/>
            <w:tcBorders>
              <w:tl2br w:val="nil"/>
              <w:tr2bl w:val="nil"/>
            </w:tcBorders>
            <w:noWrap w:val="0"/>
            <w:vAlign w:val="center"/>
          </w:tcPr>
          <w:p w14:paraId="5291832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1.4765</w:t>
            </w:r>
          </w:p>
        </w:tc>
      </w:tr>
      <w:tr w14:paraId="154B35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5CD800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3685" w:type="dxa"/>
            <w:tcBorders>
              <w:tl2br w:val="nil"/>
              <w:tr2bl w:val="nil"/>
            </w:tcBorders>
            <w:noWrap w:val="0"/>
            <w:vAlign w:val="center"/>
          </w:tcPr>
          <w:p w14:paraId="5180634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0.079</w:t>
            </w:r>
          </w:p>
        </w:tc>
        <w:tc>
          <w:tcPr>
            <w:tcW w:w="3769" w:type="dxa"/>
            <w:tcBorders>
              <w:tl2br w:val="nil"/>
              <w:tr2bl w:val="nil"/>
            </w:tcBorders>
            <w:noWrap w:val="0"/>
            <w:vAlign w:val="center"/>
          </w:tcPr>
          <w:p w14:paraId="00753F6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1.3917</w:t>
            </w:r>
          </w:p>
        </w:tc>
      </w:tr>
      <w:tr w14:paraId="7B7BB1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EB99E5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3685" w:type="dxa"/>
            <w:tcBorders>
              <w:tl2br w:val="nil"/>
              <w:tr2bl w:val="nil"/>
            </w:tcBorders>
            <w:noWrap w:val="0"/>
            <w:vAlign w:val="center"/>
          </w:tcPr>
          <w:p w14:paraId="204C5E6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0.0595</w:t>
            </w:r>
          </w:p>
        </w:tc>
        <w:tc>
          <w:tcPr>
            <w:tcW w:w="3769" w:type="dxa"/>
            <w:tcBorders>
              <w:tl2br w:val="nil"/>
              <w:tr2bl w:val="nil"/>
            </w:tcBorders>
            <w:noWrap w:val="0"/>
            <w:vAlign w:val="center"/>
          </w:tcPr>
          <w:p w14:paraId="401E5AC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1.312</w:t>
            </w:r>
          </w:p>
        </w:tc>
      </w:tr>
      <w:tr w14:paraId="7B9F5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47BCCA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685" w:type="dxa"/>
            <w:tcBorders>
              <w:tl2br w:val="nil"/>
              <w:tr2bl w:val="nil"/>
            </w:tcBorders>
            <w:noWrap w:val="0"/>
            <w:vAlign w:val="center"/>
          </w:tcPr>
          <w:p w14:paraId="5FEC3F3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0.043</w:t>
            </w:r>
          </w:p>
        </w:tc>
        <w:tc>
          <w:tcPr>
            <w:tcW w:w="3769" w:type="dxa"/>
            <w:tcBorders>
              <w:tl2br w:val="nil"/>
              <w:tr2bl w:val="nil"/>
            </w:tcBorders>
            <w:noWrap w:val="0"/>
            <w:vAlign w:val="center"/>
          </w:tcPr>
          <w:p w14:paraId="0F6478D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1.2374</w:t>
            </w:r>
          </w:p>
        </w:tc>
      </w:tr>
      <w:tr w14:paraId="06E3A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7811E2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3685" w:type="dxa"/>
            <w:tcBorders>
              <w:tl2br w:val="nil"/>
              <w:tr2bl w:val="nil"/>
            </w:tcBorders>
            <w:noWrap w:val="0"/>
            <w:vAlign w:val="center"/>
          </w:tcPr>
          <w:p w14:paraId="6D67CB7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0.0296</w:t>
            </w:r>
          </w:p>
        </w:tc>
        <w:tc>
          <w:tcPr>
            <w:tcW w:w="3769" w:type="dxa"/>
            <w:tcBorders>
              <w:tl2br w:val="nil"/>
              <w:tr2bl w:val="nil"/>
            </w:tcBorders>
            <w:noWrap w:val="0"/>
            <w:vAlign w:val="center"/>
          </w:tcPr>
          <w:p w14:paraId="20D0571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1.1675</w:t>
            </w:r>
          </w:p>
        </w:tc>
      </w:tr>
      <w:tr w14:paraId="1075C3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F4AF90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3685" w:type="dxa"/>
            <w:tcBorders>
              <w:tl2br w:val="nil"/>
              <w:tr2bl w:val="nil"/>
            </w:tcBorders>
            <w:noWrap w:val="0"/>
            <w:vAlign w:val="center"/>
          </w:tcPr>
          <w:p w14:paraId="314F0EB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3769" w:type="dxa"/>
            <w:tcBorders>
              <w:tl2br w:val="nil"/>
              <w:tr2bl w:val="nil"/>
            </w:tcBorders>
            <w:noWrap w:val="0"/>
            <w:vAlign w:val="center"/>
          </w:tcPr>
          <w:p w14:paraId="5E02710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1.1022</w:t>
            </w:r>
          </w:p>
        </w:tc>
      </w:tr>
      <w:tr w14:paraId="1E01A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0577A3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685" w:type="dxa"/>
            <w:tcBorders>
              <w:tl2br w:val="nil"/>
              <w:tr2bl w:val="nil"/>
            </w:tcBorders>
            <w:noWrap w:val="0"/>
            <w:vAlign w:val="center"/>
          </w:tcPr>
          <w:p w14:paraId="2FBD3FB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0.0158</w:t>
            </w:r>
          </w:p>
        </w:tc>
        <w:tc>
          <w:tcPr>
            <w:tcW w:w="3769" w:type="dxa"/>
            <w:tcBorders>
              <w:tl2br w:val="nil"/>
              <w:tr2bl w:val="nil"/>
            </w:tcBorders>
            <w:noWrap w:val="0"/>
            <w:vAlign w:val="center"/>
          </w:tcPr>
          <w:p w14:paraId="626672C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1.0413</w:t>
            </w:r>
          </w:p>
        </w:tc>
      </w:tr>
      <w:tr w14:paraId="5D5A7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548E47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27</w:t>
            </w:r>
          </w:p>
        </w:tc>
        <w:tc>
          <w:tcPr>
            <w:tcW w:w="3685" w:type="dxa"/>
            <w:tcBorders>
              <w:tl2br w:val="nil"/>
              <w:tr2bl w:val="nil"/>
            </w:tcBorders>
            <w:noWrap w:val="0"/>
            <w:vAlign w:val="center"/>
          </w:tcPr>
          <w:p w14:paraId="7A73B70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0.0176</w:t>
            </w:r>
          </w:p>
        </w:tc>
        <w:tc>
          <w:tcPr>
            <w:tcW w:w="3769" w:type="dxa"/>
            <w:tcBorders>
              <w:tl2br w:val="nil"/>
              <w:tr2bl w:val="nil"/>
            </w:tcBorders>
            <w:noWrap w:val="0"/>
            <w:vAlign w:val="center"/>
          </w:tcPr>
          <w:p w14:paraId="7B852C2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0.9844</w:t>
            </w:r>
          </w:p>
        </w:tc>
      </w:tr>
      <w:tr w14:paraId="569567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8EABD2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685" w:type="dxa"/>
            <w:tcBorders>
              <w:tl2br w:val="nil"/>
              <w:tr2bl w:val="nil"/>
            </w:tcBorders>
            <w:noWrap w:val="0"/>
            <w:vAlign w:val="center"/>
          </w:tcPr>
          <w:p w14:paraId="120E063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0.0222</w:t>
            </w:r>
          </w:p>
        </w:tc>
        <w:tc>
          <w:tcPr>
            <w:tcW w:w="3769" w:type="dxa"/>
            <w:tcBorders>
              <w:tl2br w:val="nil"/>
              <w:tr2bl w:val="nil"/>
            </w:tcBorders>
            <w:noWrap w:val="0"/>
            <w:vAlign w:val="center"/>
          </w:tcPr>
          <w:p w14:paraId="6F34211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0.9314</w:t>
            </w:r>
          </w:p>
        </w:tc>
      </w:tr>
      <w:tr w14:paraId="0DF7CC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210738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3685" w:type="dxa"/>
            <w:tcBorders>
              <w:tl2br w:val="nil"/>
              <w:tr2bl w:val="nil"/>
            </w:tcBorders>
            <w:noWrap w:val="0"/>
            <w:vAlign w:val="center"/>
          </w:tcPr>
          <w:p w14:paraId="2B0513C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0.0271</w:t>
            </w:r>
          </w:p>
        </w:tc>
        <w:tc>
          <w:tcPr>
            <w:tcW w:w="3769" w:type="dxa"/>
            <w:tcBorders>
              <w:tl2br w:val="nil"/>
              <w:tr2bl w:val="nil"/>
            </w:tcBorders>
            <w:noWrap w:val="0"/>
            <w:vAlign w:val="center"/>
          </w:tcPr>
          <w:p w14:paraId="404C27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0.8819</w:t>
            </w:r>
          </w:p>
        </w:tc>
      </w:tr>
      <w:tr w14:paraId="716B9E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3D880D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3685" w:type="dxa"/>
            <w:tcBorders>
              <w:tl2br w:val="nil"/>
              <w:tr2bl w:val="nil"/>
            </w:tcBorders>
            <w:noWrap w:val="0"/>
            <w:vAlign w:val="center"/>
          </w:tcPr>
          <w:p w14:paraId="17E9D7B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0.0317</w:t>
            </w:r>
          </w:p>
        </w:tc>
        <w:tc>
          <w:tcPr>
            <w:tcW w:w="3769" w:type="dxa"/>
            <w:tcBorders>
              <w:tl2br w:val="nil"/>
              <w:tr2bl w:val="nil"/>
            </w:tcBorders>
            <w:noWrap w:val="0"/>
            <w:vAlign w:val="center"/>
          </w:tcPr>
          <w:p w14:paraId="24795C1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0.8357</w:t>
            </w:r>
          </w:p>
        </w:tc>
      </w:tr>
      <w:tr w14:paraId="26262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3606FA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3685" w:type="dxa"/>
            <w:tcBorders>
              <w:tl2br w:val="nil"/>
              <w:tr2bl w:val="nil"/>
            </w:tcBorders>
            <w:noWrap w:val="0"/>
            <w:vAlign w:val="center"/>
          </w:tcPr>
          <w:p w14:paraId="7209633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0.0357</w:t>
            </w:r>
          </w:p>
        </w:tc>
        <w:tc>
          <w:tcPr>
            <w:tcW w:w="3769" w:type="dxa"/>
            <w:tcBorders>
              <w:tl2br w:val="nil"/>
              <w:tr2bl w:val="nil"/>
            </w:tcBorders>
            <w:noWrap w:val="0"/>
            <w:vAlign w:val="center"/>
          </w:tcPr>
          <w:p w14:paraId="58E215A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0.7927</w:t>
            </w:r>
          </w:p>
        </w:tc>
      </w:tr>
      <w:tr w14:paraId="185F2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99B953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3685" w:type="dxa"/>
            <w:tcBorders>
              <w:tl2br w:val="nil"/>
              <w:tr2bl w:val="nil"/>
            </w:tcBorders>
            <w:noWrap w:val="0"/>
            <w:vAlign w:val="center"/>
          </w:tcPr>
          <w:p w14:paraId="3484853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0.039</w:t>
            </w:r>
          </w:p>
        </w:tc>
        <w:tc>
          <w:tcPr>
            <w:tcW w:w="3769" w:type="dxa"/>
            <w:tcBorders>
              <w:tl2br w:val="nil"/>
              <w:tr2bl w:val="nil"/>
            </w:tcBorders>
            <w:noWrap w:val="0"/>
            <w:vAlign w:val="center"/>
          </w:tcPr>
          <w:p w14:paraId="7BEA368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0.7525</w:t>
            </w:r>
          </w:p>
        </w:tc>
      </w:tr>
      <w:tr w14:paraId="2BA57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B5ED65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3685" w:type="dxa"/>
            <w:tcBorders>
              <w:tl2br w:val="nil"/>
              <w:tr2bl w:val="nil"/>
            </w:tcBorders>
            <w:noWrap w:val="0"/>
            <w:vAlign w:val="center"/>
          </w:tcPr>
          <w:p w14:paraId="45BFBC1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0.0417</w:t>
            </w:r>
          </w:p>
        </w:tc>
        <w:tc>
          <w:tcPr>
            <w:tcW w:w="3769" w:type="dxa"/>
            <w:tcBorders>
              <w:tl2br w:val="nil"/>
              <w:tr2bl w:val="nil"/>
            </w:tcBorders>
            <w:noWrap w:val="0"/>
            <w:vAlign w:val="center"/>
          </w:tcPr>
          <w:p w14:paraId="57CDB39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0.715</w:t>
            </w:r>
          </w:p>
        </w:tc>
      </w:tr>
      <w:tr w14:paraId="5592E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723582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3685" w:type="dxa"/>
            <w:tcBorders>
              <w:tl2br w:val="nil"/>
              <w:tr2bl w:val="nil"/>
            </w:tcBorders>
            <w:noWrap w:val="0"/>
            <w:vAlign w:val="center"/>
          </w:tcPr>
          <w:p w14:paraId="5AEECB3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0.0439</w:t>
            </w:r>
          </w:p>
        </w:tc>
        <w:tc>
          <w:tcPr>
            <w:tcW w:w="3769" w:type="dxa"/>
            <w:tcBorders>
              <w:tl2br w:val="nil"/>
              <w:tr2bl w:val="nil"/>
            </w:tcBorders>
            <w:noWrap w:val="0"/>
            <w:vAlign w:val="center"/>
          </w:tcPr>
          <w:p w14:paraId="0C7F806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0.6799</w:t>
            </w:r>
          </w:p>
        </w:tc>
      </w:tr>
      <w:tr w14:paraId="34CDB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F40C7A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685" w:type="dxa"/>
            <w:tcBorders>
              <w:tl2br w:val="nil"/>
              <w:tr2bl w:val="nil"/>
            </w:tcBorders>
            <w:noWrap w:val="0"/>
            <w:vAlign w:val="center"/>
          </w:tcPr>
          <w:p w14:paraId="13EFD84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0.0456</w:t>
            </w:r>
          </w:p>
        </w:tc>
        <w:tc>
          <w:tcPr>
            <w:tcW w:w="3769" w:type="dxa"/>
            <w:tcBorders>
              <w:tl2br w:val="nil"/>
              <w:tr2bl w:val="nil"/>
            </w:tcBorders>
            <w:noWrap w:val="0"/>
            <w:vAlign w:val="center"/>
          </w:tcPr>
          <w:p w14:paraId="4CCBB66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0.6471</w:t>
            </w:r>
          </w:p>
        </w:tc>
      </w:tr>
      <w:tr w14:paraId="371ECA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38C105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3685" w:type="dxa"/>
            <w:tcBorders>
              <w:tl2br w:val="nil"/>
              <w:tr2bl w:val="nil"/>
            </w:tcBorders>
            <w:noWrap w:val="0"/>
            <w:vAlign w:val="center"/>
          </w:tcPr>
          <w:p w14:paraId="06C94E7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0.047</w:t>
            </w:r>
          </w:p>
        </w:tc>
        <w:tc>
          <w:tcPr>
            <w:tcW w:w="3769" w:type="dxa"/>
            <w:tcBorders>
              <w:tl2br w:val="nil"/>
              <w:tr2bl w:val="nil"/>
            </w:tcBorders>
            <w:noWrap w:val="0"/>
            <w:vAlign w:val="center"/>
          </w:tcPr>
          <w:p w14:paraId="1A0E3B1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0.6164</w:t>
            </w:r>
          </w:p>
        </w:tc>
      </w:tr>
      <w:tr w14:paraId="7B13F5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623170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37</w:t>
            </w:r>
          </w:p>
        </w:tc>
        <w:tc>
          <w:tcPr>
            <w:tcW w:w="3685" w:type="dxa"/>
            <w:tcBorders>
              <w:tl2br w:val="nil"/>
              <w:tr2bl w:val="nil"/>
            </w:tcBorders>
            <w:noWrap w:val="0"/>
            <w:vAlign w:val="center"/>
          </w:tcPr>
          <w:p w14:paraId="51CB110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0.0479</w:t>
            </w:r>
          </w:p>
        </w:tc>
        <w:tc>
          <w:tcPr>
            <w:tcW w:w="3769" w:type="dxa"/>
            <w:tcBorders>
              <w:tl2br w:val="nil"/>
              <w:tr2bl w:val="nil"/>
            </w:tcBorders>
            <w:noWrap w:val="0"/>
            <w:vAlign w:val="center"/>
          </w:tcPr>
          <w:p w14:paraId="44844FB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0.5877</w:t>
            </w:r>
          </w:p>
        </w:tc>
      </w:tr>
      <w:tr w14:paraId="79C2E5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148C9B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3685" w:type="dxa"/>
            <w:tcBorders>
              <w:tl2br w:val="nil"/>
              <w:tr2bl w:val="nil"/>
            </w:tcBorders>
            <w:noWrap w:val="0"/>
            <w:vAlign w:val="center"/>
          </w:tcPr>
          <w:p w14:paraId="51379DE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0.0486</w:t>
            </w:r>
          </w:p>
        </w:tc>
        <w:tc>
          <w:tcPr>
            <w:tcW w:w="3769" w:type="dxa"/>
            <w:tcBorders>
              <w:tl2br w:val="nil"/>
              <w:tr2bl w:val="nil"/>
            </w:tcBorders>
            <w:noWrap w:val="0"/>
            <w:vAlign w:val="center"/>
          </w:tcPr>
          <w:p w14:paraId="41BA054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0.5607</w:t>
            </w:r>
          </w:p>
        </w:tc>
      </w:tr>
      <w:tr w14:paraId="44AF1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1FC67E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3685" w:type="dxa"/>
            <w:tcBorders>
              <w:tl2br w:val="nil"/>
              <w:tr2bl w:val="nil"/>
            </w:tcBorders>
            <w:noWrap w:val="0"/>
            <w:vAlign w:val="center"/>
          </w:tcPr>
          <w:p w14:paraId="1CB85DE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0.049</w:t>
            </w:r>
          </w:p>
        </w:tc>
        <w:tc>
          <w:tcPr>
            <w:tcW w:w="3769" w:type="dxa"/>
            <w:tcBorders>
              <w:tl2br w:val="nil"/>
              <w:tr2bl w:val="nil"/>
            </w:tcBorders>
            <w:noWrap w:val="0"/>
            <w:vAlign w:val="center"/>
          </w:tcPr>
          <w:p w14:paraId="104FE5A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0.5355</w:t>
            </w:r>
          </w:p>
        </w:tc>
      </w:tr>
      <w:tr w14:paraId="21017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7A9C33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3685" w:type="dxa"/>
            <w:tcBorders>
              <w:tl2br w:val="nil"/>
              <w:tr2bl w:val="nil"/>
            </w:tcBorders>
            <w:noWrap w:val="0"/>
            <w:vAlign w:val="center"/>
          </w:tcPr>
          <w:p w14:paraId="3023D8C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0.0492</w:t>
            </w:r>
          </w:p>
        </w:tc>
        <w:tc>
          <w:tcPr>
            <w:tcW w:w="3769" w:type="dxa"/>
            <w:tcBorders>
              <w:tl2br w:val="nil"/>
              <w:tr2bl w:val="nil"/>
            </w:tcBorders>
            <w:noWrap w:val="0"/>
            <w:vAlign w:val="center"/>
          </w:tcPr>
          <w:p w14:paraId="22D01BF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0.5118</w:t>
            </w:r>
          </w:p>
        </w:tc>
      </w:tr>
      <w:tr w14:paraId="43884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592CC0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685" w:type="dxa"/>
            <w:tcBorders>
              <w:tl2br w:val="nil"/>
              <w:tr2bl w:val="nil"/>
            </w:tcBorders>
            <w:noWrap w:val="0"/>
            <w:vAlign w:val="center"/>
          </w:tcPr>
          <w:p w14:paraId="6F0C0D37">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0.0492</w:t>
            </w:r>
          </w:p>
        </w:tc>
        <w:tc>
          <w:tcPr>
            <w:tcW w:w="3769" w:type="dxa"/>
            <w:tcBorders>
              <w:tl2br w:val="nil"/>
              <w:tr2bl w:val="nil"/>
            </w:tcBorders>
            <w:noWrap w:val="0"/>
            <w:vAlign w:val="center"/>
          </w:tcPr>
          <w:p w14:paraId="3622D9F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0.4895</w:t>
            </w:r>
          </w:p>
        </w:tc>
      </w:tr>
      <w:tr w14:paraId="37E02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9171B4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685" w:type="dxa"/>
            <w:tcBorders>
              <w:tl2br w:val="nil"/>
              <w:tr2bl w:val="nil"/>
            </w:tcBorders>
            <w:noWrap w:val="0"/>
            <w:vAlign w:val="center"/>
          </w:tcPr>
          <w:p w14:paraId="4ECCBD00">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0.049</w:t>
            </w:r>
          </w:p>
        </w:tc>
        <w:tc>
          <w:tcPr>
            <w:tcW w:w="3769" w:type="dxa"/>
            <w:tcBorders>
              <w:tl2br w:val="nil"/>
              <w:tr2bl w:val="nil"/>
            </w:tcBorders>
            <w:noWrap w:val="0"/>
            <w:vAlign w:val="center"/>
          </w:tcPr>
          <w:p w14:paraId="2EF75DE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0.4685</w:t>
            </w:r>
          </w:p>
        </w:tc>
      </w:tr>
      <w:tr w14:paraId="454237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C5A0FC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w:t>
            </w:r>
          </w:p>
        </w:tc>
        <w:tc>
          <w:tcPr>
            <w:tcW w:w="3685" w:type="dxa"/>
            <w:tcBorders>
              <w:tl2br w:val="nil"/>
              <w:tr2bl w:val="nil"/>
            </w:tcBorders>
            <w:noWrap w:val="0"/>
            <w:vAlign w:val="center"/>
          </w:tcPr>
          <w:p w14:paraId="33F97ED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0.0487</w:t>
            </w:r>
          </w:p>
        </w:tc>
        <w:tc>
          <w:tcPr>
            <w:tcW w:w="3769" w:type="dxa"/>
            <w:tcBorders>
              <w:tl2br w:val="nil"/>
              <w:tr2bl w:val="nil"/>
            </w:tcBorders>
            <w:noWrap w:val="0"/>
            <w:vAlign w:val="center"/>
          </w:tcPr>
          <w:p w14:paraId="27F59A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0.4488</w:t>
            </w:r>
          </w:p>
        </w:tc>
      </w:tr>
      <w:tr w14:paraId="04254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DE501D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w:t>
            </w:r>
          </w:p>
        </w:tc>
        <w:tc>
          <w:tcPr>
            <w:tcW w:w="3685" w:type="dxa"/>
            <w:tcBorders>
              <w:tl2br w:val="nil"/>
              <w:tr2bl w:val="nil"/>
            </w:tcBorders>
            <w:noWrap w:val="0"/>
            <w:vAlign w:val="center"/>
          </w:tcPr>
          <w:p w14:paraId="535B5C2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0.0483</w:t>
            </w:r>
          </w:p>
        </w:tc>
        <w:tc>
          <w:tcPr>
            <w:tcW w:w="3769" w:type="dxa"/>
            <w:tcBorders>
              <w:tl2br w:val="nil"/>
              <w:tr2bl w:val="nil"/>
            </w:tcBorders>
            <w:noWrap w:val="0"/>
            <w:vAlign w:val="center"/>
          </w:tcPr>
          <w:p w14:paraId="21FA046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0.4302</w:t>
            </w:r>
          </w:p>
        </w:tc>
      </w:tr>
      <w:tr w14:paraId="1EF13E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2F7BB6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3685" w:type="dxa"/>
            <w:tcBorders>
              <w:tl2br w:val="nil"/>
              <w:tr2bl w:val="nil"/>
            </w:tcBorders>
            <w:noWrap w:val="0"/>
            <w:vAlign w:val="center"/>
          </w:tcPr>
          <w:p w14:paraId="398AFCEF">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0.0478</w:t>
            </w:r>
          </w:p>
        </w:tc>
        <w:tc>
          <w:tcPr>
            <w:tcW w:w="3769" w:type="dxa"/>
            <w:tcBorders>
              <w:tl2br w:val="nil"/>
              <w:tr2bl w:val="nil"/>
            </w:tcBorders>
            <w:noWrap w:val="0"/>
            <w:vAlign w:val="center"/>
          </w:tcPr>
          <w:p w14:paraId="279C53E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0.4127</w:t>
            </w:r>
          </w:p>
        </w:tc>
      </w:tr>
      <w:tr w14:paraId="58AFB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42E4E1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3685" w:type="dxa"/>
            <w:tcBorders>
              <w:tl2br w:val="nil"/>
              <w:tr2bl w:val="nil"/>
            </w:tcBorders>
            <w:noWrap w:val="0"/>
            <w:vAlign w:val="center"/>
          </w:tcPr>
          <w:p w14:paraId="20C374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0.0473</w:t>
            </w:r>
          </w:p>
        </w:tc>
        <w:tc>
          <w:tcPr>
            <w:tcW w:w="3769" w:type="dxa"/>
            <w:tcBorders>
              <w:tl2br w:val="nil"/>
              <w:tr2bl w:val="nil"/>
            </w:tcBorders>
            <w:noWrap w:val="0"/>
            <w:vAlign w:val="center"/>
          </w:tcPr>
          <w:p w14:paraId="0563E02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0.3962</w:t>
            </w:r>
          </w:p>
        </w:tc>
      </w:tr>
      <w:tr w14:paraId="11611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719689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47</w:t>
            </w:r>
          </w:p>
        </w:tc>
        <w:tc>
          <w:tcPr>
            <w:tcW w:w="3685" w:type="dxa"/>
            <w:tcBorders>
              <w:tl2br w:val="nil"/>
              <w:tr2bl w:val="nil"/>
            </w:tcBorders>
            <w:noWrap w:val="0"/>
            <w:vAlign w:val="center"/>
          </w:tcPr>
          <w:p w14:paraId="46789AEF">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0.0466</w:t>
            </w:r>
          </w:p>
        </w:tc>
        <w:tc>
          <w:tcPr>
            <w:tcW w:w="3769" w:type="dxa"/>
            <w:tcBorders>
              <w:tl2br w:val="nil"/>
              <w:tr2bl w:val="nil"/>
            </w:tcBorders>
            <w:noWrap w:val="0"/>
            <w:vAlign w:val="center"/>
          </w:tcPr>
          <w:p w14:paraId="1886DA41">
            <w:pPr>
              <w:keepNext w:val="0"/>
              <w:keepLines w:val="0"/>
              <w:widowControl/>
              <w:suppressLineNumbers w:val="0"/>
              <w:jc w:val="center"/>
              <w:textAlignment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0.3806</w:t>
            </w:r>
          </w:p>
        </w:tc>
      </w:tr>
      <w:tr w14:paraId="7A3FE2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AD6265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w:t>
            </w:r>
          </w:p>
        </w:tc>
        <w:tc>
          <w:tcPr>
            <w:tcW w:w="3685" w:type="dxa"/>
            <w:tcBorders>
              <w:tl2br w:val="nil"/>
              <w:tr2bl w:val="nil"/>
            </w:tcBorders>
            <w:noWrap w:val="0"/>
            <w:vAlign w:val="center"/>
          </w:tcPr>
          <w:p w14:paraId="4739993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0.0459</w:t>
            </w:r>
          </w:p>
        </w:tc>
        <w:tc>
          <w:tcPr>
            <w:tcW w:w="3769" w:type="dxa"/>
            <w:tcBorders>
              <w:tl2br w:val="nil"/>
              <w:tr2bl w:val="nil"/>
            </w:tcBorders>
            <w:noWrap w:val="0"/>
            <w:vAlign w:val="center"/>
          </w:tcPr>
          <w:p w14:paraId="7342EC5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0.3659</w:t>
            </w:r>
          </w:p>
        </w:tc>
      </w:tr>
      <w:tr w14:paraId="63AB27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3A6AB7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w:t>
            </w:r>
          </w:p>
        </w:tc>
        <w:tc>
          <w:tcPr>
            <w:tcW w:w="3685" w:type="dxa"/>
            <w:tcBorders>
              <w:tl2br w:val="nil"/>
              <w:tr2bl w:val="nil"/>
            </w:tcBorders>
            <w:noWrap w:val="0"/>
            <w:vAlign w:val="center"/>
          </w:tcPr>
          <w:p w14:paraId="5762A6D6">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0.0452</w:t>
            </w:r>
          </w:p>
        </w:tc>
        <w:tc>
          <w:tcPr>
            <w:tcW w:w="3769" w:type="dxa"/>
            <w:tcBorders>
              <w:tl2br w:val="nil"/>
              <w:tr2bl w:val="nil"/>
            </w:tcBorders>
            <w:noWrap w:val="0"/>
            <w:vAlign w:val="center"/>
          </w:tcPr>
          <w:p w14:paraId="552F1C17">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0.352</w:t>
            </w:r>
          </w:p>
        </w:tc>
      </w:tr>
      <w:tr w14:paraId="38D4D5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4BE7E9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3685" w:type="dxa"/>
            <w:tcBorders>
              <w:tl2br w:val="nil"/>
              <w:tr2bl w:val="nil"/>
            </w:tcBorders>
            <w:noWrap w:val="0"/>
            <w:vAlign w:val="center"/>
          </w:tcPr>
          <w:p w14:paraId="5AA8427E">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0.0445</w:t>
            </w:r>
          </w:p>
        </w:tc>
        <w:tc>
          <w:tcPr>
            <w:tcW w:w="3769" w:type="dxa"/>
            <w:tcBorders>
              <w:tl2br w:val="nil"/>
              <w:tr2bl w:val="nil"/>
            </w:tcBorders>
            <w:noWrap w:val="0"/>
            <w:vAlign w:val="center"/>
          </w:tcPr>
          <w:p w14:paraId="791CB38C">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0.3388</w:t>
            </w:r>
          </w:p>
        </w:tc>
      </w:tr>
      <w:tr w14:paraId="17407A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47A89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51</w:t>
            </w:r>
          </w:p>
        </w:tc>
        <w:tc>
          <w:tcPr>
            <w:tcW w:w="3685" w:type="dxa"/>
            <w:tcBorders>
              <w:tl2br w:val="nil"/>
              <w:tr2bl w:val="nil"/>
            </w:tcBorders>
            <w:noWrap w:val="0"/>
            <w:vAlign w:val="center"/>
          </w:tcPr>
          <w:p w14:paraId="135239B0">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0.0437</w:t>
            </w:r>
          </w:p>
        </w:tc>
        <w:tc>
          <w:tcPr>
            <w:tcW w:w="3769" w:type="dxa"/>
            <w:tcBorders>
              <w:tl2br w:val="nil"/>
              <w:tr2bl w:val="nil"/>
            </w:tcBorders>
            <w:noWrap w:val="0"/>
            <w:vAlign w:val="center"/>
          </w:tcPr>
          <w:p w14:paraId="4CEE1182">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0.3263</w:t>
            </w:r>
          </w:p>
        </w:tc>
      </w:tr>
      <w:tr w14:paraId="0A35C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C3176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w:t>
            </w:r>
          </w:p>
        </w:tc>
        <w:tc>
          <w:tcPr>
            <w:tcW w:w="3685" w:type="dxa"/>
            <w:tcBorders>
              <w:tl2br w:val="nil"/>
              <w:tr2bl w:val="nil"/>
            </w:tcBorders>
            <w:noWrap w:val="0"/>
            <w:vAlign w:val="center"/>
          </w:tcPr>
          <w:p w14:paraId="3B04F49F">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0.0429</w:t>
            </w:r>
          </w:p>
        </w:tc>
        <w:tc>
          <w:tcPr>
            <w:tcW w:w="3769" w:type="dxa"/>
            <w:tcBorders>
              <w:tl2br w:val="nil"/>
              <w:tr2bl w:val="nil"/>
            </w:tcBorders>
            <w:noWrap w:val="0"/>
            <w:vAlign w:val="center"/>
          </w:tcPr>
          <w:p w14:paraId="593A98FD">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0.3144</w:t>
            </w:r>
          </w:p>
        </w:tc>
      </w:tr>
      <w:tr w14:paraId="11AE71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A833E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w:t>
            </w:r>
          </w:p>
        </w:tc>
        <w:tc>
          <w:tcPr>
            <w:tcW w:w="3685" w:type="dxa"/>
            <w:tcBorders>
              <w:tl2br w:val="nil"/>
              <w:tr2bl w:val="nil"/>
            </w:tcBorders>
            <w:noWrap w:val="0"/>
            <w:vAlign w:val="center"/>
          </w:tcPr>
          <w:p w14:paraId="63242BB7">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0.0421</w:t>
            </w:r>
          </w:p>
        </w:tc>
        <w:tc>
          <w:tcPr>
            <w:tcW w:w="3769" w:type="dxa"/>
            <w:tcBorders>
              <w:tl2br w:val="nil"/>
              <w:tr2bl w:val="nil"/>
            </w:tcBorders>
            <w:noWrap w:val="0"/>
            <w:vAlign w:val="center"/>
          </w:tcPr>
          <w:p w14:paraId="53D24FCA">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0.3032</w:t>
            </w:r>
          </w:p>
        </w:tc>
      </w:tr>
      <w:tr w14:paraId="1AFDF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9EAB2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54</w:t>
            </w:r>
          </w:p>
        </w:tc>
        <w:tc>
          <w:tcPr>
            <w:tcW w:w="3685" w:type="dxa"/>
            <w:tcBorders>
              <w:tl2br w:val="nil"/>
              <w:tr2bl w:val="nil"/>
            </w:tcBorders>
            <w:noWrap w:val="0"/>
            <w:vAlign w:val="center"/>
          </w:tcPr>
          <w:p w14:paraId="5A64D54E">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0.0413</w:t>
            </w:r>
          </w:p>
        </w:tc>
        <w:tc>
          <w:tcPr>
            <w:tcW w:w="3769" w:type="dxa"/>
            <w:tcBorders>
              <w:tl2br w:val="nil"/>
              <w:tr2bl w:val="nil"/>
            </w:tcBorders>
            <w:noWrap w:val="0"/>
            <w:vAlign w:val="center"/>
          </w:tcPr>
          <w:p w14:paraId="7FFAAB69">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0.2925</w:t>
            </w:r>
          </w:p>
        </w:tc>
      </w:tr>
      <w:tr w14:paraId="5FB9D4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588DD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55</w:t>
            </w:r>
          </w:p>
        </w:tc>
        <w:tc>
          <w:tcPr>
            <w:tcW w:w="3685" w:type="dxa"/>
            <w:tcBorders>
              <w:tl2br w:val="nil"/>
              <w:tr2bl w:val="nil"/>
            </w:tcBorders>
            <w:noWrap w:val="0"/>
            <w:vAlign w:val="center"/>
          </w:tcPr>
          <w:p w14:paraId="106F9635">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0.0405</w:t>
            </w:r>
          </w:p>
        </w:tc>
        <w:tc>
          <w:tcPr>
            <w:tcW w:w="3769" w:type="dxa"/>
            <w:tcBorders>
              <w:tl2br w:val="nil"/>
              <w:tr2bl w:val="nil"/>
            </w:tcBorders>
            <w:noWrap w:val="0"/>
            <w:vAlign w:val="center"/>
          </w:tcPr>
          <w:p w14:paraId="2CDE8030">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0.2824</w:t>
            </w:r>
          </w:p>
        </w:tc>
      </w:tr>
      <w:tr w14:paraId="130B62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3D376C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w:t>
            </w:r>
          </w:p>
        </w:tc>
        <w:tc>
          <w:tcPr>
            <w:tcW w:w="3685" w:type="dxa"/>
            <w:tcBorders>
              <w:tl2br w:val="nil"/>
              <w:tr2bl w:val="nil"/>
            </w:tcBorders>
            <w:noWrap w:val="0"/>
            <w:vAlign w:val="center"/>
          </w:tcPr>
          <w:p w14:paraId="71CF765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0.0397</w:t>
            </w:r>
          </w:p>
        </w:tc>
        <w:tc>
          <w:tcPr>
            <w:tcW w:w="3769" w:type="dxa"/>
            <w:tcBorders>
              <w:tl2br w:val="nil"/>
              <w:tr2bl w:val="nil"/>
            </w:tcBorders>
            <w:noWrap w:val="0"/>
            <w:vAlign w:val="center"/>
          </w:tcPr>
          <w:p w14:paraId="73E2829A">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0.2728</w:t>
            </w:r>
          </w:p>
        </w:tc>
      </w:tr>
      <w:tr w14:paraId="10884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10BD4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57</w:t>
            </w:r>
          </w:p>
        </w:tc>
        <w:tc>
          <w:tcPr>
            <w:tcW w:w="3685" w:type="dxa"/>
            <w:tcBorders>
              <w:tl2br w:val="nil"/>
              <w:tr2bl w:val="nil"/>
            </w:tcBorders>
            <w:noWrap w:val="0"/>
            <w:vAlign w:val="center"/>
          </w:tcPr>
          <w:p w14:paraId="70569FBC">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0.0389</w:t>
            </w:r>
          </w:p>
        </w:tc>
        <w:tc>
          <w:tcPr>
            <w:tcW w:w="3769" w:type="dxa"/>
            <w:tcBorders>
              <w:tl2br w:val="nil"/>
              <w:tr2bl w:val="nil"/>
            </w:tcBorders>
            <w:noWrap w:val="0"/>
            <w:vAlign w:val="center"/>
          </w:tcPr>
          <w:p w14:paraId="36765BA3">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0.2636</w:t>
            </w:r>
          </w:p>
        </w:tc>
      </w:tr>
      <w:tr w14:paraId="7BC2D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C51B5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w:t>
            </w:r>
          </w:p>
        </w:tc>
        <w:tc>
          <w:tcPr>
            <w:tcW w:w="3685" w:type="dxa"/>
            <w:tcBorders>
              <w:tl2br w:val="nil"/>
              <w:tr2bl w:val="nil"/>
            </w:tcBorders>
            <w:noWrap w:val="0"/>
            <w:vAlign w:val="center"/>
          </w:tcPr>
          <w:p w14:paraId="0F237883">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0.0381</w:t>
            </w:r>
          </w:p>
        </w:tc>
        <w:tc>
          <w:tcPr>
            <w:tcW w:w="3769" w:type="dxa"/>
            <w:tcBorders>
              <w:tl2br w:val="nil"/>
              <w:tr2bl w:val="nil"/>
            </w:tcBorders>
            <w:noWrap w:val="0"/>
            <w:vAlign w:val="center"/>
          </w:tcPr>
          <w:p w14:paraId="39961272">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0.2549</w:t>
            </w:r>
          </w:p>
        </w:tc>
      </w:tr>
      <w:tr w14:paraId="511076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2DA44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59</w:t>
            </w:r>
          </w:p>
        </w:tc>
        <w:tc>
          <w:tcPr>
            <w:tcW w:w="3685" w:type="dxa"/>
            <w:tcBorders>
              <w:tl2br w:val="nil"/>
              <w:tr2bl w:val="nil"/>
            </w:tcBorders>
            <w:noWrap w:val="0"/>
            <w:vAlign w:val="center"/>
          </w:tcPr>
          <w:p w14:paraId="6AD47510">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0.0373</w:t>
            </w:r>
          </w:p>
        </w:tc>
        <w:tc>
          <w:tcPr>
            <w:tcW w:w="3769" w:type="dxa"/>
            <w:tcBorders>
              <w:tl2br w:val="nil"/>
              <w:tr2bl w:val="nil"/>
            </w:tcBorders>
            <w:noWrap w:val="0"/>
            <w:vAlign w:val="center"/>
          </w:tcPr>
          <w:p w14:paraId="123B7E54">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0.2466</w:t>
            </w:r>
          </w:p>
        </w:tc>
      </w:tr>
      <w:tr w14:paraId="67B4B7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85DD5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3685" w:type="dxa"/>
            <w:tcBorders>
              <w:tl2br w:val="nil"/>
              <w:tr2bl w:val="nil"/>
            </w:tcBorders>
            <w:noWrap w:val="0"/>
            <w:vAlign w:val="center"/>
          </w:tcPr>
          <w:p w14:paraId="1720308B">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0.0366</w:t>
            </w:r>
          </w:p>
        </w:tc>
        <w:tc>
          <w:tcPr>
            <w:tcW w:w="3769" w:type="dxa"/>
            <w:tcBorders>
              <w:tl2br w:val="nil"/>
              <w:tr2bl w:val="nil"/>
            </w:tcBorders>
            <w:noWrap w:val="0"/>
            <w:vAlign w:val="center"/>
          </w:tcPr>
          <w:p w14:paraId="688060D2">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0.2386</w:t>
            </w:r>
          </w:p>
        </w:tc>
      </w:tr>
      <w:tr w14:paraId="4E578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FC3F6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w:t>
            </w:r>
          </w:p>
        </w:tc>
        <w:tc>
          <w:tcPr>
            <w:tcW w:w="3685" w:type="dxa"/>
            <w:tcBorders>
              <w:tl2br w:val="nil"/>
              <w:tr2bl w:val="nil"/>
            </w:tcBorders>
            <w:noWrap w:val="0"/>
            <w:vAlign w:val="center"/>
          </w:tcPr>
          <w:p w14:paraId="267F8EBA">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0.0358</w:t>
            </w:r>
          </w:p>
        </w:tc>
        <w:tc>
          <w:tcPr>
            <w:tcW w:w="3769" w:type="dxa"/>
            <w:tcBorders>
              <w:tl2br w:val="nil"/>
              <w:tr2bl w:val="nil"/>
            </w:tcBorders>
            <w:noWrap w:val="0"/>
            <w:vAlign w:val="center"/>
          </w:tcPr>
          <w:p w14:paraId="5FE6AC8F">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0.2311</w:t>
            </w:r>
          </w:p>
        </w:tc>
      </w:tr>
      <w:tr w14:paraId="3B9226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1CBB2D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62</w:t>
            </w:r>
          </w:p>
        </w:tc>
        <w:tc>
          <w:tcPr>
            <w:tcW w:w="3685" w:type="dxa"/>
            <w:tcBorders>
              <w:tl2br w:val="nil"/>
              <w:tr2bl w:val="nil"/>
            </w:tcBorders>
            <w:noWrap w:val="0"/>
            <w:vAlign w:val="center"/>
          </w:tcPr>
          <w:p w14:paraId="45067446">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0.0351</w:t>
            </w:r>
          </w:p>
        </w:tc>
        <w:tc>
          <w:tcPr>
            <w:tcW w:w="3769" w:type="dxa"/>
            <w:tcBorders>
              <w:tl2br w:val="nil"/>
              <w:tr2bl w:val="nil"/>
            </w:tcBorders>
            <w:noWrap w:val="0"/>
            <w:vAlign w:val="center"/>
          </w:tcPr>
          <w:p w14:paraId="782BF08C">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0.2238</w:t>
            </w:r>
          </w:p>
        </w:tc>
      </w:tr>
      <w:tr w14:paraId="22AF0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2B0770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63</w:t>
            </w:r>
          </w:p>
        </w:tc>
        <w:tc>
          <w:tcPr>
            <w:tcW w:w="3685" w:type="dxa"/>
            <w:tcBorders>
              <w:tl2br w:val="nil"/>
              <w:tr2bl w:val="nil"/>
            </w:tcBorders>
            <w:noWrap w:val="0"/>
            <w:vAlign w:val="center"/>
          </w:tcPr>
          <w:p w14:paraId="44C4E4ED">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0.0343</w:t>
            </w:r>
          </w:p>
        </w:tc>
        <w:tc>
          <w:tcPr>
            <w:tcW w:w="3769" w:type="dxa"/>
            <w:tcBorders>
              <w:tl2br w:val="nil"/>
              <w:tr2bl w:val="nil"/>
            </w:tcBorders>
            <w:noWrap w:val="0"/>
            <w:vAlign w:val="center"/>
          </w:tcPr>
          <w:p w14:paraId="3049C0E8">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0.217</w:t>
            </w:r>
          </w:p>
        </w:tc>
      </w:tr>
      <w:tr w14:paraId="4F721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7F426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3685" w:type="dxa"/>
            <w:tcBorders>
              <w:tl2br w:val="nil"/>
              <w:tr2bl w:val="nil"/>
            </w:tcBorders>
            <w:noWrap w:val="0"/>
            <w:vAlign w:val="center"/>
          </w:tcPr>
          <w:p w14:paraId="4811740B">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0.0336</w:t>
            </w:r>
          </w:p>
        </w:tc>
        <w:tc>
          <w:tcPr>
            <w:tcW w:w="3769" w:type="dxa"/>
            <w:tcBorders>
              <w:tl2br w:val="nil"/>
              <w:tr2bl w:val="nil"/>
            </w:tcBorders>
            <w:noWrap w:val="0"/>
            <w:vAlign w:val="center"/>
          </w:tcPr>
          <w:p w14:paraId="62B6619A">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0.2104</w:t>
            </w:r>
          </w:p>
        </w:tc>
      </w:tr>
      <w:tr w14:paraId="42B6E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736BAB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65</w:t>
            </w:r>
          </w:p>
        </w:tc>
        <w:tc>
          <w:tcPr>
            <w:tcW w:w="3685" w:type="dxa"/>
            <w:tcBorders>
              <w:tl2br w:val="nil"/>
              <w:tr2bl w:val="nil"/>
            </w:tcBorders>
            <w:noWrap w:val="0"/>
            <w:vAlign w:val="center"/>
          </w:tcPr>
          <w:p w14:paraId="2838D6D9">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0.0329</w:t>
            </w:r>
          </w:p>
        </w:tc>
        <w:tc>
          <w:tcPr>
            <w:tcW w:w="3769" w:type="dxa"/>
            <w:tcBorders>
              <w:tl2br w:val="nil"/>
              <w:tr2bl w:val="nil"/>
            </w:tcBorders>
            <w:noWrap w:val="0"/>
            <w:vAlign w:val="center"/>
          </w:tcPr>
          <w:p w14:paraId="788343AC">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0.2041</w:t>
            </w:r>
          </w:p>
        </w:tc>
      </w:tr>
      <w:tr w14:paraId="5FBA09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E3AEC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w:t>
            </w:r>
          </w:p>
        </w:tc>
        <w:tc>
          <w:tcPr>
            <w:tcW w:w="3685" w:type="dxa"/>
            <w:tcBorders>
              <w:tl2br w:val="nil"/>
              <w:tr2bl w:val="nil"/>
            </w:tcBorders>
            <w:noWrap w:val="0"/>
            <w:vAlign w:val="center"/>
          </w:tcPr>
          <w:p w14:paraId="2D8CC611">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0.0322</w:t>
            </w:r>
          </w:p>
        </w:tc>
        <w:tc>
          <w:tcPr>
            <w:tcW w:w="3769" w:type="dxa"/>
            <w:tcBorders>
              <w:tl2br w:val="nil"/>
              <w:tr2bl w:val="nil"/>
            </w:tcBorders>
            <w:noWrap w:val="0"/>
            <w:vAlign w:val="center"/>
          </w:tcPr>
          <w:p w14:paraId="51461670">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0.198</w:t>
            </w:r>
          </w:p>
        </w:tc>
      </w:tr>
      <w:tr w14:paraId="55D1D8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598BF7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67</w:t>
            </w:r>
          </w:p>
        </w:tc>
        <w:tc>
          <w:tcPr>
            <w:tcW w:w="3685" w:type="dxa"/>
            <w:tcBorders>
              <w:tl2br w:val="nil"/>
              <w:tr2bl w:val="nil"/>
            </w:tcBorders>
            <w:noWrap w:val="0"/>
            <w:vAlign w:val="center"/>
          </w:tcPr>
          <w:p w14:paraId="749438DC">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0.0315</w:t>
            </w:r>
          </w:p>
        </w:tc>
        <w:tc>
          <w:tcPr>
            <w:tcW w:w="3769" w:type="dxa"/>
            <w:tcBorders>
              <w:tl2br w:val="nil"/>
              <w:tr2bl w:val="nil"/>
            </w:tcBorders>
            <w:noWrap w:val="0"/>
            <w:vAlign w:val="center"/>
          </w:tcPr>
          <w:p w14:paraId="1DED5C27">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0.1923</w:t>
            </w:r>
          </w:p>
        </w:tc>
      </w:tr>
      <w:tr w14:paraId="4EB5B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7C870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68</w:t>
            </w:r>
          </w:p>
        </w:tc>
        <w:tc>
          <w:tcPr>
            <w:tcW w:w="3685" w:type="dxa"/>
            <w:tcBorders>
              <w:tl2br w:val="nil"/>
              <w:tr2bl w:val="nil"/>
            </w:tcBorders>
            <w:noWrap w:val="0"/>
            <w:vAlign w:val="center"/>
          </w:tcPr>
          <w:p w14:paraId="1562F1BF">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0.0308</w:t>
            </w:r>
          </w:p>
        </w:tc>
        <w:tc>
          <w:tcPr>
            <w:tcW w:w="3769" w:type="dxa"/>
            <w:tcBorders>
              <w:tl2br w:val="nil"/>
              <w:tr2bl w:val="nil"/>
            </w:tcBorders>
            <w:noWrap w:val="0"/>
            <w:vAlign w:val="center"/>
          </w:tcPr>
          <w:p w14:paraId="3A45B943">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0.1867</w:t>
            </w:r>
          </w:p>
        </w:tc>
      </w:tr>
      <w:tr w14:paraId="79DA6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460159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69</w:t>
            </w:r>
          </w:p>
        </w:tc>
        <w:tc>
          <w:tcPr>
            <w:tcW w:w="3685" w:type="dxa"/>
            <w:tcBorders>
              <w:tl2br w:val="nil"/>
              <w:tr2bl w:val="nil"/>
            </w:tcBorders>
            <w:noWrap w:val="0"/>
            <w:vAlign w:val="center"/>
          </w:tcPr>
          <w:p w14:paraId="0285E993">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0.0302</w:t>
            </w:r>
          </w:p>
        </w:tc>
        <w:tc>
          <w:tcPr>
            <w:tcW w:w="3769" w:type="dxa"/>
            <w:tcBorders>
              <w:tl2br w:val="nil"/>
              <w:tr2bl w:val="nil"/>
            </w:tcBorders>
            <w:noWrap w:val="0"/>
            <w:vAlign w:val="center"/>
          </w:tcPr>
          <w:p w14:paraId="0F030AAF">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0.1814</w:t>
            </w:r>
          </w:p>
        </w:tc>
      </w:tr>
      <w:tr w14:paraId="67B85F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08C803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3685" w:type="dxa"/>
            <w:tcBorders>
              <w:tl2br w:val="nil"/>
              <w:tr2bl w:val="nil"/>
            </w:tcBorders>
            <w:noWrap w:val="0"/>
            <w:vAlign w:val="center"/>
          </w:tcPr>
          <w:p w14:paraId="17DB1B4F">
            <w:pPr>
              <w:keepNext w:val="0"/>
              <w:keepLines w:val="0"/>
              <w:widowControl/>
              <w:suppressLineNumbers w:val="0"/>
              <w:jc w:val="center"/>
              <w:textAlignment w:val="center"/>
              <w:rPr>
                <w:rFonts w:hint="default" w:ascii="Times New Roman" w:hAnsi="Times New Roman" w:eastAsia="等线"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0.0296</w:t>
            </w:r>
          </w:p>
        </w:tc>
        <w:tc>
          <w:tcPr>
            <w:tcW w:w="3769" w:type="dxa"/>
            <w:tcBorders>
              <w:tl2br w:val="nil"/>
              <w:tr2bl w:val="nil"/>
            </w:tcBorders>
            <w:noWrap w:val="0"/>
            <w:vAlign w:val="center"/>
          </w:tcPr>
          <w:p w14:paraId="66C57EDD">
            <w:pPr>
              <w:keepNext w:val="0"/>
              <w:keepLines w:val="0"/>
              <w:widowControl/>
              <w:suppressLineNumbers w:val="0"/>
              <w:jc w:val="center"/>
              <w:textAlignment w:val="center"/>
              <w:rPr>
                <w:rFonts w:hint="default" w:ascii="Times New Roman" w:hAnsi="Times New Roman" w:eastAsia="等线" w:cs="Times New Roman"/>
                <w:b/>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0.1763</w:t>
            </w:r>
          </w:p>
        </w:tc>
      </w:tr>
      <w:tr w14:paraId="44E01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560" w:type="dxa"/>
            <w:tcBorders>
              <w:tl2br w:val="nil"/>
              <w:tr2bl w:val="nil"/>
            </w:tcBorders>
            <w:noWrap w:val="0"/>
            <w:vAlign w:val="center"/>
          </w:tcPr>
          <w:p w14:paraId="65095269">
            <w:pPr>
              <w:snapToGrid w:val="0"/>
              <w:spacing w:line="240" w:lineRule="auto"/>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最大值</w:t>
            </w:r>
          </w:p>
        </w:tc>
        <w:tc>
          <w:tcPr>
            <w:tcW w:w="3685" w:type="dxa"/>
            <w:tcBorders>
              <w:tl2br w:val="nil"/>
              <w:tr2bl w:val="nil"/>
            </w:tcBorders>
            <w:noWrap w:val="0"/>
            <w:vAlign w:val="center"/>
          </w:tcPr>
          <w:p w14:paraId="38C61D94">
            <w:pPr>
              <w:keepNext w:val="0"/>
              <w:keepLines w:val="0"/>
              <w:widowControl/>
              <w:suppressLineNumbers w:val="0"/>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0.7151</w:t>
            </w:r>
          </w:p>
        </w:tc>
        <w:tc>
          <w:tcPr>
            <w:tcW w:w="3769" w:type="dxa"/>
            <w:tcBorders>
              <w:tl2br w:val="nil"/>
              <w:tr2bl w:val="nil"/>
            </w:tcBorders>
            <w:noWrap w:val="0"/>
            <w:vAlign w:val="center"/>
          </w:tcPr>
          <w:p w14:paraId="65EBD733">
            <w:pPr>
              <w:keepNext w:val="0"/>
              <w:keepLines w:val="0"/>
              <w:widowControl/>
              <w:suppressLineNumbers w:val="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i w:val="0"/>
                <w:iCs w:val="0"/>
                <w:color w:val="auto"/>
                <w:kern w:val="0"/>
                <w:sz w:val="21"/>
                <w:szCs w:val="21"/>
                <w:u w:val="none"/>
                <w:lang w:val="en-US" w:eastAsia="zh-CN" w:bidi="ar"/>
              </w:rPr>
              <w:t>2.8767</w:t>
            </w:r>
          </w:p>
        </w:tc>
      </w:tr>
    </w:tbl>
    <w:p w14:paraId="2197913E">
      <w:pPr>
        <w:spacing w:line="240" w:lineRule="auto"/>
        <w:jc w:val="center"/>
        <w:rPr>
          <w:rFonts w:hint="default" w:ascii="Times New Roman" w:hAnsi="Times New Roman" w:cs="Times New Roman"/>
          <w:color w:val="auto"/>
          <w:sz w:val="24"/>
          <w:highlight w:val="none"/>
        </w:rPr>
      </w:pPr>
      <w:r>
        <w:rPr>
          <w:color w:val="auto"/>
        </w:rPr>
        <w:drawing>
          <wp:inline distT="0" distB="0" distL="114300" distR="114300">
            <wp:extent cx="5280025" cy="2665095"/>
            <wp:effectExtent l="4445" t="4445" r="11430" b="16510"/>
            <wp:docPr id="34" name="图表 25" descr="7b0a202020202263686172745265734964223a202232303437363933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271CB352">
      <w:pPr>
        <w:spacing w:line="360" w:lineRule="auto"/>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6-</w:t>
      </w:r>
      <w:r>
        <w:rPr>
          <w:rFonts w:hint="default" w:ascii="Times New Roman" w:hAnsi="Times New Roman" w:cs="Times New Roman"/>
          <w:b/>
          <w:bCs/>
          <w:color w:val="auto"/>
          <w:sz w:val="24"/>
          <w:highlight w:val="none"/>
          <w:lang w:val="en-US" w:eastAsia="zh-CN"/>
        </w:rPr>
        <w:t>9</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en-US" w:eastAsia="zh-CN"/>
        </w:rPr>
        <w:t>11</w:t>
      </w:r>
      <w:r>
        <w:rPr>
          <w:rFonts w:hint="default" w:ascii="Times New Roman" w:hAnsi="Times New Roman" w:cs="Times New Roman"/>
          <w:b/>
          <w:bCs/>
          <w:color w:val="auto"/>
          <w:sz w:val="24"/>
          <w:highlight w:val="none"/>
        </w:rPr>
        <w:t>0</w:t>
      </w:r>
      <w:r>
        <w:rPr>
          <w:rFonts w:hint="default" w:ascii="Times New Roman" w:hAnsi="Times New Roman" w:cs="Times New Roman"/>
          <w:b/>
          <w:bCs/>
          <w:color w:val="auto"/>
          <w:sz w:val="24"/>
          <w:highlight w:val="none"/>
          <w:lang w:val="en-US" w:eastAsia="zh-CN"/>
        </w:rPr>
        <w:t>千伏</w:t>
      </w:r>
      <w:r>
        <w:rPr>
          <w:rFonts w:hint="default" w:ascii="Times New Roman" w:hAnsi="Times New Roman" w:cs="Times New Roman"/>
          <w:b/>
          <w:bCs/>
          <w:color w:val="auto"/>
          <w:sz w:val="24"/>
          <w:highlight w:val="none"/>
        </w:rPr>
        <w:t>双回架空线路段（单侧运行）工频电场变化趋势图</w:t>
      </w:r>
    </w:p>
    <w:p w14:paraId="09769D68">
      <w:pPr>
        <w:spacing w:line="240" w:lineRule="auto"/>
        <w:jc w:val="center"/>
        <w:rPr>
          <w:rFonts w:hint="default" w:ascii="Times New Roman" w:hAnsi="Times New Roman" w:cs="Times New Roman"/>
          <w:color w:val="auto"/>
          <w:sz w:val="24"/>
          <w:highlight w:val="none"/>
        </w:rPr>
      </w:pPr>
      <w:r>
        <w:rPr>
          <w:color w:val="auto"/>
        </w:rPr>
        <w:drawing>
          <wp:inline distT="0" distB="0" distL="114300" distR="114300">
            <wp:extent cx="5280025" cy="2665095"/>
            <wp:effectExtent l="4445" t="4445" r="11430" b="16510"/>
            <wp:docPr id="35" name="图表 25" descr="7b0a202020202263686172745265734964223a202232303437363933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218678CF">
      <w:pPr>
        <w:spacing w:line="360" w:lineRule="auto"/>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w:t>
      </w:r>
      <w:r>
        <w:rPr>
          <w:rFonts w:hint="default" w:ascii="Times New Roman" w:hAnsi="Times New Roman" w:cs="Times New Roman"/>
          <w:b/>
          <w:bCs/>
          <w:color w:val="auto"/>
          <w:sz w:val="24"/>
          <w:highlight w:val="none"/>
          <w:lang w:val="zh-CN"/>
        </w:rPr>
        <w:t>图</w:t>
      </w:r>
      <w:r>
        <w:rPr>
          <w:rFonts w:hint="default" w:ascii="Times New Roman" w:hAnsi="Times New Roman" w:cs="Times New Roman"/>
          <w:b/>
          <w:bCs/>
          <w:color w:val="auto"/>
          <w:sz w:val="24"/>
          <w:highlight w:val="none"/>
        </w:rPr>
        <w:t>6-</w:t>
      </w:r>
      <w:r>
        <w:rPr>
          <w:rFonts w:hint="default" w:ascii="Times New Roman" w:hAnsi="Times New Roman" w:cs="Times New Roman"/>
          <w:b/>
          <w:bCs/>
          <w:color w:val="auto"/>
          <w:sz w:val="24"/>
          <w:highlight w:val="none"/>
          <w:lang w:val="en-US" w:eastAsia="zh-CN"/>
        </w:rPr>
        <w:t>10</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en-US" w:eastAsia="zh-CN"/>
        </w:rPr>
        <w:t>11</w:t>
      </w:r>
      <w:r>
        <w:rPr>
          <w:rFonts w:hint="default" w:ascii="Times New Roman" w:hAnsi="Times New Roman" w:cs="Times New Roman"/>
          <w:b/>
          <w:bCs/>
          <w:color w:val="auto"/>
          <w:sz w:val="24"/>
          <w:highlight w:val="none"/>
        </w:rPr>
        <w:t>0</w:t>
      </w:r>
      <w:r>
        <w:rPr>
          <w:rFonts w:hint="default" w:ascii="Times New Roman" w:hAnsi="Times New Roman" w:cs="Times New Roman"/>
          <w:b/>
          <w:bCs/>
          <w:color w:val="auto"/>
          <w:sz w:val="24"/>
          <w:highlight w:val="none"/>
          <w:lang w:val="en-US" w:eastAsia="zh-CN"/>
        </w:rPr>
        <w:t>千伏</w:t>
      </w:r>
      <w:r>
        <w:rPr>
          <w:rFonts w:hint="default" w:ascii="Times New Roman" w:hAnsi="Times New Roman" w:cs="Times New Roman"/>
          <w:b/>
          <w:bCs/>
          <w:color w:val="auto"/>
          <w:sz w:val="24"/>
          <w:highlight w:val="none"/>
        </w:rPr>
        <w:t>双回架空线路段（单侧运行）工频磁场变化趋势图</w:t>
      </w:r>
    </w:p>
    <w:p w14:paraId="3B6C743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⑷</w:t>
      </w:r>
      <w:r>
        <w:rPr>
          <w:rFonts w:hint="default" w:ascii="Times New Roman" w:hAnsi="Times New Roman" w:cs="Times New Roman"/>
          <w:color w:val="auto"/>
          <w:sz w:val="24"/>
          <w:highlight w:val="none"/>
        </w:rPr>
        <w:t>预测结果分析</w:t>
      </w:r>
    </w:p>
    <w:p w14:paraId="55D3739E">
      <w:pPr>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由上述预测结果可以看出，</w:t>
      </w:r>
      <w:r>
        <w:rPr>
          <w:rFonts w:hint="default" w:ascii="Times New Roman" w:hAnsi="Times New Roman" w:cs="Times New Roman"/>
          <w:bCs/>
          <w:color w:val="auto"/>
          <w:sz w:val="24"/>
          <w:highlight w:val="none"/>
          <w:lang w:val="en-US" w:eastAsia="zh-CN"/>
        </w:rPr>
        <w:t>本项目新建110千伏</w:t>
      </w:r>
      <w:r>
        <w:rPr>
          <w:rFonts w:hint="default" w:ascii="Times New Roman" w:hAnsi="Times New Roman" w:cs="Times New Roman"/>
          <w:bCs/>
          <w:color w:val="auto"/>
          <w:sz w:val="24"/>
          <w:highlight w:val="none"/>
        </w:rPr>
        <w:t>单回架空线路段</w:t>
      </w:r>
      <w:r>
        <w:rPr>
          <w:rFonts w:hint="default" w:ascii="Times New Roman" w:hAnsi="Times New Roman" w:cs="Times New Roman"/>
          <w:color w:val="auto"/>
          <w:sz w:val="24"/>
          <w:highlight w:val="none"/>
        </w:rPr>
        <w:t>随着与线路中心线的距离增加，线路运行产生的工频电场强度先增大后减小，工频磁感应强度逐渐减小。导线对地高度为</w:t>
      </w:r>
      <w:r>
        <w:rPr>
          <w:rFonts w:hint="eastAsia" w:cs="Times New Roman"/>
          <w:color w:val="auto"/>
          <w:sz w:val="24"/>
          <w:highlight w:val="none"/>
          <w:lang w:val="en-US" w:eastAsia="zh-CN"/>
        </w:rPr>
        <w:t>12.3</w:t>
      </w:r>
      <w:r>
        <w:rPr>
          <w:rFonts w:hint="default" w:ascii="Times New Roman" w:hAnsi="Times New Roman" w:cs="Times New Roman"/>
          <w:color w:val="auto"/>
          <w:sz w:val="24"/>
          <w:highlight w:val="none"/>
        </w:rPr>
        <w:t>m时，地面1.5m高度处的工频电场强度最大值为</w:t>
      </w:r>
      <w:r>
        <w:rPr>
          <w:rFonts w:hint="eastAsia" w:cs="Times New Roman"/>
          <w:color w:val="auto"/>
          <w:sz w:val="24"/>
          <w:highlight w:val="none"/>
          <w:lang w:val="en-US" w:eastAsia="zh-CN"/>
        </w:rPr>
        <w:t>1.2312</w:t>
      </w:r>
      <w:r>
        <w:rPr>
          <w:rFonts w:hint="default" w:ascii="Times New Roman" w:hAnsi="Times New Roman" w:cs="Times New Roman"/>
          <w:color w:val="auto"/>
          <w:sz w:val="24"/>
          <w:highlight w:val="none"/>
        </w:rPr>
        <w:t>kV/m，出现在距离线路中心线地面投影-</w:t>
      </w:r>
      <w:r>
        <w:rPr>
          <w:rFonts w:hint="eastAsia" w:cs="Times New Roman"/>
          <w:color w:val="auto"/>
          <w:sz w:val="24"/>
          <w:highlight w:val="none"/>
          <w:lang w:val="en-US" w:eastAsia="zh-CN"/>
        </w:rPr>
        <w:t>10</w:t>
      </w:r>
      <w:r>
        <w:rPr>
          <w:rFonts w:hint="default" w:ascii="Times New Roman" w:hAnsi="Times New Roman" w:cs="Times New Roman"/>
          <w:color w:val="auto"/>
          <w:sz w:val="24"/>
          <w:highlight w:val="none"/>
        </w:rPr>
        <w:t>m</w:t>
      </w:r>
      <w:r>
        <w:rPr>
          <w:rFonts w:hint="eastAsia" w:cs="Times New Roman"/>
          <w:color w:val="auto"/>
          <w:sz w:val="24"/>
          <w:highlight w:val="none"/>
          <w:lang w:val="en-US" w:eastAsia="zh-CN"/>
        </w:rPr>
        <w:t>和10m</w:t>
      </w:r>
      <w:r>
        <w:rPr>
          <w:rFonts w:hint="default" w:ascii="Times New Roman" w:hAnsi="Times New Roman" w:cs="Times New Roman"/>
          <w:color w:val="auto"/>
          <w:sz w:val="24"/>
          <w:highlight w:val="none"/>
        </w:rPr>
        <w:t>处；工频磁感应强度最大值为</w:t>
      </w:r>
      <w:r>
        <w:rPr>
          <w:rFonts w:hint="eastAsia" w:cs="Times New Roman"/>
          <w:color w:val="auto"/>
          <w:sz w:val="24"/>
          <w:highlight w:val="none"/>
          <w:lang w:val="en-US" w:eastAsia="zh-CN"/>
        </w:rPr>
        <w:t>9.6817</w:t>
      </w:r>
      <w:r>
        <w:rPr>
          <w:rFonts w:hint="default" w:ascii="Times New Roman" w:hAnsi="Times New Roman" w:cs="Times New Roman"/>
          <w:color w:val="auto"/>
          <w:sz w:val="24"/>
          <w:highlight w:val="none"/>
        </w:rPr>
        <w:t>μT，出现在距离线路中心线地面投影</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7C4EC6FD">
      <w:pPr>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color w:val="auto"/>
          <w:sz w:val="24"/>
          <w:highlight w:val="none"/>
          <w:lang w:eastAsia="zh-CN"/>
        </w:rPr>
        <w:t>抬高改造段</w:t>
      </w:r>
      <w:r>
        <w:rPr>
          <w:rFonts w:hint="default" w:ascii="Times New Roman" w:hAnsi="Times New Roman" w:cs="Times New Roman"/>
          <w:bCs/>
          <w:color w:val="auto"/>
          <w:sz w:val="24"/>
          <w:highlight w:val="none"/>
          <w:lang w:val="en-US" w:eastAsia="zh-CN"/>
        </w:rPr>
        <w:t>110千伏</w:t>
      </w:r>
      <w:r>
        <w:rPr>
          <w:rFonts w:hint="default" w:ascii="Times New Roman" w:hAnsi="Times New Roman" w:cs="Times New Roman"/>
          <w:bCs/>
          <w:color w:val="auto"/>
          <w:sz w:val="24"/>
          <w:highlight w:val="none"/>
        </w:rPr>
        <w:t>单回架空线路段</w:t>
      </w:r>
      <w:r>
        <w:rPr>
          <w:rFonts w:hint="default" w:ascii="Times New Roman" w:hAnsi="Times New Roman" w:cs="Times New Roman"/>
          <w:color w:val="auto"/>
          <w:sz w:val="24"/>
          <w:highlight w:val="none"/>
        </w:rPr>
        <w:t>随着与线路中心线的距离增加，线路运行产生的工频电场强度先增大后减小，工频磁感应强度逐渐减小。导线对地高度为</w:t>
      </w:r>
      <w:r>
        <w:rPr>
          <w:rFonts w:hint="eastAsia" w:cs="Times New Roman"/>
          <w:color w:val="auto"/>
          <w:sz w:val="24"/>
          <w:highlight w:val="none"/>
          <w:lang w:val="en-US" w:eastAsia="zh-CN"/>
        </w:rPr>
        <w:t>35.3</w:t>
      </w:r>
      <w:r>
        <w:rPr>
          <w:rFonts w:hint="default" w:ascii="Times New Roman" w:hAnsi="Times New Roman" w:cs="Times New Roman"/>
          <w:color w:val="auto"/>
          <w:sz w:val="24"/>
          <w:highlight w:val="none"/>
        </w:rPr>
        <w:t>m时，地面1.5m高度处的工频电场强度最大值为</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1368</w:t>
      </w:r>
      <w:r>
        <w:rPr>
          <w:rFonts w:hint="default" w:ascii="Times New Roman" w:hAnsi="Times New Roman" w:cs="Times New Roman"/>
          <w:color w:val="auto"/>
          <w:sz w:val="24"/>
          <w:highlight w:val="none"/>
        </w:rPr>
        <w:t>kV/m，出现在距离线路中心线地面投影-</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rPr>
        <w:t>m</w:t>
      </w:r>
      <w:r>
        <w:rPr>
          <w:rFonts w:hint="eastAsia" w:cs="Times New Roman"/>
          <w:color w:val="auto"/>
          <w:sz w:val="24"/>
          <w:highlight w:val="none"/>
          <w:lang w:eastAsia="zh-CN"/>
        </w:rPr>
        <w:t>、</w:t>
      </w:r>
      <w:r>
        <w:rPr>
          <w:rFonts w:hint="eastAsia" w:cs="Times New Roman"/>
          <w:color w:val="auto"/>
          <w:sz w:val="24"/>
          <w:highlight w:val="none"/>
          <w:lang w:val="en-US" w:eastAsia="zh-CN"/>
        </w:rPr>
        <w:t>-21</w:t>
      </w:r>
      <w:r>
        <w:rPr>
          <w:rFonts w:hint="default" w:ascii="Times New Roman" w:hAnsi="Times New Roman" w:cs="Times New Roman"/>
          <w:color w:val="auto"/>
          <w:sz w:val="24"/>
          <w:highlight w:val="none"/>
        </w:rPr>
        <w:t>m</w:t>
      </w:r>
      <w:r>
        <w:rPr>
          <w:rFonts w:hint="eastAsia" w:cs="Times New Roman"/>
          <w:color w:val="auto"/>
          <w:sz w:val="24"/>
          <w:highlight w:val="none"/>
          <w:lang w:eastAsia="zh-CN"/>
        </w:rPr>
        <w:t>、</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rPr>
        <w:t>m</w:t>
      </w:r>
      <w:r>
        <w:rPr>
          <w:rFonts w:hint="eastAsia" w:cs="Times New Roman"/>
          <w:color w:val="auto"/>
          <w:sz w:val="24"/>
          <w:highlight w:val="none"/>
          <w:lang w:eastAsia="zh-CN"/>
        </w:rPr>
        <w:t>、</w:t>
      </w:r>
      <w:r>
        <w:rPr>
          <w:rFonts w:hint="eastAsia" w:cs="Times New Roman"/>
          <w:color w:val="auto"/>
          <w:sz w:val="24"/>
          <w:highlight w:val="none"/>
          <w:lang w:val="en-US" w:eastAsia="zh-CN"/>
        </w:rPr>
        <w:t>21</w:t>
      </w:r>
      <w:r>
        <w:rPr>
          <w:rFonts w:hint="default" w:ascii="Times New Roman" w:hAnsi="Times New Roman" w:cs="Times New Roman"/>
          <w:color w:val="auto"/>
          <w:sz w:val="24"/>
          <w:highlight w:val="none"/>
        </w:rPr>
        <w:t>m处；工频磁感应强度最大值为</w:t>
      </w:r>
      <w:r>
        <w:rPr>
          <w:rFonts w:hint="eastAsia" w:cs="Times New Roman"/>
          <w:color w:val="auto"/>
          <w:sz w:val="24"/>
          <w:highlight w:val="none"/>
          <w:lang w:val="en-US" w:eastAsia="zh-CN"/>
        </w:rPr>
        <w:t>1.3864</w:t>
      </w:r>
      <w:r>
        <w:rPr>
          <w:rFonts w:hint="default" w:ascii="Times New Roman" w:hAnsi="Times New Roman" w:cs="Times New Roman"/>
          <w:color w:val="auto"/>
          <w:sz w:val="24"/>
          <w:highlight w:val="none"/>
        </w:rPr>
        <w:t>μT，出现在距离线路中心线地面投影</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399E725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lang w:val="en-US" w:eastAsia="zh-CN"/>
        </w:rPr>
        <w:t>本项目110千伏</w:t>
      </w:r>
      <w:r>
        <w:rPr>
          <w:rFonts w:hint="default" w:ascii="Times New Roman" w:hAnsi="Times New Roman" w:cs="Times New Roman"/>
          <w:bCs/>
          <w:color w:val="auto"/>
          <w:sz w:val="24"/>
          <w:highlight w:val="none"/>
        </w:rPr>
        <w:t>双回架空线路段</w:t>
      </w:r>
      <w:r>
        <w:rPr>
          <w:rFonts w:hint="default" w:ascii="Times New Roman" w:hAnsi="Times New Roman" w:cs="Times New Roman"/>
          <w:color w:val="auto"/>
          <w:sz w:val="24"/>
          <w:highlight w:val="none"/>
        </w:rPr>
        <w:t>随着与线路中心线的距离增加，线路运行产生的工频电场强度、工频磁感应强度均逐渐减小。线路导线对地高度为</w:t>
      </w:r>
      <w:r>
        <w:rPr>
          <w:rFonts w:hint="eastAsia" w:cs="Times New Roman"/>
          <w:color w:val="auto"/>
          <w:sz w:val="24"/>
          <w:highlight w:val="none"/>
          <w:lang w:val="en-US" w:eastAsia="zh-CN"/>
        </w:rPr>
        <w:t>15.0</w:t>
      </w:r>
      <w:r>
        <w:rPr>
          <w:rFonts w:hint="default" w:ascii="Times New Roman" w:hAnsi="Times New Roman" w:cs="Times New Roman"/>
          <w:color w:val="auto"/>
          <w:sz w:val="24"/>
          <w:highlight w:val="none"/>
        </w:rPr>
        <w:t>m时，地面1.5m高度处的工频电场强度最大值为</w:t>
      </w:r>
      <w:r>
        <w:rPr>
          <w:rFonts w:hint="eastAsia" w:cs="Times New Roman"/>
          <w:bCs/>
          <w:color w:val="auto"/>
          <w:sz w:val="24"/>
          <w:highlight w:val="none"/>
          <w:lang w:val="en-US" w:eastAsia="zh-CN"/>
        </w:rPr>
        <w:t>0.837</w:t>
      </w:r>
      <w:r>
        <w:rPr>
          <w:rFonts w:hint="default" w:ascii="Times New Roman" w:hAnsi="Times New Roman" w:cs="Times New Roman"/>
          <w:color w:val="auto"/>
          <w:sz w:val="24"/>
          <w:highlight w:val="none"/>
        </w:rPr>
        <w:t>kV/m，出现在距离线路中心线地面投影</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rPr>
        <w:t>m处；工频磁感应强度最大值为</w:t>
      </w:r>
      <w:r>
        <w:rPr>
          <w:rFonts w:hint="eastAsia" w:cs="Times New Roman"/>
          <w:bCs/>
          <w:color w:val="auto"/>
          <w:sz w:val="24"/>
          <w:highlight w:val="none"/>
          <w:lang w:val="en-US" w:eastAsia="zh-CN"/>
        </w:rPr>
        <w:t>3.8877</w:t>
      </w:r>
      <w:r>
        <w:rPr>
          <w:rFonts w:hint="default" w:ascii="Times New Roman" w:hAnsi="Times New Roman" w:cs="Times New Roman"/>
          <w:color w:val="auto"/>
          <w:sz w:val="24"/>
          <w:highlight w:val="none"/>
        </w:rPr>
        <w:t>μT，出现在距离线路中心线地面投影</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3D9D603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lang w:val="en-US" w:eastAsia="zh-CN"/>
        </w:rPr>
        <w:t>本项目110千伏</w:t>
      </w:r>
      <w:r>
        <w:rPr>
          <w:rFonts w:hint="default" w:ascii="Times New Roman" w:hAnsi="Times New Roman" w:cs="Times New Roman"/>
          <w:bCs/>
          <w:color w:val="auto"/>
          <w:sz w:val="24"/>
          <w:highlight w:val="none"/>
        </w:rPr>
        <w:t>双回架空线路段</w:t>
      </w:r>
      <w:r>
        <w:rPr>
          <w:rFonts w:hint="default" w:ascii="Times New Roman" w:hAnsi="Times New Roman" w:cs="Times New Roman"/>
          <w:bCs/>
          <w:color w:val="auto"/>
          <w:sz w:val="24"/>
          <w:highlight w:val="none"/>
          <w:lang w:eastAsia="zh-CN"/>
        </w:rPr>
        <w:t>（单侧运行）</w:t>
      </w:r>
      <w:r>
        <w:rPr>
          <w:rFonts w:hint="default" w:ascii="Times New Roman" w:hAnsi="Times New Roman" w:cs="Times New Roman"/>
          <w:color w:val="auto"/>
          <w:sz w:val="24"/>
          <w:highlight w:val="none"/>
        </w:rPr>
        <w:t>随着与线路中心线的距离增加，线路运行产生的工频电场强度、工频磁感应强度均逐渐减小。线路导线对地高度为1</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rPr>
        <w:t>m时，地面1.5m高度处的工频电场强度最大值为</w:t>
      </w:r>
      <w:r>
        <w:rPr>
          <w:rFonts w:hint="default" w:ascii="Times New Roman" w:hAnsi="Times New Roman" w:cs="Times New Roman"/>
          <w:bCs/>
          <w:color w:val="auto"/>
          <w:sz w:val="24"/>
          <w:highlight w:val="none"/>
          <w:lang w:val="en-US" w:eastAsia="zh-CN"/>
        </w:rPr>
        <w:t>0.</w:t>
      </w:r>
      <w:r>
        <w:rPr>
          <w:rFonts w:hint="eastAsia" w:cs="Times New Roman"/>
          <w:bCs/>
          <w:color w:val="auto"/>
          <w:sz w:val="24"/>
          <w:highlight w:val="none"/>
          <w:lang w:val="en-US" w:eastAsia="zh-CN"/>
        </w:rPr>
        <w:t>7151</w:t>
      </w:r>
      <w:r>
        <w:rPr>
          <w:rFonts w:hint="default" w:ascii="Times New Roman" w:hAnsi="Times New Roman" w:cs="Times New Roman"/>
          <w:color w:val="auto"/>
          <w:sz w:val="24"/>
          <w:highlight w:val="none"/>
        </w:rPr>
        <w:t>kV/m，出现在距离线路中心线地面投影</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m处；工频磁感应强度最大值为</w:t>
      </w:r>
      <w:r>
        <w:rPr>
          <w:rFonts w:hint="eastAsia" w:cs="Times New Roman"/>
          <w:bCs/>
          <w:color w:val="auto"/>
          <w:sz w:val="24"/>
          <w:highlight w:val="none"/>
          <w:lang w:val="en-US" w:eastAsia="zh-CN"/>
        </w:rPr>
        <w:t>2.8767</w:t>
      </w:r>
      <w:r>
        <w:rPr>
          <w:rFonts w:hint="default" w:ascii="Times New Roman" w:hAnsi="Times New Roman" w:cs="Times New Roman"/>
          <w:color w:val="auto"/>
          <w:sz w:val="24"/>
          <w:highlight w:val="none"/>
        </w:rPr>
        <w:t>μT，出现在距离线路中心线地面投影</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6BD567C9">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综上所述，本项目</w:t>
      </w:r>
      <w:r>
        <w:rPr>
          <w:rFonts w:hint="default" w:ascii="Times New Roman" w:hAnsi="Times New Roman" w:cs="Times New Roman"/>
          <w:bCs/>
          <w:color w:val="auto"/>
          <w:sz w:val="24"/>
          <w:highlight w:val="none"/>
          <w:lang w:val="en-US" w:eastAsia="zh-CN"/>
        </w:rPr>
        <w:t>11</w:t>
      </w:r>
      <w:r>
        <w:rPr>
          <w:rFonts w:hint="default" w:ascii="Times New Roman" w:hAnsi="Times New Roman" w:cs="Times New Roman"/>
          <w:bCs/>
          <w:color w:val="auto"/>
          <w:sz w:val="24"/>
          <w:highlight w:val="none"/>
        </w:rPr>
        <w:t>0</w:t>
      </w:r>
      <w:r>
        <w:rPr>
          <w:rFonts w:hint="default" w:ascii="Times New Roman" w:hAnsi="Times New Roman" w:cs="Times New Roman"/>
          <w:bCs/>
          <w:color w:val="auto"/>
          <w:sz w:val="24"/>
          <w:highlight w:val="none"/>
          <w:lang w:val="en-US" w:eastAsia="zh-CN"/>
        </w:rPr>
        <w:t>千伏</w:t>
      </w:r>
      <w:r>
        <w:rPr>
          <w:rFonts w:hint="default" w:ascii="Times New Roman" w:hAnsi="Times New Roman" w:cs="Times New Roman"/>
          <w:bCs/>
          <w:color w:val="auto"/>
          <w:sz w:val="24"/>
          <w:highlight w:val="none"/>
        </w:rPr>
        <w:t>架空输电线路运行后产生的工频电场强度、工频磁感应强度均满足《电磁环境控制限值》（GB8702-2014）规定的公众曝露</w:t>
      </w:r>
      <w:r>
        <w:rPr>
          <w:rFonts w:hint="default" w:ascii="Times New Roman" w:hAnsi="Times New Roman" w:cs="Times New Roman"/>
          <w:bCs/>
          <w:color w:val="auto"/>
          <w:sz w:val="24"/>
          <w:highlight w:val="none"/>
          <w:lang w:val="en-US" w:eastAsia="zh-CN"/>
        </w:rPr>
        <w:t>控制</w:t>
      </w:r>
      <w:r>
        <w:rPr>
          <w:rFonts w:hint="default" w:ascii="Times New Roman" w:hAnsi="Times New Roman" w:cs="Times New Roman"/>
          <w:bCs/>
          <w:color w:val="auto"/>
          <w:sz w:val="24"/>
          <w:highlight w:val="none"/>
        </w:rPr>
        <w:t>限值工频电场强度4000V/m（架空输电线路下的耕地、园地、牧草地、畜禽饲养地、养殖水面、道路等场所10kV/m）、工频磁感应强度100μT要求。</w:t>
      </w:r>
    </w:p>
    <w:p w14:paraId="0F3F67D7">
      <w:pPr>
        <w:pStyle w:val="3"/>
        <w:keepNext/>
        <w:keepLines/>
        <w:numPr>
          <w:ilvl w:val="0"/>
          <w:numId w:val="0"/>
        </w:numPr>
        <w:spacing w:before="0" w:beforeAutospacing="0" w:after="0" w:afterAutospacing="0" w:line="360" w:lineRule="auto"/>
        <w:ind w:leftChars="0"/>
        <w:jc w:val="both"/>
        <w:outlineLvl w:val="1"/>
        <w:rPr>
          <w:rFonts w:hint="default" w:ascii="Times New Roman" w:hAnsi="Times New Roman" w:eastAsia="宋体" w:cs="Times New Roman"/>
          <w:bCs/>
          <w:color w:val="auto"/>
          <w:spacing w:val="0"/>
          <w:kern w:val="2"/>
          <w:sz w:val="24"/>
          <w:szCs w:val="24"/>
          <w:highlight w:val="none"/>
        </w:rPr>
      </w:pPr>
      <w:bookmarkStart w:id="334" w:name="_Toc2999"/>
      <w:bookmarkStart w:id="335" w:name="_Toc10214"/>
      <w:r>
        <w:rPr>
          <w:rFonts w:hint="default" w:ascii="Times New Roman" w:hAnsi="Times New Roman" w:eastAsia="宋体" w:cs="Times New Roman"/>
          <w:bCs/>
          <w:color w:val="auto"/>
          <w:spacing w:val="0"/>
          <w:kern w:val="2"/>
          <w:sz w:val="24"/>
          <w:szCs w:val="24"/>
          <w:highlight w:val="none"/>
        </w:rPr>
        <w:t>6.</w:t>
      </w:r>
      <w:r>
        <w:rPr>
          <w:rFonts w:hint="default" w:ascii="Times New Roman" w:hAnsi="Times New Roman" w:eastAsia="宋体" w:cs="Times New Roman"/>
          <w:bCs/>
          <w:color w:val="auto"/>
          <w:spacing w:val="0"/>
          <w:kern w:val="2"/>
          <w:sz w:val="24"/>
          <w:szCs w:val="24"/>
          <w:highlight w:val="none"/>
          <w:lang w:val="en-US" w:eastAsia="zh-CN"/>
        </w:rPr>
        <w:t>3</w:t>
      </w:r>
      <w:r>
        <w:rPr>
          <w:rFonts w:hint="default" w:ascii="Times New Roman" w:hAnsi="Times New Roman" w:eastAsia="宋体" w:cs="Times New Roman"/>
          <w:bCs/>
          <w:color w:val="auto"/>
          <w:spacing w:val="0"/>
          <w:kern w:val="2"/>
          <w:sz w:val="24"/>
          <w:szCs w:val="24"/>
          <w:highlight w:val="none"/>
        </w:rPr>
        <w:t>电磁环境敏感目标的预测分析</w:t>
      </w:r>
      <w:bookmarkEnd w:id="334"/>
      <w:bookmarkEnd w:id="335"/>
    </w:p>
    <w:p w14:paraId="2BF77F8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为了减轻输电线路对周围环境的影响，在线路路径选择时已尽量避开</w:t>
      </w:r>
      <w:r>
        <w:rPr>
          <w:rFonts w:hint="default" w:ascii="Times New Roman" w:hAnsi="Times New Roman" w:eastAsia="宋体" w:cs="Times New Roman"/>
          <w:color w:val="auto"/>
          <w:sz w:val="24"/>
          <w:highlight w:val="none"/>
          <w:lang w:val="en-US" w:eastAsia="zh-CN"/>
        </w:rPr>
        <w:t>企业生产生活办公用房等</w:t>
      </w:r>
      <w:r>
        <w:rPr>
          <w:rFonts w:hint="default" w:ascii="Times New Roman" w:hAnsi="Times New Roman" w:cs="Times New Roman"/>
          <w:color w:val="auto"/>
          <w:sz w:val="24"/>
          <w:highlight w:val="none"/>
        </w:rPr>
        <w:t>建构筑物，线路建设和运行对周围居民点的影响都将控制在允许范围内</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次评价对输电线路沿线电磁环境敏感目标进行定量预测</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预测结果见下表。</w:t>
      </w:r>
    </w:p>
    <w:p w14:paraId="0B92BF5F">
      <w:pPr>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专题表6-</w:t>
      </w:r>
      <w:r>
        <w:rPr>
          <w:rFonts w:hint="default" w:ascii="Times New Roman" w:hAnsi="Times New Roman" w:cs="Times New Roman"/>
          <w:b/>
          <w:bCs/>
          <w:color w:val="auto"/>
          <w:sz w:val="24"/>
          <w:highlight w:val="none"/>
          <w:lang w:val="en-US" w:eastAsia="zh-CN"/>
        </w:rPr>
        <w:t>4</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en-US" w:eastAsia="zh-CN"/>
        </w:rPr>
        <w:t xml:space="preserve">  </w:t>
      </w:r>
      <w:r>
        <w:rPr>
          <w:rFonts w:hint="default" w:ascii="Times New Roman" w:hAnsi="Times New Roman" w:cs="Times New Roman"/>
          <w:b/>
          <w:bCs/>
          <w:color w:val="auto"/>
          <w:sz w:val="24"/>
          <w:highlight w:val="none"/>
        </w:rPr>
        <w:t xml:space="preserve"> 输电线路沿线</w:t>
      </w:r>
      <w:r>
        <w:rPr>
          <w:rFonts w:hint="default" w:ascii="Times New Roman" w:hAnsi="Times New Roman" w:cs="Times New Roman"/>
          <w:b/>
          <w:bCs/>
          <w:color w:val="auto"/>
          <w:sz w:val="24"/>
          <w:highlight w:val="none"/>
          <w:lang w:val="en-US" w:eastAsia="zh-CN"/>
        </w:rPr>
        <w:t>电磁</w:t>
      </w:r>
      <w:r>
        <w:rPr>
          <w:rFonts w:hint="default" w:ascii="Times New Roman" w:hAnsi="Times New Roman" w:cs="Times New Roman"/>
          <w:b/>
          <w:bCs/>
          <w:color w:val="auto"/>
          <w:sz w:val="24"/>
          <w:highlight w:val="none"/>
        </w:rPr>
        <w:t>环境敏感目标处的电磁计算结果</w:t>
      </w:r>
    </w:p>
    <w:tbl>
      <w:tblPr>
        <w:tblStyle w:val="32"/>
        <w:tblW w:w="979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61"/>
        <w:gridCol w:w="673"/>
        <w:gridCol w:w="1454"/>
        <w:gridCol w:w="1224"/>
        <w:gridCol w:w="1638"/>
        <w:gridCol w:w="781"/>
        <w:gridCol w:w="781"/>
        <w:gridCol w:w="826"/>
        <w:gridCol w:w="995"/>
        <w:gridCol w:w="962"/>
      </w:tblGrid>
      <w:tr w14:paraId="5B372A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37" w:hRule="atLeast"/>
          <w:jc w:val="center"/>
        </w:trPr>
        <w:tc>
          <w:tcPr>
            <w:tcW w:w="461" w:type="dxa"/>
            <w:tcBorders>
              <w:tl2br w:val="nil"/>
              <w:tr2bl w:val="nil"/>
            </w:tcBorders>
            <w:noWrap w:val="0"/>
            <w:vAlign w:val="center"/>
          </w:tcPr>
          <w:p w14:paraId="5C9A0899">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序号</w:t>
            </w:r>
          </w:p>
        </w:tc>
        <w:tc>
          <w:tcPr>
            <w:tcW w:w="673" w:type="dxa"/>
            <w:tcBorders>
              <w:tl2br w:val="nil"/>
              <w:tr2bl w:val="nil"/>
            </w:tcBorders>
            <w:noWrap w:val="0"/>
            <w:vAlign w:val="center"/>
          </w:tcPr>
          <w:p w14:paraId="506EB298">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eastAsia="zh-CN"/>
              </w:rPr>
              <w:t>行政</w:t>
            </w:r>
          </w:p>
          <w:p w14:paraId="3E4490C1">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eastAsia="zh-CN"/>
              </w:rPr>
              <w:t>区域</w:t>
            </w:r>
          </w:p>
        </w:tc>
        <w:tc>
          <w:tcPr>
            <w:tcW w:w="1454" w:type="dxa"/>
            <w:tcBorders>
              <w:tl2br w:val="nil"/>
              <w:tr2bl w:val="nil"/>
            </w:tcBorders>
            <w:noWrap w:val="0"/>
            <w:vAlign w:val="center"/>
          </w:tcPr>
          <w:p w14:paraId="2C73488F">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环境敏感目标</w:t>
            </w:r>
          </w:p>
        </w:tc>
        <w:tc>
          <w:tcPr>
            <w:tcW w:w="1224" w:type="dxa"/>
            <w:tcBorders>
              <w:tl2br w:val="nil"/>
              <w:tr2bl w:val="nil"/>
            </w:tcBorders>
            <w:noWrap w:val="0"/>
            <w:vAlign w:val="center"/>
          </w:tcPr>
          <w:p w14:paraId="0D8E432C">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房屋类型</w:t>
            </w:r>
          </w:p>
        </w:tc>
        <w:tc>
          <w:tcPr>
            <w:tcW w:w="1638" w:type="dxa"/>
            <w:tcBorders>
              <w:tl2br w:val="nil"/>
              <w:tr2bl w:val="nil"/>
            </w:tcBorders>
            <w:noWrap w:val="0"/>
            <w:vAlign w:val="center"/>
          </w:tcPr>
          <w:p w14:paraId="1DB6774E">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方位及至边导线最近距离</w:t>
            </w:r>
          </w:p>
        </w:tc>
        <w:tc>
          <w:tcPr>
            <w:tcW w:w="781" w:type="dxa"/>
            <w:tcBorders>
              <w:tl2br w:val="nil"/>
              <w:tr2bl w:val="nil"/>
            </w:tcBorders>
            <w:noWrap w:val="0"/>
            <w:vAlign w:val="center"/>
          </w:tcPr>
          <w:p w14:paraId="7BD92182">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至</w:t>
            </w:r>
            <w:r>
              <w:rPr>
                <w:rFonts w:hint="eastAsia" w:ascii="Times New Roman" w:hAnsi="Times New Roman" w:cs="Times New Roman"/>
                <w:b/>
                <w:bCs/>
                <w:color w:val="auto"/>
                <w:sz w:val="21"/>
                <w:szCs w:val="21"/>
                <w:highlight w:val="none"/>
                <w:lang w:val="en-US" w:eastAsia="zh-CN"/>
              </w:rPr>
              <w:t>线路中心</w:t>
            </w:r>
            <w:r>
              <w:rPr>
                <w:rFonts w:hint="default" w:ascii="Times New Roman" w:hAnsi="Times New Roman" w:cs="Times New Roman"/>
                <w:b/>
                <w:bCs/>
                <w:color w:val="auto"/>
                <w:sz w:val="21"/>
                <w:szCs w:val="21"/>
                <w:highlight w:val="none"/>
              </w:rPr>
              <w:t>线距离</w:t>
            </w:r>
          </w:p>
        </w:tc>
        <w:tc>
          <w:tcPr>
            <w:tcW w:w="781" w:type="dxa"/>
            <w:tcBorders>
              <w:tl2br w:val="nil"/>
              <w:tr2bl w:val="nil"/>
            </w:tcBorders>
            <w:noWrap w:val="0"/>
            <w:vAlign w:val="center"/>
          </w:tcPr>
          <w:p w14:paraId="4BF5A062">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导线对地高度</w:t>
            </w:r>
          </w:p>
        </w:tc>
        <w:tc>
          <w:tcPr>
            <w:tcW w:w="826" w:type="dxa"/>
            <w:tcBorders>
              <w:tl2br w:val="nil"/>
              <w:tr2bl w:val="nil"/>
            </w:tcBorders>
            <w:noWrap w:val="0"/>
            <w:vAlign w:val="center"/>
          </w:tcPr>
          <w:p w14:paraId="281090D3">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预测高度（m）</w:t>
            </w:r>
          </w:p>
        </w:tc>
        <w:tc>
          <w:tcPr>
            <w:tcW w:w="995" w:type="dxa"/>
            <w:tcBorders>
              <w:tl2br w:val="nil"/>
              <w:tr2bl w:val="nil"/>
            </w:tcBorders>
            <w:noWrap w:val="0"/>
            <w:vAlign w:val="center"/>
          </w:tcPr>
          <w:p w14:paraId="020258AA">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工频电场强度</w:t>
            </w:r>
          </w:p>
          <w:p w14:paraId="54C1621A">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（kV/m）</w:t>
            </w:r>
          </w:p>
        </w:tc>
        <w:tc>
          <w:tcPr>
            <w:tcW w:w="962" w:type="dxa"/>
            <w:tcBorders>
              <w:tl2br w:val="nil"/>
              <w:tr2bl w:val="nil"/>
            </w:tcBorders>
            <w:noWrap w:val="0"/>
            <w:vAlign w:val="center"/>
          </w:tcPr>
          <w:p w14:paraId="746FA917">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工频磁感应强度</w:t>
            </w:r>
          </w:p>
          <w:p w14:paraId="27F5CB14">
            <w:pPr>
              <w:pStyle w:val="71"/>
              <w:keepNext w:val="0"/>
              <w:keepLines w:val="0"/>
              <w:pageBreakBefore w:val="0"/>
              <w:kinsoku w:val="0"/>
              <w:wordWrap/>
              <w:overflowPunct w:val="0"/>
              <w:topLinePunct w:val="0"/>
              <w:bidi w:val="0"/>
              <w:adjustRightInd w:val="0"/>
              <w:snapToGrid w:val="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（μT）</w:t>
            </w:r>
          </w:p>
        </w:tc>
      </w:tr>
      <w:tr w14:paraId="734C68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7" w:hRule="atLeast"/>
          <w:jc w:val="center"/>
        </w:trPr>
        <w:tc>
          <w:tcPr>
            <w:tcW w:w="461" w:type="dxa"/>
            <w:tcBorders>
              <w:tl2br w:val="nil"/>
              <w:tr2bl w:val="nil"/>
            </w:tcBorders>
            <w:noWrap w:val="0"/>
            <w:vAlign w:val="center"/>
          </w:tcPr>
          <w:p w14:paraId="48561215">
            <w:pPr>
              <w:keepNext w:val="0"/>
              <w:keepLines w:val="0"/>
              <w:pageBreakBefore w:val="0"/>
              <w:wordWrap/>
              <w:topLinePunct w:val="0"/>
              <w:bidi w:val="0"/>
              <w:adjustRightInd w:val="0"/>
              <w:snapToGrid w:val="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1#</w:t>
            </w:r>
          </w:p>
        </w:tc>
        <w:tc>
          <w:tcPr>
            <w:tcW w:w="673" w:type="dxa"/>
            <w:vMerge w:val="restart"/>
            <w:tcBorders>
              <w:tl2br w:val="nil"/>
              <w:tr2bl w:val="nil"/>
            </w:tcBorders>
            <w:noWrap w:val="0"/>
            <w:vAlign w:val="center"/>
          </w:tcPr>
          <w:p w14:paraId="0CDBF94F">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彭阳县交岔乡</w:t>
            </w:r>
          </w:p>
        </w:tc>
        <w:tc>
          <w:tcPr>
            <w:tcW w:w="1454" w:type="dxa"/>
            <w:tcBorders>
              <w:tl2br w:val="nil"/>
              <w:tr2bl w:val="nil"/>
            </w:tcBorders>
            <w:noWrap w:val="0"/>
            <w:vAlign w:val="center"/>
          </w:tcPr>
          <w:p w14:paraId="286118F8">
            <w:pPr>
              <w:keepNext w:val="0"/>
              <w:keepLines w:val="0"/>
              <w:widowControl/>
              <w:suppressLineNumbers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b w:val="0"/>
                <w:bCs w:val="0"/>
                <w:color w:val="auto"/>
                <w:kern w:val="0"/>
                <w:sz w:val="21"/>
                <w:szCs w:val="21"/>
                <w:highlight w:val="none"/>
                <w:lang w:val="en-US" w:eastAsia="zh-CN" w:bidi="ar"/>
              </w:rPr>
              <w:t>马占材宅</w:t>
            </w:r>
          </w:p>
        </w:tc>
        <w:tc>
          <w:tcPr>
            <w:tcW w:w="1224" w:type="dxa"/>
            <w:tcBorders>
              <w:tl2br w:val="nil"/>
              <w:tr2bl w:val="nil"/>
            </w:tcBorders>
            <w:noWrap w:val="0"/>
            <w:vAlign w:val="center"/>
          </w:tcPr>
          <w:p w14:paraId="35046B48">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cs="Times New Roman"/>
                <w:color w:val="auto"/>
                <w:kern w:val="0"/>
                <w:sz w:val="21"/>
                <w:szCs w:val="21"/>
                <w:highlight w:val="none"/>
              </w:rPr>
              <w:t>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vertAlign w:val="baseline"/>
                <w:lang w:val="en-US" w:eastAsia="zh-CN"/>
              </w:rPr>
              <w:t>1层平顶，砖混结构，高3m</w:t>
            </w:r>
          </w:p>
        </w:tc>
        <w:tc>
          <w:tcPr>
            <w:tcW w:w="1638" w:type="dxa"/>
            <w:tcBorders>
              <w:tl2br w:val="nil"/>
              <w:tr2bl w:val="nil"/>
            </w:tcBorders>
            <w:noWrap w:val="0"/>
            <w:vAlign w:val="center"/>
          </w:tcPr>
          <w:p w14:paraId="040CCB76">
            <w:pPr>
              <w:keepNext w:val="0"/>
              <w:keepLines w:val="0"/>
              <w:widowControl/>
              <w:suppressLineNumbers w:val="0"/>
              <w:jc w:val="both"/>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单回架空输电线路G5#~6#杆塔间线路边导线东南侧23m</w:t>
            </w:r>
          </w:p>
        </w:tc>
        <w:tc>
          <w:tcPr>
            <w:tcW w:w="781" w:type="dxa"/>
            <w:tcBorders>
              <w:tl2br w:val="nil"/>
              <w:tr2bl w:val="nil"/>
            </w:tcBorders>
            <w:noWrap w:val="0"/>
            <w:vAlign w:val="center"/>
          </w:tcPr>
          <w:p w14:paraId="31C756E3">
            <w:pPr>
              <w:keepNext w:val="0"/>
              <w:keepLines w:val="0"/>
              <w:widowControl/>
              <w:suppressLineNumbers w:val="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30.5m</w:t>
            </w:r>
          </w:p>
        </w:tc>
        <w:tc>
          <w:tcPr>
            <w:tcW w:w="781" w:type="dxa"/>
            <w:tcBorders>
              <w:tl2br w:val="nil"/>
              <w:tr2bl w:val="nil"/>
            </w:tcBorders>
            <w:noWrap w:val="0"/>
            <w:vAlign w:val="center"/>
          </w:tcPr>
          <w:p w14:paraId="04FC199B">
            <w:pPr>
              <w:keepNext w:val="0"/>
              <w:keepLines w:val="0"/>
              <w:pageBreakBefore w:val="0"/>
              <w:widowControl/>
              <w:wordWrap/>
              <w:topLinePunct w:val="0"/>
              <w:bidi w:val="0"/>
              <w:adjustRightInd w:val="0"/>
              <w:snapToGrid w:val="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kern w:val="0"/>
                <w:sz w:val="21"/>
                <w:szCs w:val="21"/>
                <w:highlight w:val="none"/>
                <w:lang w:val="en-US" w:eastAsia="zh-CN"/>
              </w:rPr>
              <w:t>＞7m</w:t>
            </w:r>
          </w:p>
        </w:tc>
        <w:tc>
          <w:tcPr>
            <w:tcW w:w="826" w:type="dxa"/>
            <w:tcBorders>
              <w:tl2br w:val="nil"/>
              <w:tr2bl w:val="nil"/>
            </w:tcBorders>
            <w:noWrap w:val="0"/>
            <w:vAlign w:val="center"/>
          </w:tcPr>
          <w:p w14:paraId="25E4F4DA">
            <w:pPr>
              <w:widowControl/>
              <w:adjustRightInd w:val="0"/>
              <w:snapToGrid w:val="0"/>
              <w:jc w:val="center"/>
              <w:rPr>
                <w:rFonts w:hint="default" w:ascii="Times New Roman" w:hAnsi="Times New Roman" w:cs="Times New Roman"/>
                <w:b w:val="0"/>
                <w:bCs w:val="0"/>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地面1.5</w:t>
            </w:r>
          </w:p>
        </w:tc>
        <w:tc>
          <w:tcPr>
            <w:tcW w:w="995" w:type="dxa"/>
            <w:tcBorders>
              <w:tl2br w:val="nil"/>
              <w:tr2bl w:val="nil"/>
            </w:tcBorders>
            <w:noWrap w:val="0"/>
            <w:vAlign w:val="center"/>
          </w:tcPr>
          <w:p w14:paraId="3CC2845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0.2604</w:t>
            </w:r>
          </w:p>
        </w:tc>
        <w:tc>
          <w:tcPr>
            <w:tcW w:w="962" w:type="dxa"/>
            <w:tcBorders>
              <w:tl2br w:val="nil"/>
              <w:tr2bl w:val="nil"/>
            </w:tcBorders>
            <w:noWrap w:val="0"/>
            <w:vAlign w:val="center"/>
          </w:tcPr>
          <w:p w14:paraId="25921D9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1.6098</w:t>
            </w:r>
          </w:p>
        </w:tc>
      </w:tr>
      <w:tr w14:paraId="50C4FC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461" w:type="dxa"/>
            <w:tcBorders>
              <w:tl2br w:val="nil"/>
              <w:tr2bl w:val="nil"/>
            </w:tcBorders>
            <w:noWrap w:val="0"/>
            <w:vAlign w:val="center"/>
          </w:tcPr>
          <w:p w14:paraId="1C654746">
            <w:pPr>
              <w:keepNext w:val="0"/>
              <w:keepLines w:val="0"/>
              <w:pageBreakBefore w:val="0"/>
              <w:wordWrap/>
              <w:topLinePunct w:val="0"/>
              <w:bidi w:val="0"/>
              <w:adjustRightInd w:val="0"/>
              <w:snapToGrid w:val="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2#</w:t>
            </w:r>
          </w:p>
        </w:tc>
        <w:tc>
          <w:tcPr>
            <w:tcW w:w="673" w:type="dxa"/>
            <w:vMerge w:val="continue"/>
            <w:tcBorders>
              <w:tl2br w:val="nil"/>
              <w:tr2bl w:val="nil"/>
            </w:tcBorders>
            <w:noWrap w:val="0"/>
            <w:vAlign w:val="center"/>
          </w:tcPr>
          <w:p w14:paraId="5712520E">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454" w:type="dxa"/>
            <w:tcBorders>
              <w:tl2br w:val="nil"/>
              <w:tr2bl w:val="nil"/>
            </w:tcBorders>
            <w:noWrap w:val="0"/>
            <w:vAlign w:val="center"/>
          </w:tcPr>
          <w:p w14:paraId="2E97DDAE">
            <w:pPr>
              <w:keepNext w:val="0"/>
              <w:keepLines w:val="0"/>
              <w:widowControl/>
              <w:suppressLineNumbers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b w:val="0"/>
                <w:bCs w:val="0"/>
                <w:color w:val="auto"/>
                <w:kern w:val="0"/>
                <w:sz w:val="21"/>
                <w:szCs w:val="21"/>
                <w:highlight w:val="none"/>
                <w:lang w:val="en-US" w:eastAsia="zh-CN" w:bidi="ar"/>
              </w:rPr>
              <w:t>张建礼宅</w:t>
            </w:r>
          </w:p>
        </w:tc>
        <w:tc>
          <w:tcPr>
            <w:tcW w:w="1224" w:type="dxa"/>
            <w:tcBorders>
              <w:tl2br w:val="nil"/>
              <w:tr2bl w:val="nil"/>
            </w:tcBorders>
            <w:noWrap w:val="0"/>
            <w:vAlign w:val="center"/>
          </w:tcPr>
          <w:p w14:paraId="7675FF89">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cs="Times New Roman"/>
                <w:color w:val="auto"/>
                <w:kern w:val="0"/>
                <w:sz w:val="21"/>
                <w:szCs w:val="21"/>
                <w:highlight w:val="none"/>
              </w:rPr>
              <w:t>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vertAlign w:val="baseline"/>
                <w:lang w:val="en-US" w:eastAsia="zh-CN"/>
              </w:rPr>
              <w:t>1层平顶，砖混结构，高3m</w:t>
            </w:r>
          </w:p>
        </w:tc>
        <w:tc>
          <w:tcPr>
            <w:tcW w:w="1638" w:type="dxa"/>
            <w:tcBorders>
              <w:tl2br w:val="nil"/>
              <w:tr2bl w:val="nil"/>
            </w:tcBorders>
            <w:noWrap w:val="0"/>
            <w:vAlign w:val="center"/>
          </w:tcPr>
          <w:p w14:paraId="5F06A529">
            <w:pPr>
              <w:keepNext w:val="0"/>
              <w:keepLines w:val="0"/>
              <w:widowControl/>
              <w:suppressLineNumbers w:val="0"/>
              <w:jc w:val="both"/>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单回架空输电线路G8#~9#杆塔间线路边导线西北侧</w:t>
            </w:r>
            <w:r>
              <w:rPr>
                <w:rFonts w:hint="default" w:ascii="Times New Roman" w:hAnsi="Times New Roman" w:eastAsia="宋体" w:cs="Times New Roman"/>
                <w:b w:val="0"/>
                <w:bCs w:val="0"/>
                <w:color w:val="auto"/>
                <w:kern w:val="0"/>
                <w:sz w:val="21"/>
                <w:szCs w:val="21"/>
                <w:highlight w:val="none"/>
                <w:lang w:val="en-US" w:eastAsia="zh-CN" w:bidi="ar"/>
              </w:rPr>
              <w:t>32.5m</w:t>
            </w:r>
          </w:p>
        </w:tc>
        <w:tc>
          <w:tcPr>
            <w:tcW w:w="781" w:type="dxa"/>
            <w:tcBorders>
              <w:tl2br w:val="nil"/>
              <w:tr2bl w:val="nil"/>
            </w:tcBorders>
            <w:noWrap w:val="0"/>
            <w:vAlign w:val="center"/>
          </w:tcPr>
          <w:p w14:paraId="01284C02">
            <w:pPr>
              <w:keepNext w:val="0"/>
              <w:keepLines w:val="0"/>
              <w:widowControl/>
              <w:suppressLineNumbers w:val="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40.0m</w:t>
            </w:r>
          </w:p>
        </w:tc>
        <w:tc>
          <w:tcPr>
            <w:tcW w:w="781" w:type="dxa"/>
            <w:tcBorders>
              <w:tl2br w:val="nil"/>
              <w:tr2bl w:val="nil"/>
            </w:tcBorders>
            <w:noWrap w:val="0"/>
            <w:vAlign w:val="center"/>
          </w:tcPr>
          <w:p w14:paraId="73F6548A">
            <w:pPr>
              <w:keepNext w:val="0"/>
              <w:keepLines w:val="0"/>
              <w:pageBreakBefore w:val="0"/>
              <w:widowControl/>
              <w:wordWrap/>
              <w:topLinePunct w:val="0"/>
              <w:bidi w:val="0"/>
              <w:adjustRightInd w:val="0"/>
              <w:snapToGrid w:val="0"/>
              <w:jc w:val="center"/>
              <w:textAlignment w:val="auto"/>
              <w:rPr>
                <w:rFonts w:hint="default" w:ascii="Times New Roman" w:hAnsi="Times New Roman"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kern w:val="0"/>
                <w:sz w:val="21"/>
                <w:szCs w:val="21"/>
                <w:highlight w:val="none"/>
                <w:lang w:val="en-US" w:eastAsia="zh-CN"/>
              </w:rPr>
              <w:t>＞7m</w:t>
            </w:r>
          </w:p>
        </w:tc>
        <w:tc>
          <w:tcPr>
            <w:tcW w:w="826" w:type="dxa"/>
            <w:tcBorders>
              <w:tl2br w:val="nil"/>
              <w:tr2bl w:val="nil"/>
            </w:tcBorders>
            <w:noWrap w:val="0"/>
            <w:vAlign w:val="center"/>
          </w:tcPr>
          <w:p w14:paraId="30A35DF7">
            <w:pPr>
              <w:widowControl/>
              <w:adjustRightInd w:val="0"/>
              <w:snapToGrid w:val="0"/>
              <w:jc w:val="center"/>
              <w:rPr>
                <w:rFonts w:hint="default" w:ascii="Times New Roman" w:hAnsi="Times New Roman" w:cs="Times New Roman"/>
                <w:b w:val="0"/>
                <w:bCs w:val="0"/>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地面1.5</w:t>
            </w:r>
          </w:p>
        </w:tc>
        <w:tc>
          <w:tcPr>
            <w:tcW w:w="995" w:type="dxa"/>
            <w:tcBorders>
              <w:tl2br w:val="nil"/>
              <w:tr2bl w:val="nil"/>
            </w:tcBorders>
            <w:noWrap w:val="0"/>
            <w:vAlign w:val="center"/>
          </w:tcPr>
          <w:p w14:paraId="3ACE21C2">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w:t>
            </w:r>
            <w:r>
              <w:rPr>
                <w:rFonts w:hint="eastAsia" w:cs="Times New Roman"/>
                <w:i w:val="0"/>
                <w:iCs w:val="0"/>
                <w:color w:val="auto"/>
                <w:kern w:val="0"/>
                <w:sz w:val="21"/>
                <w:szCs w:val="21"/>
                <w:highlight w:val="none"/>
                <w:u w:val="none"/>
                <w:lang w:val="en-US" w:eastAsia="zh-CN" w:bidi="ar"/>
              </w:rPr>
              <w:t>221</w:t>
            </w:r>
          </w:p>
        </w:tc>
        <w:tc>
          <w:tcPr>
            <w:tcW w:w="962" w:type="dxa"/>
            <w:tcBorders>
              <w:tl2br w:val="nil"/>
              <w:tr2bl w:val="nil"/>
            </w:tcBorders>
            <w:noWrap w:val="0"/>
            <w:vAlign w:val="center"/>
          </w:tcPr>
          <w:p w14:paraId="09977CEC">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0.9364</w:t>
            </w:r>
          </w:p>
        </w:tc>
      </w:tr>
      <w:tr w14:paraId="2E033E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461" w:type="dxa"/>
            <w:tcBorders>
              <w:tl2br w:val="nil"/>
              <w:tr2bl w:val="nil"/>
            </w:tcBorders>
            <w:noWrap w:val="0"/>
            <w:vAlign w:val="center"/>
          </w:tcPr>
          <w:p w14:paraId="19B3E092">
            <w:pPr>
              <w:keepNext w:val="0"/>
              <w:keepLines w:val="0"/>
              <w:pageBreakBefore w:val="0"/>
              <w:wordWrap/>
              <w:topLinePunct w:val="0"/>
              <w:bidi w:val="0"/>
              <w:adjustRightInd w:val="0"/>
              <w:snapToGrid w:val="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3#</w:t>
            </w:r>
          </w:p>
        </w:tc>
        <w:tc>
          <w:tcPr>
            <w:tcW w:w="673" w:type="dxa"/>
            <w:vMerge w:val="continue"/>
            <w:tcBorders>
              <w:tl2br w:val="nil"/>
              <w:tr2bl w:val="nil"/>
            </w:tcBorders>
            <w:noWrap w:val="0"/>
            <w:vAlign w:val="center"/>
          </w:tcPr>
          <w:p w14:paraId="04FC277D">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454" w:type="dxa"/>
            <w:tcBorders>
              <w:tl2br w:val="nil"/>
              <w:tr2bl w:val="nil"/>
            </w:tcBorders>
            <w:noWrap w:val="0"/>
            <w:vAlign w:val="center"/>
          </w:tcPr>
          <w:p w14:paraId="196A45F1">
            <w:pPr>
              <w:keepNext w:val="0"/>
              <w:keepLines w:val="0"/>
              <w:widowControl/>
              <w:suppressLineNumbers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b w:val="0"/>
                <w:bCs w:val="0"/>
                <w:color w:val="auto"/>
                <w:kern w:val="0"/>
                <w:sz w:val="21"/>
                <w:szCs w:val="21"/>
                <w:highlight w:val="none"/>
                <w:lang w:val="en-US" w:eastAsia="zh-CN" w:bidi="ar"/>
              </w:rPr>
              <w:t>王新贵宅</w:t>
            </w:r>
          </w:p>
        </w:tc>
        <w:tc>
          <w:tcPr>
            <w:tcW w:w="1224" w:type="dxa"/>
            <w:tcBorders>
              <w:tl2br w:val="nil"/>
              <w:tr2bl w:val="nil"/>
            </w:tcBorders>
            <w:noWrap w:val="0"/>
            <w:vAlign w:val="center"/>
          </w:tcPr>
          <w:p w14:paraId="1AEB6D5D">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cs="Times New Roman"/>
                <w:color w:val="auto"/>
                <w:kern w:val="0"/>
                <w:sz w:val="21"/>
                <w:szCs w:val="21"/>
                <w:highlight w:val="none"/>
              </w:rPr>
              <w:t>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vertAlign w:val="baseline"/>
                <w:lang w:val="en-US" w:eastAsia="zh-CN"/>
              </w:rPr>
              <w:t>1层平顶，砖混结构，高3m</w:t>
            </w:r>
          </w:p>
        </w:tc>
        <w:tc>
          <w:tcPr>
            <w:tcW w:w="1638" w:type="dxa"/>
            <w:tcBorders>
              <w:tl2br w:val="nil"/>
              <w:tr2bl w:val="nil"/>
            </w:tcBorders>
            <w:noWrap w:val="0"/>
            <w:vAlign w:val="center"/>
          </w:tcPr>
          <w:p w14:paraId="48B21D84">
            <w:pPr>
              <w:keepNext w:val="0"/>
              <w:keepLines w:val="0"/>
              <w:widowControl/>
              <w:suppressLineNumbers w:val="0"/>
              <w:jc w:val="both"/>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单回架空输电线路G19#~20#杆塔间线路边导线东南侧40</w:t>
            </w:r>
            <w:r>
              <w:rPr>
                <w:rFonts w:hint="default" w:ascii="Times New Roman" w:hAnsi="Times New Roman" w:eastAsia="宋体" w:cs="Times New Roman"/>
                <w:b w:val="0"/>
                <w:bCs w:val="0"/>
                <w:color w:val="auto"/>
                <w:kern w:val="0"/>
                <w:sz w:val="21"/>
                <w:szCs w:val="21"/>
                <w:highlight w:val="none"/>
                <w:lang w:val="en-US" w:eastAsia="zh-CN" w:bidi="ar"/>
              </w:rPr>
              <w:t>m</w:t>
            </w:r>
          </w:p>
        </w:tc>
        <w:tc>
          <w:tcPr>
            <w:tcW w:w="781" w:type="dxa"/>
            <w:tcBorders>
              <w:tl2br w:val="nil"/>
              <w:tr2bl w:val="nil"/>
            </w:tcBorders>
            <w:noWrap w:val="0"/>
            <w:vAlign w:val="center"/>
          </w:tcPr>
          <w:p w14:paraId="78DD3459">
            <w:pPr>
              <w:keepNext w:val="0"/>
              <w:keepLines w:val="0"/>
              <w:widowControl/>
              <w:suppressLineNumbers w:val="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47.5m</w:t>
            </w:r>
          </w:p>
        </w:tc>
        <w:tc>
          <w:tcPr>
            <w:tcW w:w="781" w:type="dxa"/>
            <w:tcBorders>
              <w:tl2br w:val="nil"/>
              <w:tr2bl w:val="nil"/>
            </w:tcBorders>
            <w:noWrap w:val="0"/>
            <w:vAlign w:val="center"/>
          </w:tcPr>
          <w:p w14:paraId="09DCD281">
            <w:pPr>
              <w:keepNext w:val="0"/>
              <w:keepLines w:val="0"/>
              <w:pageBreakBefore w:val="0"/>
              <w:widowControl/>
              <w:wordWrap/>
              <w:topLinePunct w:val="0"/>
              <w:bidi w:val="0"/>
              <w:adjustRightInd w:val="0"/>
              <w:snapToGrid w:val="0"/>
              <w:jc w:val="center"/>
              <w:textAlignment w:val="auto"/>
              <w:rPr>
                <w:rFonts w:hint="default" w:ascii="Times New Roman" w:hAnsi="Times New Roman"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kern w:val="0"/>
                <w:sz w:val="21"/>
                <w:szCs w:val="21"/>
                <w:highlight w:val="none"/>
                <w:lang w:val="en-US" w:eastAsia="zh-CN"/>
              </w:rPr>
              <w:t>＞15m</w:t>
            </w:r>
          </w:p>
        </w:tc>
        <w:tc>
          <w:tcPr>
            <w:tcW w:w="826" w:type="dxa"/>
            <w:tcBorders>
              <w:tl2br w:val="nil"/>
              <w:tr2bl w:val="nil"/>
            </w:tcBorders>
            <w:noWrap w:val="0"/>
            <w:vAlign w:val="center"/>
          </w:tcPr>
          <w:p w14:paraId="48387176">
            <w:pPr>
              <w:widowControl/>
              <w:adjustRightInd w:val="0"/>
              <w:snapToGrid w:val="0"/>
              <w:jc w:val="center"/>
              <w:rPr>
                <w:rFonts w:hint="default" w:ascii="Times New Roman" w:hAnsi="Times New Roman" w:cs="Times New Roman"/>
                <w:b w:val="0"/>
                <w:bCs w:val="0"/>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地面1.5</w:t>
            </w:r>
          </w:p>
        </w:tc>
        <w:tc>
          <w:tcPr>
            <w:tcW w:w="995" w:type="dxa"/>
            <w:tcBorders>
              <w:tl2br w:val="nil"/>
              <w:tr2bl w:val="nil"/>
            </w:tcBorders>
            <w:noWrap w:val="0"/>
            <w:vAlign w:val="center"/>
          </w:tcPr>
          <w:p w14:paraId="2390221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781</w:t>
            </w:r>
          </w:p>
        </w:tc>
        <w:tc>
          <w:tcPr>
            <w:tcW w:w="962" w:type="dxa"/>
            <w:tcBorders>
              <w:tl2br w:val="nil"/>
              <w:tr2bl w:val="nil"/>
            </w:tcBorders>
            <w:noWrap w:val="0"/>
            <w:vAlign w:val="center"/>
          </w:tcPr>
          <w:p w14:paraId="47E0733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0.6</w:t>
            </w:r>
            <w:r>
              <w:rPr>
                <w:rFonts w:hint="eastAsia" w:cs="Times New Roman"/>
                <w:i w:val="0"/>
                <w:iCs w:val="0"/>
                <w:color w:val="auto"/>
                <w:kern w:val="0"/>
                <w:sz w:val="21"/>
                <w:szCs w:val="21"/>
                <w:u w:val="none"/>
                <w:lang w:val="en-US" w:eastAsia="zh-CN" w:bidi="ar"/>
              </w:rPr>
              <w:t>856</w:t>
            </w:r>
          </w:p>
        </w:tc>
      </w:tr>
      <w:tr w14:paraId="43DA6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4" w:hRule="atLeast"/>
          <w:jc w:val="center"/>
        </w:trPr>
        <w:tc>
          <w:tcPr>
            <w:tcW w:w="461" w:type="dxa"/>
            <w:tcBorders>
              <w:tl2br w:val="nil"/>
              <w:tr2bl w:val="nil"/>
            </w:tcBorders>
            <w:noWrap w:val="0"/>
            <w:vAlign w:val="center"/>
          </w:tcPr>
          <w:p w14:paraId="7D9EEFCD">
            <w:pPr>
              <w:keepNext w:val="0"/>
              <w:keepLines w:val="0"/>
              <w:pageBreakBefore w:val="0"/>
              <w:wordWrap/>
              <w:topLinePunct w:val="0"/>
              <w:bidi w:val="0"/>
              <w:adjustRightInd w:val="0"/>
              <w:snapToGrid w:val="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4#</w:t>
            </w:r>
          </w:p>
        </w:tc>
        <w:tc>
          <w:tcPr>
            <w:tcW w:w="673" w:type="dxa"/>
            <w:tcBorders>
              <w:tl2br w:val="nil"/>
              <w:tr2bl w:val="nil"/>
            </w:tcBorders>
            <w:noWrap w:val="0"/>
            <w:vAlign w:val="center"/>
          </w:tcPr>
          <w:p w14:paraId="050FAE21">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彭阳县王洼镇</w:t>
            </w:r>
          </w:p>
        </w:tc>
        <w:tc>
          <w:tcPr>
            <w:tcW w:w="1454" w:type="dxa"/>
            <w:tcBorders>
              <w:tl2br w:val="nil"/>
              <w:tr2bl w:val="nil"/>
            </w:tcBorders>
            <w:noWrap w:val="0"/>
            <w:vAlign w:val="center"/>
          </w:tcPr>
          <w:p w14:paraId="032F6716">
            <w:pPr>
              <w:keepNext w:val="0"/>
              <w:keepLines w:val="0"/>
              <w:widowControl/>
              <w:suppressLineNumbers w:val="0"/>
              <w:jc w:val="center"/>
              <w:rPr>
                <w:rFonts w:hint="default" w:ascii="Times New Roman" w:hAnsi="Times New Roman" w:cs="Times New Roman"/>
                <w:color w:val="auto"/>
                <w:sz w:val="21"/>
                <w:szCs w:val="21"/>
                <w:highlight w:val="none"/>
                <w:lang w:val="en-US" w:eastAsia="zh-CN"/>
              </w:rPr>
            </w:pPr>
            <w:r>
              <w:rPr>
                <w:rFonts w:hint="eastAsia" w:cs="Times New Roman"/>
                <w:b w:val="0"/>
                <w:bCs w:val="0"/>
                <w:color w:val="auto"/>
                <w:kern w:val="0"/>
                <w:sz w:val="21"/>
                <w:szCs w:val="21"/>
                <w:highlight w:val="none"/>
                <w:lang w:val="en-US" w:eastAsia="zh-CN" w:bidi="ar"/>
              </w:rPr>
              <w:t>孙强宅</w:t>
            </w:r>
          </w:p>
        </w:tc>
        <w:tc>
          <w:tcPr>
            <w:tcW w:w="1224" w:type="dxa"/>
            <w:tcBorders>
              <w:tl2br w:val="nil"/>
              <w:tr2bl w:val="nil"/>
            </w:tcBorders>
            <w:noWrap w:val="0"/>
            <w:vAlign w:val="center"/>
          </w:tcPr>
          <w:p w14:paraId="11A1D59A">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cs="Times New Roman"/>
                <w:color w:val="auto"/>
                <w:kern w:val="0"/>
                <w:sz w:val="21"/>
                <w:szCs w:val="21"/>
                <w:highlight w:val="none"/>
              </w:rPr>
              <w:t>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vertAlign w:val="baseline"/>
                <w:lang w:val="en-US" w:eastAsia="zh-CN"/>
              </w:rPr>
              <w:t>1层平顶，砖混结构，高3m</w:t>
            </w:r>
          </w:p>
        </w:tc>
        <w:tc>
          <w:tcPr>
            <w:tcW w:w="1638" w:type="dxa"/>
            <w:tcBorders>
              <w:tl2br w:val="nil"/>
              <w:tr2bl w:val="nil"/>
            </w:tcBorders>
            <w:noWrap w:val="0"/>
            <w:vAlign w:val="center"/>
          </w:tcPr>
          <w:p w14:paraId="421A770F">
            <w:pPr>
              <w:jc w:val="both"/>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单回架空输电线路46#~G47#杆塔间线路边导线西北侧33m</w:t>
            </w:r>
          </w:p>
        </w:tc>
        <w:tc>
          <w:tcPr>
            <w:tcW w:w="781" w:type="dxa"/>
            <w:tcBorders>
              <w:tl2br w:val="nil"/>
              <w:tr2bl w:val="nil"/>
            </w:tcBorders>
            <w:noWrap w:val="0"/>
            <w:vAlign w:val="center"/>
          </w:tcPr>
          <w:p w14:paraId="157A4B45">
            <w:pPr>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40.5m</w:t>
            </w:r>
          </w:p>
        </w:tc>
        <w:tc>
          <w:tcPr>
            <w:tcW w:w="781" w:type="dxa"/>
            <w:tcBorders>
              <w:tl2br w:val="nil"/>
              <w:tr2bl w:val="nil"/>
            </w:tcBorders>
            <w:noWrap w:val="0"/>
            <w:vAlign w:val="center"/>
          </w:tcPr>
          <w:p w14:paraId="6AEFBA3A">
            <w:pPr>
              <w:keepNext w:val="0"/>
              <w:keepLines w:val="0"/>
              <w:pageBreakBefore w:val="0"/>
              <w:widowControl/>
              <w:wordWrap/>
              <w:topLinePunct w:val="0"/>
              <w:bidi w:val="0"/>
              <w:adjustRightInd w:val="0"/>
              <w:snapToGrid w:val="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＞15m</w:t>
            </w:r>
          </w:p>
        </w:tc>
        <w:tc>
          <w:tcPr>
            <w:tcW w:w="826" w:type="dxa"/>
            <w:tcBorders>
              <w:tl2br w:val="nil"/>
              <w:tr2bl w:val="nil"/>
            </w:tcBorders>
            <w:noWrap w:val="0"/>
            <w:vAlign w:val="center"/>
          </w:tcPr>
          <w:p w14:paraId="5282A173">
            <w:pPr>
              <w:widowControl/>
              <w:adjustRightInd w:val="0"/>
              <w:snapToGrid w:val="0"/>
              <w:jc w:val="center"/>
              <w:rPr>
                <w:rFonts w:hint="default" w:ascii="Times New Roman" w:hAnsi="Times New Roman" w:cs="Times New Roman"/>
                <w:b w:val="0"/>
                <w:bCs w:val="0"/>
                <w:color w:val="auto"/>
                <w:kern w:val="0"/>
                <w:sz w:val="21"/>
                <w:szCs w:val="21"/>
                <w:highlight w:val="none"/>
              </w:rPr>
            </w:pPr>
            <w:r>
              <w:rPr>
                <w:rFonts w:hint="default" w:ascii="Times New Roman" w:hAnsi="Times New Roman" w:cs="Times New Roman"/>
                <w:color w:val="auto"/>
                <w:kern w:val="0"/>
                <w:sz w:val="21"/>
                <w:szCs w:val="21"/>
                <w:highlight w:val="none"/>
              </w:rPr>
              <w:t>地面1.5</w:t>
            </w:r>
          </w:p>
        </w:tc>
        <w:tc>
          <w:tcPr>
            <w:tcW w:w="995" w:type="dxa"/>
            <w:tcBorders>
              <w:tl2br w:val="nil"/>
              <w:tr2bl w:val="nil"/>
            </w:tcBorders>
            <w:noWrap w:val="0"/>
            <w:vAlign w:val="center"/>
          </w:tcPr>
          <w:p w14:paraId="7F9086AA">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0.1221</w:t>
            </w:r>
          </w:p>
        </w:tc>
        <w:tc>
          <w:tcPr>
            <w:tcW w:w="962" w:type="dxa"/>
            <w:tcBorders>
              <w:tl2br w:val="nil"/>
              <w:tr2bl w:val="nil"/>
            </w:tcBorders>
            <w:noWrap w:val="0"/>
            <w:vAlign w:val="center"/>
          </w:tcPr>
          <w:p w14:paraId="53F9FE0E">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0.9364</w:t>
            </w:r>
          </w:p>
        </w:tc>
      </w:tr>
    </w:tbl>
    <w:p w14:paraId="5F72B75A">
      <w:pPr>
        <w:keepNext w:val="0"/>
        <w:keepLines w:val="0"/>
        <w:pageBreakBefore w:val="0"/>
        <w:widowControl w:val="0"/>
        <w:tabs>
          <w:tab w:val="left" w:pos="600"/>
        </w:tabs>
        <w:kinsoku/>
        <w:wordWrap/>
        <w:overflowPunct w:val="0"/>
        <w:topLinePunct w:val="0"/>
        <w:autoSpaceDE w:val="0"/>
        <w:autoSpaceDN w:val="0"/>
        <w:bidi w:val="0"/>
        <w:adjustRightInd w:val="0"/>
        <w:snapToGrid w:val="0"/>
        <w:spacing w:before="157" w:beforeLines="50" w:line="360" w:lineRule="auto"/>
        <w:ind w:firstLine="480" w:firstLineChars="200"/>
        <w:jc w:val="both"/>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根据预测结果，拟建输电线路建成运行后，</w:t>
      </w:r>
      <w:r>
        <w:rPr>
          <w:rFonts w:hint="default" w:ascii="Times New Roman" w:hAnsi="Times New Roman" w:cs="Times New Roman"/>
          <w:color w:val="auto"/>
          <w:sz w:val="24"/>
          <w:highlight w:val="none"/>
          <w:lang w:val="en-US" w:eastAsia="zh-CN"/>
        </w:rPr>
        <w:t>架空输电</w:t>
      </w:r>
      <w:r>
        <w:rPr>
          <w:rFonts w:hint="default" w:ascii="Times New Roman" w:hAnsi="Times New Roman" w:cs="Times New Roman"/>
          <w:color w:val="auto"/>
          <w:sz w:val="24"/>
          <w:highlight w:val="none"/>
        </w:rPr>
        <w:t>线路在环境敏感目标处</w:t>
      </w:r>
      <w:r>
        <w:rPr>
          <w:rFonts w:hint="default" w:ascii="Times New Roman" w:hAnsi="Times New Roman" w:cs="Times New Roman"/>
          <w:color w:val="auto"/>
          <w:sz w:val="24"/>
          <w:highlight w:val="none"/>
          <w:lang w:val="en-US" w:eastAsia="zh-CN"/>
        </w:rPr>
        <w:t>距离地面1.5m处的</w:t>
      </w:r>
      <w:r>
        <w:rPr>
          <w:rFonts w:hint="default" w:ascii="Times New Roman" w:hAnsi="Times New Roman" w:cs="Times New Roman"/>
          <w:color w:val="auto"/>
          <w:sz w:val="24"/>
          <w:highlight w:val="none"/>
        </w:rPr>
        <w:t>工频电场强度</w:t>
      </w:r>
      <w:r>
        <w:rPr>
          <w:rFonts w:hint="default" w:ascii="Times New Roman" w:hAnsi="Times New Roman" w:cs="Times New Roman"/>
          <w:color w:val="auto"/>
          <w:sz w:val="24"/>
          <w:highlight w:val="none"/>
          <w:lang w:val="en-US" w:eastAsia="zh-CN"/>
        </w:rPr>
        <w:t>在0.0</w:t>
      </w:r>
      <w:r>
        <w:rPr>
          <w:rFonts w:hint="eastAsia" w:cs="Times New Roman"/>
          <w:color w:val="auto"/>
          <w:sz w:val="24"/>
          <w:highlight w:val="none"/>
          <w:lang w:val="en-US" w:eastAsia="zh-CN"/>
        </w:rPr>
        <w:t>781</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2604</w:t>
      </w:r>
      <w:r>
        <w:rPr>
          <w:rFonts w:hint="default" w:ascii="Times New Roman" w:hAnsi="Times New Roman" w:cs="Times New Roman"/>
          <w:color w:val="auto"/>
          <w:sz w:val="24"/>
          <w:highlight w:val="none"/>
        </w:rPr>
        <w:t>V/m之间、工频磁感应强度</w:t>
      </w:r>
      <w:r>
        <w:rPr>
          <w:rFonts w:hint="default" w:ascii="Times New Roman" w:hAnsi="Times New Roman" w:cs="Times New Roman"/>
          <w:color w:val="auto"/>
          <w:sz w:val="24"/>
          <w:highlight w:val="none"/>
          <w:lang w:val="en-US" w:eastAsia="zh-CN"/>
        </w:rPr>
        <w:t>在0.6</w:t>
      </w:r>
      <w:r>
        <w:rPr>
          <w:rFonts w:hint="eastAsia" w:cs="Times New Roman"/>
          <w:color w:val="auto"/>
          <w:sz w:val="24"/>
          <w:highlight w:val="none"/>
          <w:lang w:val="en-US" w:eastAsia="zh-CN"/>
        </w:rPr>
        <w:t>856</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1.6098</w:t>
      </w:r>
      <w:r>
        <w:rPr>
          <w:rFonts w:hint="default" w:ascii="Times New Roman" w:hAnsi="Times New Roman" w:cs="Times New Roman"/>
          <w:color w:val="auto"/>
          <w:sz w:val="24"/>
          <w:highlight w:val="none"/>
        </w:rPr>
        <w:t>μT之间</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均满足《电磁环境控制限值》（GB8072-2014）中规定的</w:t>
      </w:r>
      <w:r>
        <w:rPr>
          <w:rFonts w:hint="default" w:ascii="Times New Roman" w:hAnsi="Times New Roman" w:cs="Times New Roman"/>
          <w:bCs/>
          <w:color w:val="auto"/>
          <w:sz w:val="24"/>
          <w:highlight w:val="none"/>
        </w:rPr>
        <w:t>公众曝露</w:t>
      </w:r>
      <w:r>
        <w:rPr>
          <w:rFonts w:hint="default" w:ascii="Times New Roman" w:hAnsi="Times New Roman" w:cs="Times New Roman"/>
          <w:bCs/>
          <w:color w:val="auto"/>
          <w:sz w:val="24"/>
          <w:highlight w:val="none"/>
          <w:lang w:val="en-US" w:eastAsia="zh-CN"/>
        </w:rPr>
        <w:t>控制</w:t>
      </w:r>
      <w:r>
        <w:rPr>
          <w:rFonts w:hint="default" w:ascii="Times New Roman" w:hAnsi="Times New Roman" w:cs="Times New Roman"/>
          <w:bCs/>
          <w:color w:val="auto"/>
          <w:sz w:val="24"/>
          <w:highlight w:val="none"/>
        </w:rPr>
        <w:t>限值工频电场强度4000V/m、工频磁感应强度100μT要求。</w:t>
      </w:r>
      <w:r>
        <w:rPr>
          <w:rFonts w:hint="default" w:ascii="Times New Roman" w:hAnsi="Times New Roman" w:cs="Times New Roman"/>
          <w:color w:val="auto"/>
          <w:sz w:val="24"/>
          <w:highlight w:val="none"/>
        </w:rPr>
        <w:t>且线路实际架设高度高于7.</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m，会进一步减少对环境敏感目标的影响。因此，本项目输电线路投运后对电磁环境敏感目标的影响在接受范围内。</w:t>
      </w:r>
    </w:p>
    <w:p w14:paraId="0D0E99C2">
      <w:pPr>
        <w:spacing w:line="360" w:lineRule="auto"/>
        <w:ind w:firstLine="480" w:firstLineChars="200"/>
        <w:jc w:val="both"/>
        <w:rPr>
          <w:rFonts w:hint="default" w:ascii="Times New Roman" w:hAnsi="Times New Roman" w:eastAsia="宋体" w:cs="Times New Roman"/>
          <w:color w:val="auto"/>
          <w:sz w:val="24"/>
          <w:highlight w:val="none"/>
        </w:rPr>
      </w:pPr>
      <w:bookmarkStart w:id="336" w:name="_Toc18784"/>
    </w:p>
    <w:p w14:paraId="3CE02CE6">
      <w:pPr>
        <w:pStyle w:val="2"/>
        <w:keepLines/>
        <w:overflowPunct/>
        <w:snapToGrid/>
        <w:spacing w:before="0" w:after="0" w:line="360" w:lineRule="auto"/>
        <w:ind w:left="0" w:firstLine="0"/>
        <w:rPr>
          <w:rFonts w:hint="default" w:ascii="Times New Roman" w:hAnsi="Times New Roman" w:eastAsia="宋体" w:cs="Times New Roman"/>
          <w:bCs w:val="0"/>
          <w:color w:val="auto"/>
          <w:sz w:val="28"/>
          <w:szCs w:val="28"/>
          <w:highlight w:val="none"/>
        </w:rPr>
        <w:sectPr>
          <w:headerReference r:id="rId14" w:type="default"/>
          <w:footerReference r:id="rId15" w:type="default"/>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p>
    <w:p w14:paraId="1CC7DDE3">
      <w:pPr>
        <w:pStyle w:val="2"/>
        <w:keepLines/>
        <w:overflowPunct/>
        <w:snapToGrid/>
        <w:spacing w:before="0" w:after="0" w:line="360" w:lineRule="auto"/>
        <w:ind w:left="0" w:firstLine="0"/>
        <w:rPr>
          <w:rFonts w:hint="default" w:ascii="Times New Roman" w:hAnsi="Times New Roman" w:eastAsia="宋体" w:cs="Times New Roman"/>
          <w:bCs w:val="0"/>
          <w:color w:val="auto"/>
          <w:sz w:val="28"/>
          <w:szCs w:val="28"/>
          <w:highlight w:val="none"/>
        </w:rPr>
      </w:pPr>
      <w:bookmarkStart w:id="337" w:name="_Toc15177"/>
      <w:bookmarkStart w:id="338" w:name="_Toc10022"/>
      <w:r>
        <w:rPr>
          <w:rFonts w:hint="default" w:ascii="Times New Roman" w:hAnsi="Times New Roman" w:eastAsia="宋体" w:cs="Times New Roman"/>
          <w:bCs w:val="0"/>
          <w:color w:val="auto"/>
          <w:sz w:val="28"/>
          <w:szCs w:val="28"/>
          <w:highlight w:val="none"/>
        </w:rPr>
        <w:t>7</w:t>
      </w:r>
      <w:bookmarkEnd w:id="336"/>
      <w:bookmarkStart w:id="339" w:name="_Toc29877"/>
      <w:r>
        <w:rPr>
          <w:rFonts w:hint="default" w:ascii="Times New Roman" w:hAnsi="Times New Roman" w:eastAsia="宋体" w:cs="Times New Roman"/>
          <w:bCs w:val="0"/>
          <w:color w:val="auto"/>
          <w:sz w:val="28"/>
          <w:szCs w:val="28"/>
          <w:highlight w:val="none"/>
          <w:lang w:val="en-US" w:eastAsia="zh-CN"/>
        </w:rPr>
        <w:t>.</w:t>
      </w:r>
      <w:r>
        <w:rPr>
          <w:rFonts w:hint="default" w:ascii="Times New Roman" w:hAnsi="Times New Roman" w:eastAsia="宋体" w:cs="Times New Roman"/>
          <w:bCs w:val="0"/>
          <w:color w:val="auto"/>
          <w:sz w:val="28"/>
          <w:szCs w:val="28"/>
          <w:highlight w:val="none"/>
        </w:rPr>
        <w:t>电磁环境影响评价结论</w:t>
      </w:r>
      <w:bookmarkEnd w:id="337"/>
      <w:bookmarkEnd w:id="338"/>
      <w:bookmarkEnd w:id="339"/>
    </w:p>
    <w:p w14:paraId="7916CAA7">
      <w:pPr>
        <w:tabs>
          <w:tab w:val="left" w:pos="600"/>
        </w:tabs>
        <w:overflowPunct w:val="0"/>
        <w:autoSpaceDE w:val="0"/>
        <w:autoSpaceDN w:val="0"/>
        <w:adjustRightInd w:val="0"/>
        <w:snapToGrid w:val="0"/>
        <w:spacing w:line="360" w:lineRule="auto"/>
        <w:outlineLvl w:val="1"/>
        <w:rPr>
          <w:rFonts w:hint="default" w:ascii="Times New Roman" w:hAnsi="Times New Roman" w:eastAsia="宋体" w:cs="Times New Roman"/>
          <w:b/>
          <w:bCs/>
          <w:color w:val="auto"/>
          <w:spacing w:val="0"/>
          <w:kern w:val="2"/>
          <w:sz w:val="24"/>
          <w:szCs w:val="24"/>
          <w:highlight w:val="none"/>
          <w:lang w:val="en-US" w:eastAsia="zh-CN" w:bidi="ar"/>
        </w:rPr>
      </w:pPr>
      <w:bookmarkStart w:id="340" w:name="_Toc19841"/>
      <w:bookmarkStart w:id="341" w:name="_Toc20153"/>
      <w:r>
        <w:rPr>
          <w:rFonts w:hint="default" w:ascii="Times New Roman" w:hAnsi="Times New Roman" w:eastAsia="宋体" w:cs="Times New Roman"/>
          <w:b/>
          <w:bCs/>
          <w:color w:val="auto"/>
          <w:spacing w:val="0"/>
          <w:kern w:val="2"/>
          <w:sz w:val="24"/>
          <w:szCs w:val="24"/>
          <w:highlight w:val="none"/>
          <w:lang w:val="en-US" w:eastAsia="zh-CN" w:bidi="ar"/>
        </w:rPr>
        <w:t>7.1电磁环境现状评价结论</w:t>
      </w:r>
      <w:bookmarkEnd w:id="340"/>
      <w:bookmarkEnd w:id="341"/>
    </w:p>
    <w:p w14:paraId="4E6C07C2">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根据现状监测结果可知：</w:t>
      </w:r>
    </w:p>
    <w:p w14:paraId="43EDFF99">
      <w:pPr>
        <w:keepNext w:val="0"/>
        <w:keepLines w:val="0"/>
        <w:pageBreakBefore w:val="0"/>
        <w:widowControl w:val="0"/>
        <w:kinsoku/>
        <w:wordWrap/>
        <w:overflowPunct/>
        <w:topLinePunct w:val="0"/>
        <w:autoSpaceDE/>
        <w:autoSpaceDN/>
        <w:bidi w:val="0"/>
        <w:adjustRightInd w:val="0"/>
        <w:snapToGrid w:val="0"/>
        <w:spacing w:line="360" w:lineRule="auto"/>
        <w:ind w:firstLine="470" w:firstLineChars="196"/>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①</w:t>
      </w:r>
      <w:r>
        <w:rPr>
          <w:rFonts w:hint="default" w:ascii="Times New Roman" w:hAnsi="Times New Roman" w:cs="Times New Roman"/>
          <w:color w:val="auto"/>
          <w:kern w:val="0"/>
          <w:sz w:val="24"/>
          <w:highlight w:val="none"/>
          <w:lang w:val="en-US" w:eastAsia="zh-CN"/>
        </w:rPr>
        <w:t>本项目云雾山330千伏变电站四周站界工频电场强度监测值在0.254V/m~1.032V/m之间，</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监测值在0.0827μT~0.0853μT之间，本次出线间隔扩建处工频电场强度监测值为0.424V/m，</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监测值为0.0829μT，满足</w:t>
      </w:r>
      <w:r>
        <w:rPr>
          <w:rFonts w:hint="default" w:ascii="Times New Roman" w:hAnsi="Times New Roman" w:cs="Times New Roman"/>
          <w:color w:val="auto"/>
          <w:sz w:val="24"/>
          <w:highlight w:val="none"/>
        </w:rPr>
        <w:t>《电磁环境控制限值》（GB8702-2014）中规定的公众曝露控制限值工频电场强度4</w:t>
      </w:r>
      <w:r>
        <w:rPr>
          <w:rFonts w:hint="eastAsia" w:cs="Times New Roman"/>
          <w:color w:val="auto"/>
          <w:sz w:val="24"/>
          <w:highlight w:val="none"/>
          <w:lang w:val="en-US" w:eastAsia="zh-CN"/>
        </w:rPr>
        <w:t>000</w:t>
      </w:r>
      <w:r>
        <w:rPr>
          <w:rFonts w:hint="default" w:ascii="Times New Roman" w:hAnsi="Times New Roman" w:cs="Times New Roman"/>
          <w:color w:val="auto"/>
          <w:sz w:val="24"/>
          <w:highlight w:val="none"/>
        </w:rPr>
        <w:t>V/m，工频磁感应强度100μT的标准限值。</w:t>
      </w:r>
    </w:p>
    <w:p w14:paraId="1B225DA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②</w:t>
      </w:r>
      <w:r>
        <w:rPr>
          <w:rFonts w:hint="default" w:ascii="Times New Roman" w:hAnsi="Times New Roman" w:cs="Times New Roman"/>
          <w:color w:val="auto"/>
          <w:kern w:val="0"/>
          <w:sz w:val="24"/>
          <w:highlight w:val="none"/>
          <w:lang w:val="en-US" w:eastAsia="zh-CN"/>
        </w:rPr>
        <w:t>拟建110千伏输电线路</w:t>
      </w:r>
      <w:r>
        <w:rPr>
          <w:rFonts w:hint="default" w:ascii="Times New Roman" w:hAnsi="Times New Roman" w:eastAsia="宋体" w:cs="Times New Roman"/>
          <w:snapToGrid w:val="0"/>
          <w:color w:val="auto"/>
          <w:kern w:val="0"/>
          <w:sz w:val="24"/>
          <w:szCs w:val="24"/>
          <w:lang w:val="en-US" w:eastAsia="zh-CN" w:bidi="ar-SA"/>
        </w:rPr>
        <w:t>双回路单侧挂线段</w:t>
      </w:r>
      <w:r>
        <w:rPr>
          <w:rFonts w:hint="default" w:ascii="Times New Roman" w:hAnsi="Times New Roman" w:cs="Times New Roman"/>
          <w:color w:val="auto"/>
          <w:kern w:val="0"/>
          <w:sz w:val="24"/>
          <w:highlight w:val="none"/>
          <w:lang w:val="en-US" w:eastAsia="zh-CN"/>
        </w:rPr>
        <w:t>工频电场强度监测值为0.570V/m，</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监测值为0.0829μT；</w:t>
      </w:r>
      <w:r>
        <w:rPr>
          <w:rFonts w:hint="default" w:ascii="Times New Roman" w:hAnsi="Times New Roman" w:eastAsia="宋体" w:cs="Times New Roman"/>
          <w:snapToGrid w:val="0"/>
          <w:color w:val="auto"/>
          <w:kern w:val="0"/>
          <w:sz w:val="24"/>
          <w:szCs w:val="24"/>
          <w:lang w:val="en-US" w:eastAsia="zh-CN" w:bidi="ar-SA"/>
        </w:rPr>
        <w:t>单回路段</w:t>
      </w:r>
      <w:r>
        <w:rPr>
          <w:rFonts w:hint="default" w:ascii="Times New Roman" w:hAnsi="Times New Roman" w:cs="Times New Roman"/>
          <w:color w:val="auto"/>
          <w:kern w:val="0"/>
          <w:sz w:val="24"/>
          <w:highlight w:val="none"/>
          <w:lang w:val="en-US" w:eastAsia="zh-CN"/>
        </w:rPr>
        <w:t>工频电场强度监测值在0.328V/m～1.168V/m之间，</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监测值在0.0829μT~0.0846μT之间；输电线路钻越±1100千伏吉泉线工频电场强度监测值为8.552V/m，</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监测值为0.0936μT；上述监测结果均满足</w:t>
      </w:r>
      <w:r>
        <w:rPr>
          <w:rFonts w:hint="default" w:ascii="Times New Roman" w:hAnsi="Times New Roman" w:cs="Times New Roman"/>
          <w:color w:val="auto"/>
          <w:sz w:val="24"/>
          <w:highlight w:val="none"/>
        </w:rPr>
        <w:t>《电磁环境控制限值》（GB8702-2014）中架空输电线路下的耕地、园地、牧草地、畜禽饲养地、养殖水面、道路等场所10kV/m，工频磁感应强度100μT的标准限值。</w:t>
      </w:r>
    </w:p>
    <w:p w14:paraId="6C7C9B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b w:val="0"/>
          <w:bCs w:val="0"/>
          <w:color w:val="auto"/>
          <w:sz w:val="24"/>
          <w:szCs w:val="24"/>
          <w:highlight w:val="none"/>
          <w:lang w:val="en-US" w:eastAsia="zh-CN"/>
        </w:rPr>
        <w:t>由于云雾山330千伏变电站</w:t>
      </w:r>
      <w:r>
        <w:rPr>
          <w:rFonts w:hint="default" w:ascii="Times New Roman" w:hAnsi="Times New Roman" w:cs="Times New Roman"/>
          <w:color w:val="auto"/>
          <w:sz w:val="24"/>
          <w:highlight w:val="none"/>
        </w:rPr>
        <w:t>已经投运，</w:t>
      </w:r>
      <w:r>
        <w:rPr>
          <w:rFonts w:hint="default" w:ascii="Times New Roman" w:hAnsi="Times New Roman" w:cs="Times New Roman"/>
          <w:color w:val="auto"/>
          <w:sz w:val="24"/>
          <w:highlight w:val="none"/>
          <w:lang w:val="en-US" w:eastAsia="zh-CN"/>
        </w:rPr>
        <w:t>导致</w:t>
      </w:r>
      <w:r>
        <w:rPr>
          <w:rFonts w:hint="default" w:ascii="Times New Roman" w:hAnsi="Times New Roman" w:cs="Times New Roman"/>
          <w:color w:val="auto"/>
          <w:sz w:val="24"/>
          <w:highlight w:val="none"/>
        </w:rPr>
        <w:t>变电站外</w:t>
      </w:r>
      <w:r>
        <w:rPr>
          <w:rFonts w:hint="default" w:ascii="Times New Roman" w:hAnsi="Times New Roman" w:cs="Times New Roman"/>
          <w:b w:val="0"/>
          <w:bCs w:val="0"/>
          <w:color w:val="auto"/>
          <w:sz w:val="24"/>
          <w:szCs w:val="24"/>
          <w:highlight w:val="none"/>
          <w:lang w:val="en-US" w:eastAsia="zh-CN"/>
        </w:rPr>
        <w:t>110千伏</w:t>
      </w:r>
      <w:r>
        <w:rPr>
          <w:rFonts w:hint="default" w:ascii="Times New Roman" w:hAnsi="Times New Roman" w:cs="Times New Roman"/>
          <w:color w:val="auto"/>
          <w:sz w:val="24"/>
          <w:highlight w:val="none"/>
        </w:rPr>
        <w:t>构架侧</w:t>
      </w:r>
      <w:r>
        <w:rPr>
          <w:rFonts w:hint="default" w:ascii="Times New Roman" w:hAnsi="Times New Roman" w:cs="Times New Roman"/>
          <w:color w:val="auto"/>
          <w:sz w:val="24"/>
          <w:highlight w:val="none"/>
          <w:lang w:val="en-US" w:eastAsia="zh-CN"/>
        </w:rPr>
        <w:t>本次</w:t>
      </w:r>
      <w:r>
        <w:rPr>
          <w:rFonts w:hint="default" w:ascii="Times New Roman" w:hAnsi="Times New Roman" w:eastAsia="宋体" w:cs="Times New Roman"/>
          <w:color w:val="auto"/>
          <w:sz w:val="24"/>
          <w:szCs w:val="24"/>
          <w:highlight w:val="none"/>
          <w:lang w:val="en-US" w:eastAsia="zh-CN"/>
        </w:rPr>
        <w:t>拟建</w:t>
      </w:r>
      <w:r>
        <w:rPr>
          <w:rFonts w:hint="default" w:ascii="Times New Roman" w:hAnsi="Times New Roman" w:eastAsia="宋体" w:cs="Times New Roman"/>
          <w:color w:val="auto"/>
          <w:kern w:val="2"/>
          <w:sz w:val="24"/>
          <w:szCs w:val="24"/>
          <w:highlight w:val="none"/>
          <w:vertAlign w:val="baseline"/>
          <w:lang w:val="en-US" w:eastAsia="zh-CN" w:bidi="ar-SA"/>
        </w:rPr>
        <w:t>架空线路双回路单侧挂线</w:t>
      </w:r>
      <w:r>
        <w:rPr>
          <w:rFonts w:hint="default" w:ascii="Times New Roman" w:hAnsi="Times New Roman" w:eastAsia="宋体" w:cs="Times New Roman"/>
          <w:color w:val="auto"/>
          <w:kern w:val="2"/>
          <w:sz w:val="24"/>
          <w:szCs w:val="24"/>
          <w:highlight w:val="none"/>
          <w:lang w:val="en-US" w:eastAsia="zh-CN" w:bidi="ar-SA"/>
        </w:rPr>
        <w:t>段</w:t>
      </w:r>
      <w:r>
        <w:rPr>
          <w:rFonts w:hint="default" w:ascii="Times New Roman" w:hAnsi="Times New Roman" w:cs="Times New Roman"/>
          <w:color w:val="auto"/>
          <w:sz w:val="24"/>
          <w:highlight w:val="none"/>
        </w:rPr>
        <w:t>监测的工频电场、工频磁感应强度监测结果偏大</w:t>
      </w:r>
      <w:r>
        <w:rPr>
          <w:rFonts w:hint="default" w:ascii="Times New Roman" w:hAnsi="Times New Roman" w:cs="Times New Roman"/>
          <w:color w:val="auto"/>
          <w:sz w:val="24"/>
          <w:highlight w:val="none"/>
          <w:lang w:eastAsia="zh-CN"/>
        </w:rPr>
        <w:t>。</w:t>
      </w:r>
    </w:p>
    <w:p w14:paraId="4D49EC9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lang w:val="en-US" w:eastAsia="zh-CN"/>
        </w:rPr>
        <w:t>由于输电线路钻越±1100千伏吉泉线，</w:t>
      </w:r>
      <w:r>
        <w:rPr>
          <w:rFonts w:hint="default" w:ascii="Times New Roman" w:hAnsi="Times New Roman" w:eastAsia="宋体" w:cs="Times New Roman"/>
          <w:color w:val="auto"/>
          <w:sz w:val="24"/>
          <w:highlight w:val="none"/>
          <w:lang w:val="en-US" w:eastAsia="zh-CN"/>
        </w:rPr>
        <w:t>导致</w:t>
      </w:r>
      <w:r>
        <w:rPr>
          <w:rFonts w:hint="default" w:ascii="Times New Roman" w:hAnsi="Times New Roman" w:cs="Times New Roman"/>
          <w:color w:val="auto"/>
          <w:kern w:val="0"/>
          <w:sz w:val="24"/>
          <w:highlight w:val="none"/>
          <w:lang w:val="en-US" w:eastAsia="zh-CN"/>
        </w:rPr>
        <w:t>钻越</w:t>
      </w:r>
      <w:r>
        <w:rPr>
          <w:rFonts w:hint="default" w:ascii="Times New Roman" w:hAnsi="Times New Roman" w:eastAsia="宋体" w:cs="Times New Roman"/>
          <w:color w:val="auto"/>
          <w:sz w:val="24"/>
          <w:highlight w:val="none"/>
          <w:lang w:val="en-US" w:eastAsia="zh-CN"/>
        </w:rPr>
        <w:t>处的</w:t>
      </w:r>
      <w:r>
        <w:rPr>
          <w:rFonts w:hint="default" w:ascii="Times New Roman" w:hAnsi="Times New Roman" w:cs="Times New Roman"/>
          <w:color w:val="auto"/>
          <w:sz w:val="24"/>
          <w:highlight w:val="none"/>
        </w:rPr>
        <w:t>工频电场、工频磁感应强度监测结果偏大。</w:t>
      </w:r>
    </w:p>
    <w:p w14:paraId="45F18A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eastAsia="zh-CN"/>
        </w:rPr>
        <w:t>③</w:t>
      </w:r>
      <w:r>
        <w:rPr>
          <w:rFonts w:hint="default" w:ascii="Times New Roman" w:hAnsi="Times New Roman" w:cs="Times New Roman"/>
          <w:color w:val="auto"/>
          <w:kern w:val="0"/>
          <w:sz w:val="24"/>
          <w:highlight w:val="none"/>
          <w:lang w:val="en-US" w:eastAsia="zh-CN"/>
        </w:rPr>
        <w:t>架空输电线路沿线电磁环境敏感目标处工频电场强度监测值在0.454V/m~3.450V/m之间，</w:t>
      </w:r>
      <w:r>
        <w:rPr>
          <w:rFonts w:hint="default" w:ascii="Times New Roman" w:hAnsi="Times New Roman" w:cs="Times New Roman"/>
          <w:color w:val="auto"/>
          <w:sz w:val="24"/>
          <w:highlight w:val="none"/>
        </w:rPr>
        <w:t>工频磁感应强度</w:t>
      </w:r>
      <w:r>
        <w:rPr>
          <w:rFonts w:hint="default" w:ascii="Times New Roman" w:hAnsi="Times New Roman" w:cs="Times New Roman"/>
          <w:color w:val="auto"/>
          <w:kern w:val="0"/>
          <w:sz w:val="24"/>
          <w:highlight w:val="none"/>
          <w:lang w:val="en-US" w:eastAsia="zh-CN"/>
        </w:rPr>
        <w:t>监测值在0.0822μT~0.0850μT之间，满足</w:t>
      </w:r>
      <w:r>
        <w:rPr>
          <w:rFonts w:hint="default" w:ascii="Times New Roman" w:hAnsi="Times New Roman" w:cs="Times New Roman"/>
          <w:color w:val="auto"/>
          <w:sz w:val="24"/>
          <w:highlight w:val="none"/>
        </w:rPr>
        <w:t>《电磁环境控制限值》（GB8702-2014）中规定的公众曝露控制限值工频电场强度4</w:t>
      </w:r>
      <w:r>
        <w:rPr>
          <w:rFonts w:hint="eastAsia" w:cs="Times New Roman"/>
          <w:color w:val="auto"/>
          <w:sz w:val="24"/>
          <w:highlight w:val="none"/>
          <w:lang w:val="en-US" w:eastAsia="zh-CN"/>
        </w:rPr>
        <w:t>000</w:t>
      </w:r>
      <w:r>
        <w:rPr>
          <w:rFonts w:hint="default" w:ascii="Times New Roman" w:hAnsi="Times New Roman" w:cs="Times New Roman"/>
          <w:color w:val="auto"/>
          <w:sz w:val="24"/>
          <w:highlight w:val="none"/>
        </w:rPr>
        <w:t>V/m，工频磁感应强度100μT的标准限值。</w:t>
      </w:r>
    </w:p>
    <w:p w14:paraId="2C39538F">
      <w:pPr>
        <w:keepNext w:val="0"/>
        <w:keepLines w:val="0"/>
        <w:pageBreakBefore w:val="0"/>
        <w:widowControl w:val="0"/>
        <w:tabs>
          <w:tab w:val="left" w:pos="600"/>
        </w:tabs>
        <w:kinsoku/>
        <w:wordWrap/>
        <w:overflowPunct w:val="0"/>
        <w:topLinePunct w:val="0"/>
        <w:autoSpaceDE w:val="0"/>
        <w:autoSpaceDN w:val="0"/>
        <w:bidi w:val="0"/>
        <w:adjustRightInd w:val="0"/>
        <w:snapToGrid w:val="0"/>
        <w:spacing w:line="360" w:lineRule="auto"/>
        <w:jc w:val="both"/>
        <w:textAlignment w:val="auto"/>
        <w:outlineLvl w:val="1"/>
        <w:rPr>
          <w:rFonts w:hint="default" w:ascii="Times New Roman" w:hAnsi="Times New Roman" w:cs="Times New Roman"/>
          <w:b/>
          <w:bCs/>
          <w:color w:val="auto"/>
          <w:kern w:val="0"/>
          <w:sz w:val="24"/>
          <w:highlight w:val="none"/>
        </w:rPr>
      </w:pPr>
      <w:bookmarkStart w:id="342" w:name="_Toc12231"/>
      <w:bookmarkStart w:id="343" w:name="_Toc2937"/>
      <w:r>
        <w:rPr>
          <w:rFonts w:hint="default" w:ascii="Times New Roman" w:hAnsi="Times New Roman" w:eastAsia="宋体" w:cs="Times New Roman"/>
          <w:b/>
          <w:bCs/>
          <w:color w:val="auto"/>
          <w:spacing w:val="0"/>
          <w:kern w:val="2"/>
          <w:sz w:val="24"/>
          <w:szCs w:val="24"/>
          <w:highlight w:val="none"/>
          <w:lang w:val="en-US" w:eastAsia="zh-CN" w:bidi="ar"/>
        </w:rPr>
        <w:t>7.2新建</w:t>
      </w:r>
      <w:r>
        <w:rPr>
          <w:rFonts w:hint="default" w:ascii="Times New Roman" w:hAnsi="Times New Roman" w:cs="Times New Roman"/>
          <w:b/>
          <w:bCs/>
          <w:color w:val="auto"/>
          <w:sz w:val="24"/>
          <w:highlight w:val="none"/>
        </w:rPr>
        <w:t>架空</w:t>
      </w:r>
      <w:r>
        <w:rPr>
          <w:rFonts w:hint="default" w:ascii="Times New Roman" w:hAnsi="Times New Roman" w:cs="Times New Roman"/>
          <w:b/>
          <w:bCs/>
          <w:color w:val="auto"/>
          <w:kern w:val="0"/>
          <w:sz w:val="24"/>
          <w:highlight w:val="none"/>
        </w:rPr>
        <w:t>输电线路工程电磁环境预测结论</w:t>
      </w:r>
      <w:bookmarkEnd w:id="342"/>
      <w:bookmarkEnd w:id="343"/>
    </w:p>
    <w:p w14:paraId="0DD2937E">
      <w:pPr>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由上述预测结果可以看出，</w:t>
      </w:r>
      <w:r>
        <w:rPr>
          <w:rFonts w:hint="default" w:ascii="Times New Roman" w:hAnsi="Times New Roman" w:cs="Times New Roman"/>
          <w:bCs/>
          <w:color w:val="auto"/>
          <w:sz w:val="24"/>
          <w:highlight w:val="none"/>
          <w:lang w:val="en-US" w:eastAsia="zh-CN"/>
        </w:rPr>
        <w:t>本项目新建110千伏</w:t>
      </w:r>
      <w:r>
        <w:rPr>
          <w:rFonts w:hint="default" w:ascii="Times New Roman" w:hAnsi="Times New Roman" w:cs="Times New Roman"/>
          <w:bCs/>
          <w:color w:val="auto"/>
          <w:sz w:val="24"/>
          <w:highlight w:val="none"/>
        </w:rPr>
        <w:t>单回架空线路段</w:t>
      </w:r>
      <w:r>
        <w:rPr>
          <w:rFonts w:hint="default" w:ascii="Times New Roman" w:hAnsi="Times New Roman" w:cs="Times New Roman"/>
          <w:color w:val="auto"/>
          <w:sz w:val="24"/>
          <w:highlight w:val="none"/>
        </w:rPr>
        <w:t>随着与线路中心线的距离增加，线路运行产生的工频电场强度先增大后减小，工频磁感应强度逐渐减小。导线对地高度为</w:t>
      </w:r>
      <w:r>
        <w:rPr>
          <w:rFonts w:hint="eastAsia" w:cs="Times New Roman"/>
          <w:color w:val="auto"/>
          <w:sz w:val="24"/>
          <w:highlight w:val="none"/>
          <w:lang w:val="en-US" w:eastAsia="zh-CN"/>
        </w:rPr>
        <w:t>12.3</w:t>
      </w:r>
      <w:r>
        <w:rPr>
          <w:rFonts w:hint="default" w:ascii="Times New Roman" w:hAnsi="Times New Roman" w:cs="Times New Roman"/>
          <w:color w:val="auto"/>
          <w:sz w:val="24"/>
          <w:highlight w:val="none"/>
        </w:rPr>
        <w:t>m时，地面1.5m高度处的工频电场强度最大值为</w:t>
      </w:r>
      <w:r>
        <w:rPr>
          <w:rFonts w:hint="eastAsia" w:cs="Times New Roman"/>
          <w:color w:val="auto"/>
          <w:sz w:val="24"/>
          <w:highlight w:val="none"/>
          <w:lang w:val="en-US" w:eastAsia="zh-CN"/>
        </w:rPr>
        <w:t>1.2312</w:t>
      </w:r>
      <w:r>
        <w:rPr>
          <w:rFonts w:hint="default" w:ascii="Times New Roman" w:hAnsi="Times New Roman" w:cs="Times New Roman"/>
          <w:color w:val="auto"/>
          <w:sz w:val="24"/>
          <w:highlight w:val="none"/>
        </w:rPr>
        <w:t>kV/m，出现在距离线路中心线地面投影-</w:t>
      </w:r>
      <w:r>
        <w:rPr>
          <w:rFonts w:hint="eastAsia" w:cs="Times New Roman"/>
          <w:color w:val="auto"/>
          <w:sz w:val="24"/>
          <w:highlight w:val="none"/>
          <w:lang w:val="en-US" w:eastAsia="zh-CN"/>
        </w:rPr>
        <w:t>10</w:t>
      </w:r>
      <w:r>
        <w:rPr>
          <w:rFonts w:hint="default" w:ascii="Times New Roman" w:hAnsi="Times New Roman" w:cs="Times New Roman"/>
          <w:color w:val="auto"/>
          <w:sz w:val="24"/>
          <w:highlight w:val="none"/>
        </w:rPr>
        <w:t>m</w:t>
      </w:r>
      <w:r>
        <w:rPr>
          <w:rFonts w:hint="eastAsia" w:cs="Times New Roman"/>
          <w:color w:val="auto"/>
          <w:sz w:val="24"/>
          <w:highlight w:val="none"/>
          <w:lang w:val="en-US" w:eastAsia="zh-CN"/>
        </w:rPr>
        <w:t>和10m</w:t>
      </w:r>
      <w:r>
        <w:rPr>
          <w:rFonts w:hint="default" w:ascii="Times New Roman" w:hAnsi="Times New Roman" w:cs="Times New Roman"/>
          <w:color w:val="auto"/>
          <w:sz w:val="24"/>
          <w:highlight w:val="none"/>
        </w:rPr>
        <w:t>处；工频磁感应强度最大值为</w:t>
      </w:r>
      <w:r>
        <w:rPr>
          <w:rFonts w:hint="eastAsia" w:cs="Times New Roman"/>
          <w:color w:val="auto"/>
          <w:sz w:val="24"/>
          <w:highlight w:val="none"/>
          <w:lang w:val="en-US" w:eastAsia="zh-CN"/>
        </w:rPr>
        <w:t>9.6817</w:t>
      </w:r>
      <w:r>
        <w:rPr>
          <w:rFonts w:hint="default" w:ascii="Times New Roman" w:hAnsi="Times New Roman" w:cs="Times New Roman"/>
          <w:color w:val="auto"/>
          <w:sz w:val="24"/>
          <w:highlight w:val="none"/>
        </w:rPr>
        <w:t>μT，出现在距离线路中心线地面投影</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4D502005">
      <w:pPr>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color w:val="auto"/>
          <w:sz w:val="24"/>
          <w:highlight w:val="none"/>
          <w:lang w:eastAsia="zh-CN"/>
        </w:rPr>
        <w:t>抬高改造段</w:t>
      </w:r>
      <w:r>
        <w:rPr>
          <w:rFonts w:hint="default" w:ascii="Times New Roman" w:hAnsi="Times New Roman" w:cs="Times New Roman"/>
          <w:bCs/>
          <w:color w:val="auto"/>
          <w:sz w:val="24"/>
          <w:highlight w:val="none"/>
          <w:lang w:val="en-US" w:eastAsia="zh-CN"/>
        </w:rPr>
        <w:t>110千伏</w:t>
      </w:r>
      <w:r>
        <w:rPr>
          <w:rFonts w:hint="default" w:ascii="Times New Roman" w:hAnsi="Times New Roman" w:cs="Times New Roman"/>
          <w:bCs/>
          <w:color w:val="auto"/>
          <w:sz w:val="24"/>
          <w:highlight w:val="none"/>
        </w:rPr>
        <w:t>单回架空线路段</w:t>
      </w:r>
      <w:r>
        <w:rPr>
          <w:rFonts w:hint="default" w:ascii="Times New Roman" w:hAnsi="Times New Roman" w:cs="Times New Roman"/>
          <w:color w:val="auto"/>
          <w:sz w:val="24"/>
          <w:highlight w:val="none"/>
        </w:rPr>
        <w:t>随着与线路中心线的距离增加，线路运行产生的工频电场强度先增大后减小，工频磁感应强度逐渐减小。导线对地高度为</w:t>
      </w:r>
      <w:r>
        <w:rPr>
          <w:rFonts w:hint="eastAsia" w:cs="Times New Roman"/>
          <w:color w:val="auto"/>
          <w:sz w:val="24"/>
          <w:highlight w:val="none"/>
          <w:lang w:val="en-US" w:eastAsia="zh-CN"/>
        </w:rPr>
        <w:t>35.3</w:t>
      </w:r>
      <w:r>
        <w:rPr>
          <w:rFonts w:hint="default" w:ascii="Times New Roman" w:hAnsi="Times New Roman" w:cs="Times New Roman"/>
          <w:color w:val="auto"/>
          <w:sz w:val="24"/>
          <w:highlight w:val="none"/>
        </w:rPr>
        <w:t>m时，地面1.5m高度处的工频电场强度最大值为</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1368</w:t>
      </w:r>
      <w:r>
        <w:rPr>
          <w:rFonts w:hint="default" w:ascii="Times New Roman" w:hAnsi="Times New Roman" w:cs="Times New Roman"/>
          <w:color w:val="auto"/>
          <w:sz w:val="24"/>
          <w:highlight w:val="none"/>
        </w:rPr>
        <w:t>kV/m，出现在距离线路中心线地面投影-</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rPr>
        <w:t>m</w:t>
      </w:r>
      <w:r>
        <w:rPr>
          <w:rFonts w:hint="eastAsia" w:cs="Times New Roman"/>
          <w:color w:val="auto"/>
          <w:sz w:val="24"/>
          <w:highlight w:val="none"/>
          <w:lang w:eastAsia="zh-CN"/>
        </w:rPr>
        <w:t>、</w:t>
      </w:r>
      <w:r>
        <w:rPr>
          <w:rFonts w:hint="eastAsia" w:cs="Times New Roman"/>
          <w:color w:val="auto"/>
          <w:sz w:val="24"/>
          <w:highlight w:val="none"/>
          <w:lang w:val="en-US" w:eastAsia="zh-CN"/>
        </w:rPr>
        <w:t>-21</w:t>
      </w:r>
      <w:r>
        <w:rPr>
          <w:rFonts w:hint="default" w:ascii="Times New Roman" w:hAnsi="Times New Roman" w:cs="Times New Roman"/>
          <w:color w:val="auto"/>
          <w:sz w:val="24"/>
          <w:highlight w:val="none"/>
        </w:rPr>
        <w:t>m</w:t>
      </w:r>
      <w:r>
        <w:rPr>
          <w:rFonts w:hint="eastAsia" w:cs="Times New Roman"/>
          <w:color w:val="auto"/>
          <w:sz w:val="24"/>
          <w:highlight w:val="none"/>
          <w:lang w:eastAsia="zh-CN"/>
        </w:rPr>
        <w:t>、</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rPr>
        <w:t>m</w:t>
      </w:r>
      <w:r>
        <w:rPr>
          <w:rFonts w:hint="eastAsia" w:cs="Times New Roman"/>
          <w:color w:val="auto"/>
          <w:sz w:val="24"/>
          <w:highlight w:val="none"/>
          <w:lang w:eastAsia="zh-CN"/>
        </w:rPr>
        <w:t>、</w:t>
      </w:r>
      <w:r>
        <w:rPr>
          <w:rFonts w:hint="eastAsia" w:cs="Times New Roman"/>
          <w:color w:val="auto"/>
          <w:sz w:val="24"/>
          <w:highlight w:val="none"/>
          <w:lang w:val="en-US" w:eastAsia="zh-CN"/>
        </w:rPr>
        <w:t>21</w:t>
      </w:r>
      <w:r>
        <w:rPr>
          <w:rFonts w:hint="default" w:ascii="Times New Roman" w:hAnsi="Times New Roman" w:cs="Times New Roman"/>
          <w:color w:val="auto"/>
          <w:sz w:val="24"/>
          <w:highlight w:val="none"/>
        </w:rPr>
        <w:t>m处；工频磁感应强度最大值为</w:t>
      </w:r>
      <w:r>
        <w:rPr>
          <w:rFonts w:hint="eastAsia" w:cs="Times New Roman"/>
          <w:color w:val="auto"/>
          <w:sz w:val="24"/>
          <w:highlight w:val="none"/>
          <w:lang w:val="en-US" w:eastAsia="zh-CN"/>
        </w:rPr>
        <w:t>1.3864</w:t>
      </w:r>
      <w:r>
        <w:rPr>
          <w:rFonts w:hint="default" w:ascii="Times New Roman" w:hAnsi="Times New Roman" w:cs="Times New Roman"/>
          <w:color w:val="auto"/>
          <w:sz w:val="24"/>
          <w:highlight w:val="none"/>
        </w:rPr>
        <w:t>μT，出现在距离线路中心线地面投影</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60BFF07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lang w:val="en-US" w:eastAsia="zh-CN"/>
        </w:rPr>
        <w:t>本项目110千伏</w:t>
      </w:r>
      <w:r>
        <w:rPr>
          <w:rFonts w:hint="default" w:ascii="Times New Roman" w:hAnsi="Times New Roman" w:cs="Times New Roman"/>
          <w:bCs/>
          <w:color w:val="auto"/>
          <w:sz w:val="24"/>
          <w:highlight w:val="none"/>
        </w:rPr>
        <w:t>双回架空线路段</w:t>
      </w:r>
      <w:r>
        <w:rPr>
          <w:rFonts w:hint="default" w:ascii="Times New Roman" w:hAnsi="Times New Roman" w:cs="Times New Roman"/>
          <w:color w:val="auto"/>
          <w:sz w:val="24"/>
          <w:highlight w:val="none"/>
        </w:rPr>
        <w:t>随着与线路中心线的距离增加，线路运行产生的工频电场强度、工频磁感应强度均逐渐减小。线路导线对地高度为</w:t>
      </w:r>
      <w:r>
        <w:rPr>
          <w:rFonts w:hint="eastAsia" w:cs="Times New Roman"/>
          <w:color w:val="auto"/>
          <w:sz w:val="24"/>
          <w:highlight w:val="none"/>
          <w:lang w:val="en-US" w:eastAsia="zh-CN"/>
        </w:rPr>
        <w:t>15.0</w:t>
      </w:r>
      <w:r>
        <w:rPr>
          <w:rFonts w:hint="default" w:ascii="Times New Roman" w:hAnsi="Times New Roman" w:cs="Times New Roman"/>
          <w:color w:val="auto"/>
          <w:sz w:val="24"/>
          <w:highlight w:val="none"/>
        </w:rPr>
        <w:t>m时，地面1.5m高度处的工频电场强度最大值为</w:t>
      </w:r>
      <w:r>
        <w:rPr>
          <w:rFonts w:hint="eastAsia" w:cs="Times New Roman"/>
          <w:bCs/>
          <w:color w:val="auto"/>
          <w:sz w:val="24"/>
          <w:highlight w:val="none"/>
          <w:lang w:val="en-US" w:eastAsia="zh-CN"/>
        </w:rPr>
        <w:t>0.837</w:t>
      </w:r>
      <w:r>
        <w:rPr>
          <w:rFonts w:hint="default" w:ascii="Times New Roman" w:hAnsi="Times New Roman" w:cs="Times New Roman"/>
          <w:color w:val="auto"/>
          <w:sz w:val="24"/>
          <w:highlight w:val="none"/>
        </w:rPr>
        <w:t>kV/m，出现在距离线路中心线地面投影</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rPr>
        <w:t>m处；工频磁感应强度最大值为</w:t>
      </w:r>
      <w:r>
        <w:rPr>
          <w:rFonts w:hint="eastAsia" w:cs="Times New Roman"/>
          <w:bCs/>
          <w:color w:val="auto"/>
          <w:sz w:val="24"/>
          <w:highlight w:val="none"/>
          <w:lang w:val="en-US" w:eastAsia="zh-CN"/>
        </w:rPr>
        <w:t>3.8877</w:t>
      </w:r>
      <w:r>
        <w:rPr>
          <w:rFonts w:hint="default" w:ascii="Times New Roman" w:hAnsi="Times New Roman" w:cs="Times New Roman"/>
          <w:color w:val="auto"/>
          <w:sz w:val="24"/>
          <w:highlight w:val="none"/>
        </w:rPr>
        <w:t>μT，出现在距离线路中心线地面投影</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1601A23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lang w:val="en-US" w:eastAsia="zh-CN"/>
        </w:rPr>
        <w:t>本项目110千伏</w:t>
      </w:r>
      <w:r>
        <w:rPr>
          <w:rFonts w:hint="default" w:ascii="Times New Roman" w:hAnsi="Times New Roman" w:cs="Times New Roman"/>
          <w:bCs/>
          <w:color w:val="auto"/>
          <w:sz w:val="24"/>
          <w:highlight w:val="none"/>
        </w:rPr>
        <w:t>双回架空线路段</w:t>
      </w:r>
      <w:r>
        <w:rPr>
          <w:rFonts w:hint="default" w:ascii="Times New Roman" w:hAnsi="Times New Roman" w:cs="Times New Roman"/>
          <w:bCs/>
          <w:color w:val="auto"/>
          <w:sz w:val="24"/>
          <w:highlight w:val="none"/>
          <w:lang w:eastAsia="zh-CN"/>
        </w:rPr>
        <w:t>（单侧运行）</w:t>
      </w:r>
      <w:r>
        <w:rPr>
          <w:rFonts w:hint="default" w:ascii="Times New Roman" w:hAnsi="Times New Roman" w:cs="Times New Roman"/>
          <w:color w:val="auto"/>
          <w:sz w:val="24"/>
          <w:highlight w:val="none"/>
        </w:rPr>
        <w:t>随着与线路中心线的距离增加，线路运行产生的工频电场强度、工频磁感应强度均逐渐减小。线路导线对地高度为1</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rPr>
        <w:t>m时，地面1.5m高度处的工频电场强度最大值为</w:t>
      </w:r>
      <w:r>
        <w:rPr>
          <w:rFonts w:hint="default" w:ascii="Times New Roman" w:hAnsi="Times New Roman" w:cs="Times New Roman"/>
          <w:bCs/>
          <w:color w:val="auto"/>
          <w:sz w:val="24"/>
          <w:highlight w:val="none"/>
          <w:lang w:val="en-US" w:eastAsia="zh-CN"/>
        </w:rPr>
        <w:t>0.</w:t>
      </w:r>
      <w:r>
        <w:rPr>
          <w:rFonts w:hint="eastAsia" w:cs="Times New Roman"/>
          <w:bCs/>
          <w:color w:val="auto"/>
          <w:sz w:val="24"/>
          <w:highlight w:val="none"/>
          <w:lang w:val="en-US" w:eastAsia="zh-CN"/>
        </w:rPr>
        <w:t>7151</w:t>
      </w:r>
      <w:r>
        <w:rPr>
          <w:rFonts w:hint="default" w:ascii="Times New Roman" w:hAnsi="Times New Roman" w:cs="Times New Roman"/>
          <w:color w:val="auto"/>
          <w:sz w:val="24"/>
          <w:highlight w:val="none"/>
        </w:rPr>
        <w:t>kV/m，出现在距离线路中心线地面投影</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m处；工频磁感应强度最大值为</w:t>
      </w:r>
      <w:r>
        <w:rPr>
          <w:rFonts w:hint="eastAsia" w:cs="Times New Roman"/>
          <w:bCs/>
          <w:color w:val="auto"/>
          <w:sz w:val="24"/>
          <w:highlight w:val="none"/>
          <w:lang w:val="en-US" w:eastAsia="zh-CN"/>
        </w:rPr>
        <w:t>2.8767</w:t>
      </w:r>
      <w:r>
        <w:rPr>
          <w:rFonts w:hint="default" w:ascii="Times New Roman" w:hAnsi="Times New Roman" w:cs="Times New Roman"/>
          <w:color w:val="auto"/>
          <w:sz w:val="24"/>
          <w:highlight w:val="none"/>
        </w:rPr>
        <w:t>μT，出现在距离线路中心线地面投影</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m处，分别满足《电磁环境控制限值》（GB8702-2014）架空输电线路下的耕地、园地、牧草地、畜禽饲养地、养殖水面、道路等场所10kV/m、</w:t>
      </w:r>
      <w:r>
        <w:rPr>
          <w:rFonts w:hint="default" w:ascii="Times New Roman" w:hAnsi="Times New Roman" w:cs="Times New Roman"/>
          <w:color w:val="auto"/>
          <w:sz w:val="24"/>
          <w:highlight w:val="none"/>
          <w:lang w:val="en-US" w:eastAsia="zh-CN"/>
        </w:rPr>
        <w:t>工频磁</w:t>
      </w:r>
      <w:r>
        <w:rPr>
          <w:rFonts w:hint="default" w:ascii="Times New Roman" w:hAnsi="Times New Roman" w:cs="Times New Roman"/>
          <w:bCs/>
          <w:color w:val="auto"/>
          <w:sz w:val="24"/>
          <w:highlight w:val="none"/>
        </w:rPr>
        <w:t>感应</w:t>
      </w:r>
      <w:r>
        <w:rPr>
          <w:rFonts w:hint="default" w:ascii="Times New Roman" w:hAnsi="Times New Roman" w:cs="Times New Roman"/>
          <w:color w:val="auto"/>
          <w:sz w:val="24"/>
          <w:highlight w:val="none"/>
          <w:lang w:val="en-US" w:eastAsia="zh-CN"/>
        </w:rPr>
        <w:t>强度</w:t>
      </w:r>
      <w:r>
        <w:rPr>
          <w:rFonts w:hint="default" w:ascii="Times New Roman" w:hAnsi="Times New Roman" w:cs="Times New Roman"/>
          <w:color w:val="auto"/>
          <w:sz w:val="24"/>
          <w:highlight w:val="none"/>
        </w:rPr>
        <w:t>100μT要求。</w:t>
      </w:r>
    </w:p>
    <w:p w14:paraId="4DF7D0F7">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综上所述，本项目</w:t>
      </w:r>
      <w:r>
        <w:rPr>
          <w:rFonts w:hint="default" w:ascii="Times New Roman" w:hAnsi="Times New Roman" w:cs="Times New Roman"/>
          <w:bCs/>
          <w:color w:val="auto"/>
          <w:sz w:val="24"/>
          <w:highlight w:val="none"/>
          <w:lang w:val="en-US" w:eastAsia="zh-CN"/>
        </w:rPr>
        <w:t>11</w:t>
      </w:r>
      <w:r>
        <w:rPr>
          <w:rFonts w:hint="default" w:ascii="Times New Roman" w:hAnsi="Times New Roman" w:cs="Times New Roman"/>
          <w:bCs/>
          <w:color w:val="auto"/>
          <w:sz w:val="24"/>
          <w:highlight w:val="none"/>
        </w:rPr>
        <w:t>0</w:t>
      </w:r>
      <w:r>
        <w:rPr>
          <w:rFonts w:hint="default" w:ascii="Times New Roman" w:hAnsi="Times New Roman" w:cs="Times New Roman"/>
          <w:bCs/>
          <w:color w:val="auto"/>
          <w:sz w:val="24"/>
          <w:highlight w:val="none"/>
          <w:lang w:val="en-US" w:eastAsia="zh-CN"/>
        </w:rPr>
        <w:t>千伏</w:t>
      </w:r>
      <w:r>
        <w:rPr>
          <w:rFonts w:hint="default" w:ascii="Times New Roman" w:hAnsi="Times New Roman" w:cs="Times New Roman"/>
          <w:bCs/>
          <w:color w:val="auto"/>
          <w:sz w:val="24"/>
          <w:highlight w:val="none"/>
        </w:rPr>
        <w:t>架空输电线路运行后产生的工频电场强度、工频磁感应强度均满足《电磁环境控制限值》（GB8702-2014）规定的公众曝露</w:t>
      </w:r>
      <w:r>
        <w:rPr>
          <w:rFonts w:hint="default" w:ascii="Times New Roman" w:hAnsi="Times New Roman" w:cs="Times New Roman"/>
          <w:bCs/>
          <w:color w:val="auto"/>
          <w:sz w:val="24"/>
          <w:highlight w:val="none"/>
          <w:lang w:val="en-US" w:eastAsia="zh-CN"/>
        </w:rPr>
        <w:t>控制</w:t>
      </w:r>
      <w:r>
        <w:rPr>
          <w:rFonts w:hint="default" w:ascii="Times New Roman" w:hAnsi="Times New Roman" w:cs="Times New Roman"/>
          <w:bCs/>
          <w:color w:val="auto"/>
          <w:sz w:val="24"/>
          <w:highlight w:val="none"/>
        </w:rPr>
        <w:t>限值工频电场强度4000V/m（架空输电线路下的耕地、园地、牧草地、畜禽饲养地、养殖水面、道路等场所10kV/m）、工频磁感应强度100μT要求。</w:t>
      </w:r>
    </w:p>
    <w:p w14:paraId="13FA1ECE">
      <w:pPr>
        <w:pStyle w:val="3"/>
        <w:keepNext/>
        <w:keepLines/>
        <w:spacing w:before="0" w:beforeAutospacing="0" w:after="0" w:afterAutospacing="0" w:line="360" w:lineRule="auto"/>
        <w:jc w:val="both"/>
        <w:rPr>
          <w:rFonts w:hint="default" w:ascii="Times New Roman" w:hAnsi="Times New Roman" w:eastAsia="宋体" w:cs="Times New Roman"/>
          <w:bCs/>
          <w:color w:val="auto"/>
          <w:spacing w:val="0"/>
          <w:kern w:val="2"/>
          <w:sz w:val="24"/>
          <w:szCs w:val="24"/>
          <w:highlight w:val="none"/>
          <w:lang w:val="en-US" w:eastAsia="zh-CN"/>
        </w:rPr>
      </w:pPr>
      <w:bookmarkStart w:id="344" w:name="_Toc2841"/>
      <w:bookmarkStart w:id="345" w:name="_Toc4221"/>
      <w:r>
        <w:rPr>
          <w:rFonts w:hint="default" w:ascii="Times New Roman" w:hAnsi="Times New Roman" w:eastAsia="宋体" w:cs="Times New Roman"/>
          <w:bCs/>
          <w:color w:val="auto"/>
          <w:spacing w:val="0"/>
          <w:kern w:val="2"/>
          <w:sz w:val="24"/>
          <w:szCs w:val="24"/>
          <w:highlight w:val="none"/>
          <w:lang w:val="en-US" w:eastAsia="zh-CN"/>
        </w:rPr>
        <w:t>7.3</w:t>
      </w:r>
      <w:r>
        <w:rPr>
          <w:rFonts w:hint="default" w:ascii="Times New Roman" w:hAnsi="Times New Roman" w:eastAsia="宋体" w:cs="Times New Roman"/>
          <w:bCs/>
          <w:color w:val="auto"/>
          <w:spacing w:val="0"/>
          <w:kern w:val="2"/>
          <w:sz w:val="24"/>
          <w:szCs w:val="24"/>
          <w:highlight w:val="none"/>
        </w:rPr>
        <w:t>电磁环境敏感目标预测</w:t>
      </w:r>
      <w:r>
        <w:rPr>
          <w:rFonts w:hint="default" w:ascii="Times New Roman" w:hAnsi="Times New Roman" w:eastAsia="宋体" w:cs="Times New Roman"/>
          <w:bCs/>
          <w:color w:val="auto"/>
          <w:spacing w:val="0"/>
          <w:kern w:val="2"/>
          <w:sz w:val="24"/>
          <w:szCs w:val="24"/>
          <w:highlight w:val="none"/>
          <w:lang w:val="en-US" w:eastAsia="zh-CN"/>
        </w:rPr>
        <w:t>结论</w:t>
      </w:r>
      <w:bookmarkEnd w:id="344"/>
      <w:bookmarkEnd w:id="345"/>
    </w:p>
    <w:p w14:paraId="4D1B1127">
      <w:pPr>
        <w:keepNext w:val="0"/>
        <w:keepLines w:val="0"/>
        <w:pageBreakBefore w:val="0"/>
        <w:widowControl w:val="0"/>
        <w:tabs>
          <w:tab w:val="left" w:pos="600"/>
        </w:tabs>
        <w:kinsoku/>
        <w:wordWrap/>
        <w:overflowPunct w:val="0"/>
        <w:topLinePunct w:val="0"/>
        <w:autoSpaceDE w:val="0"/>
        <w:autoSpaceDN w:val="0"/>
        <w:bidi w:val="0"/>
        <w:adjustRightInd w:val="0"/>
        <w:snapToGrid w:val="0"/>
        <w:spacing w:line="360" w:lineRule="auto"/>
        <w:ind w:firstLine="480" w:firstLineChars="200"/>
        <w:jc w:val="both"/>
        <w:textAlignment w:val="auto"/>
        <w:outlineLvl w:val="9"/>
        <w:rPr>
          <w:rFonts w:hint="default" w:ascii="Times New Roman" w:hAnsi="Times New Roman" w:cs="Times New Roman"/>
          <w:color w:val="auto"/>
          <w:sz w:val="24"/>
          <w:highlight w:val="none"/>
        </w:rPr>
        <w:sectPr>
          <w:pgSz w:w="11905" w:h="16838"/>
          <w:pgMar w:top="1417" w:right="1417" w:bottom="1417" w:left="1417" w:header="850" w:footer="1077" w:gutter="0"/>
          <w:pgBorders>
            <w:top w:val="none" w:sz="0" w:space="0"/>
            <w:left w:val="none" w:sz="0" w:space="0"/>
            <w:bottom w:val="none" w:sz="0" w:space="0"/>
            <w:right w:val="none" w:sz="0" w:space="0"/>
          </w:pgBorders>
          <w:pgNumType w:fmt="decimal"/>
          <w:cols w:space="720" w:num="1"/>
          <w:rtlGutter w:val="0"/>
          <w:docGrid w:linePitch="312" w:charSpace="0"/>
        </w:sectPr>
      </w:pPr>
      <w:r>
        <w:rPr>
          <w:rFonts w:hint="default" w:ascii="Times New Roman" w:hAnsi="Times New Roman" w:cs="Times New Roman"/>
          <w:color w:val="auto"/>
          <w:sz w:val="24"/>
          <w:highlight w:val="none"/>
        </w:rPr>
        <w:t>根据预测结果，拟建输电线路建成运行后，</w:t>
      </w:r>
      <w:r>
        <w:rPr>
          <w:rFonts w:hint="default" w:ascii="Times New Roman" w:hAnsi="Times New Roman" w:cs="Times New Roman"/>
          <w:color w:val="auto"/>
          <w:sz w:val="24"/>
          <w:highlight w:val="none"/>
          <w:lang w:val="en-US" w:eastAsia="zh-CN"/>
        </w:rPr>
        <w:t>架空输电</w:t>
      </w:r>
      <w:r>
        <w:rPr>
          <w:rFonts w:hint="default" w:ascii="Times New Roman" w:hAnsi="Times New Roman" w:cs="Times New Roman"/>
          <w:color w:val="auto"/>
          <w:sz w:val="24"/>
          <w:highlight w:val="none"/>
        </w:rPr>
        <w:t>线路在环境敏感目标处</w:t>
      </w:r>
      <w:r>
        <w:rPr>
          <w:rFonts w:hint="default" w:ascii="Times New Roman" w:hAnsi="Times New Roman" w:cs="Times New Roman"/>
          <w:color w:val="auto"/>
          <w:sz w:val="24"/>
          <w:highlight w:val="none"/>
          <w:lang w:val="en-US" w:eastAsia="zh-CN"/>
        </w:rPr>
        <w:t>距离地面1.5m处的</w:t>
      </w:r>
      <w:r>
        <w:rPr>
          <w:rFonts w:hint="default" w:ascii="Times New Roman" w:hAnsi="Times New Roman" w:cs="Times New Roman"/>
          <w:color w:val="auto"/>
          <w:sz w:val="24"/>
          <w:highlight w:val="none"/>
        </w:rPr>
        <w:t>工频电场强度</w:t>
      </w:r>
      <w:r>
        <w:rPr>
          <w:rFonts w:hint="default" w:ascii="Times New Roman" w:hAnsi="Times New Roman" w:cs="Times New Roman"/>
          <w:color w:val="auto"/>
          <w:sz w:val="24"/>
          <w:highlight w:val="none"/>
          <w:lang w:val="en-US" w:eastAsia="zh-CN"/>
        </w:rPr>
        <w:t>在0.0</w:t>
      </w:r>
      <w:r>
        <w:rPr>
          <w:rFonts w:hint="eastAsia" w:cs="Times New Roman"/>
          <w:color w:val="auto"/>
          <w:sz w:val="24"/>
          <w:highlight w:val="none"/>
          <w:lang w:val="en-US" w:eastAsia="zh-CN"/>
        </w:rPr>
        <w:t>781</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2604</w:t>
      </w:r>
      <w:r>
        <w:rPr>
          <w:rFonts w:hint="default" w:ascii="Times New Roman" w:hAnsi="Times New Roman" w:cs="Times New Roman"/>
          <w:color w:val="auto"/>
          <w:sz w:val="24"/>
          <w:highlight w:val="none"/>
        </w:rPr>
        <w:t>V/m之间、工频磁感应强度</w:t>
      </w:r>
      <w:r>
        <w:rPr>
          <w:rFonts w:hint="default" w:ascii="Times New Roman" w:hAnsi="Times New Roman" w:cs="Times New Roman"/>
          <w:color w:val="auto"/>
          <w:sz w:val="24"/>
          <w:highlight w:val="none"/>
          <w:lang w:val="en-US" w:eastAsia="zh-CN"/>
        </w:rPr>
        <w:t>在0.6</w:t>
      </w:r>
      <w:r>
        <w:rPr>
          <w:rFonts w:hint="eastAsia" w:cs="Times New Roman"/>
          <w:color w:val="auto"/>
          <w:sz w:val="24"/>
          <w:highlight w:val="none"/>
          <w:lang w:val="en-US" w:eastAsia="zh-CN"/>
        </w:rPr>
        <w:t>856</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1.6098</w:t>
      </w:r>
      <w:r>
        <w:rPr>
          <w:rFonts w:hint="default" w:ascii="Times New Roman" w:hAnsi="Times New Roman" w:cs="Times New Roman"/>
          <w:color w:val="auto"/>
          <w:sz w:val="24"/>
          <w:highlight w:val="none"/>
        </w:rPr>
        <w:t>μT之间</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均满足《电磁环境控制限值》（GB8072-2014）中规定的</w:t>
      </w:r>
      <w:r>
        <w:rPr>
          <w:rFonts w:hint="default" w:ascii="Times New Roman" w:hAnsi="Times New Roman" w:cs="Times New Roman"/>
          <w:bCs/>
          <w:color w:val="auto"/>
          <w:sz w:val="24"/>
          <w:highlight w:val="none"/>
        </w:rPr>
        <w:t>公众曝露</w:t>
      </w:r>
      <w:r>
        <w:rPr>
          <w:rFonts w:hint="default" w:ascii="Times New Roman" w:hAnsi="Times New Roman" w:cs="Times New Roman"/>
          <w:bCs/>
          <w:color w:val="auto"/>
          <w:sz w:val="24"/>
          <w:highlight w:val="none"/>
          <w:lang w:val="en-US" w:eastAsia="zh-CN"/>
        </w:rPr>
        <w:t>控制</w:t>
      </w:r>
      <w:r>
        <w:rPr>
          <w:rFonts w:hint="default" w:ascii="Times New Roman" w:hAnsi="Times New Roman" w:cs="Times New Roman"/>
          <w:bCs/>
          <w:color w:val="auto"/>
          <w:sz w:val="24"/>
          <w:highlight w:val="none"/>
        </w:rPr>
        <w:t>限值工频电场强度4000V/m、工频磁感应强度100μT要求。</w:t>
      </w:r>
      <w:r>
        <w:rPr>
          <w:rFonts w:hint="default" w:ascii="Times New Roman" w:hAnsi="Times New Roman" w:cs="Times New Roman"/>
          <w:color w:val="auto"/>
          <w:sz w:val="24"/>
          <w:highlight w:val="none"/>
        </w:rPr>
        <w:t>且线路实际架设高度高于7.</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m，会进一步减少对环境敏感目标的影响。因此，本项目输电线路投运后对电磁环境敏感目标的影响在接受范围内。</w:t>
      </w:r>
    </w:p>
    <w:p w14:paraId="33BE186F">
      <w:pPr>
        <w:pStyle w:val="53"/>
        <w:outlineLvl w:val="9"/>
        <w:rPr>
          <w:rFonts w:hint="default" w:ascii="Times New Roman" w:hAnsi="Times New Roman" w:cs="Times New Roman"/>
          <w:color w:val="auto"/>
          <w:lang w:eastAsia="zh-CN"/>
        </w:rPr>
      </w:pPr>
    </w:p>
    <w:p w14:paraId="4F55C4EA">
      <w:pPr>
        <w:pStyle w:val="53"/>
        <w:ind w:firstLine="0" w:firstLineChars="0"/>
        <w:jc w:val="center"/>
        <w:outlineLvl w:val="9"/>
        <w:rPr>
          <w:rFonts w:hint="eastAsia" w:ascii="Times New Roman" w:hAnsi="Times New Roman" w:eastAsia="黑体" w:cs="Times New Roman"/>
          <w:snapToGrid w:val="0"/>
          <w:color w:val="auto"/>
          <w:sz w:val="40"/>
          <w:szCs w:val="40"/>
          <w:lang w:eastAsia="zh-CN"/>
        </w:rPr>
      </w:pPr>
      <w:bookmarkStart w:id="346" w:name="_Toc1427"/>
      <w:bookmarkStart w:id="347" w:name="_Toc12491"/>
      <w:bookmarkStart w:id="348" w:name="_Toc9480"/>
      <w:bookmarkStart w:id="349" w:name="_Toc3967"/>
    </w:p>
    <w:p w14:paraId="60A2D60B">
      <w:pPr>
        <w:pStyle w:val="53"/>
        <w:ind w:firstLine="0" w:firstLineChars="0"/>
        <w:jc w:val="center"/>
        <w:outlineLvl w:val="9"/>
        <w:rPr>
          <w:rFonts w:hint="eastAsia" w:ascii="Times New Roman" w:hAnsi="Times New Roman" w:eastAsia="黑体" w:cs="Times New Roman"/>
          <w:snapToGrid w:val="0"/>
          <w:color w:val="auto"/>
          <w:sz w:val="40"/>
          <w:szCs w:val="40"/>
          <w:lang w:eastAsia="zh-CN"/>
        </w:rPr>
      </w:pPr>
    </w:p>
    <w:p w14:paraId="2FF0BA64">
      <w:pPr>
        <w:pStyle w:val="53"/>
        <w:ind w:firstLine="0" w:firstLineChars="0"/>
        <w:jc w:val="center"/>
        <w:outlineLvl w:val="0"/>
        <w:rPr>
          <w:rFonts w:hint="eastAsia" w:ascii="Times New Roman" w:hAnsi="Times New Roman" w:eastAsia="黑体" w:cs="Times New Roman"/>
          <w:snapToGrid w:val="0"/>
          <w:color w:val="auto"/>
          <w:sz w:val="40"/>
          <w:szCs w:val="40"/>
          <w:lang w:eastAsia="zh-CN"/>
        </w:rPr>
      </w:pPr>
      <w:bookmarkStart w:id="350" w:name="_Toc19430"/>
      <w:bookmarkStart w:id="351" w:name="_Toc3736"/>
      <w:r>
        <w:rPr>
          <w:rFonts w:hint="eastAsia" w:ascii="Times New Roman" w:hAnsi="Times New Roman" w:eastAsia="黑体" w:cs="Times New Roman"/>
          <w:snapToGrid w:val="0"/>
          <w:color w:val="auto"/>
          <w:sz w:val="40"/>
          <w:szCs w:val="40"/>
          <w:lang w:eastAsia="zh-CN"/>
        </w:rPr>
        <w:t>宁夏固原华电彭阳200兆瓦风电项目110千伏送出工程</w:t>
      </w:r>
      <w:bookmarkEnd w:id="350"/>
      <w:bookmarkEnd w:id="351"/>
    </w:p>
    <w:p w14:paraId="3DBE22C6">
      <w:pPr>
        <w:pStyle w:val="53"/>
        <w:ind w:firstLine="0" w:firstLineChars="0"/>
        <w:jc w:val="center"/>
        <w:outlineLvl w:val="0"/>
        <w:rPr>
          <w:rFonts w:hint="default" w:ascii="Times New Roman" w:hAnsi="Times New Roman" w:eastAsia="宋体" w:cs="Times New Roman"/>
          <w:b/>
          <w:bCs w:val="0"/>
          <w:color w:val="auto"/>
          <w:kern w:val="2"/>
          <w:sz w:val="72"/>
          <w:szCs w:val="72"/>
          <w:lang w:val="en-US" w:eastAsia="zh-CN" w:bidi="ar-SA"/>
        </w:rPr>
      </w:pPr>
      <w:bookmarkStart w:id="352" w:name="_Toc28675"/>
      <w:bookmarkStart w:id="353" w:name="_Toc17831"/>
      <w:r>
        <w:rPr>
          <w:rFonts w:hint="default" w:ascii="Times New Roman" w:hAnsi="Times New Roman" w:eastAsia="宋体" w:cs="Times New Roman"/>
          <w:b/>
          <w:bCs w:val="0"/>
          <w:color w:val="auto"/>
          <w:kern w:val="2"/>
          <w:sz w:val="72"/>
          <w:szCs w:val="72"/>
          <w:lang w:val="en-US" w:eastAsia="zh-CN" w:bidi="ar-SA"/>
        </w:rPr>
        <w:t>生态影响专题评价</w:t>
      </w:r>
      <w:bookmarkEnd w:id="346"/>
      <w:bookmarkEnd w:id="347"/>
      <w:bookmarkEnd w:id="348"/>
      <w:bookmarkEnd w:id="349"/>
      <w:bookmarkEnd w:id="352"/>
      <w:bookmarkEnd w:id="353"/>
    </w:p>
    <w:p w14:paraId="0AA48E7F">
      <w:pPr>
        <w:ind w:left="480"/>
        <w:jc w:val="center"/>
        <w:rPr>
          <w:rFonts w:hint="default" w:ascii="Times New Roman" w:hAnsi="Times New Roman" w:eastAsia="黑体" w:cs="Times New Roman"/>
          <w:color w:val="auto"/>
          <w:sz w:val="44"/>
          <w:szCs w:val="44"/>
          <w:highlight w:val="none"/>
        </w:rPr>
      </w:pPr>
    </w:p>
    <w:p w14:paraId="7DA60F48">
      <w:pPr>
        <w:pStyle w:val="95"/>
        <w:rPr>
          <w:rFonts w:hint="default" w:ascii="Times New Roman" w:hAnsi="Times New Roman" w:eastAsia="黑体" w:cs="Times New Roman"/>
          <w:color w:val="auto"/>
          <w:sz w:val="44"/>
          <w:szCs w:val="44"/>
          <w:highlight w:val="none"/>
        </w:rPr>
      </w:pPr>
    </w:p>
    <w:p w14:paraId="52952E7D">
      <w:pPr>
        <w:pStyle w:val="95"/>
        <w:rPr>
          <w:rFonts w:hint="default" w:ascii="Times New Roman" w:hAnsi="Times New Roman" w:eastAsia="黑体" w:cs="Times New Roman"/>
          <w:color w:val="auto"/>
          <w:sz w:val="44"/>
          <w:szCs w:val="44"/>
          <w:highlight w:val="none"/>
        </w:rPr>
      </w:pPr>
    </w:p>
    <w:p w14:paraId="2C32A5AC">
      <w:pPr>
        <w:pStyle w:val="95"/>
        <w:rPr>
          <w:rFonts w:hint="default" w:ascii="Times New Roman" w:hAnsi="Times New Roman" w:eastAsia="黑体" w:cs="Times New Roman"/>
          <w:color w:val="auto"/>
          <w:sz w:val="44"/>
          <w:szCs w:val="44"/>
          <w:highlight w:val="none"/>
        </w:rPr>
      </w:pPr>
    </w:p>
    <w:p w14:paraId="6DD0AAB1">
      <w:pPr>
        <w:pStyle w:val="95"/>
        <w:rPr>
          <w:rFonts w:hint="default" w:ascii="Times New Roman" w:hAnsi="Times New Roman" w:eastAsia="黑体" w:cs="Times New Roman"/>
          <w:color w:val="auto"/>
          <w:sz w:val="44"/>
          <w:szCs w:val="44"/>
          <w:highlight w:val="none"/>
        </w:rPr>
      </w:pPr>
    </w:p>
    <w:p w14:paraId="696C96D8">
      <w:pPr>
        <w:pStyle w:val="95"/>
        <w:rPr>
          <w:rFonts w:hint="default" w:ascii="Times New Roman" w:hAnsi="Times New Roman" w:eastAsia="黑体" w:cs="Times New Roman"/>
          <w:color w:val="auto"/>
          <w:sz w:val="44"/>
          <w:szCs w:val="44"/>
          <w:highlight w:val="none"/>
        </w:rPr>
      </w:pPr>
    </w:p>
    <w:p w14:paraId="4D0D4B6B">
      <w:pPr>
        <w:pStyle w:val="95"/>
        <w:rPr>
          <w:rFonts w:hint="default" w:ascii="Times New Roman" w:hAnsi="Times New Roman" w:eastAsia="黑体" w:cs="Times New Roman"/>
          <w:color w:val="auto"/>
          <w:sz w:val="44"/>
          <w:szCs w:val="44"/>
          <w:highlight w:val="none"/>
        </w:rPr>
      </w:pPr>
    </w:p>
    <w:p w14:paraId="2CC50FD6">
      <w:pPr>
        <w:pStyle w:val="95"/>
        <w:rPr>
          <w:rFonts w:hint="default" w:ascii="Times New Roman" w:hAnsi="Times New Roman" w:eastAsia="黑体" w:cs="Times New Roman"/>
          <w:color w:val="auto"/>
          <w:sz w:val="44"/>
          <w:szCs w:val="44"/>
          <w:highlight w:val="none"/>
        </w:rPr>
      </w:pPr>
    </w:p>
    <w:p w14:paraId="24DF6234">
      <w:pPr>
        <w:pStyle w:val="95"/>
        <w:rPr>
          <w:rFonts w:hint="default" w:ascii="Times New Roman" w:hAnsi="Times New Roman" w:eastAsia="黑体" w:cs="Times New Roman"/>
          <w:color w:val="auto"/>
          <w:sz w:val="44"/>
          <w:szCs w:val="44"/>
          <w:highlight w:val="none"/>
        </w:rPr>
      </w:pPr>
    </w:p>
    <w:p w14:paraId="349F054E">
      <w:pPr>
        <w:pStyle w:val="95"/>
        <w:rPr>
          <w:rFonts w:hint="default" w:ascii="Times New Roman" w:hAnsi="Times New Roman" w:eastAsia="黑体" w:cs="Times New Roman"/>
          <w:color w:val="auto"/>
          <w:sz w:val="44"/>
          <w:szCs w:val="44"/>
          <w:highlight w:val="none"/>
        </w:rPr>
      </w:pPr>
    </w:p>
    <w:p w14:paraId="2B8C08B3">
      <w:pPr>
        <w:pStyle w:val="95"/>
        <w:rPr>
          <w:rFonts w:hint="default" w:ascii="Times New Roman" w:hAnsi="Times New Roman" w:eastAsia="黑体" w:cs="Times New Roman"/>
          <w:color w:val="auto"/>
          <w:sz w:val="44"/>
          <w:szCs w:val="44"/>
          <w:highlight w:val="none"/>
        </w:rPr>
      </w:pPr>
    </w:p>
    <w:p w14:paraId="055498E2">
      <w:pPr>
        <w:pStyle w:val="7"/>
        <w:ind w:firstLine="420"/>
        <w:jc w:val="center"/>
        <w:rPr>
          <w:rFonts w:hint="default" w:ascii="Times New Roman" w:hAnsi="Times New Roman" w:cs="Times New Roman"/>
          <w:color w:val="auto"/>
          <w:highlight w:val="none"/>
        </w:rPr>
      </w:pPr>
    </w:p>
    <w:tbl>
      <w:tblPr>
        <w:tblStyle w:val="31"/>
        <w:tblW w:w="7212" w:type="dxa"/>
        <w:jc w:val="center"/>
        <w:tblLayout w:type="fixed"/>
        <w:tblCellMar>
          <w:top w:w="0" w:type="dxa"/>
          <w:left w:w="108" w:type="dxa"/>
          <w:bottom w:w="0" w:type="dxa"/>
          <w:right w:w="108" w:type="dxa"/>
        </w:tblCellMar>
      </w:tblPr>
      <w:tblGrid>
        <w:gridCol w:w="1711"/>
        <w:gridCol w:w="5501"/>
      </w:tblGrid>
      <w:tr w14:paraId="0E381DBE">
        <w:tblPrEx>
          <w:tblCellMar>
            <w:top w:w="0" w:type="dxa"/>
            <w:left w:w="108" w:type="dxa"/>
            <w:bottom w:w="0" w:type="dxa"/>
            <w:right w:w="108" w:type="dxa"/>
          </w:tblCellMar>
        </w:tblPrEx>
        <w:trPr>
          <w:jc w:val="center"/>
        </w:trPr>
        <w:tc>
          <w:tcPr>
            <w:tcW w:w="1711" w:type="dxa"/>
            <w:noWrap w:val="0"/>
            <w:vAlign w:val="top"/>
          </w:tcPr>
          <w:p w14:paraId="59842288">
            <w:pPr>
              <w:rPr>
                <w:rFonts w:hint="default" w:ascii="Times New Roman" w:hAnsi="Times New Roman" w:cs="Times New Roman"/>
                <w:b/>
                <w:color w:val="auto"/>
                <w:sz w:val="30"/>
                <w:szCs w:val="30"/>
                <w:highlight w:val="none"/>
              </w:rPr>
            </w:pPr>
            <w:r>
              <w:rPr>
                <w:rFonts w:hint="default" w:ascii="Times New Roman" w:hAnsi="Times New Roman" w:cs="Times New Roman"/>
                <w:b/>
                <w:color w:val="auto"/>
                <w:sz w:val="30"/>
                <w:szCs w:val="30"/>
                <w:highlight w:val="none"/>
              </w:rPr>
              <w:t>建设单位：</w:t>
            </w:r>
          </w:p>
        </w:tc>
        <w:tc>
          <w:tcPr>
            <w:tcW w:w="5501" w:type="dxa"/>
            <w:noWrap w:val="0"/>
            <w:vAlign w:val="top"/>
          </w:tcPr>
          <w:p w14:paraId="61D6E443">
            <w:pPr>
              <w:tabs>
                <w:tab w:val="left" w:pos="4410"/>
              </w:tabs>
              <w:jc w:val="distribute"/>
              <w:rPr>
                <w:rFonts w:hint="default" w:ascii="Times New Roman" w:hAnsi="Times New Roman" w:cs="Times New Roman"/>
                <w:b/>
                <w:color w:val="auto"/>
                <w:sz w:val="30"/>
                <w:szCs w:val="30"/>
                <w:highlight w:val="none"/>
              </w:rPr>
            </w:pPr>
            <w:r>
              <w:rPr>
                <w:rFonts w:hint="default" w:ascii="Times New Roman" w:hAnsi="Times New Roman" w:cs="Times New Roman"/>
                <w:b/>
                <w:color w:val="auto"/>
                <w:sz w:val="30"/>
                <w:szCs w:val="30"/>
                <w:highlight w:val="none"/>
              </w:rPr>
              <w:t>国网宁夏电力有限公司</w:t>
            </w:r>
            <w:r>
              <w:rPr>
                <w:rFonts w:hint="default" w:ascii="Times New Roman" w:hAnsi="Times New Roman" w:cs="Times New Roman"/>
                <w:b/>
                <w:color w:val="auto"/>
                <w:sz w:val="30"/>
                <w:szCs w:val="30"/>
                <w:highlight w:val="none"/>
                <w:lang w:eastAsia="zh-CN"/>
              </w:rPr>
              <w:t>固原供电公司</w:t>
            </w:r>
            <w:r>
              <w:rPr>
                <w:rFonts w:hint="default" w:ascii="Times New Roman" w:hAnsi="Times New Roman" w:cs="Times New Roman"/>
                <w:b/>
                <w:color w:val="auto"/>
                <w:sz w:val="30"/>
                <w:szCs w:val="30"/>
                <w:highlight w:val="none"/>
                <w:lang w:val="en-US" w:eastAsia="zh-CN"/>
              </w:rPr>
              <w:t xml:space="preserve"> </w:t>
            </w:r>
          </w:p>
        </w:tc>
      </w:tr>
      <w:tr w14:paraId="6FA495E1">
        <w:tblPrEx>
          <w:tblCellMar>
            <w:top w:w="0" w:type="dxa"/>
            <w:left w:w="108" w:type="dxa"/>
            <w:bottom w:w="0" w:type="dxa"/>
            <w:right w:w="108" w:type="dxa"/>
          </w:tblCellMar>
        </w:tblPrEx>
        <w:trPr>
          <w:jc w:val="center"/>
        </w:trPr>
        <w:tc>
          <w:tcPr>
            <w:tcW w:w="1711" w:type="dxa"/>
            <w:noWrap w:val="0"/>
            <w:vAlign w:val="top"/>
          </w:tcPr>
          <w:p w14:paraId="725D8880">
            <w:pPr>
              <w:rPr>
                <w:rFonts w:hint="default" w:ascii="Times New Roman" w:hAnsi="Times New Roman" w:cs="Times New Roman"/>
                <w:b/>
                <w:color w:val="auto"/>
                <w:sz w:val="30"/>
                <w:szCs w:val="30"/>
                <w:highlight w:val="none"/>
              </w:rPr>
            </w:pPr>
            <w:r>
              <w:rPr>
                <w:rFonts w:hint="default" w:ascii="Times New Roman" w:hAnsi="Times New Roman" w:cs="Times New Roman"/>
                <w:b/>
                <w:color w:val="auto"/>
                <w:sz w:val="30"/>
                <w:szCs w:val="30"/>
                <w:highlight w:val="none"/>
              </w:rPr>
              <w:t>编制单位：</w:t>
            </w:r>
          </w:p>
        </w:tc>
        <w:tc>
          <w:tcPr>
            <w:tcW w:w="5501" w:type="dxa"/>
            <w:noWrap w:val="0"/>
            <w:vAlign w:val="top"/>
          </w:tcPr>
          <w:p w14:paraId="01CA51CD">
            <w:pPr>
              <w:jc w:val="distribute"/>
              <w:rPr>
                <w:rFonts w:hint="default" w:ascii="Times New Roman" w:hAnsi="Times New Roman" w:cs="Times New Roman"/>
                <w:b/>
                <w:color w:val="auto"/>
                <w:sz w:val="30"/>
                <w:szCs w:val="30"/>
                <w:highlight w:val="none"/>
              </w:rPr>
            </w:pPr>
            <w:r>
              <w:rPr>
                <w:rFonts w:hint="default" w:ascii="Times New Roman" w:hAnsi="Times New Roman" w:cs="Times New Roman"/>
                <w:b/>
                <w:color w:val="auto"/>
                <w:sz w:val="30"/>
                <w:szCs w:val="30"/>
                <w:highlight w:val="none"/>
              </w:rPr>
              <w:t>宁夏</w:t>
            </w:r>
            <w:r>
              <w:rPr>
                <w:rFonts w:hint="default" w:ascii="Times New Roman" w:hAnsi="Times New Roman" w:cs="Times New Roman"/>
                <w:b/>
                <w:color w:val="auto"/>
                <w:sz w:val="30"/>
                <w:szCs w:val="30"/>
                <w:highlight w:val="none"/>
                <w:lang w:val="en-US" w:eastAsia="zh-CN"/>
              </w:rPr>
              <w:t>致清</w:t>
            </w:r>
            <w:r>
              <w:rPr>
                <w:rFonts w:hint="default" w:ascii="Times New Roman" w:hAnsi="Times New Roman" w:cs="Times New Roman"/>
                <w:b/>
                <w:color w:val="auto"/>
                <w:sz w:val="30"/>
                <w:szCs w:val="30"/>
                <w:highlight w:val="none"/>
              </w:rPr>
              <w:t>环</w:t>
            </w:r>
            <w:r>
              <w:rPr>
                <w:rFonts w:hint="default" w:ascii="Times New Roman" w:hAnsi="Times New Roman" w:cs="Times New Roman"/>
                <w:b/>
                <w:color w:val="auto"/>
                <w:sz w:val="30"/>
                <w:szCs w:val="30"/>
                <w:highlight w:val="none"/>
                <w:lang w:val="en-US" w:eastAsia="zh-CN"/>
              </w:rPr>
              <w:t>境</w:t>
            </w:r>
            <w:r>
              <w:rPr>
                <w:rFonts w:hint="default" w:ascii="Times New Roman" w:hAnsi="Times New Roman" w:cs="Times New Roman"/>
                <w:b/>
                <w:color w:val="auto"/>
                <w:sz w:val="30"/>
                <w:szCs w:val="30"/>
                <w:highlight w:val="none"/>
              </w:rPr>
              <w:t>科技有限公司</w:t>
            </w:r>
          </w:p>
        </w:tc>
      </w:tr>
    </w:tbl>
    <w:p w14:paraId="6F9EA11D">
      <w:pPr>
        <w:ind w:left="480"/>
        <w:jc w:val="center"/>
        <w:rPr>
          <w:rFonts w:hint="default" w:ascii="Times New Roman" w:hAnsi="Times New Roman" w:cs="Times New Roman"/>
          <w:b/>
          <w:color w:val="auto"/>
          <w:sz w:val="30"/>
          <w:szCs w:val="30"/>
          <w:highlight w:val="none"/>
        </w:rPr>
      </w:pPr>
    </w:p>
    <w:p w14:paraId="7451179B">
      <w:pPr>
        <w:widowControl/>
        <w:jc w:val="center"/>
        <w:rPr>
          <w:rFonts w:hint="default" w:ascii="Times New Roman" w:hAnsi="Times New Roman" w:cs="Times New Roman"/>
          <w:color w:val="auto"/>
          <w:highlight w:val="none"/>
        </w:rPr>
        <w:sectPr>
          <w:footerReference r:id="rId16" w:type="default"/>
          <w:pgSz w:w="11906" w:h="16838"/>
          <w:pgMar w:top="1417" w:right="1191" w:bottom="1417" w:left="1134"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26E346E">
      <w:pPr>
        <w:widowControl/>
        <w:jc w:val="center"/>
        <w:rPr>
          <w:rFonts w:hint="default" w:ascii="Times New Roman" w:hAnsi="Times New Roman" w:cs="Times New Roman"/>
          <w:color w:val="auto"/>
          <w:highlight w:val="none"/>
        </w:rPr>
        <w:sectPr>
          <w:footerReference r:id="rId17" w:type="default"/>
          <w:pgSz w:w="11906" w:h="16838"/>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208BC6A">
      <w:pPr>
        <w:bidi w:val="0"/>
        <w:jc w:val="center"/>
        <w:rPr>
          <w:rFonts w:hint="default" w:ascii="Times New Roman" w:hAnsi="Times New Roman" w:cs="Times New Roman"/>
          <w:b/>
          <w:bCs/>
          <w:color w:val="auto"/>
          <w:sz w:val="36"/>
          <w:szCs w:val="36"/>
          <w:highlight w:val="none"/>
          <w:lang w:val="en-US" w:eastAsia="zh-CN"/>
        </w:rPr>
      </w:pPr>
      <w:bookmarkStart w:id="354" w:name="_Toc109767186"/>
      <w:bookmarkStart w:id="355" w:name="_Toc9263_WPSOffice_Level1"/>
      <w:r>
        <w:rPr>
          <w:rFonts w:hint="default" w:ascii="Times New Roman" w:hAnsi="Times New Roman" w:cs="Times New Roman"/>
          <w:b/>
          <w:bCs/>
          <w:color w:val="auto"/>
          <w:sz w:val="36"/>
          <w:szCs w:val="36"/>
          <w:highlight w:val="none"/>
          <w:lang w:val="en-US" w:eastAsia="zh-CN"/>
        </w:rPr>
        <w:t>目  录</w:t>
      </w:r>
    </w:p>
    <w:p w14:paraId="28F5DBBB">
      <w:pPr>
        <w:pStyle w:val="21"/>
        <w:tabs>
          <w:tab w:val="right" w:leader="dot" w:pos="8306"/>
        </w:tabs>
        <w:rPr>
          <w:color w:val="auto"/>
        </w:rPr>
      </w:pPr>
      <w:r>
        <w:rPr>
          <w:rFonts w:hint="default" w:ascii="Times New Roman" w:hAnsi="Times New Roman" w:cs="Times New Roman"/>
          <w:bCs/>
          <w:color w:val="auto"/>
          <w:sz w:val="24"/>
          <w:szCs w:val="24"/>
          <w:highlight w:val="none"/>
          <w:lang w:val="en-US" w:eastAsia="zh-CN"/>
        </w:rPr>
        <w:fldChar w:fldCharType="begin"/>
      </w:r>
      <w:r>
        <w:rPr>
          <w:rFonts w:hint="default" w:ascii="Times New Roman" w:hAnsi="Times New Roman" w:cs="Times New Roman"/>
          <w:bCs/>
          <w:color w:val="auto"/>
          <w:sz w:val="24"/>
          <w:szCs w:val="24"/>
          <w:highlight w:val="none"/>
          <w:lang w:val="en-US" w:eastAsia="zh-CN"/>
        </w:rPr>
        <w:instrText xml:space="preserve">TOC \o "1-2" \h \u </w:instrText>
      </w:r>
      <w:r>
        <w:rPr>
          <w:rFonts w:hint="default" w:ascii="Times New Roman" w:hAnsi="Times New Roman" w:cs="Times New Roman"/>
          <w:bCs/>
          <w:color w:val="auto"/>
          <w:sz w:val="24"/>
          <w:szCs w:val="24"/>
          <w:highlight w:val="none"/>
          <w:lang w:val="en-US" w:eastAsia="zh-CN"/>
        </w:rPr>
        <w:fldChar w:fldCharType="separate"/>
      </w:r>
    </w:p>
    <w:p w14:paraId="6C77C48D">
      <w:pPr>
        <w:pStyle w:val="21"/>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_Toc18073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color w:val="auto"/>
          <w:szCs w:val="28"/>
        </w:rPr>
        <w:t>1总则</w:t>
      </w:r>
      <w:r>
        <w:rPr>
          <w:color w:val="auto"/>
        </w:rPr>
        <w:tab/>
      </w:r>
      <w:r>
        <w:rPr>
          <w:color w:val="auto"/>
        </w:rPr>
        <w:fldChar w:fldCharType="begin"/>
      </w:r>
      <w:r>
        <w:rPr>
          <w:color w:val="auto"/>
        </w:rPr>
        <w:instrText xml:space="preserve"> PAGEREF _Toc18073 \h </w:instrText>
      </w:r>
      <w:r>
        <w:rPr>
          <w:color w:val="auto"/>
        </w:rPr>
        <w:fldChar w:fldCharType="separate"/>
      </w:r>
      <w:r>
        <w:rPr>
          <w:color w:val="auto"/>
        </w:rPr>
        <w:t>1</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2CD129A9">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_Toc20756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color w:val="auto"/>
          <w:spacing w:val="0"/>
          <w:kern w:val="2"/>
          <w:szCs w:val="24"/>
        </w:rPr>
        <w:t>1.1基本任务</w:t>
      </w:r>
      <w:r>
        <w:rPr>
          <w:color w:val="auto"/>
        </w:rPr>
        <w:tab/>
      </w:r>
      <w:r>
        <w:rPr>
          <w:color w:val="auto"/>
        </w:rPr>
        <w:fldChar w:fldCharType="begin"/>
      </w:r>
      <w:r>
        <w:rPr>
          <w:color w:val="auto"/>
        </w:rPr>
        <w:instrText xml:space="preserve"> PAGEREF _Toc20756 \h </w:instrText>
      </w:r>
      <w:r>
        <w:rPr>
          <w:color w:val="auto"/>
        </w:rPr>
        <w:fldChar w:fldCharType="separate"/>
      </w:r>
      <w:r>
        <w:rPr>
          <w:color w:val="auto"/>
        </w:rPr>
        <w:t>1</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4AD0CD87">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_Toc16865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color w:val="auto"/>
          <w:spacing w:val="0"/>
          <w:kern w:val="2"/>
          <w:szCs w:val="24"/>
        </w:rPr>
        <w:t>1.2评价依据</w:t>
      </w:r>
      <w:r>
        <w:rPr>
          <w:color w:val="auto"/>
        </w:rPr>
        <w:tab/>
      </w:r>
      <w:r>
        <w:rPr>
          <w:color w:val="auto"/>
        </w:rPr>
        <w:fldChar w:fldCharType="begin"/>
      </w:r>
      <w:r>
        <w:rPr>
          <w:color w:val="auto"/>
        </w:rPr>
        <w:instrText xml:space="preserve"> PAGEREF _Toc16865 \h </w:instrText>
      </w:r>
      <w:r>
        <w:rPr>
          <w:color w:val="auto"/>
        </w:rPr>
        <w:fldChar w:fldCharType="separate"/>
      </w:r>
      <w:r>
        <w:rPr>
          <w:color w:val="auto"/>
        </w:rPr>
        <w:t>1</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7F60728F">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_Toc22061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color w:val="auto"/>
          <w:spacing w:val="0"/>
          <w:kern w:val="2"/>
          <w:szCs w:val="24"/>
        </w:rPr>
        <w:t>1.3工作程序</w:t>
      </w:r>
      <w:r>
        <w:rPr>
          <w:color w:val="auto"/>
        </w:rPr>
        <w:tab/>
      </w:r>
      <w:r>
        <w:rPr>
          <w:color w:val="auto"/>
        </w:rPr>
        <w:fldChar w:fldCharType="begin"/>
      </w:r>
      <w:r>
        <w:rPr>
          <w:color w:val="auto"/>
        </w:rPr>
        <w:instrText xml:space="preserve"> PAGEREF _Toc22061 \h </w:instrText>
      </w:r>
      <w:r>
        <w:rPr>
          <w:color w:val="auto"/>
        </w:rPr>
        <w:fldChar w:fldCharType="separate"/>
      </w:r>
      <w:r>
        <w:rPr>
          <w:color w:val="auto"/>
        </w:rPr>
        <w:t>3</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0972413A">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_Toc18158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color w:val="auto"/>
          <w:spacing w:val="0"/>
          <w:kern w:val="2"/>
          <w:szCs w:val="24"/>
        </w:rPr>
        <w:t>1.4评价等级</w:t>
      </w:r>
      <w:r>
        <w:rPr>
          <w:color w:val="auto"/>
        </w:rPr>
        <w:tab/>
      </w:r>
      <w:r>
        <w:rPr>
          <w:color w:val="auto"/>
        </w:rPr>
        <w:fldChar w:fldCharType="begin"/>
      </w:r>
      <w:r>
        <w:rPr>
          <w:color w:val="auto"/>
        </w:rPr>
        <w:instrText xml:space="preserve"> PAGEREF _Toc18158 \h </w:instrText>
      </w:r>
      <w:r>
        <w:rPr>
          <w:color w:val="auto"/>
        </w:rPr>
        <w:fldChar w:fldCharType="separate"/>
      </w:r>
      <w:r>
        <w:rPr>
          <w:color w:val="auto"/>
        </w:rPr>
        <w:t>4</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4509EC85">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_Toc20349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color w:val="auto"/>
          <w:spacing w:val="0"/>
          <w:kern w:val="2"/>
          <w:szCs w:val="24"/>
        </w:rPr>
        <w:t>1.5评价范围</w:t>
      </w:r>
      <w:r>
        <w:rPr>
          <w:color w:val="auto"/>
        </w:rPr>
        <w:tab/>
      </w:r>
      <w:r>
        <w:rPr>
          <w:color w:val="auto"/>
        </w:rPr>
        <w:fldChar w:fldCharType="begin"/>
      </w:r>
      <w:r>
        <w:rPr>
          <w:color w:val="auto"/>
        </w:rPr>
        <w:instrText xml:space="preserve"> PAGEREF _Toc20349 \h </w:instrText>
      </w:r>
      <w:r>
        <w:rPr>
          <w:color w:val="auto"/>
        </w:rPr>
        <w:fldChar w:fldCharType="separate"/>
      </w:r>
      <w:r>
        <w:rPr>
          <w:color w:val="auto"/>
        </w:rPr>
        <w:t>4</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653B8981">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_Toc24089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color w:val="auto"/>
          <w:spacing w:val="0"/>
          <w:kern w:val="2"/>
          <w:szCs w:val="24"/>
        </w:rPr>
        <w:t>1.6生态影响评价因子</w:t>
      </w:r>
      <w:r>
        <w:rPr>
          <w:color w:val="auto"/>
        </w:rPr>
        <w:tab/>
      </w:r>
      <w:r>
        <w:rPr>
          <w:color w:val="auto"/>
        </w:rPr>
        <w:fldChar w:fldCharType="begin"/>
      </w:r>
      <w:r>
        <w:rPr>
          <w:color w:val="auto"/>
        </w:rPr>
        <w:instrText xml:space="preserve"> PAGEREF _Toc24089 \h </w:instrText>
      </w:r>
      <w:r>
        <w:rPr>
          <w:color w:val="auto"/>
        </w:rPr>
        <w:fldChar w:fldCharType="separate"/>
      </w:r>
      <w:r>
        <w:rPr>
          <w:color w:val="auto"/>
        </w:rPr>
        <w:t>5</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0074606D">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_Toc14875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color w:val="auto"/>
          <w:spacing w:val="0"/>
          <w:kern w:val="2"/>
          <w:szCs w:val="24"/>
        </w:rPr>
        <w:t>1.7评价内容</w:t>
      </w:r>
      <w:r>
        <w:rPr>
          <w:color w:val="auto"/>
        </w:rPr>
        <w:tab/>
      </w:r>
      <w:r>
        <w:rPr>
          <w:color w:val="auto"/>
        </w:rPr>
        <w:fldChar w:fldCharType="begin"/>
      </w:r>
      <w:r>
        <w:rPr>
          <w:color w:val="auto"/>
        </w:rPr>
        <w:instrText xml:space="preserve"> PAGEREF _Toc14875 \h </w:instrText>
      </w:r>
      <w:r>
        <w:rPr>
          <w:color w:val="auto"/>
        </w:rPr>
        <w:fldChar w:fldCharType="separate"/>
      </w:r>
      <w:r>
        <w:rPr>
          <w:color w:val="auto"/>
        </w:rPr>
        <w:t>6</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635D557C">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_Toc19585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color w:val="auto"/>
          <w:spacing w:val="0"/>
          <w:kern w:val="2"/>
          <w:szCs w:val="24"/>
        </w:rPr>
        <w:t>1.8生态保护目标</w:t>
      </w:r>
      <w:r>
        <w:rPr>
          <w:color w:val="auto"/>
        </w:rPr>
        <w:tab/>
      </w:r>
      <w:r>
        <w:rPr>
          <w:color w:val="auto"/>
        </w:rPr>
        <w:fldChar w:fldCharType="begin"/>
      </w:r>
      <w:r>
        <w:rPr>
          <w:color w:val="auto"/>
        </w:rPr>
        <w:instrText xml:space="preserve"> PAGEREF _Toc19585 \h </w:instrText>
      </w:r>
      <w:r>
        <w:rPr>
          <w:color w:val="auto"/>
        </w:rPr>
        <w:fldChar w:fldCharType="separate"/>
      </w:r>
      <w:r>
        <w:rPr>
          <w:color w:val="auto"/>
        </w:rPr>
        <w:t>7</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4F4E7F1D">
      <w:pPr>
        <w:pStyle w:val="21"/>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_Toc10302 </w:instrText>
      </w:r>
      <w:r>
        <w:rPr>
          <w:rFonts w:hint="default" w:ascii="Times New Roman" w:hAnsi="Times New Roman" w:cs="Times New Roman"/>
          <w:bCs/>
          <w:color w:val="auto"/>
          <w:szCs w:val="24"/>
          <w:highlight w:val="none"/>
          <w:lang w:val="en-US" w:eastAsia="zh-CN"/>
        </w:rPr>
        <w:fldChar w:fldCharType="separate"/>
      </w:r>
      <w:r>
        <w:rPr>
          <w:rFonts w:hint="eastAsia" w:eastAsia="宋体" w:cs="Times New Roman"/>
          <w:bCs/>
          <w:color w:val="auto"/>
          <w:szCs w:val="28"/>
          <w:lang w:val="en-US" w:eastAsia="zh-CN"/>
        </w:rPr>
        <w:t>2</w:t>
      </w:r>
      <w:r>
        <w:rPr>
          <w:rFonts w:hint="default" w:ascii="Times New Roman" w:hAnsi="Times New Roman" w:eastAsia="宋体" w:cs="Times New Roman"/>
          <w:bCs/>
          <w:color w:val="auto"/>
          <w:szCs w:val="28"/>
        </w:rPr>
        <w:t>生态现状调查与评价</w:t>
      </w:r>
      <w:r>
        <w:rPr>
          <w:color w:val="auto"/>
        </w:rPr>
        <w:tab/>
      </w:r>
      <w:r>
        <w:rPr>
          <w:color w:val="auto"/>
        </w:rPr>
        <w:fldChar w:fldCharType="begin"/>
      </w:r>
      <w:r>
        <w:rPr>
          <w:color w:val="auto"/>
        </w:rPr>
        <w:instrText xml:space="preserve"> PAGEREF _Toc10302 \h </w:instrText>
      </w:r>
      <w:r>
        <w:rPr>
          <w:color w:val="auto"/>
        </w:rPr>
        <w:fldChar w:fldCharType="separate"/>
      </w:r>
      <w:r>
        <w:rPr>
          <w:color w:val="auto"/>
        </w:rPr>
        <w:t>8</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0B6645A4">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_Toc2481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cs="Times New Roman"/>
          <w:bCs/>
          <w:color w:val="auto"/>
          <w:spacing w:val="0"/>
          <w:kern w:val="2"/>
          <w:szCs w:val="24"/>
          <w:lang w:val="en-US" w:eastAsia="zh-CN"/>
        </w:rPr>
        <w:t>2</w:t>
      </w:r>
      <w:r>
        <w:rPr>
          <w:rFonts w:hint="default" w:ascii="Times New Roman" w:hAnsi="Times New Roman" w:eastAsia="宋体" w:cs="Times New Roman"/>
          <w:bCs/>
          <w:color w:val="auto"/>
          <w:spacing w:val="0"/>
          <w:kern w:val="2"/>
          <w:szCs w:val="24"/>
        </w:rPr>
        <w:t>.</w:t>
      </w:r>
      <w:r>
        <w:rPr>
          <w:rFonts w:hint="default" w:ascii="Times New Roman" w:hAnsi="Times New Roman" w:cs="Times New Roman"/>
          <w:bCs/>
          <w:color w:val="auto"/>
          <w:spacing w:val="0"/>
          <w:kern w:val="2"/>
          <w:szCs w:val="24"/>
          <w:lang w:val="en-US" w:eastAsia="zh-CN"/>
        </w:rPr>
        <w:t>1</w:t>
      </w:r>
      <w:r>
        <w:rPr>
          <w:rFonts w:hint="default" w:ascii="Times New Roman" w:hAnsi="Times New Roman" w:eastAsia="宋体" w:cs="Times New Roman"/>
          <w:bCs/>
          <w:color w:val="auto"/>
          <w:spacing w:val="0"/>
          <w:kern w:val="2"/>
          <w:szCs w:val="24"/>
        </w:rPr>
        <w:t>生态调查与评价方法</w:t>
      </w:r>
      <w:r>
        <w:rPr>
          <w:color w:val="auto"/>
        </w:rPr>
        <w:tab/>
      </w:r>
      <w:r>
        <w:rPr>
          <w:color w:val="auto"/>
        </w:rPr>
        <w:fldChar w:fldCharType="begin"/>
      </w:r>
      <w:r>
        <w:rPr>
          <w:color w:val="auto"/>
        </w:rPr>
        <w:instrText xml:space="preserve"> PAGEREF _Toc2481 \h </w:instrText>
      </w:r>
      <w:r>
        <w:rPr>
          <w:color w:val="auto"/>
        </w:rPr>
        <w:fldChar w:fldCharType="separate"/>
      </w:r>
      <w:r>
        <w:rPr>
          <w:color w:val="auto"/>
        </w:rPr>
        <w:t>8</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26CBB0A7">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_Toc16136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cs="Times New Roman"/>
          <w:bCs/>
          <w:color w:val="auto"/>
          <w:spacing w:val="0"/>
          <w:kern w:val="2"/>
          <w:szCs w:val="24"/>
          <w:lang w:val="en-US" w:eastAsia="zh-CN"/>
        </w:rPr>
        <w:t>2</w:t>
      </w:r>
      <w:r>
        <w:rPr>
          <w:rFonts w:hint="default" w:ascii="Times New Roman" w:hAnsi="Times New Roman" w:eastAsia="宋体" w:cs="Times New Roman"/>
          <w:bCs/>
          <w:color w:val="auto"/>
          <w:spacing w:val="0"/>
          <w:kern w:val="2"/>
          <w:szCs w:val="24"/>
        </w:rPr>
        <w:t>.</w:t>
      </w:r>
      <w:r>
        <w:rPr>
          <w:rFonts w:hint="default" w:ascii="Times New Roman" w:hAnsi="Times New Roman" w:cs="Times New Roman"/>
          <w:bCs/>
          <w:color w:val="auto"/>
          <w:spacing w:val="0"/>
          <w:kern w:val="2"/>
          <w:szCs w:val="24"/>
          <w:lang w:val="en-US" w:eastAsia="zh-CN"/>
        </w:rPr>
        <w:t>2</w:t>
      </w:r>
      <w:r>
        <w:rPr>
          <w:rFonts w:hint="default" w:ascii="Times New Roman" w:hAnsi="Times New Roman" w:eastAsia="宋体" w:cs="Times New Roman"/>
          <w:bCs/>
          <w:color w:val="auto"/>
          <w:spacing w:val="0"/>
          <w:kern w:val="2"/>
          <w:szCs w:val="24"/>
        </w:rPr>
        <w:t>生态环境现状调查与评价</w:t>
      </w:r>
      <w:r>
        <w:rPr>
          <w:color w:val="auto"/>
        </w:rPr>
        <w:tab/>
      </w:r>
      <w:r>
        <w:rPr>
          <w:color w:val="auto"/>
        </w:rPr>
        <w:fldChar w:fldCharType="begin"/>
      </w:r>
      <w:r>
        <w:rPr>
          <w:color w:val="auto"/>
        </w:rPr>
        <w:instrText xml:space="preserve"> PAGEREF _Toc16136 \h </w:instrText>
      </w:r>
      <w:r>
        <w:rPr>
          <w:color w:val="auto"/>
        </w:rPr>
        <w:fldChar w:fldCharType="separate"/>
      </w:r>
      <w:r>
        <w:rPr>
          <w:color w:val="auto"/>
        </w:rPr>
        <w:t>12</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786CCF63">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_Toc10974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cs="Times New Roman"/>
          <w:bCs/>
          <w:color w:val="auto"/>
          <w:spacing w:val="0"/>
          <w:kern w:val="2"/>
          <w:szCs w:val="24"/>
          <w:lang w:val="en-US" w:eastAsia="zh-CN"/>
        </w:rPr>
        <w:t>2.3</w:t>
      </w:r>
      <w:r>
        <w:rPr>
          <w:rFonts w:hint="eastAsia" w:ascii="Times New Roman" w:hAnsi="Times New Roman" w:cs="Times New Roman"/>
          <w:bCs/>
          <w:color w:val="auto"/>
          <w:spacing w:val="0"/>
          <w:kern w:val="2"/>
          <w:szCs w:val="24"/>
          <w:lang w:val="en-US" w:eastAsia="en-US"/>
        </w:rPr>
        <w:t>生态敏感区现状调查</w:t>
      </w:r>
      <w:r>
        <w:rPr>
          <w:color w:val="auto"/>
        </w:rPr>
        <w:tab/>
      </w:r>
      <w:r>
        <w:rPr>
          <w:color w:val="auto"/>
        </w:rPr>
        <w:fldChar w:fldCharType="begin"/>
      </w:r>
      <w:r>
        <w:rPr>
          <w:color w:val="auto"/>
        </w:rPr>
        <w:instrText xml:space="preserve"> PAGEREF _Toc10974 \h </w:instrText>
      </w:r>
      <w:r>
        <w:rPr>
          <w:color w:val="auto"/>
        </w:rPr>
        <w:fldChar w:fldCharType="separate"/>
      </w:r>
      <w:r>
        <w:rPr>
          <w:color w:val="auto"/>
        </w:rPr>
        <w:t>24</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166305EB">
      <w:pPr>
        <w:pStyle w:val="21"/>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_Toc14586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cs="Times New Roman" w:eastAsiaTheme="minorEastAsia"/>
          <w:bCs/>
          <w:color w:val="auto"/>
          <w:szCs w:val="28"/>
          <w:lang w:val="en-US" w:eastAsia="zh-CN"/>
        </w:rPr>
        <w:t>3</w:t>
      </w:r>
      <w:r>
        <w:rPr>
          <w:rFonts w:hint="default" w:ascii="Times New Roman" w:hAnsi="Times New Roman" w:cs="Times New Roman" w:eastAsiaTheme="minorEastAsia"/>
          <w:bCs/>
          <w:color w:val="auto"/>
          <w:szCs w:val="28"/>
          <w:lang w:val="zh-CN"/>
        </w:rPr>
        <w:t>生态影响预测与评价</w:t>
      </w:r>
      <w:r>
        <w:rPr>
          <w:color w:val="auto"/>
        </w:rPr>
        <w:tab/>
      </w:r>
      <w:r>
        <w:rPr>
          <w:color w:val="auto"/>
        </w:rPr>
        <w:fldChar w:fldCharType="begin"/>
      </w:r>
      <w:r>
        <w:rPr>
          <w:color w:val="auto"/>
        </w:rPr>
        <w:instrText xml:space="preserve"> PAGEREF _Toc14586 \h </w:instrText>
      </w:r>
      <w:r>
        <w:rPr>
          <w:color w:val="auto"/>
        </w:rPr>
        <w:fldChar w:fldCharType="separate"/>
      </w:r>
      <w:r>
        <w:rPr>
          <w:color w:val="auto"/>
        </w:rPr>
        <w:t>27</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4085E95F">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_Toc31293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cs="Times New Roman" w:eastAsiaTheme="minorEastAsia"/>
          <w:bCs/>
          <w:snapToGrid w:val="0"/>
          <w:color w:val="auto"/>
          <w:spacing w:val="-17"/>
          <w:kern w:val="0"/>
          <w:szCs w:val="24"/>
          <w:lang w:val="en-US" w:eastAsia="zh-CN" w:bidi="ar-SA"/>
        </w:rPr>
        <w:t>3</w:t>
      </w:r>
      <w:r>
        <w:rPr>
          <w:rFonts w:hint="default" w:ascii="Times New Roman" w:hAnsi="Times New Roman" w:cs="Times New Roman" w:eastAsiaTheme="minorEastAsia"/>
          <w:bCs/>
          <w:snapToGrid w:val="0"/>
          <w:color w:val="auto"/>
          <w:spacing w:val="-17"/>
          <w:kern w:val="0"/>
          <w:szCs w:val="24"/>
          <w:lang w:val="en-US" w:eastAsia="en-US" w:bidi="ar-SA"/>
        </w:rPr>
        <w:t>.1评价区生态现状评价</w:t>
      </w:r>
      <w:r>
        <w:rPr>
          <w:color w:val="auto"/>
        </w:rPr>
        <w:tab/>
      </w:r>
      <w:r>
        <w:rPr>
          <w:color w:val="auto"/>
        </w:rPr>
        <w:fldChar w:fldCharType="begin"/>
      </w:r>
      <w:r>
        <w:rPr>
          <w:color w:val="auto"/>
        </w:rPr>
        <w:instrText xml:space="preserve"> PAGEREF _Toc31293 \h </w:instrText>
      </w:r>
      <w:r>
        <w:rPr>
          <w:color w:val="auto"/>
        </w:rPr>
        <w:fldChar w:fldCharType="separate"/>
      </w:r>
      <w:r>
        <w:rPr>
          <w:color w:val="auto"/>
        </w:rPr>
        <w:t>27</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298E5A04">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_Toc4700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eastAsia="宋体" w:cs="Times New Roman"/>
          <w:bCs/>
          <w:snapToGrid w:val="0"/>
          <w:color w:val="auto"/>
          <w:spacing w:val="-17"/>
          <w:kern w:val="0"/>
          <w:szCs w:val="24"/>
          <w:lang w:val="en-US" w:eastAsia="zh-CN" w:bidi="ar-SA"/>
        </w:rPr>
        <w:t>3</w:t>
      </w:r>
      <w:r>
        <w:rPr>
          <w:rFonts w:ascii="Times New Roman" w:hAnsi="Times New Roman" w:eastAsia="Times New Roman" w:cs="Times New Roman"/>
          <w:bCs/>
          <w:snapToGrid w:val="0"/>
          <w:color w:val="auto"/>
          <w:spacing w:val="-17"/>
          <w:kern w:val="0"/>
          <w:szCs w:val="24"/>
          <w:lang w:val="en-US" w:eastAsia="en-US" w:bidi="ar-SA"/>
        </w:rPr>
        <w:t xml:space="preserve">.2 </w:t>
      </w:r>
      <w:r>
        <w:rPr>
          <w:rFonts w:ascii="宋体" w:hAnsi="宋体" w:eastAsia="宋体" w:cs="宋体"/>
          <w:bCs/>
          <w:snapToGrid w:val="0"/>
          <w:color w:val="auto"/>
          <w:spacing w:val="0"/>
          <w:kern w:val="0"/>
          <w:szCs w:val="24"/>
          <w:lang w:val="en-US" w:eastAsia="en-US" w:bidi="ar-SA"/>
        </w:rPr>
        <w:t>生态影响预测与评价</w:t>
      </w:r>
      <w:r>
        <w:rPr>
          <w:color w:val="auto"/>
        </w:rPr>
        <w:tab/>
      </w:r>
      <w:r>
        <w:rPr>
          <w:color w:val="auto"/>
        </w:rPr>
        <w:fldChar w:fldCharType="begin"/>
      </w:r>
      <w:r>
        <w:rPr>
          <w:color w:val="auto"/>
        </w:rPr>
        <w:instrText xml:space="preserve"> PAGEREF _Toc4700 \h </w:instrText>
      </w:r>
      <w:r>
        <w:rPr>
          <w:color w:val="auto"/>
        </w:rPr>
        <w:fldChar w:fldCharType="separate"/>
      </w:r>
      <w:r>
        <w:rPr>
          <w:color w:val="auto"/>
        </w:rPr>
        <w:t>31</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23BB6056">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_Toc6710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eastAsia="宋体" w:cs="Times New Roman"/>
          <w:bCs/>
          <w:snapToGrid w:val="0"/>
          <w:color w:val="auto"/>
          <w:spacing w:val="-17"/>
          <w:kern w:val="0"/>
          <w:szCs w:val="24"/>
          <w:lang w:val="en-US" w:eastAsia="zh-CN" w:bidi="ar-SA"/>
        </w:rPr>
        <w:t>3</w:t>
      </w:r>
      <w:r>
        <w:rPr>
          <w:rFonts w:hint="eastAsia" w:ascii="Times New Roman" w:hAnsi="Times New Roman" w:eastAsia="宋体" w:cs="Times New Roman"/>
          <w:bCs/>
          <w:snapToGrid w:val="0"/>
          <w:color w:val="auto"/>
          <w:spacing w:val="-17"/>
          <w:kern w:val="0"/>
          <w:szCs w:val="24"/>
          <w:lang w:val="en-US" w:eastAsia="en-US" w:bidi="ar-SA"/>
        </w:rPr>
        <w:t>.3对生态敏感区的影响</w:t>
      </w:r>
      <w:r>
        <w:rPr>
          <w:color w:val="auto"/>
        </w:rPr>
        <w:tab/>
      </w:r>
      <w:r>
        <w:rPr>
          <w:color w:val="auto"/>
        </w:rPr>
        <w:fldChar w:fldCharType="begin"/>
      </w:r>
      <w:r>
        <w:rPr>
          <w:color w:val="auto"/>
        </w:rPr>
        <w:instrText xml:space="preserve"> PAGEREF _Toc6710 \h </w:instrText>
      </w:r>
      <w:r>
        <w:rPr>
          <w:color w:val="auto"/>
        </w:rPr>
        <w:fldChar w:fldCharType="separate"/>
      </w:r>
      <w:r>
        <w:rPr>
          <w:color w:val="auto"/>
        </w:rPr>
        <w:t>39</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241E18D1">
      <w:pPr>
        <w:pStyle w:val="21"/>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_Toc9779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eastAsia="宋体" w:cs="Times New Roman"/>
          <w:bCs w:val="0"/>
          <w:color w:val="auto"/>
          <w:kern w:val="44"/>
          <w:szCs w:val="28"/>
          <w:highlight w:val="none"/>
          <w:lang w:val="en-US" w:eastAsia="zh-CN" w:bidi="ar-SA"/>
        </w:rPr>
        <w:t>4</w:t>
      </w:r>
      <w:r>
        <w:rPr>
          <w:rFonts w:hint="default" w:ascii="Times New Roman" w:hAnsi="Times New Roman" w:eastAsia="宋体" w:cs="Times New Roman"/>
          <w:bCs w:val="0"/>
          <w:color w:val="auto"/>
          <w:kern w:val="44"/>
          <w:szCs w:val="28"/>
          <w:highlight w:val="none"/>
          <w:lang w:val="en-US" w:eastAsia="en-US" w:bidi="ar-SA"/>
        </w:rPr>
        <w:t>生态保护对策措施</w:t>
      </w:r>
      <w:r>
        <w:rPr>
          <w:color w:val="auto"/>
        </w:rPr>
        <w:tab/>
      </w:r>
      <w:r>
        <w:rPr>
          <w:color w:val="auto"/>
        </w:rPr>
        <w:fldChar w:fldCharType="begin"/>
      </w:r>
      <w:r>
        <w:rPr>
          <w:color w:val="auto"/>
        </w:rPr>
        <w:instrText xml:space="preserve"> PAGEREF _Toc9779 \h </w:instrText>
      </w:r>
      <w:r>
        <w:rPr>
          <w:color w:val="auto"/>
        </w:rPr>
        <w:fldChar w:fldCharType="separate"/>
      </w:r>
      <w:r>
        <w:rPr>
          <w:color w:val="auto"/>
        </w:rPr>
        <w:t>42</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61A3D96B">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_Toc6926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eastAsia="宋体" w:cs="Times New Roman"/>
          <w:bCs/>
          <w:snapToGrid w:val="0"/>
          <w:color w:val="auto"/>
          <w:spacing w:val="0"/>
          <w:kern w:val="0"/>
          <w:szCs w:val="24"/>
          <w:lang w:val="en-US" w:eastAsia="zh-CN" w:bidi="ar-SA"/>
        </w:rPr>
        <w:t>4</w:t>
      </w:r>
      <w:r>
        <w:rPr>
          <w:rFonts w:ascii="Times New Roman" w:hAnsi="Times New Roman" w:eastAsia="Times New Roman" w:cs="Times New Roman"/>
          <w:bCs/>
          <w:snapToGrid w:val="0"/>
          <w:color w:val="auto"/>
          <w:spacing w:val="0"/>
          <w:kern w:val="0"/>
          <w:szCs w:val="24"/>
          <w:lang w:val="en-US" w:eastAsia="en-US" w:bidi="ar-SA"/>
        </w:rPr>
        <w:t>.1</w:t>
      </w:r>
      <w:r>
        <w:rPr>
          <w:rFonts w:ascii="宋体" w:hAnsi="宋体" w:eastAsia="宋体" w:cs="宋体"/>
          <w:bCs/>
          <w:snapToGrid w:val="0"/>
          <w:color w:val="auto"/>
          <w:spacing w:val="0"/>
          <w:kern w:val="0"/>
          <w:szCs w:val="24"/>
          <w:lang w:val="en-US" w:eastAsia="en-US" w:bidi="ar-SA"/>
        </w:rPr>
        <w:t>生</w:t>
      </w:r>
      <w:r>
        <w:rPr>
          <w:rFonts w:hint="default" w:ascii="Times New Roman" w:hAnsi="Times New Roman" w:eastAsia="宋体" w:cs="Times New Roman"/>
          <w:bCs/>
          <w:snapToGrid w:val="0"/>
          <w:color w:val="auto"/>
          <w:spacing w:val="0"/>
          <w:kern w:val="0"/>
          <w:szCs w:val="24"/>
          <w:lang w:val="en-US" w:eastAsia="en-US" w:bidi="ar-SA"/>
        </w:rPr>
        <w:t>态保护</w:t>
      </w:r>
      <w:r>
        <w:rPr>
          <w:rFonts w:hint="default" w:ascii="Times New Roman" w:hAnsi="Times New Roman" w:eastAsia="宋体" w:cs="Times New Roman"/>
          <w:bCs/>
          <w:snapToGrid w:val="0"/>
          <w:color w:val="auto"/>
          <w:spacing w:val="-17"/>
          <w:kern w:val="0"/>
          <w:szCs w:val="24"/>
          <w:lang w:val="en-US" w:eastAsia="en-US" w:bidi="ar-SA"/>
        </w:rPr>
        <w:t>与恢复措施</w:t>
      </w:r>
      <w:r>
        <w:rPr>
          <w:color w:val="auto"/>
        </w:rPr>
        <w:tab/>
      </w:r>
      <w:r>
        <w:rPr>
          <w:color w:val="auto"/>
        </w:rPr>
        <w:fldChar w:fldCharType="begin"/>
      </w:r>
      <w:r>
        <w:rPr>
          <w:color w:val="auto"/>
        </w:rPr>
        <w:instrText xml:space="preserve"> PAGEREF _Toc6926 \h </w:instrText>
      </w:r>
      <w:r>
        <w:rPr>
          <w:color w:val="auto"/>
        </w:rPr>
        <w:fldChar w:fldCharType="separate"/>
      </w:r>
      <w:r>
        <w:rPr>
          <w:color w:val="auto"/>
        </w:rPr>
        <w:t>42</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02DB96D8">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_Toc10167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snapToGrid w:val="0"/>
          <w:color w:val="auto"/>
          <w:spacing w:val="0"/>
          <w:kern w:val="0"/>
          <w:szCs w:val="24"/>
          <w:lang w:val="en-US" w:eastAsia="zh-CN" w:bidi="ar-SA"/>
        </w:rPr>
        <w:t>4</w:t>
      </w:r>
      <w:r>
        <w:rPr>
          <w:rFonts w:hint="default" w:ascii="Times New Roman" w:hAnsi="Times New Roman" w:eastAsia="宋体" w:cs="Times New Roman"/>
          <w:bCs/>
          <w:snapToGrid w:val="0"/>
          <w:color w:val="auto"/>
          <w:spacing w:val="0"/>
          <w:kern w:val="0"/>
          <w:szCs w:val="24"/>
          <w:lang w:val="en-US" w:eastAsia="en-US" w:bidi="ar-SA"/>
        </w:rPr>
        <w:t>.2植物保护措施</w:t>
      </w:r>
      <w:r>
        <w:rPr>
          <w:color w:val="auto"/>
        </w:rPr>
        <w:tab/>
      </w:r>
      <w:r>
        <w:rPr>
          <w:color w:val="auto"/>
        </w:rPr>
        <w:fldChar w:fldCharType="begin"/>
      </w:r>
      <w:r>
        <w:rPr>
          <w:color w:val="auto"/>
        </w:rPr>
        <w:instrText xml:space="preserve"> PAGEREF _Toc10167 \h </w:instrText>
      </w:r>
      <w:r>
        <w:rPr>
          <w:color w:val="auto"/>
        </w:rPr>
        <w:fldChar w:fldCharType="separate"/>
      </w:r>
      <w:r>
        <w:rPr>
          <w:color w:val="auto"/>
        </w:rPr>
        <w:t>45</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28F06DC5">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_Toc24315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snapToGrid w:val="0"/>
          <w:color w:val="auto"/>
          <w:spacing w:val="0"/>
          <w:kern w:val="0"/>
          <w:szCs w:val="24"/>
          <w:lang w:val="en-US" w:eastAsia="zh-CN" w:bidi="ar-SA"/>
        </w:rPr>
        <w:t>4</w:t>
      </w:r>
      <w:r>
        <w:rPr>
          <w:rFonts w:hint="default" w:ascii="Times New Roman" w:hAnsi="Times New Roman" w:eastAsia="宋体" w:cs="Times New Roman"/>
          <w:bCs/>
          <w:snapToGrid w:val="0"/>
          <w:color w:val="auto"/>
          <w:spacing w:val="0"/>
          <w:kern w:val="0"/>
          <w:szCs w:val="24"/>
          <w:lang w:val="en-US" w:eastAsia="en-US" w:bidi="ar-SA"/>
        </w:rPr>
        <w:t>.3动物保护措施</w:t>
      </w:r>
      <w:r>
        <w:rPr>
          <w:color w:val="auto"/>
        </w:rPr>
        <w:tab/>
      </w:r>
      <w:r>
        <w:rPr>
          <w:color w:val="auto"/>
        </w:rPr>
        <w:fldChar w:fldCharType="begin"/>
      </w:r>
      <w:r>
        <w:rPr>
          <w:color w:val="auto"/>
        </w:rPr>
        <w:instrText xml:space="preserve"> PAGEREF _Toc24315 \h </w:instrText>
      </w:r>
      <w:r>
        <w:rPr>
          <w:color w:val="auto"/>
        </w:rPr>
        <w:fldChar w:fldCharType="separate"/>
      </w:r>
      <w:r>
        <w:rPr>
          <w:color w:val="auto"/>
        </w:rPr>
        <w:t>48</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74BFCD83">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_Toc1188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snapToGrid w:val="0"/>
          <w:color w:val="auto"/>
          <w:spacing w:val="0"/>
          <w:kern w:val="0"/>
          <w:szCs w:val="24"/>
          <w:lang w:val="en-US" w:eastAsia="zh-CN" w:bidi="ar-SA"/>
        </w:rPr>
        <w:t>4</w:t>
      </w:r>
      <w:r>
        <w:rPr>
          <w:rFonts w:hint="default" w:ascii="Times New Roman" w:hAnsi="Times New Roman" w:eastAsia="宋体" w:cs="Times New Roman"/>
          <w:bCs/>
          <w:snapToGrid w:val="0"/>
          <w:color w:val="auto"/>
          <w:spacing w:val="0"/>
          <w:kern w:val="0"/>
          <w:szCs w:val="24"/>
          <w:lang w:val="en-US" w:eastAsia="en-US" w:bidi="ar-SA"/>
        </w:rPr>
        <w:t>.4对生态敏感区的保护措施</w:t>
      </w:r>
      <w:r>
        <w:rPr>
          <w:color w:val="auto"/>
        </w:rPr>
        <w:tab/>
      </w:r>
      <w:r>
        <w:rPr>
          <w:color w:val="auto"/>
        </w:rPr>
        <w:fldChar w:fldCharType="begin"/>
      </w:r>
      <w:r>
        <w:rPr>
          <w:color w:val="auto"/>
        </w:rPr>
        <w:instrText xml:space="preserve"> PAGEREF _Toc1188 \h </w:instrText>
      </w:r>
      <w:r>
        <w:rPr>
          <w:color w:val="auto"/>
        </w:rPr>
        <w:fldChar w:fldCharType="separate"/>
      </w:r>
      <w:r>
        <w:rPr>
          <w:color w:val="auto"/>
        </w:rPr>
        <w:t>49</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2715F088">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_Toc18367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snapToGrid w:val="0"/>
          <w:color w:val="auto"/>
          <w:spacing w:val="0"/>
          <w:kern w:val="0"/>
          <w:szCs w:val="24"/>
          <w:lang w:val="en-US" w:eastAsia="zh-CN" w:bidi="ar-SA"/>
        </w:rPr>
        <w:t>4</w:t>
      </w:r>
      <w:r>
        <w:rPr>
          <w:rFonts w:hint="default" w:ascii="Times New Roman" w:hAnsi="Times New Roman" w:eastAsia="宋体" w:cs="Times New Roman"/>
          <w:bCs/>
          <w:snapToGrid w:val="0"/>
          <w:color w:val="auto"/>
          <w:spacing w:val="0"/>
          <w:kern w:val="0"/>
          <w:szCs w:val="24"/>
          <w:lang w:val="en-US" w:eastAsia="en-US" w:bidi="ar-SA"/>
        </w:rPr>
        <w:t>.5生态管理</w:t>
      </w:r>
      <w:r>
        <w:rPr>
          <w:color w:val="auto"/>
        </w:rPr>
        <w:tab/>
      </w:r>
      <w:r>
        <w:rPr>
          <w:color w:val="auto"/>
        </w:rPr>
        <w:fldChar w:fldCharType="begin"/>
      </w:r>
      <w:r>
        <w:rPr>
          <w:color w:val="auto"/>
        </w:rPr>
        <w:instrText xml:space="preserve"> PAGEREF _Toc18367 \h </w:instrText>
      </w:r>
      <w:r>
        <w:rPr>
          <w:color w:val="auto"/>
        </w:rPr>
        <w:fldChar w:fldCharType="separate"/>
      </w:r>
      <w:r>
        <w:rPr>
          <w:color w:val="auto"/>
        </w:rPr>
        <w:t>50</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34287E6F">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_Toc24279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snapToGrid w:val="0"/>
          <w:color w:val="auto"/>
          <w:spacing w:val="0"/>
          <w:kern w:val="0"/>
          <w:szCs w:val="24"/>
          <w:lang w:val="en-US" w:eastAsia="zh-CN" w:bidi="ar-SA"/>
        </w:rPr>
        <w:t>4</w:t>
      </w:r>
      <w:r>
        <w:rPr>
          <w:rFonts w:hint="default" w:ascii="Times New Roman" w:hAnsi="Times New Roman" w:eastAsia="宋体" w:cs="Times New Roman"/>
          <w:bCs/>
          <w:snapToGrid w:val="0"/>
          <w:color w:val="auto"/>
          <w:spacing w:val="0"/>
          <w:kern w:val="0"/>
          <w:szCs w:val="24"/>
          <w:lang w:val="en-US" w:eastAsia="en-US" w:bidi="ar-SA"/>
        </w:rPr>
        <w:t>.6施工期生态管理</w:t>
      </w:r>
      <w:r>
        <w:rPr>
          <w:color w:val="auto"/>
        </w:rPr>
        <w:tab/>
      </w:r>
      <w:r>
        <w:rPr>
          <w:color w:val="auto"/>
        </w:rPr>
        <w:fldChar w:fldCharType="begin"/>
      </w:r>
      <w:r>
        <w:rPr>
          <w:color w:val="auto"/>
        </w:rPr>
        <w:instrText xml:space="preserve"> PAGEREF _Toc24279 \h </w:instrText>
      </w:r>
      <w:r>
        <w:rPr>
          <w:color w:val="auto"/>
        </w:rPr>
        <w:fldChar w:fldCharType="separate"/>
      </w:r>
      <w:r>
        <w:rPr>
          <w:color w:val="auto"/>
        </w:rPr>
        <w:t>50</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72281723">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_Toc16962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snapToGrid w:val="0"/>
          <w:color w:val="auto"/>
          <w:spacing w:val="0"/>
          <w:kern w:val="0"/>
          <w:szCs w:val="24"/>
          <w:lang w:val="en-US" w:eastAsia="zh-CN" w:bidi="ar-SA"/>
        </w:rPr>
        <w:t>4</w:t>
      </w:r>
      <w:r>
        <w:rPr>
          <w:rFonts w:hint="default" w:ascii="Times New Roman" w:hAnsi="Times New Roman" w:eastAsia="宋体" w:cs="Times New Roman"/>
          <w:bCs/>
          <w:snapToGrid w:val="0"/>
          <w:color w:val="auto"/>
          <w:spacing w:val="0"/>
          <w:kern w:val="0"/>
          <w:szCs w:val="24"/>
          <w:lang w:val="en-US" w:eastAsia="en-US" w:bidi="ar-SA"/>
        </w:rPr>
        <w:t>.7运行期生态管理</w:t>
      </w:r>
      <w:r>
        <w:rPr>
          <w:color w:val="auto"/>
        </w:rPr>
        <w:tab/>
      </w:r>
      <w:r>
        <w:rPr>
          <w:color w:val="auto"/>
        </w:rPr>
        <w:fldChar w:fldCharType="begin"/>
      </w:r>
      <w:r>
        <w:rPr>
          <w:color w:val="auto"/>
        </w:rPr>
        <w:instrText xml:space="preserve"> PAGEREF _Toc16962 \h </w:instrText>
      </w:r>
      <w:r>
        <w:rPr>
          <w:color w:val="auto"/>
        </w:rPr>
        <w:fldChar w:fldCharType="separate"/>
      </w:r>
      <w:r>
        <w:rPr>
          <w:color w:val="auto"/>
        </w:rPr>
        <w:t>50</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38DD6DE8">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_Toc26 </w:instrText>
      </w:r>
      <w:r>
        <w:rPr>
          <w:rFonts w:hint="default" w:ascii="Times New Roman" w:hAnsi="Times New Roman" w:cs="Times New Roman"/>
          <w:bCs/>
          <w:color w:val="auto"/>
          <w:szCs w:val="24"/>
          <w:highlight w:val="none"/>
          <w:lang w:val="en-US" w:eastAsia="zh-CN"/>
        </w:rPr>
        <w:fldChar w:fldCharType="separate"/>
      </w:r>
      <w:r>
        <w:rPr>
          <w:rFonts w:hint="default" w:ascii="Times New Roman" w:hAnsi="Times New Roman" w:eastAsia="宋体" w:cs="Times New Roman"/>
          <w:bCs/>
          <w:snapToGrid w:val="0"/>
          <w:color w:val="auto"/>
          <w:spacing w:val="0"/>
          <w:kern w:val="0"/>
          <w:szCs w:val="24"/>
          <w:lang w:val="en-US" w:eastAsia="zh-CN" w:bidi="ar-SA"/>
        </w:rPr>
        <w:t>4</w:t>
      </w:r>
      <w:r>
        <w:rPr>
          <w:rFonts w:hint="default" w:ascii="Times New Roman" w:hAnsi="Times New Roman" w:eastAsia="宋体" w:cs="Times New Roman"/>
          <w:bCs/>
          <w:snapToGrid w:val="0"/>
          <w:color w:val="auto"/>
          <w:spacing w:val="0"/>
          <w:kern w:val="0"/>
          <w:szCs w:val="24"/>
          <w:lang w:val="en-US" w:eastAsia="en-US" w:bidi="ar-SA"/>
        </w:rPr>
        <w:t>.8生态监测</w:t>
      </w:r>
      <w:r>
        <w:rPr>
          <w:color w:val="auto"/>
        </w:rPr>
        <w:tab/>
      </w:r>
      <w:r>
        <w:rPr>
          <w:color w:val="auto"/>
        </w:rPr>
        <w:fldChar w:fldCharType="begin"/>
      </w:r>
      <w:r>
        <w:rPr>
          <w:color w:val="auto"/>
        </w:rPr>
        <w:instrText xml:space="preserve"> PAGEREF _Toc26 \h </w:instrText>
      </w:r>
      <w:r>
        <w:rPr>
          <w:color w:val="auto"/>
        </w:rPr>
        <w:fldChar w:fldCharType="separate"/>
      </w:r>
      <w:r>
        <w:rPr>
          <w:color w:val="auto"/>
        </w:rPr>
        <w:t>51</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2178523C">
      <w:pPr>
        <w:pStyle w:val="21"/>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_Toc10171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eastAsia="宋体" w:cs="Times New Roman"/>
          <w:bCs w:val="0"/>
          <w:color w:val="auto"/>
          <w:kern w:val="44"/>
          <w:szCs w:val="28"/>
          <w:highlight w:val="none"/>
          <w:lang w:val="en-US" w:eastAsia="zh-CN" w:bidi="ar-SA"/>
        </w:rPr>
        <w:t>5</w:t>
      </w:r>
      <w:r>
        <w:rPr>
          <w:rFonts w:hint="eastAsia" w:ascii="Times New Roman" w:hAnsi="Times New Roman" w:eastAsia="宋体" w:cs="Times New Roman"/>
          <w:bCs w:val="0"/>
          <w:color w:val="auto"/>
          <w:kern w:val="44"/>
          <w:szCs w:val="28"/>
          <w:highlight w:val="none"/>
          <w:lang w:val="en-US" w:eastAsia="en-US" w:bidi="ar-SA"/>
        </w:rPr>
        <w:t>结论与建议</w:t>
      </w:r>
      <w:r>
        <w:rPr>
          <w:color w:val="auto"/>
        </w:rPr>
        <w:tab/>
      </w:r>
      <w:r>
        <w:rPr>
          <w:color w:val="auto"/>
        </w:rPr>
        <w:fldChar w:fldCharType="begin"/>
      </w:r>
      <w:r>
        <w:rPr>
          <w:color w:val="auto"/>
        </w:rPr>
        <w:instrText xml:space="preserve"> PAGEREF _Toc10171 \h </w:instrText>
      </w:r>
      <w:r>
        <w:rPr>
          <w:color w:val="auto"/>
        </w:rPr>
        <w:fldChar w:fldCharType="separate"/>
      </w:r>
      <w:r>
        <w:rPr>
          <w:color w:val="auto"/>
        </w:rPr>
        <w:t>53</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59585579">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_Toc268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eastAsia="宋体" w:cs="Times New Roman"/>
          <w:bCs/>
          <w:snapToGrid w:val="0"/>
          <w:color w:val="auto"/>
          <w:spacing w:val="0"/>
          <w:kern w:val="0"/>
          <w:szCs w:val="24"/>
          <w:lang w:val="en-US" w:eastAsia="zh-CN" w:bidi="ar-SA"/>
        </w:rPr>
        <w:t>5</w:t>
      </w:r>
      <w:r>
        <w:rPr>
          <w:rFonts w:hint="eastAsia" w:ascii="Times New Roman" w:hAnsi="Times New Roman" w:eastAsia="宋体" w:cs="Times New Roman"/>
          <w:bCs/>
          <w:snapToGrid w:val="0"/>
          <w:color w:val="auto"/>
          <w:spacing w:val="0"/>
          <w:kern w:val="0"/>
          <w:szCs w:val="24"/>
          <w:lang w:val="en-US" w:eastAsia="en-US" w:bidi="ar-SA"/>
        </w:rPr>
        <w:t>.1生态影响预测评价结论</w:t>
      </w:r>
      <w:r>
        <w:rPr>
          <w:color w:val="auto"/>
        </w:rPr>
        <w:tab/>
      </w:r>
      <w:r>
        <w:rPr>
          <w:color w:val="auto"/>
        </w:rPr>
        <w:fldChar w:fldCharType="begin"/>
      </w:r>
      <w:r>
        <w:rPr>
          <w:color w:val="auto"/>
        </w:rPr>
        <w:instrText xml:space="preserve"> PAGEREF _Toc268 \h </w:instrText>
      </w:r>
      <w:r>
        <w:rPr>
          <w:color w:val="auto"/>
        </w:rPr>
        <w:fldChar w:fldCharType="separate"/>
      </w:r>
      <w:r>
        <w:rPr>
          <w:color w:val="auto"/>
        </w:rPr>
        <w:t>53</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16014BDD">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_Toc26988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eastAsia="宋体" w:cs="Times New Roman"/>
          <w:bCs/>
          <w:snapToGrid w:val="0"/>
          <w:color w:val="auto"/>
          <w:spacing w:val="0"/>
          <w:kern w:val="0"/>
          <w:szCs w:val="24"/>
          <w:lang w:val="en-US" w:eastAsia="zh-CN" w:bidi="ar-SA"/>
        </w:rPr>
        <w:t>5</w:t>
      </w:r>
      <w:r>
        <w:rPr>
          <w:rFonts w:hint="eastAsia" w:ascii="Times New Roman" w:hAnsi="Times New Roman" w:eastAsia="宋体" w:cs="Times New Roman"/>
          <w:bCs/>
          <w:snapToGrid w:val="0"/>
          <w:color w:val="auto"/>
          <w:spacing w:val="0"/>
          <w:kern w:val="0"/>
          <w:szCs w:val="24"/>
          <w:lang w:val="en-US" w:eastAsia="en-US" w:bidi="ar-SA"/>
        </w:rPr>
        <w:t>.2生态综合评价结论</w:t>
      </w:r>
      <w:r>
        <w:rPr>
          <w:color w:val="auto"/>
        </w:rPr>
        <w:tab/>
      </w:r>
      <w:r>
        <w:rPr>
          <w:color w:val="auto"/>
        </w:rPr>
        <w:fldChar w:fldCharType="begin"/>
      </w:r>
      <w:r>
        <w:rPr>
          <w:color w:val="auto"/>
        </w:rPr>
        <w:instrText xml:space="preserve"> PAGEREF _Toc26988 \h </w:instrText>
      </w:r>
      <w:r>
        <w:rPr>
          <w:color w:val="auto"/>
        </w:rPr>
        <w:fldChar w:fldCharType="separate"/>
      </w:r>
      <w:r>
        <w:rPr>
          <w:color w:val="auto"/>
        </w:rPr>
        <w:t>53</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1FBB1A5F">
      <w:pPr>
        <w:pStyle w:val="26"/>
        <w:tabs>
          <w:tab w:val="right" w:leader="dot" w:pos="8306"/>
        </w:tabs>
        <w:rPr>
          <w:color w:val="auto"/>
        </w:rPr>
      </w:pPr>
      <w:r>
        <w:rPr>
          <w:rFonts w:hint="default" w:ascii="Times New Roman" w:hAnsi="Times New Roman" w:cs="Times New Roman"/>
          <w:bCs/>
          <w:color w:val="auto"/>
          <w:szCs w:val="24"/>
          <w:highlight w:val="none"/>
          <w:lang w:val="en-US" w:eastAsia="zh-CN"/>
        </w:rPr>
        <w:fldChar w:fldCharType="begin"/>
      </w:r>
      <w:r>
        <w:rPr>
          <w:rFonts w:hint="default" w:ascii="Times New Roman" w:hAnsi="Times New Roman" w:cs="Times New Roman"/>
          <w:bCs/>
          <w:color w:val="auto"/>
          <w:szCs w:val="24"/>
          <w:highlight w:val="none"/>
          <w:lang w:val="en-US" w:eastAsia="zh-CN"/>
        </w:rPr>
        <w:instrText xml:space="preserve"> HYPERLINK \l _Toc25733 </w:instrText>
      </w:r>
      <w:r>
        <w:rPr>
          <w:rFonts w:hint="default" w:ascii="Times New Roman" w:hAnsi="Times New Roman" w:cs="Times New Roman"/>
          <w:bCs/>
          <w:color w:val="auto"/>
          <w:szCs w:val="24"/>
          <w:highlight w:val="none"/>
          <w:lang w:val="en-US" w:eastAsia="zh-CN"/>
        </w:rPr>
        <w:fldChar w:fldCharType="separate"/>
      </w:r>
      <w:r>
        <w:rPr>
          <w:rFonts w:hint="eastAsia" w:ascii="Times New Roman" w:hAnsi="Times New Roman" w:eastAsia="宋体" w:cs="Times New Roman"/>
          <w:bCs/>
          <w:snapToGrid w:val="0"/>
          <w:color w:val="auto"/>
          <w:spacing w:val="0"/>
          <w:kern w:val="0"/>
          <w:szCs w:val="24"/>
          <w:lang w:val="en-US" w:eastAsia="zh-CN" w:bidi="ar-SA"/>
        </w:rPr>
        <w:t>5</w:t>
      </w:r>
      <w:r>
        <w:rPr>
          <w:rFonts w:hint="eastAsia" w:ascii="Times New Roman" w:hAnsi="Times New Roman" w:eastAsia="宋体" w:cs="Times New Roman"/>
          <w:bCs/>
          <w:snapToGrid w:val="0"/>
          <w:color w:val="auto"/>
          <w:spacing w:val="0"/>
          <w:kern w:val="0"/>
          <w:szCs w:val="24"/>
          <w:lang w:val="en-US" w:eastAsia="en-US" w:bidi="ar-SA"/>
        </w:rPr>
        <w:t>.3建议</w:t>
      </w:r>
      <w:r>
        <w:rPr>
          <w:color w:val="auto"/>
        </w:rPr>
        <w:tab/>
      </w:r>
      <w:r>
        <w:rPr>
          <w:color w:val="auto"/>
        </w:rPr>
        <w:fldChar w:fldCharType="begin"/>
      </w:r>
      <w:r>
        <w:rPr>
          <w:color w:val="auto"/>
        </w:rPr>
        <w:instrText xml:space="preserve"> PAGEREF _Toc25733 \h </w:instrText>
      </w:r>
      <w:r>
        <w:rPr>
          <w:color w:val="auto"/>
        </w:rPr>
        <w:fldChar w:fldCharType="separate"/>
      </w:r>
      <w:r>
        <w:rPr>
          <w:color w:val="auto"/>
        </w:rPr>
        <w:t>53</w:t>
      </w:r>
      <w:r>
        <w:rPr>
          <w:color w:val="auto"/>
        </w:rPr>
        <w:fldChar w:fldCharType="end"/>
      </w:r>
      <w:r>
        <w:rPr>
          <w:rFonts w:hint="default" w:ascii="Times New Roman" w:hAnsi="Times New Roman" w:cs="Times New Roman"/>
          <w:bCs/>
          <w:color w:val="auto"/>
          <w:szCs w:val="24"/>
          <w:highlight w:val="none"/>
          <w:lang w:val="en-US" w:eastAsia="zh-CN"/>
        </w:rPr>
        <w:fldChar w:fldCharType="end"/>
      </w:r>
    </w:p>
    <w:p w14:paraId="24FAEAB6">
      <w:pPr>
        <w:bidi w:val="0"/>
        <w:jc w:val="center"/>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Cs w:val="24"/>
          <w:highlight w:val="none"/>
          <w:lang w:val="en-US" w:eastAsia="zh-CN"/>
        </w:rPr>
        <w:fldChar w:fldCharType="end"/>
      </w:r>
    </w:p>
    <w:p w14:paraId="35C1B31E">
      <w:pPr>
        <w:bidi w:val="0"/>
        <w:jc w:val="center"/>
        <w:rPr>
          <w:rFonts w:hint="default" w:ascii="Times New Roman" w:hAnsi="Times New Roman" w:cs="Times New Roman"/>
          <w:bCs/>
          <w:color w:val="auto"/>
          <w:sz w:val="24"/>
          <w:szCs w:val="24"/>
          <w:highlight w:val="none"/>
          <w:lang w:val="en-US" w:eastAsia="zh-CN"/>
        </w:rPr>
        <w:sectPr>
          <w:footerReference r:id="rId18" w:type="default"/>
          <w:pgSz w:w="11906" w:h="16838"/>
          <w:pgMar w:top="1440" w:right="1800" w:bottom="1440" w:left="1800"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1CD76D82">
      <w:pPr>
        <w:bidi w:val="0"/>
        <w:jc w:val="center"/>
        <w:rPr>
          <w:rFonts w:hint="default" w:ascii="Times New Roman" w:hAnsi="Times New Roman" w:cs="Times New Roman"/>
          <w:b/>
          <w:bCs/>
          <w:color w:val="auto"/>
          <w:sz w:val="44"/>
          <w:szCs w:val="44"/>
          <w:highlight w:val="none"/>
        </w:rPr>
        <w:sectPr>
          <w:footerReference r:id="rId19" w:type="default"/>
          <w:pgSz w:w="11906" w:h="16838"/>
          <w:pgMar w:top="1440" w:right="1800" w:bottom="1440" w:left="1800"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7A5161EB">
      <w:pPr>
        <w:bidi w:val="0"/>
        <w:jc w:val="center"/>
        <w:rPr>
          <w:rFonts w:hint="default" w:ascii="Times New Roman" w:hAnsi="Times New Roman" w:cs="Times New Roman"/>
          <w:b/>
          <w:bCs/>
          <w:color w:val="auto"/>
          <w:sz w:val="44"/>
          <w:szCs w:val="44"/>
          <w:highlight w:val="none"/>
        </w:rPr>
      </w:pPr>
      <w:r>
        <w:rPr>
          <w:rFonts w:hint="default" w:ascii="Times New Roman" w:hAnsi="Times New Roman" w:cs="Times New Roman"/>
          <w:b/>
          <w:bCs/>
          <w:color w:val="auto"/>
          <w:sz w:val="44"/>
          <w:szCs w:val="44"/>
          <w:highlight w:val="none"/>
        </w:rPr>
        <w:t>前   言</w:t>
      </w:r>
      <w:bookmarkEnd w:id="354"/>
      <w:bookmarkEnd w:id="355"/>
    </w:p>
    <w:p w14:paraId="341EF6B7">
      <w:pPr>
        <w:bidi w:val="0"/>
        <w:jc w:val="center"/>
        <w:rPr>
          <w:rFonts w:hint="default" w:ascii="Times New Roman" w:hAnsi="Times New Roman" w:cs="Times New Roman"/>
          <w:b/>
          <w:bCs/>
          <w:color w:val="auto"/>
          <w:sz w:val="44"/>
          <w:szCs w:val="44"/>
          <w:highlight w:val="none"/>
        </w:rPr>
      </w:pPr>
    </w:p>
    <w:p w14:paraId="7834AC1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napToGrid w:val="0"/>
          <w:color w:val="auto"/>
          <w:sz w:val="24"/>
          <w:szCs w:val="24"/>
          <w:highlight w:val="none"/>
        </w:rPr>
      </w:pPr>
      <w:r>
        <w:rPr>
          <w:rFonts w:hint="default" w:ascii="Times New Roman" w:hAnsi="Times New Roman" w:cs="Times New Roman"/>
          <w:color w:val="auto"/>
          <w:sz w:val="24"/>
          <w:szCs w:val="32"/>
          <w:highlight w:val="none"/>
          <w:shd w:val="clear" w:color="auto" w:fill="FFFFFF"/>
          <w:lang w:val="en-US" w:eastAsia="zh-CN"/>
        </w:rPr>
        <w:t>宁夏固原华电彭阳200兆瓦风电项目110千伏送出工程位于</w:t>
      </w:r>
      <w:r>
        <w:rPr>
          <w:rFonts w:hint="default" w:ascii="Times New Roman" w:hAnsi="Times New Roman" w:cs="Times New Roman"/>
          <w:bCs/>
          <w:color w:val="auto"/>
          <w:sz w:val="24"/>
          <w:szCs w:val="24"/>
        </w:rPr>
        <w:t>宁夏回族自治区</w:t>
      </w:r>
      <w:r>
        <w:rPr>
          <w:rFonts w:hint="default" w:ascii="Times New Roman" w:hAnsi="Times New Roman" w:cs="Times New Roman"/>
          <w:bCs/>
          <w:color w:val="auto"/>
          <w:sz w:val="24"/>
          <w:szCs w:val="24"/>
          <w:highlight w:val="none"/>
          <w:lang w:val="en-US" w:eastAsia="zh-CN"/>
        </w:rPr>
        <w:t>固原市原州区、彭阳县</w:t>
      </w:r>
      <w:r>
        <w:rPr>
          <w:rFonts w:hint="default" w:ascii="Times New Roman" w:hAnsi="Times New Roman" w:cs="Times New Roman"/>
          <w:color w:val="auto"/>
          <w:sz w:val="24"/>
          <w:szCs w:val="32"/>
          <w:highlight w:val="none"/>
          <w:shd w:val="clear" w:color="auto" w:fill="FFFFFF"/>
          <w:lang w:val="en-US" w:eastAsia="zh-CN"/>
        </w:rPr>
        <w:t>，</w:t>
      </w:r>
      <w:r>
        <w:rPr>
          <w:rFonts w:hint="eastAsia" w:ascii="Times New Roman" w:hAnsi="Times New Roman" w:cs="Times New Roman"/>
          <w:color w:val="auto"/>
          <w:sz w:val="24"/>
          <w:szCs w:val="32"/>
          <w:highlight w:val="none"/>
          <w:shd w:val="clear" w:color="auto" w:fill="FFFFFF"/>
          <w:lang w:val="en-US" w:eastAsia="zh-CN"/>
        </w:rPr>
        <w:t>本项目</w:t>
      </w:r>
      <w:r>
        <w:rPr>
          <w:rFonts w:hint="default" w:ascii="Times New Roman" w:hAnsi="Times New Roman" w:cs="Times New Roman"/>
          <w:color w:val="auto"/>
          <w:sz w:val="24"/>
          <w:highlight w:val="none"/>
          <w:lang w:val="en-US" w:eastAsia="zh-CN"/>
        </w:rPr>
        <w:t>本项目</w:t>
      </w:r>
      <w:r>
        <w:rPr>
          <w:rFonts w:hint="default" w:ascii="Times New Roman" w:hAnsi="Times New Roman" w:cs="Times New Roman"/>
          <w:color w:val="auto"/>
          <w:sz w:val="24"/>
          <w:highlight w:val="none"/>
          <w:lang w:eastAsia="zh-CN"/>
        </w:rPr>
        <w:t>主要建设内容</w:t>
      </w:r>
      <w:r>
        <w:rPr>
          <w:rFonts w:hint="default" w:ascii="Times New Roman" w:hAnsi="Times New Roman" w:cs="Times New Roman"/>
          <w:color w:val="auto"/>
          <w:sz w:val="24"/>
          <w:highlight w:val="none"/>
          <w:lang w:val="en-US" w:eastAsia="zh-CN"/>
        </w:rPr>
        <w:t>包含</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⑴新建云雾山330千伏变电站本期扩建110千伏出线间隔1个。⑵新建华电彭阳200兆瓦风电～云雾山330千伏变电站110千伏架空线路1×24.2</w:t>
      </w:r>
      <w:r>
        <w:rPr>
          <w:rFonts w:hint="eastAsia" w:cs="Times New Roman"/>
          <w:color w:val="auto"/>
          <w:sz w:val="24"/>
          <w:highlight w:val="none"/>
          <w:lang w:val="en-US" w:eastAsia="zh-CN"/>
        </w:rPr>
        <w:t>km</w:t>
      </w:r>
      <w:r>
        <w:rPr>
          <w:rFonts w:hint="default" w:ascii="Times New Roman" w:hAnsi="Times New Roman" w:cs="Times New Roman"/>
          <w:color w:val="auto"/>
          <w:sz w:val="24"/>
          <w:highlight w:val="none"/>
          <w:lang w:val="en-US" w:eastAsia="zh-CN"/>
        </w:rPr>
        <w:t>（架空）。其中，1×24.</w:t>
      </w:r>
      <w:r>
        <w:rPr>
          <w:rFonts w:hint="eastAsia" w:cs="Times New Roman"/>
          <w:color w:val="auto"/>
          <w:sz w:val="24"/>
          <w:highlight w:val="none"/>
          <w:lang w:val="en-US" w:eastAsia="zh-CN"/>
        </w:rPr>
        <w:t>15</w:t>
      </w:r>
      <w:r>
        <w:rPr>
          <w:rFonts w:hint="default" w:ascii="Times New Roman" w:hAnsi="Times New Roman" w:cs="Times New Roman"/>
          <w:color w:val="auto"/>
          <w:sz w:val="24"/>
          <w:highlight w:val="none"/>
          <w:lang w:val="en-US" w:eastAsia="zh-CN"/>
        </w:rPr>
        <w:t>km单回路架空+2×0.050km同塔双回架设单侧挂线，另一侧预留，电压等级为110千伏。</w:t>
      </w:r>
      <w:r>
        <w:rPr>
          <w:rFonts w:hint="default" w:ascii="Times New Roman" w:hAnsi="Times New Roman" w:cs="Times New Roman"/>
          <w:color w:val="auto"/>
          <w:sz w:val="24"/>
          <w:szCs w:val="24"/>
          <w:highlight w:val="none"/>
          <w:lang w:val="en-US" w:eastAsia="zh-CN"/>
        </w:rPr>
        <w:t>除云雾山330千伏变电站出线第一基采用双回路铁塔，其余均采用单回路架设。⑶抬高改造工程</w:t>
      </w:r>
      <w:r>
        <w:rPr>
          <w:rFonts w:hint="eastAsia" w:cs="Times New Roman"/>
          <w:color w:val="auto"/>
          <w:sz w:val="24"/>
          <w:szCs w:val="24"/>
          <w:highlight w:val="none"/>
          <w:lang w:val="en-US" w:eastAsia="zh-CN"/>
        </w:rPr>
        <w:t>：对110千伏清李Ⅰ线117#、118#直线塔、110千伏至李线96#、97#直线塔进行抬高改造。其中，110千伏清李I线：新建直线铁塔2基，导线、地线利旧，紧线长度2.04km，拆除直线塔2基。110千伏至李线：新建直线铁塔2基，导线、地线利旧，紧线长度 2.06km，拆除直线塔2基。</w:t>
      </w:r>
      <w:r>
        <w:rPr>
          <w:rFonts w:hint="default" w:ascii="Times New Roman" w:hAnsi="Times New Roman" w:eastAsia="宋体" w:cs="Times New Roman"/>
          <w:color w:val="auto"/>
          <w:sz w:val="24"/>
          <w:szCs w:val="24"/>
          <w:highlight w:val="none"/>
          <w:lang w:val="en-US" w:eastAsia="zh-CN"/>
        </w:rPr>
        <w:t>输电线路穿越东南黄土高原丘陵水土保持生态保护红线</w:t>
      </w:r>
      <w:r>
        <w:rPr>
          <w:rFonts w:hint="eastAsia" w:cs="Times New Roman"/>
          <w:color w:val="auto"/>
          <w:sz w:val="24"/>
          <w:szCs w:val="24"/>
          <w:highlight w:val="none"/>
          <w:lang w:val="en-US" w:eastAsia="zh-CN"/>
        </w:rPr>
        <w:t>10.514</w:t>
      </w:r>
      <w:r>
        <w:rPr>
          <w:rFonts w:hint="default" w:ascii="Times New Roman" w:hAnsi="Times New Roman" w:eastAsia="宋体" w:cs="Times New Roman"/>
          <w:color w:val="auto"/>
          <w:sz w:val="24"/>
          <w:szCs w:val="24"/>
          <w:highlight w:val="none"/>
          <w:lang w:val="en-US" w:eastAsia="zh-CN"/>
        </w:rPr>
        <w:t>km，</w:t>
      </w:r>
      <w:r>
        <w:rPr>
          <w:rFonts w:hint="default" w:ascii="Times New Roman" w:hAnsi="Times New Roman" w:cs="Times New Roman"/>
          <w:color w:val="auto"/>
          <w:sz w:val="24"/>
          <w:szCs w:val="24"/>
          <w:highlight w:val="none"/>
          <w:lang w:val="en-US" w:eastAsia="zh-CN"/>
        </w:rPr>
        <w:t>红线内立塔3</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基，在红线内总占地面积3.1696hm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snapToGrid w:val="0"/>
          <w:color w:val="auto"/>
          <w:sz w:val="24"/>
          <w:szCs w:val="24"/>
          <w:highlight w:val="none"/>
        </w:rPr>
        <w:t>为保护生态保护红线的生态环境，根据《中华人民共和国环境影响评价法》和《环境影响评价技术导则</w:t>
      </w:r>
      <w:r>
        <w:rPr>
          <w:rFonts w:hint="default" w:ascii="Times New Roman" w:hAnsi="Times New Roman" w:cs="Times New Roman"/>
          <w:snapToGrid w:val="0"/>
          <w:color w:val="auto"/>
          <w:sz w:val="24"/>
          <w:szCs w:val="24"/>
          <w:highlight w:val="none"/>
          <w:lang w:val="en-US" w:eastAsia="zh-CN"/>
        </w:rPr>
        <w:t xml:space="preserve"> </w:t>
      </w:r>
      <w:r>
        <w:rPr>
          <w:rFonts w:hint="default" w:ascii="Times New Roman" w:hAnsi="Times New Roman" w:cs="Times New Roman"/>
          <w:snapToGrid w:val="0"/>
          <w:color w:val="auto"/>
          <w:sz w:val="24"/>
          <w:szCs w:val="24"/>
          <w:highlight w:val="none"/>
        </w:rPr>
        <w:t>生态影响》（HJ19-2022）等环保法律法规的规定和要求，针对项目建设对生态保护红线的生态影响编制《</w:t>
      </w:r>
      <w:r>
        <w:rPr>
          <w:rFonts w:hint="default" w:ascii="Times New Roman" w:hAnsi="Times New Roman" w:cs="Times New Roman"/>
          <w:color w:val="auto"/>
          <w:sz w:val="24"/>
          <w:szCs w:val="24"/>
          <w:highlight w:val="none"/>
          <w:shd w:val="clear" w:color="auto" w:fill="FFFFFF"/>
          <w:lang w:val="en-US" w:eastAsia="zh-CN"/>
        </w:rPr>
        <w:t>宁夏固原华电彭阳200兆瓦风电项目110千伏送出工程</w:t>
      </w:r>
      <w:r>
        <w:rPr>
          <w:rFonts w:hint="default" w:ascii="Times New Roman" w:hAnsi="Times New Roman" w:cs="Times New Roman"/>
          <w:snapToGrid w:val="0"/>
          <w:color w:val="auto"/>
          <w:sz w:val="24"/>
          <w:szCs w:val="24"/>
          <w:highlight w:val="none"/>
        </w:rPr>
        <w:t>生态影响专项评价报告》。工作任务落实后，技术人员在工程占地范围及生态敏感区域进行了实地</w:t>
      </w:r>
      <w:r>
        <w:rPr>
          <w:rFonts w:hint="default" w:ascii="Times New Roman" w:hAnsi="Times New Roman" w:cs="Times New Roman"/>
          <w:snapToGrid w:val="0"/>
          <w:color w:val="auto"/>
          <w:sz w:val="24"/>
          <w:szCs w:val="24"/>
          <w:highlight w:val="none"/>
          <w:lang w:val="en-US" w:eastAsia="zh-CN"/>
        </w:rPr>
        <w:t>踏勘</w:t>
      </w:r>
      <w:r>
        <w:rPr>
          <w:rFonts w:hint="default" w:ascii="Times New Roman" w:hAnsi="Times New Roman" w:cs="Times New Roman"/>
          <w:snapToGrid w:val="0"/>
          <w:color w:val="auto"/>
          <w:sz w:val="24"/>
          <w:szCs w:val="24"/>
          <w:highlight w:val="none"/>
        </w:rPr>
        <w:t>，进行植被、植物物种和动物调查，并进行植被样地记录。根据项目特点和导则要求，科学确定生态评价等级和范围，根据准确的样地记录资料，并收集评价区内相关资料，对高分卫星影像进行解译和判读，进行评价区植被现状分析和评价；根据现场调查结果和相关资料对评价区植被、植物、动物现状进行分析评价；根据导则中推荐的评价方法对生态环境质量进行了评价。根据项目特征，全面完整的对项目建设过程和运营期的生态环境变化进行评价，针对工程建设对植被、植物、动物的影响，提出避让、减缓、修复措施，最终编制完成了《</w:t>
      </w:r>
      <w:r>
        <w:rPr>
          <w:rFonts w:hint="default" w:ascii="Times New Roman" w:hAnsi="Times New Roman" w:cs="Times New Roman"/>
          <w:color w:val="auto"/>
          <w:sz w:val="24"/>
          <w:szCs w:val="24"/>
          <w:highlight w:val="none"/>
          <w:shd w:val="clear" w:color="auto" w:fill="FFFFFF"/>
          <w:lang w:val="en-US" w:eastAsia="zh-CN"/>
        </w:rPr>
        <w:t>宁夏固原华电彭阳200兆瓦风电项目110千伏送出工程</w:t>
      </w:r>
      <w:r>
        <w:rPr>
          <w:rFonts w:hint="default" w:ascii="Times New Roman" w:hAnsi="Times New Roman" w:cs="Times New Roman"/>
          <w:snapToGrid w:val="0"/>
          <w:color w:val="auto"/>
          <w:sz w:val="24"/>
          <w:szCs w:val="24"/>
          <w:highlight w:val="none"/>
        </w:rPr>
        <w:t>生态影响专项评价报告》。</w:t>
      </w:r>
    </w:p>
    <w:p w14:paraId="0FBD3756">
      <w:pPr>
        <w:pStyle w:val="95"/>
        <w:spacing w:before="240"/>
        <w:rPr>
          <w:rFonts w:hint="default" w:ascii="Times New Roman" w:hAnsi="Times New Roman" w:cs="Times New Roman"/>
          <w:color w:val="auto"/>
          <w:sz w:val="24"/>
          <w:szCs w:val="24"/>
          <w:highlight w:val="none"/>
        </w:rPr>
        <w:sectPr>
          <w:footerReference r:id="rId20" w:type="default"/>
          <w:pgSz w:w="11906" w:h="16838"/>
          <w:pgMar w:top="1440" w:right="1800" w:bottom="1440" w:left="1800"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781BE52F">
      <w:pPr>
        <w:pStyle w:val="2"/>
        <w:keepLines/>
        <w:overflowPunct/>
        <w:snapToGrid/>
        <w:spacing w:before="0" w:after="0" w:line="360" w:lineRule="auto"/>
        <w:ind w:left="0" w:firstLine="0"/>
        <w:rPr>
          <w:rFonts w:hint="default" w:ascii="Times New Roman" w:hAnsi="Times New Roman" w:eastAsia="宋体" w:cs="Times New Roman"/>
          <w:b/>
          <w:bCs/>
          <w:color w:val="auto"/>
          <w:sz w:val="28"/>
          <w:szCs w:val="28"/>
        </w:rPr>
        <w:sectPr>
          <w:headerReference r:id="rId21" w:type="default"/>
          <w:footerReference r:id="rId22" w:type="default"/>
          <w:pgSz w:w="11906" w:h="16838"/>
          <w:pgMar w:top="1440" w:right="1800" w:bottom="1440" w:left="1803" w:header="851" w:footer="1077" w:gutter="0"/>
          <w:pgBorders>
            <w:top w:val="none" w:sz="0" w:space="0"/>
            <w:left w:val="none" w:sz="0" w:space="0"/>
            <w:bottom w:val="none" w:sz="0" w:space="0"/>
            <w:right w:val="none" w:sz="0" w:space="0"/>
          </w:pgBorders>
          <w:pgNumType w:fmt="decimal" w:start="1"/>
          <w:cols w:space="720" w:num="1"/>
          <w:docGrid w:linePitch="312" w:charSpace="0"/>
        </w:sectPr>
      </w:pPr>
      <w:bookmarkStart w:id="356" w:name="_Toc19576"/>
      <w:bookmarkStart w:id="357" w:name="_Toc19305"/>
      <w:bookmarkStart w:id="358" w:name="_Toc15576"/>
      <w:bookmarkStart w:id="359" w:name="_Toc109767187"/>
      <w:bookmarkStart w:id="360" w:name="_Toc20193"/>
      <w:bookmarkStart w:id="361" w:name="_Toc24918"/>
      <w:bookmarkStart w:id="362" w:name="_Toc12304"/>
    </w:p>
    <w:p w14:paraId="76467388">
      <w:pPr>
        <w:pStyle w:val="2"/>
        <w:keepLines/>
        <w:overflowPunct/>
        <w:snapToGrid/>
        <w:spacing w:before="0" w:after="0" w:line="360" w:lineRule="auto"/>
        <w:ind w:left="0" w:firstLine="0"/>
        <w:rPr>
          <w:rFonts w:hint="default" w:ascii="Times New Roman" w:hAnsi="Times New Roman" w:eastAsia="宋体" w:cs="Times New Roman"/>
          <w:b/>
          <w:bCs/>
          <w:color w:val="auto"/>
          <w:sz w:val="28"/>
          <w:szCs w:val="28"/>
        </w:rPr>
      </w:pPr>
      <w:bookmarkStart w:id="363" w:name="_Toc19821"/>
      <w:bookmarkStart w:id="364" w:name="_Toc28417"/>
      <w:bookmarkStart w:id="365" w:name="_Toc18073"/>
      <w:r>
        <w:rPr>
          <w:rFonts w:hint="default" w:ascii="Times New Roman" w:hAnsi="Times New Roman" w:eastAsia="宋体" w:cs="Times New Roman"/>
          <w:b/>
          <w:bCs/>
          <w:color w:val="auto"/>
          <w:sz w:val="28"/>
          <w:szCs w:val="28"/>
        </w:rPr>
        <w:t>1总则</w:t>
      </w:r>
      <w:bookmarkEnd w:id="356"/>
      <w:bookmarkEnd w:id="357"/>
      <w:bookmarkEnd w:id="358"/>
      <w:bookmarkEnd w:id="363"/>
      <w:bookmarkEnd w:id="364"/>
      <w:bookmarkEnd w:id="365"/>
    </w:p>
    <w:p w14:paraId="7D6FB9A7">
      <w:pPr>
        <w:pStyle w:val="3"/>
        <w:keepNext/>
        <w:keepLines/>
        <w:spacing w:before="0" w:beforeAutospacing="0" w:after="0" w:afterAutospacing="0" w:line="360" w:lineRule="auto"/>
        <w:jc w:val="both"/>
        <w:rPr>
          <w:rFonts w:hint="default" w:ascii="Times New Roman" w:hAnsi="Times New Roman" w:eastAsia="宋体" w:cs="Times New Roman"/>
          <w:bCs/>
          <w:color w:val="auto"/>
          <w:spacing w:val="0"/>
          <w:kern w:val="2"/>
          <w:sz w:val="24"/>
          <w:szCs w:val="24"/>
        </w:rPr>
      </w:pPr>
      <w:bookmarkStart w:id="366" w:name="_Toc4954"/>
      <w:bookmarkStart w:id="367" w:name="_Toc10251"/>
      <w:bookmarkStart w:id="368" w:name="_Toc19835"/>
      <w:bookmarkStart w:id="369" w:name="_Toc20756"/>
      <w:bookmarkStart w:id="370" w:name="_Toc808"/>
      <w:bookmarkStart w:id="371" w:name="_Toc9464"/>
      <w:r>
        <w:rPr>
          <w:rFonts w:hint="default" w:ascii="Times New Roman" w:hAnsi="Times New Roman" w:eastAsia="宋体" w:cs="Times New Roman"/>
          <w:bCs/>
          <w:color w:val="auto"/>
          <w:spacing w:val="0"/>
          <w:kern w:val="2"/>
          <w:sz w:val="24"/>
          <w:szCs w:val="24"/>
        </w:rPr>
        <w:t>1.1基本任务</w:t>
      </w:r>
      <w:bookmarkEnd w:id="366"/>
      <w:bookmarkEnd w:id="367"/>
      <w:bookmarkEnd w:id="368"/>
      <w:bookmarkEnd w:id="369"/>
      <w:bookmarkEnd w:id="370"/>
      <w:bookmarkEnd w:id="371"/>
    </w:p>
    <w:p w14:paraId="79EDEB2D">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b/>
          <w:bCs/>
          <w:color w:val="auto"/>
          <w:kern w:val="0"/>
          <w:sz w:val="36"/>
          <w:szCs w:val="36"/>
          <w:highlight w:val="none"/>
          <w:lang w:bidi="ar"/>
        </w:rPr>
      </w:pPr>
      <w:r>
        <w:rPr>
          <w:rFonts w:hint="default" w:ascii="Times New Roman" w:hAnsi="Times New Roman" w:cs="Times New Roman"/>
          <w:snapToGrid w:val="0"/>
          <w:color w:val="auto"/>
          <w:szCs w:val="24"/>
          <w:highlight w:val="none"/>
        </w:rPr>
        <w:t>为了更好地协调经济发展和生态环境保护之间的关系，落实国家的相关政策，贯彻“在保护中开发，在开发中保护”的方针，实现生态效益与经济、社会效益的双赢，在工程分析和生态现状调查的基础上，识别项目施工期生态影响，从环境影响角度对项目方案进行全面分析、评价、预测项目的建设对生态环境、生境等可能造成的不良影响，根据预测评价结果，提出预防或者减缓不利影响的对策和措施，制定相应的环境管理和生态监测计划，从生态角度明确项目建设可行性，为建设单位和环境管理部门提供科学依据。</w:t>
      </w:r>
    </w:p>
    <w:p w14:paraId="331D27EF">
      <w:pPr>
        <w:pStyle w:val="3"/>
        <w:keepNext/>
        <w:keepLines/>
        <w:spacing w:before="0" w:beforeAutospacing="0" w:after="0" w:afterAutospacing="0" w:line="360" w:lineRule="auto"/>
        <w:jc w:val="both"/>
        <w:rPr>
          <w:rFonts w:hint="default" w:ascii="Times New Roman" w:hAnsi="Times New Roman" w:eastAsia="宋体" w:cs="Times New Roman"/>
          <w:bCs/>
          <w:color w:val="auto"/>
          <w:spacing w:val="0"/>
          <w:kern w:val="2"/>
          <w:sz w:val="24"/>
          <w:szCs w:val="24"/>
        </w:rPr>
      </w:pPr>
      <w:bookmarkStart w:id="372" w:name="_Toc16865"/>
      <w:bookmarkStart w:id="373" w:name="_Toc31903"/>
      <w:bookmarkStart w:id="374" w:name="_Toc14848"/>
      <w:bookmarkStart w:id="375" w:name="_Toc21550"/>
      <w:bookmarkStart w:id="376" w:name="_Toc1280"/>
      <w:bookmarkStart w:id="377" w:name="_Toc18499"/>
      <w:r>
        <w:rPr>
          <w:rFonts w:hint="default" w:ascii="Times New Roman" w:hAnsi="Times New Roman" w:eastAsia="宋体" w:cs="Times New Roman"/>
          <w:bCs/>
          <w:color w:val="auto"/>
          <w:spacing w:val="0"/>
          <w:kern w:val="2"/>
          <w:sz w:val="24"/>
          <w:szCs w:val="24"/>
        </w:rPr>
        <w:t>1.2评价依据</w:t>
      </w:r>
      <w:bookmarkEnd w:id="372"/>
      <w:bookmarkEnd w:id="373"/>
      <w:bookmarkEnd w:id="374"/>
      <w:bookmarkEnd w:id="375"/>
      <w:bookmarkEnd w:id="376"/>
      <w:bookmarkEnd w:id="377"/>
    </w:p>
    <w:p w14:paraId="1AFA5508">
      <w:pPr>
        <w:pStyle w:val="4"/>
        <w:pageBreakBefore w:val="0"/>
        <w:widowControl w:val="0"/>
        <w:numPr>
          <w:ilvl w:val="0"/>
          <w:numId w:val="0"/>
        </w:numPr>
        <w:tabs>
          <w:tab w:val="clear" w:pos="709"/>
        </w:tabs>
        <w:kinsoku/>
        <w:wordWrap/>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宋体" w:cs="Times New Roman"/>
          <w:color w:val="auto"/>
          <w:sz w:val="24"/>
          <w:szCs w:val="24"/>
          <w:highlight w:val="none"/>
        </w:rPr>
      </w:pPr>
      <w:bookmarkStart w:id="378" w:name="_Toc31717"/>
      <w:r>
        <w:rPr>
          <w:rFonts w:hint="default" w:ascii="Times New Roman" w:hAnsi="Times New Roman" w:eastAsia="宋体" w:cs="Times New Roman"/>
          <w:color w:val="auto"/>
          <w:sz w:val="24"/>
          <w:szCs w:val="24"/>
          <w:highlight w:val="none"/>
        </w:rPr>
        <w:t>1.2.1法律法规</w:t>
      </w:r>
      <w:bookmarkEnd w:id="378"/>
    </w:p>
    <w:p w14:paraId="2C62F677">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⑴</w:t>
      </w:r>
      <w:r>
        <w:rPr>
          <w:rFonts w:hint="default" w:ascii="Times New Roman" w:hAnsi="Times New Roman" w:cs="Times New Roman"/>
          <w:snapToGrid w:val="0"/>
          <w:color w:val="auto"/>
          <w:szCs w:val="24"/>
          <w:highlight w:val="none"/>
        </w:rPr>
        <w:t>《中华人民共和国环境保护法》（2015年1月1</w:t>
      </w:r>
      <w:r>
        <w:rPr>
          <w:rFonts w:hint="default" w:ascii="Times New Roman" w:hAnsi="Times New Roman" w:cs="Times New Roman"/>
          <w:color w:val="auto"/>
          <w:szCs w:val="24"/>
          <w:highlight w:val="none"/>
        </w:rPr>
        <w:t>日</w:t>
      </w:r>
      <w:r>
        <w:rPr>
          <w:rFonts w:hint="default" w:ascii="Times New Roman" w:hAnsi="Times New Roman" w:cs="Times New Roman"/>
          <w:snapToGrid w:val="0"/>
          <w:color w:val="auto"/>
          <w:szCs w:val="24"/>
          <w:highlight w:val="none"/>
        </w:rPr>
        <w:t>实施）；</w:t>
      </w:r>
    </w:p>
    <w:p w14:paraId="0606B74C">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⑵</w:t>
      </w:r>
      <w:r>
        <w:rPr>
          <w:rFonts w:hint="default" w:ascii="Times New Roman" w:hAnsi="Times New Roman" w:cs="Times New Roman"/>
          <w:snapToGrid w:val="0"/>
          <w:color w:val="auto"/>
          <w:szCs w:val="24"/>
          <w:highlight w:val="none"/>
        </w:rPr>
        <w:t>《中华人民共和国环境影响评价法》（2018年12</w:t>
      </w:r>
      <w:r>
        <w:rPr>
          <w:rFonts w:hint="default" w:ascii="Times New Roman" w:hAnsi="Times New Roman" w:cs="Times New Roman"/>
          <w:color w:val="auto"/>
          <w:szCs w:val="24"/>
          <w:highlight w:val="none"/>
        </w:rPr>
        <w:t>月</w:t>
      </w:r>
      <w:r>
        <w:rPr>
          <w:rFonts w:hint="default" w:ascii="Times New Roman" w:hAnsi="Times New Roman" w:cs="Times New Roman"/>
          <w:snapToGrid w:val="0"/>
          <w:color w:val="auto"/>
          <w:szCs w:val="24"/>
          <w:highlight w:val="none"/>
        </w:rPr>
        <w:t>29</w:t>
      </w:r>
      <w:r>
        <w:rPr>
          <w:rFonts w:hint="default" w:ascii="Times New Roman" w:hAnsi="Times New Roman" w:cs="Times New Roman"/>
          <w:color w:val="auto"/>
          <w:szCs w:val="24"/>
          <w:highlight w:val="none"/>
        </w:rPr>
        <w:t>日</w:t>
      </w:r>
      <w:r>
        <w:rPr>
          <w:rFonts w:hint="default" w:ascii="Times New Roman" w:hAnsi="Times New Roman" w:cs="Times New Roman"/>
          <w:snapToGrid w:val="0"/>
          <w:color w:val="auto"/>
          <w:szCs w:val="24"/>
          <w:highlight w:val="none"/>
        </w:rPr>
        <w:t>修订）；</w:t>
      </w:r>
    </w:p>
    <w:p w14:paraId="74712D0D">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color w:val="auto"/>
          <w:szCs w:val="24"/>
          <w:highlight w:val="none"/>
        </w:rPr>
      </w:pPr>
      <w:r>
        <w:rPr>
          <w:rFonts w:hint="default" w:ascii="Times New Roman" w:hAnsi="Times New Roman" w:cs="Times New Roman"/>
          <w:snapToGrid w:val="0"/>
          <w:color w:val="auto"/>
          <w:szCs w:val="24"/>
          <w:highlight w:val="none"/>
          <w:lang w:eastAsia="zh-CN"/>
        </w:rPr>
        <w:t>⑶</w:t>
      </w:r>
      <w:r>
        <w:rPr>
          <w:rFonts w:hint="default" w:ascii="Times New Roman" w:hAnsi="Times New Roman" w:cs="Times New Roman"/>
          <w:snapToGrid w:val="0"/>
          <w:color w:val="auto"/>
          <w:szCs w:val="24"/>
          <w:highlight w:val="none"/>
        </w:rPr>
        <w:t>《中华人民共和国大气污染防治法》（2018年修订）；</w:t>
      </w:r>
    </w:p>
    <w:p w14:paraId="0DB64396">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⑷</w:t>
      </w:r>
      <w:r>
        <w:rPr>
          <w:rFonts w:hint="default" w:ascii="Times New Roman" w:hAnsi="Times New Roman" w:cs="Times New Roman"/>
          <w:snapToGrid w:val="0"/>
          <w:color w:val="auto"/>
          <w:szCs w:val="24"/>
          <w:highlight w:val="none"/>
        </w:rPr>
        <w:t>《</w:t>
      </w:r>
      <w:r>
        <w:rPr>
          <w:rFonts w:hint="default" w:ascii="Times New Roman" w:hAnsi="Times New Roman" w:cs="Times New Roman"/>
          <w:snapToGrid w:val="0"/>
          <w:color w:val="auto"/>
          <w:szCs w:val="24"/>
          <w:highlight w:val="none"/>
          <w:lang w:bidi="ar"/>
        </w:rPr>
        <w:t>中华人民共和国固体废物污染环境防治法</w:t>
      </w:r>
      <w:r>
        <w:rPr>
          <w:rFonts w:hint="default" w:ascii="Times New Roman" w:hAnsi="Times New Roman" w:cs="Times New Roman"/>
          <w:snapToGrid w:val="0"/>
          <w:color w:val="auto"/>
          <w:szCs w:val="24"/>
          <w:highlight w:val="none"/>
        </w:rPr>
        <w:t>》（2020年修订）；</w:t>
      </w:r>
    </w:p>
    <w:p w14:paraId="685B40BB">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⑸</w:t>
      </w:r>
      <w:r>
        <w:rPr>
          <w:rFonts w:hint="default" w:ascii="Times New Roman" w:hAnsi="Times New Roman" w:cs="Times New Roman"/>
          <w:snapToGrid w:val="0"/>
          <w:color w:val="auto"/>
          <w:szCs w:val="24"/>
          <w:highlight w:val="none"/>
        </w:rPr>
        <w:t>《中华人民共和国森林法》（2009年8月修订）；</w:t>
      </w:r>
    </w:p>
    <w:p w14:paraId="15653C77">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⑹</w:t>
      </w:r>
      <w:r>
        <w:rPr>
          <w:rFonts w:hint="default" w:ascii="Times New Roman" w:hAnsi="Times New Roman" w:cs="Times New Roman"/>
          <w:snapToGrid w:val="0"/>
          <w:color w:val="auto"/>
          <w:szCs w:val="24"/>
          <w:highlight w:val="none"/>
        </w:rPr>
        <w:t>《中华人民共和国野生动物保护法》（2018年10</w:t>
      </w:r>
      <w:r>
        <w:rPr>
          <w:rFonts w:hint="default" w:ascii="Times New Roman" w:hAnsi="Times New Roman" w:cs="Times New Roman"/>
          <w:color w:val="auto"/>
          <w:szCs w:val="24"/>
          <w:highlight w:val="none"/>
        </w:rPr>
        <w:t>月</w:t>
      </w:r>
      <w:r>
        <w:rPr>
          <w:rFonts w:hint="default" w:ascii="Times New Roman" w:hAnsi="Times New Roman" w:cs="Times New Roman"/>
          <w:snapToGrid w:val="0"/>
          <w:color w:val="auto"/>
          <w:szCs w:val="24"/>
          <w:highlight w:val="none"/>
        </w:rPr>
        <w:t>26</w:t>
      </w:r>
      <w:r>
        <w:rPr>
          <w:rFonts w:hint="default" w:ascii="Times New Roman" w:hAnsi="Times New Roman" w:cs="Times New Roman"/>
          <w:color w:val="auto"/>
          <w:szCs w:val="24"/>
          <w:highlight w:val="none"/>
        </w:rPr>
        <w:t>日</w:t>
      </w:r>
      <w:r>
        <w:rPr>
          <w:rFonts w:hint="default" w:ascii="Times New Roman" w:hAnsi="Times New Roman" w:cs="Times New Roman"/>
          <w:snapToGrid w:val="0"/>
          <w:color w:val="auto"/>
          <w:szCs w:val="24"/>
          <w:highlight w:val="none"/>
        </w:rPr>
        <w:t>修正版）；</w:t>
      </w:r>
    </w:p>
    <w:p w14:paraId="6D5A4EA6">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⑺</w:t>
      </w:r>
      <w:r>
        <w:rPr>
          <w:rFonts w:hint="default" w:ascii="Times New Roman" w:hAnsi="Times New Roman" w:cs="Times New Roman"/>
          <w:snapToGrid w:val="0"/>
          <w:color w:val="auto"/>
          <w:szCs w:val="24"/>
          <w:highlight w:val="none"/>
        </w:rPr>
        <w:t>《中华人民共和国野生植物保护条例》（2017年10</w:t>
      </w:r>
      <w:r>
        <w:rPr>
          <w:rFonts w:hint="default" w:ascii="Times New Roman" w:hAnsi="Times New Roman" w:cs="Times New Roman"/>
          <w:color w:val="auto"/>
          <w:szCs w:val="24"/>
          <w:highlight w:val="none"/>
        </w:rPr>
        <w:t>月</w:t>
      </w:r>
      <w:r>
        <w:rPr>
          <w:rFonts w:hint="default" w:ascii="Times New Roman" w:hAnsi="Times New Roman" w:cs="Times New Roman"/>
          <w:snapToGrid w:val="0"/>
          <w:color w:val="auto"/>
          <w:szCs w:val="24"/>
          <w:highlight w:val="none"/>
        </w:rPr>
        <w:t>7</w:t>
      </w:r>
      <w:r>
        <w:rPr>
          <w:rFonts w:hint="default" w:ascii="Times New Roman" w:hAnsi="Times New Roman" w:cs="Times New Roman"/>
          <w:color w:val="auto"/>
          <w:szCs w:val="24"/>
          <w:highlight w:val="none"/>
        </w:rPr>
        <w:t>日</w:t>
      </w:r>
      <w:r>
        <w:rPr>
          <w:rFonts w:hint="default" w:ascii="Times New Roman" w:hAnsi="Times New Roman" w:cs="Times New Roman"/>
          <w:snapToGrid w:val="0"/>
          <w:color w:val="auto"/>
          <w:szCs w:val="24"/>
          <w:highlight w:val="none"/>
        </w:rPr>
        <w:t>修订）；</w:t>
      </w:r>
    </w:p>
    <w:p w14:paraId="190080D5">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⑻</w:t>
      </w:r>
      <w:r>
        <w:rPr>
          <w:rFonts w:hint="default" w:ascii="Times New Roman" w:hAnsi="Times New Roman" w:cs="Times New Roman"/>
          <w:snapToGrid w:val="0"/>
          <w:color w:val="auto"/>
          <w:szCs w:val="24"/>
          <w:highlight w:val="none"/>
        </w:rPr>
        <w:t>《中华人民共和国陆生野生动物保护实施条例》（2016年2</w:t>
      </w:r>
      <w:r>
        <w:rPr>
          <w:rFonts w:hint="default" w:ascii="Times New Roman" w:hAnsi="Times New Roman" w:cs="Times New Roman"/>
          <w:color w:val="auto"/>
          <w:szCs w:val="24"/>
          <w:highlight w:val="none"/>
        </w:rPr>
        <w:t>月</w:t>
      </w:r>
      <w:r>
        <w:rPr>
          <w:rFonts w:hint="default" w:ascii="Times New Roman" w:hAnsi="Times New Roman" w:cs="Times New Roman"/>
          <w:snapToGrid w:val="0"/>
          <w:color w:val="auto"/>
          <w:szCs w:val="24"/>
          <w:highlight w:val="none"/>
        </w:rPr>
        <w:t>6</w:t>
      </w:r>
      <w:r>
        <w:rPr>
          <w:rFonts w:hint="default" w:ascii="Times New Roman" w:hAnsi="Times New Roman" w:cs="Times New Roman"/>
          <w:color w:val="auto"/>
          <w:szCs w:val="24"/>
          <w:highlight w:val="none"/>
        </w:rPr>
        <w:t>日</w:t>
      </w:r>
      <w:r>
        <w:rPr>
          <w:rFonts w:hint="default" w:ascii="Times New Roman" w:hAnsi="Times New Roman" w:cs="Times New Roman"/>
          <w:snapToGrid w:val="0"/>
          <w:color w:val="auto"/>
          <w:szCs w:val="24"/>
          <w:highlight w:val="none"/>
        </w:rPr>
        <w:t>修订）；</w:t>
      </w:r>
    </w:p>
    <w:p w14:paraId="7977FEF9">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⑼</w:t>
      </w:r>
      <w:r>
        <w:rPr>
          <w:rFonts w:hint="default" w:ascii="Times New Roman" w:hAnsi="Times New Roman" w:cs="Times New Roman"/>
          <w:snapToGrid w:val="0"/>
          <w:color w:val="auto"/>
          <w:szCs w:val="24"/>
          <w:highlight w:val="none"/>
        </w:rPr>
        <w:t>《中华人民共和国土地管理法》（2004年8月28日修订）；</w:t>
      </w:r>
    </w:p>
    <w:p w14:paraId="17A824E5">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⑽</w:t>
      </w:r>
      <w:r>
        <w:rPr>
          <w:rFonts w:hint="default" w:ascii="Times New Roman" w:hAnsi="Times New Roman" w:cs="Times New Roman"/>
          <w:snapToGrid w:val="0"/>
          <w:color w:val="auto"/>
          <w:szCs w:val="24"/>
          <w:highlight w:val="none"/>
        </w:rPr>
        <w:t>《建设项目环境保护管理条例》（2017年修正版）。</w:t>
      </w:r>
    </w:p>
    <w:p w14:paraId="2818F8AE">
      <w:pPr>
        <w:pStyle w:val="4"/>
        <w:pageBreakBefore w:val="0"/>
        <w:widowControl w:val="0"/>
        <w:numPr>
          <w:ilvl w:val="0"/>
          <w:numId w:val="0"/>
        </w:numPr>
        <w:tabs>
          <w:tab w:val="clear" w:pos="709"/>
        </w:tabs>
        <w:kinsoku/>
        <w:wordWrap/>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宋体" w:cs="Times New Roman"/>
          <w:color w:val="auto"/>
          <w:sz w:val="24"/>
          <w:szCs w:val="24"/>
          <w:highlight w:val="none"/>
        </w:rPr>
      </w:pPr>
      <w:bookmarkStart w:id="379" w:name="_Toc16452"/>
      <w:r>
        <w:rPr>
          <w:rFonts w:hint="default" w:ascii="Times New Roman" w:hAnsi="Times New Roman" w:eastAsia="宋体" w:cs="Times New Roman"/>
          <w:color w:val="auto"/>
          <w:sz w:val="24"/>
          <w:szCs w:val="24"/>
          <w:highlight w:val="none"/>
        </w:rPr>
        <w:t>1.2.2地方法规</w:t>
      </w:r>
      <w:bookmarkEnd w:id="379"/>
    </w:p>
    <w:p w14:paraId="3060D837">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⑴</w:t>
      </w:r>
      <w:r>
        <w:rPr>
          <w:rFonts w:hint="default" w:ascii="Times New Roman" w:hAnsi="Times New Roman" w:cs="Times New Roman"/>
          <w:snapToGrid w:val="0"/>
          <w:color w:val="auto"/>
          <w:szCs w:val="24"/>
          <w:highlight w:val="none"/>
        </w:rPr>
        <w:t>《宁夏回族自治区生态保护红线管理条例》（2019年1月1日实施</w:t>
      </w:r>
      <w:r>
        <w:rPr>
          <w:rFonts w:hint="default" w:ascii="Times New Roman" w:hAnsi="Times New Roman" w:cs="Times New Roman"/>
          <w:snapToGrid w:val="0"/>
          <w:color w:val="auto"/>
          <w:szCs w:val="24"/>
          <w:highlight w:val="none"/>
          <w:lang w:eastAsia="zh-CN"/>
        </w:rPr>
        <w:t>，</w:t>
      </w:r>
      <w:r>
        <w:rPr>
          <w:rFonts w:hint="default" w:ascii="Times New Roman" w:hAnsi="Times New Roman" w:cs="Times New Roman"/>
          <w:snapToGrid w:val="0"/>
          <w:color w:val="auto"/>
          <w:szCs w:val="24"/>
          <w:highlight w:val="none"/>
          <w:lang w:val="en-US" w:eastAsia="zh-CN"/>
        </w:rPr>
        <w:t>2023年8月2日修正</w:t>
      </w:r>
      <w:r>
        <w:rPr>
          <w:rFonts w:hint="default" w:ascii="Times New Roman" w:hAnsi="Times New Roman" w:cs="Times New Roman"/>
          <w:snapToGrid w:val="0"/>
          <w:color w:val="auto"/>
          <w:szCs w:val="24"/>
          <w:highlight w:val="none"/>
        </w:rPr>
        <w:t>）；</w:t>
      </w:r>
    </w:p>
    <w:p w14:paraId="30658CA3">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⑵</w:t>
      </w:r>
      <w:r>
        <w:rPr>
          <w:rFonts w:hint="default" w:ascii="Times New Roman" w:hAnsi="Times New Roman" w:cs="Times New Roman"/>
          <w:snapToGrid w:val="0"/>
          <w:color w:val="auto"/>
          <w:szCs w:val="24"/>
          <w:highlight w:val="none"/>
        </w:rPr>
        <w:t>《</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"https://www.sogou.com/link?url=DSOYnZeCC_oL_5EB1-omqzS57of9O74O0c11MC8NZ-GUEuELvH81AXb1Cngv_zqrf1pM6Nlui6o4d2X6F0SQYA.." \t "https://www.sogou.com/_blank"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snapToGrid w:val="0"/>
          <w:color w:val="auto"/>
          <w:szCs w:val="24"/>
          <w:highlight w:val="none"/>
        </w:rPr>
        <w:t>自治区人民政府关于实施“三线一单”生态环境分区管控的通知</w:t>
      </w:r>
      <w:r>
        <w:rPr>
          <w:rFonts w:hint="default" w:ascii="Times New Roman" w:hAnsi="Times New Roman" w:cs="Times New Roman"/>
          <w:snapToGrid w:val="0"/>
          <w:color w:val="auto"/>
          <w:szCs w:val="24"/>
          <w:highlight w:val="none"/>
        </w:rPr>
        <w:fldChar w:fldCharType="end"/>
      </w:r>
      <w:r>
        <w:rPr>
          <w:rFonts w:hint="default" w:ascii="Times New Roman" w:hAnsi="Times New Roman" w:cs="Times New Roman"/>
          <w:snapToGrid w:val="0"/>
          <w:color w:val="auto"/>
          <w:szCs w:val="24"/>
          <w:highlight w:val="none"/>
        </w:rPr>
        <w:t>》（宁政发〔2020〕37号）；</w:t>
      </w:r>
    </w:p>
    <w:p w14:paraId="213A3F15">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eastAsia="宋体" w:cs="Times New Roman"/>
          <w:color w:val="auto"/>
          <w:kern w:val="0"/>
          <w:szCs w:val="24"/>
          <w:highlight w:val="none"/>
          <w:lang w:eastAsia="zh-CN" w:bidi="ar"/>
        </w:rPr>
      </w:pPr>
      <w:r>
        <w:rPr>
          <w:rFonts w:hint="default" w:ascii="Times New Roman" w:hAnsi="Times New Roman" w:cs="Times New Roman"/>
          <w:snapToGrid w:val="0"/>
          <w:color w:val="auto"/>
          <w:szCs w:val="24"/>
          <w:highlight w:val="none"/>
          <w:lang w:eastAsia="zh-CN"/>
        </w:rPr>
        <w:t>⑶</w:t>
      </w:r>
      <w:r>
        <w:rPr>
          <w:rFonts w:hint="default" w:ascii="Times New Roman" w:hAnsi="Times New Roman" w:cs="Times New Roman"/>
          <w:color w:val="auto"/>
          <w:kern w:val="0"/>
          <w:szCs w:val="24"/>
          <w:highlight w:val="none"/>
          <w:lang w:bidi="ar"/>
        </w:rPr>
        <w:t>宁夏回族自治区生态环境厅关于发布《宁夏回族自治区生态环境分区管控动态更新成果》的通知（宁环规发</w:t>
      </w:r>
      <w:r>
        <w:rPr>
          <w:rFonts w:hint="default" w:ascii="Times New Roman" w:hAnsi="Times New Roman" w:cs="Times New Roman"/>
          <w:snapToGrid w:val="0"/>
          <w:color w:val="auto"/>
          <w:szCs w:val="24"/>
          <w:highlight w:val="none"/>
        </w:rPr>
        <w:t>〔2024〕</w:t>
      </w:r>
      <w:r>
        <w:rPr>
          <w:rFonts w:hint="default" w:ascii="Times New Roman" w:hAnsi="Times New Roman" w:cs="Times New Roman"/>
          <w:color w:val="auto"/>
          <w:kern w:val="0"/>
          <w:szCs w:val="24"/>
          <w:highlight w:val="none"/>
          <w:lang w:bidi="ar"/>
        </w:rPr>
        <w:t>3号）</w:t>
      </w:r>
      <w:r>
        <w:rPr>
          <w:rFonts w:hint="default" w:ascii="Times New Roman" w:hAnsi="Times New Roman" w:cs="Times New Roman"/>
          <w:color w:val="auto"/>
          <w:kern w:val="0"/>
          <w:szCs w:val="24"/>
          <w:highlight w:val="none"/>
          <w:lang w:eastAsia="zh-CN" w:bidi="ar"/>
        </w:rPr>
        <w:t>；</w:t>
      </w:r>
    </w:p>
    <w:p w14:paraId="1048612C">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 w:val="28"/>
          <w:highlight w:val="yellow"/>
        </w:rPr>
      </w:pPr>
      <w:r>
        <w:rPr>
          <w:rFonts w:hint="default" w:ascii="Times New Roman" w:hAnsi="Times New Roman" w:cs="Times New Roman"/>
          <w:color w:val="auto"/>
          <w:kern w:val="0"/>
          <w:szCs w:val="24"/>
          <w:highlight w:val="none"/>
          <w:lang w:eastAsia="zh-CN" w:bidi="ar"/>
        </w:rPr>
        <w:t>⑷</w:t>
      </w:r>
      <w:r>
        <w:rPr>
          <w:rFonts w:hint="default" w:ascii="Times New Roman" w:hAnsi="Times New Roman" w:cs="Times New Roman"/>
          <w:bCs/>
          <w:color w:val="auto"/>
          <w:sz w:val="24"/>
          <w:highlight w:val="none"/>
          <w:lang w:val="en-US" w:eastAsia="zh-CN"/>
        </w:rPr>
        <w:t>固原</w:t>
      </w:r>
      <w:r>
        <w:rPr>
          <w:rFonts w:hint="default" w:ascii="Times New Roman" w:hAnsi="Times New Roman" w:cs="Times New Roman"/>
          <w:bCs/>
          <w:color w:val="auto"/>
          <w:sz w:val="24"/>
          <w:highlight w:val="none"/>
        </w:rPr>
        <w:t>市人民政府关于</w:t>
      </w:r>
      <w:r>
        <w:rPr>
          <w:rFonts w:hint="default" w:ascii="Times New Roman" w:hAnsi="Times New Roman" w:cs="Times New Roman"/>
          <w:bCs/>
          <w:color w:val="auto"/>
          <w:sz w:val="24"/>
          <w:highlight w:val="none"/>
          <w:lang w:val="en-US" w:eastAsia="zh-CN"/>
        </w:rPr>
        <w:t>印发《固原市</w:t>
      </w:r>
      <w:r>
        <w:rPr>
          <w:rFonts w:hint="default" w:ascii="Times New Roman" w:hAnsi="Times New Roman" w:cs="Times New Roman"/>
          <w:bCs/>
          <w:color w:val="auto"/>
          <w:sz w:val="24"/>
          <w:highlight w:val="none"/>
        </w:rPr>
        <w:t>生态环境分区管控</w:t>
      </w:r>
      <w:r>
        <w:rPr>
          <w:rFonts w:hint="default" w:ascii="Times New Roman" w:hAnsi="Times New Roman" w:cs="Times New Roman"/>
          <w:bCs/>
          <w:color w:val="auto"/>
          <w:sz w:val="24"/>
          <w:highlight w:val="none"/>
          <w:lang w:val="en-US" w:eastAsia="zh-CN"/>
        </w:rPr>
        <w:t>实施方案</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的通知</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固</w:t>
      </w:r>
      <w:r>
        <w:rPr>
          <w:rFonts w:hint="default" w:ascii="Times New Roman" w:hAnsi="Times New Roman" w:cs="Times New Roman"/>
          <w:bCs/>
          <w:color w:val="auto"/>
          <w:sz w:val="24"/>
          <w:highlight w:val="none"/>
        </w:rPr>
        <w:t>政发〔2024〕</w:t>
      </w:r>
      <w:r>
        <w:rPr>
          <w:rFonts w:hint="default" w:ascii="Times New Roman" w:hAnsi="Times New Roman" w:cs="Times New Roman"/>
          <w:bCs/>
          <w:color w:val="auto"/>
          <w:sz w:val="24"/>
          <w:highlight w:val="none"/>
          <w:lang w:val="en-US" w:eastAsia="zh-CN"/>
        </w:rPr>
        <w:t>28</w:t>
      </w:r>
      <w:r>
        <w:rPr>
          <w:rFonts w:hint="default" w:ascii="Times New Roman" w:hAnsi="Times New Roman" w:cs="Times New Roman"/>
          <w:bCs/>
          <w:color w:val="auto"/>
          <w:sz w:val="24"/>
          <w:highlight w:val="none"/>
        </w:rPr>
        <w:t>号）</w:t>
      </w:r>
      <w:r>
        <w:rPr>
          <w:rFonts w:hint="default" w:ascii="Times New Roman" w:hAnsi="Times New Roman" w:cs="Times New Roman"/>
          <w:snapToGrid w:val="0"/>
          <w:color w:val="auto"/>
          <w:szCs w:val="24"/>
          <w:highlight w:val="none"/>
        </w:rPr>
        <w:t>。</w:t>
      </w:r>
    </w:p>
    <w:p w14:paraId="1D2A151B">
      <w:pPr>
        <w:pStyle w:val="4"/>
        <w:pageBreakBefore w:val="0"/>
        <w:widowControl w:val="0"/>
        <w:numPr>
          <w:ilvl w:val="0"/>
          <w:numId w:val="0"/>
        </w:numPr>
        <w:tabs>
          <w:tab w:val="clear" w:pos="709"/>
        </w:tabs>
        <w:kinsoku/>
        <w:wordWrap/>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宋体" w:cs="Times New Roman"/>
          <w:color w:val="auto"/>
          <w:sz w:val="24"/>
          <w:szCs w:val="24"/>
          <w:highlight w:val="none"/>
        </w:rPr>
      </w:pPr>
      <w:bookmarkStart w:id="380" w:name="_Toc13256"/>
      <w:r>
        <w:rPr>
          <w:rFonts w:hint="default" w:ascii="Times New Roman" w:hAnsi="Times New Roman" w:eastAsia="宋体" w:cs="Times New Roman"/>
          <w:color w:val="auto"/>
          <w:sz w:val="24"/>
          <w:szCs w:val="24"/>
          <w:highlight w:val="none"/>
        </w:rPr>
        <w:t>1.2.3规章与规范性文件</w:t>
      </w:r>
      <w:bookmarkEnd w:id="380"/>
    </w:p>
    <w:p w14:paraId="2F71DCB6">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⑴</w:t>
      </w:r>
      <w:r>
        <w:rPr>
          <w:rFonts w:hint="default" w:ascii="Times New Roman" w:hAnsi="Times New Roman" w:cs="Times New Roman"/>
          <w:snapToGrid w:val="0"/>
          <w:color w:val="auto"/>
          <w:szCs w:val="24"/>
          <w:highlight w:val="none"/>
        </w:rPr>
        <w:t>《自然资源部</w:t>
      </w:r>
      <w:r>
        <w:rPr>
          <w:rFonts w:hint="eastAsia" w:cs="Times New Roman"/>
          <w:snapToGrid w:val="0"/>
          <w:color w:val="auto"/>
          <w:szCs w:val="24"/>
          <w:highlight w:val="none"/>
          <w:lang w:val="en-US" w:eastAsia="zh-CN"/>
        </w:rPr>
        <w:t xml:space="preserve"> </w:t>
      </w:r>
      <w:r>
        <w:rPr>
          <w:rFonts w:hint="default" w:ascii="Times New Roman" w:hAnsi="Times New Roman" w:cs="Times New Roman"/>
          <w:snapToGrid w:val="0"/>
          <w:color w:val="auto"/>
          <w:szCs w:val="24"/>
          <w:highlight w:val="none"/>
        </w:rPr>
        <w:t>农业农村部</w:t>
      </w:r>
      <w:r>
        <w:rPr>
          <w:rFonts w:hint="eastAsia" w:cs="Times New Roman"/>
          <w:snapToGrid w:val="0"/>
          <w:color w:val="auto"/>
          <w:szCs w:val="24"/>
          <w:highlight w:val="none"/>
          <w:lang w:val="en-US" w:eastAsia="zh-CN"/>
        </w:rPr>
        <w:t xml:space="preserve"> </w:t>
      </w:r>
      <w:r>
        <w:rPr>
          <w:rFonts w:hint="default" w:ascii="Times New Roman" w:hAnsi="Times New Roman" w:cs="Times New Roman"/>
          <w:snapToGrid w:val="0"/>
          <w:color w:val="auto"/>
          <w:szCs w:val="24"/>
          <w:highlight w:val="none"/>
        </w:rPr>
        <w:t>国家林业和草原局关于严格耕地用途管制有关问题的通知》（自然资发〔2021〕166号）；</w:t>
      </w:r>
    </w:p>
    <w:p w14:paraId="4AD5C676">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⑵</w:t>
      </w:r>
      <w:r>
        <w:rPr>
          <w:rFonts w:hint="default" w:ascii="Times New Roman" w:hAnsi="Times New Roman" w:cs="Times New Roman"/>
          <w:snapToGrid w:val="0"/>
          <w:color w:val="auto"/>
          <w:szCs w:val="24"/>
          <w:highlight w:val="none"/>
        </w:rPr>
        <w:t>《关于设施农业用地管理有关问题的通知》（自然资规〔2019〕4号）；</w:t>
      </w:r>
    </w:p>
    <w:p w14:paraId="2345F4B3">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⑶</w:t>
      </w:r>
      <w:r>
        <w:rPr>
          <w:rFonts w:hint="default" w:ascii="Times New Roman" w:hAnsi="Times New Roman" w:cs="Times New Roman"/>
          <w:snapToGrid w:val="0"/>
          <w:color w:val="auto"/>
          <w:highlight w:val="none"/>
        </w:rPr>
        <w:t>《关于划定并严守生态保护红线的若干意见》（中共中央办公厅、国务院办公厅2017年2月印发）</w:t>
      </w:r>
      <w:r>
        <w:rPr>
          <w:rFonts w:hint="default" w:ascii="Times New Roman" w:hAnsi="Times New Roman" w:cs="Times New Roman"/>
          <w:snapToGrid w:val="0"/>
          <w:color w:val="auto"/>
          <w:szCs w:val="24"/>
          <w:highlight w:val="none"/>
        </w:rPr>
        <w:t>；</w:t>
      </w:r>
    </w:p>
    <w:p w14:paraId="24198A3F">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⑷</w:t>
      </w:r>
      <w:r>
        <w:rPr>
          <w:rFonts w:hint="default" w:ascii="Times New Roman" w:hAnsi="Times New Roman" w:cs="Times New Roman"/>
          <w:snapToGrid w:val="0"/>
          <w:color w:val="auto"/>
          <w:szCs w:val="24"/>
          <w:highlight w:val="none"/>
        </w:rPr>
        <w:t>《关于以改善环境质量为核心加强环境影响评价管理的通知》（环环评〔2016〕150号）；</w:t>
      </w:r>
    </w:p>
    <w:p w14:paraId="43E21BA8">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szCs w:val="24"/>
          <w:highlight w:val="none"/>
          <w:lang w:eastAsia="zh-CN"/>
        </w:rPr>
        <w:t>⑸</w:t>
      </w:r>
      <w:r>
        <w:rPr>
          <w:rFonts w:hint="default" w:ascii="Times New Roman" w:hAnsi="Times New Roman" w:cs="Times New Roman"/>
          <w:snapToGrid w:val="0"/>
          <w:color w:val="auto"/>
          <w:highlight w:val="none"/>
        </w:rPr>
        <w:t>《关于进一步加强生物多样性保护的意见》（中共中央办公厅、国务院办公厅2021年10月印发）；</w:t>
      </w:r>
    </w:p>
    <w:p w14:paraId="789E04AA">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⑹</w:t>
      </w:r>
      <w:r>
        <w:rPr>
          <w:rFonts w:hint="default" w:ascii="Times New Roman" w:hAnsi="Times New Roman" w:cs="Times New Roman"/>
          <w:snapToGrid w:val="0"/>
          <w:color w:val="auto"/>
          <w:szCs w:val="24"/>
          <w:highlight w:val="none"/>
        </w:rPr>
        <w:t>《国家重点保护野生植物名录》（2021年8月7日实施）；</w:t>
      </w:r>
    </w:p>
    <w:p w14:paraId="02045522">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⑺</w:t>
      </w:r>
      <w:r>
        <w:rPr>
          <w:rFonts w:hint="default" w:ascii="Times New Roman" w:hAnsi="Times New Roman" w:cs="Times New Roman"/>
          <w:snapToGrid w:val="0"/>
          <w:color w:val="auto"/>
          <w:szCs w:val="24"/>
          <w:highlight w:val="none"/>
        </w:rPr>
        <w:t>《国家重点保护野生动物名录》（2021年2月11日实施）；</w:t>
      </w:r>
    </w:p>
    <w:p w14:paraId="5C04E58C">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lang w:eastAsia="zh-CN"/>
        </w:rPr>
        <w:t>⑻</w:t>
      </w:r>
      <w:r>
        <w:rPr>
          <w:rFonts w:hint="default" w:ascii="Times New Roman" w:hAnsi="Times New Roman" w:cs="Times New Roman"/>
          <w:snapToGrid w:val="0"/>
          <w:color w:val="auto"/>
          <w:highlight w:val="none"/>
        </w:rPr>
        <w:t>《自然资源部</w:t>
      </w:r>
      <w:r>
        <w:rPr>
          <w:rFonts w:hint="eastAsia" w:cs="Times New Roman"/>
          <w:snapToGrid w:val="0"/>
          <w:color w:val="auto"/>
          <w:highlight w:val="none"/>
          <w:lang w:val="en-US" w:eastAsia="zh-CN"/>
        </w:rPr>
        <w:t xml:space="preserve"> </w:t>
      </w:r>
      <w:r>
        <w:rPr>
          <w:rFonts w:hint="default" w:ascii="Times New Roman" w:hAnsi="Times New Roman" w:cs="Times New Roman"/>
          <w:snapToGrid w:val="0"/>
          <w:color w:val="auto"/>
          <w:highlight w:val="none"/>
        </w:rPr>
        <w:t>生态环境部</w:t>
      </w:r>
      <w:r>
        <w:rPr>
          <w:rFonts w:hint="eastAsia" w:cs="Times New Roman"/>
          <w:snapToGrid w:val="0"/>
          <w:color w:val="auto"/>
          <w:highlight w:val="none"/>
          <w:lang w:val="en-US" w:eastAsia="zh-CN"/>
        </w:rPr>
        <w:t xml:space="preserve"> </w:t>
      </w:r>
      <w:r>
        <w:rPr>
          <w:rFonts w:hint="default" w:ascii="Times New Roman" w:hAnsi="Times New Roman" w:cs="Times New Roman"/>
          <w:snapToGrid w:val="0"/>
          <w:color w:val="auto"/>
          <w:highlight w:val="none"/>
        </w:rPr>
        <w:t>国家林业和草原局关于加强生态保护红线管理的通知（试行）》（自然资发〔2022〕142号）；</w:t>
      </w:r>
    </w:p>
    <w:p w14:paraId="24246EAF">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eastAsia" w:cs="Times New Roman"/>
          <w:snapToGrid w:val="0"/>
          <w:color w:val="auto"/>
          <w:kern w:val="0"/>
          <w:highlight w:val="none"/>
          <w:lang w:eastAsia="zh-CN"/>
        </w:rPr>
      </w:pPr>
      <w:r>
        <w:rPr>
          <w:rFonts w:hint="default" w:ascii="Times New Roman" w:hAnsi="Times New Roman" w:cs="Times New Roman"/>
          <w:snapToGrid w:val="0"/>
          <w:color w:val="auto"/>
          <w:highlight w:val="none"/>
          <w:lang w:eastAsia="zh-CN"/>
        </w:rPr>
        <w:t>⑼</w:t>
      </w:r>
      <w:r>
        <w:rPr>
          <w:rFonts w:hint="default" w:ascii="Times New Roman" w:hAnsi="Times New Roman" w:cs="Times New Roman"/>
          <w:snapToGrid w:val="0"/>
          <w:color w:val="auto"/>
          <w:highlight w:val="none"/>
        </w:rPr>
        <w:t>生态环境部</w:t>
      </w:r>
      <w:r>
        <w:rPr>
          <w:rFonts w:hint="default" w:ascii="Times New Roman" w:hAnsi="Times New Roman" w:cs="Times New Roman"/>
          <w:color w:val="auto"/>
          <w:kern w:val="1"/>
          <w:highlight w:val="none"/>
        </w:rPr>
        <w:t>关于印发《生态保护红线生态环境监督办法（试行）》的通知（国环规生态</w:t>
      </w:r>
      <w:r>
        <w:rPr>
          <w:rFonts w:hint="default" w:ascii="Times New Roman" w:hAnsi="Times New Roman" w:cs="Times New Roman"/>
          <w:snapToGrid w:val="0"/>
          <w:color w:val="auto"/>
          <w:highlight w:val="none"/>
        </w:rPr>
        <w:t>〔2022〕</w:t>
      </w:r>
      <w:r>
        <w:rPr>
          <w:rFonts w:hint="default" w:ascii="Times New Roman" w:hAnsi="Times New Roman" w:cs="Times New Roman"/>
          <w:snapToGrid w:val="0"/>
          <w:color w:val="auto"/>
          <w:kern w:val="0"/>
          <w:highlight w:val="none"/>
        </w:rPr>
        <w:t>2号）</w:t>
      </w:r>
      <w:r>
        <w:rPr>
          <w:rFonts w:hint="eastAsia" w:cs="Times New Roman"/>
          <w:snapToGrid w:val="0"/>
          <w:color w:val="auto"/>
          <w:kern w:val="0"/>
          <w:highlight w:val="none"/>
          <w:lang w:eastAsia="zh-CN"/>
        </w:rPr>
        <w:t>；</w:t>
      </w:r>
    </w:p>
    <w:p w14:paraId="5DE7FCD3">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⑽</w:t>
      </w:r>
      <w:r>
        <w:rPr>
          <w:rFonts w:hint="default" w:ascii="Times New Roman" w:hAnsi="Times New Roman" w:cs="Times New Roman"/>
          <w:snapToGrid w:val="0"/>
          <w:color w:val="auto"/>
          <w:szCs w:val="24"/>
          <w:highlight w:val="none"/>
          <w:lang w:val="en-US" w:eastAsia="zh-CN"/>
        </w:rPr>
        <w:t>《宁夏回族自治区生态保护红线管理条例（2023年8月2日修正）》</w:t>
      </w:r>
      <w:r>
        <w:rPr>
          <w:rFonts w:hint="default" w:ascii="Times New Roman" w:hAnsi="Times New Roman" w:cs="Times New Roman"/>
          <w:snapToGrid w:val="0"/>
          <w:color w:val="auto"/>
          <w:kern w:val="0"/>
          <w:highlight w:val="none"/>
        </w:rPr>
        <w:t>。</w:t>
      </w:r>
    </w:p>
    <w:p w14:paraId="3A2F0EBE">
      <w:pPr>
        <w:pStyle w:val="4"/>
        <w:pageBreakBefore w:val="0"/>
        <w:widowControl w:val="0"/>
        <w:numPr>
          <w:ilvl w:val="0"/>
          <w:numId w:val="0"/>
        </w:numPr>
        <w:tabs>
          <w:tab w:val="clear" w:pos="709"/>
        </w:tabs>
        <w:kinsoku/>
        <w:wordWrap/>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宋体" w:cs="Times New Roman"/>
          <w:color w:val="auto"/>
          <w:sz w:val="24"/>
          <w:szCs w:val="24"/>
          <w:highlight w:val="none"/>
        </w:rPr>
      </w:pPr>
      <w:bookmarkStart w:id="381" w:name="_Toc15367"/>
      <w:r>
        <w:rPr>
          <w:rFonts w:hint="default" w:ascii="Times New Roman" w:hAnsi="Times New Roman" w:eastAsia="宋体" w:cs="Times New Roman"/>
          <w:color w:val="auto"/>
          <w:sz w:val="24"/>
          <w:szCs w:val="24"/>
          <w:highlight w:val="none"/>
        </w:rPr>
        <w:t>1.2.4导则、标准、技术文件</w:t>
      </w:r>
      <w:bookmarkEnd w:id="381"/>
    </w:p>
    <w:p w14:paraId="409FA56C">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⑴</w:t>
      </w:r>
      <w:r>
        <w:rPr>
          <w:rFonts w:hint="default" w:ascii="Times New Roman" w:hAnsi="Times New Roman" w:cs="Times New Roman"/>
          <w:snapToGrid w:val="0"/>
          <w:color w:val="auto"/>
          <w:highlight w:val="none"/>
        </w:rPr>
        <w:t>《建设项目环境影响评价技术导则 总纲》（HJ2.1-2016）</w:t>
      </w:r>
      <w:r>
        <w:rPr>
          <w:rFonts w:hint="default" w:ascii="Times New Roman" w:hAnsi="Times New Roman" w:cs="Times New Roman"/>
          <w:snapToGrid w:val="0"/>
          <w:color w:val="auto"/>
          <w:szCs w:val="24"/>
          <w:highlight w:val="none"/>
        </w:rPr>
        <w:t>；</w:t>
      </w:r>
    </w:p>
    <w:p w14:paraId="6538F7E2">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⑵</w:t>
      </w:r>
      <w:r>
        <w:rPr>
          <w:rFonts w:hint="default" w:ascii="Times New Roman" w:hAnsi="Times New Roman" w:cs="Times New Roman"/>
          <w:snapToGrid w:val="0"/>
          <w:color w:val="auto"/>
          <w:highlight w:val="none"/>
        </w:rPr>
        <w:t>《环境影响评价技术导则 输变电》（HJ24-2020）</w:t>
      </w:r>
      <w:r>
        <w:rPr>
          <w:rFonts w:hint="default" w:ascii="Times New Roman" w:hAnsi="Times New Roman" w:cs="Times New Roman"/>
          <w:snapToGrid w:val="0"/>
          <w:color w:val="auto"/>
          <w:szCs w:val="24"/>
          <w:highlight w:val="none"/>
        </w:rPr>
        <w:t>；</w:t>
      </w:r>
    </w:p>
    <w:p w14:paraId="760FF153">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⑶</w:t>
      </w:r>
      <w:r>
        <w:rPr>
          <w:rFonts w:hint="default" w:ascii="Times New Roman" w:hAnsi="Times New Roman" w:cs="Times New Roman"/>
          <w:snapToGrid w:val="0"/>
          <w:color w:val="auto"/>
          <w:szCs w:val="24"/>
          <w:highlight w:val="none"/>
        </w:rPr>
        <w:t>《环境影响评价技术导则 生态影响》（HJ19-2022）；</w:t>
      </w:r>
    </w:p>
    <w:p w14:paraId="01DD4B5E">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⑷</w:t>
      </w:r>
      <w:r>
        <w:rPr>
          <w:rFonts w:hint="default" w:ascii="Times New Roman" w:hAnsi="Times New Roman" w:cs="Times New Roman"/>
          <w:color w:val="auto"/>
          <w:kern w:val="0"/>
          <w:szCs w:val="24"/>
          <w:highlight w:val="none"/>
          <w:lang w:bidi="ar"/>
        </w:rPr>
        <w:t>《生态环境状况评价技术规范》（HJ192-2015）；</w:t>
      </w:r>
    </w:p>
    <w:p w14:paraId="0C0CAC94">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eastAsia" w:cs="Times New Roman"/>
          <w:color w:val="auto"/>
          <w:kern w:val="0"/>
          <w:szCs w:val="24"/>
          <w:highlight w:val="none"/>
          <w:lang w:eastAsia="zh-CN" w:bidi="ar"/>
        </w:rPr>
      </w:pPr>
      <w:r>
        <w:rPr>
          <w:rFonts w:hint="default" w:ascii="Times New Roman" w:hAnsi="Times New Roman" w:cs="Times New Roman"/>
          <w:snapToGrid w:val="0"/>
          <w:color w:val="auto"/>
          <w:szCs w:val="24"/>
          <w:highlight w:val="none"/>
          <w:lang w:eastAsia="zh-CN"/>
        </w:rPr>
        <w:t>⑸</w:t>
      </w:r>
      <w:r>
        <w:rPr>
          <w:rFonts w:hint="default" w:ascii="Times New Roman" w:hAnsi="Times New Roman" w:cs="Times New Roman"/>
          <w:color w:val="auto"/>
          <w:kern w:val="0"/>
          <w:szCs w:val="24"/>
          <w:highlight w:val="none"/>
          <w:lang w:bidi="ar"/>
        </w:rPr>
        <w:t>《土地利用现状分类》（GB/T21010-2017）</w:t>
      </w:r>
      <w:r>
        <w:rPr>
          <w:rFonts w:hint="eastAsia" w:cs="Times New Roman"/>
          <w:color w:val="auto"/>
          <w:kern w:val="0"/>
          <w:szCs w:val="24"/>
          <w:highlight w:val="none"/>
          <w:lang w:eastAsia="zh-CN" w:bidi="ar"/>
        </w:rPr>
        <w:t>；</w:t>
      </w:r>
    </w:p>
    <w:p w14:paraId="5584F2CB">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eastAsia" w:ascii="Times New Roman" w:hAnsi="Times New Roman" w:eastAsia="宋体" w:cs="Times New Roman"/>
          <w:snapToGrid w:val="0"/>
          <w:color w:val="auto"/>
          <w:szCs w:val="24"/>
          <w:highlight w:val="none"/>
          <w:lang w:eastAsia="zh-CN"/>
        </w:rPr>
      </w:pPr>
      <w:r>
        <w:rPr>
          <w:rFonts w:hint="default" w:ascii="Times New Roman" w:hAnsi="Times New Roman" w:cs="Times New Roman"/>
          <w:snapToGrid w:val="0"/>
          <w:color w:val="auto"/>
          <w:szCs w:val="24"/>
          <w:highlight w:val="none"/>
          <w:lang w:eastAsia="zh-CN"/>
        </w:rPr>
        <w:t>⑹</w:t>
      </w:r>
      <w:r>
        <w:rPr>
          <w:rFonts w:hint="default" w:ascii="Times New Roman" w:hAnsi="Times New Roman" w:eastAsia="宋体" w:cs="Times New Roman"/>
          <w:color w:val="auto"/>
          <w:sz w:val="24"/>
          <w:highlight w:val="none"/>
        </w:rPr>
        <w:t>《生物多样性观测技术导则</w:t>
      </w:r>
      <w:r>
        <w:rPr>
          <w:rFonts w:hint="eastAsia" w:ascii="Times New Roman" w:hAnsi="Times New Roman"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陆生哺乳动物》（HJ710.3-2014）</w:t>
      </w:r>
      <w:r>
        <w:rPr>
          <w:rFonts w:hint="eastAsia" w:ascii="Times New Roman" w:hAnsi="Times New Roman" w:cs="Times New Roman"/>
          <w:color w:val="auto"/>
          <w:sz w:val="24"/>
          <w:highlight w:val="none"/>
          <w:lang w:eastAsia="zh-CN"/>
        </w:rPr>
        <w:t>；</w:t>
      </w:r>
    </w:p>
    <w:p w14:paraId="272BAB46">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eastAsia" w:ascii="Times New Roman" w:hAnsi="Times New Roman" w:eastAsia="宋体" w:cs="Times New Roman"/>
          <w:snapToGrid w:val="0"/>
          <w:color w:val="auto"/>
          <w:szCs w:val="24"/>
          <w:highlight w:val="none"/>
          <w:lang w:eastAsia="zh-CN"/>
        </w:rPr>
      </w:pPr>
      <w:r>
        <w:rPr>
          <w:rFonts w:hint="default" w:ascii="Times New Roman" w:hAnsi="Times New Roman" w:cs="Times New Roman"/>
          <w:snapToGrid w:val="0"/>
          <w:color w:val="auto"/>
          <w:szCs w:val="24"/>
          <w:highlight w:val="none"/>
          <w:lang w:eastAsia="zh-CN"/>
        </w:rPr>
        <w:t>⑺</w:t>
      </w:r>
      <w:r>
        <w:rPr>
          <w:rFonts w:hint="default" w:ascii="Times New Roman" w:hAnsi="Times New Roman" w:eastAsia="宋体" w:cs="Times New Roman"/>
          <w:color w:val="auto"/>
          <w:sz w:val="24"/>
          <w:highlight w:val="none"/>
        </w:rPr>
        <w:t>《生物多样性观测技术导则</w:t>
      </w:r>
      <w:r>
        <w:rPr>
          <w:rFonts w:hint="eastAsia" w:ascii="Times New Roman" w:hAnsi="Times New Roman"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鸟类》（HJ710.4-2014）</w:t>
      </w:r>
      <w:r>
        <w:rPr>
          <w:rFonts w:hint="eastAsia" w:ascii="Times New Roman" w:hAnsi="Times New Roman" w:cs="Times New Roman"/>
          <w:color w:val="auto"/>
          <w:sz w:val="24"/>
          <w:highlight w:val="none"/>
          <w:lang w:eastAsia="zh-CN"/>
        </w:rPr>
        <w:t>；</w:t>
      </w:r>
    </w:p>
    <w:p w14:paraId="2B9063CB">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eastAsia"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lang w:eastAsia="zh-CN"/>
        </w:rPr>
        <w:t>⑻</w:t>
      </w:r>
      <w:r>
        <w:rPr>
          <w:rFonts w:hint="default" w:ascii="Times New Roman" w:hAnsi="Times New Roman" w:eastAsia="宋体" w:cs="Times New Roman"/>
          <w:color w:val="auto"/>
          <w:sz w:val="24"/>
          <w:highlight w:val="none"/>
        </w:rPr>
        <w:t>《生物多样性观测技术导则</w:t>
      </w:r>
      <w:r>
        <w:rPr>
          <w:rFonts w:hint="eastAsia" w:ascii="Times New Roman" w:hAnsi="Times New Roman"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爬行动物》（HJ710.5-2014）</w:t>
      </w:r>
      <w:r>
        <w:rPr>
          <w:rFonts w:hint="eastAsia" w:ascii="Times New Roman" w:hAnsi="Times New Roman" w:cs="Times New Roman"/>
          <w:color w:val="auto"/>
          <w:sz w:val="24"/>
          <w:highlight w:val="none"/>
          <w:lang w:eastAsia="zh-CN"/>
        </w:rPr>
        <w:t>；</w:t>
      </w:r>
    </w:p>
    <w:p w14:paraId="073D4403">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eastAsia" w:ascii="Times New Roman" w:hAnsi="Times New Roman" w:cs="Times New Roman"/>
          <w:color w:val="auto"/>
          <w:sz w:val="24"/>
          <w:highlight w:val="none"/>
          <w:lang w:eastAsia="zh-CN"/>
        </w:rPr>
      </w:pPr>
      <w:r>
        <w:rPr>
          <w:rFonts w:hint="default" w:ascii="Times New Roman" w:hAnsi="Times New Roman" w:cs="Times New Roman"/>
          <w:snapToGrid w:val="0"/>
          <w:color w:val="auto"/>
          <w:highlight w:val="none"/>
          <w:lang w:eastAsia="zh-CN"/>
        </w:rPr>
        <w:t>⑼</w:t>
      </w:r>
      <w:r>
        <w:rPr>
          <w:rFonts w:hint="default" w:ascii="Times New Roman" w:hAnsi="Times New Roman" w:eastAsia="宋体" w:cs="Times New Roman"/>
          <w:color w:val="auto"/>
          <w:sz w:val="24"/>
          <w:highlight w:val="none"/>
        </w:rPr>
        <w:t>《生物多样性观测技术导则</w:t>
      </w:r>
      <w:r>
        <w:rPr>
          <w:rFonts w:hint="eastAsia" w:ascii="Times New Roman" w:hAnsi="Times New Roman"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两栖动物》（HJ710.6-2014）</w:t>
      </w:r>
      <w:r>
        <w:rPr>
          <w:rFonts w:hint="eastAsia" w:ascii="Times New Roman" w:hAnsi="Times New Roman" w:cs="Times New Roman"/>
          <w:color w:val="auto"/>
          <w:sz w:val="24"/>
          <w:highlight w:val="none"/>
          <w:lang w:eastAsia="zh-CN"/>
        </w:rPr>
        <w:t>；</w:t>
      </w:r>
    </w:p>
    <w:p w14:paraId="7D550A81">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⑽</w:t>
      </w:r>
      <w:r>
        <w:rPr>
          <w:rFonts w:hint="default" w:ascii="Times New Roman" w:hAnsi="Times New Roman" w:eastAsia="宋体" w:cs="Times New Roman"/>
          <w:color w:val="auto"/>
          <w:sz w:val="24"/>
          <w:highlight w:val="none"/>
        </w:rPr>
        <w:t>《全国动物物种资源调查技术规定（试行）》</w:t>
      </w:r>
      <w:r>
        <w:rPr>
          <w:rFonts w:hint="default" w:ascii="Times New Roman" w:hAnsi="Times New Roman" w:cs="Times New Roman"/>
          <w:snapToGrid w:val="0"/>
          <w:color w:val="auto"/>
          <w:szCs w:val="24"/>
          <w:highlight w:val="none"/>
        </w:rPr>
        <w:t>。</w:t>
      </w:r>
    </w:p>
    <w:p w14:paraId="4CF50452">
      <w:pPr>
        <w:pStyle w:val="4"/>
        <w:pageBreakBefore w:val="0"/>
        <w:widowControl w:val="0"/>
        <w:numPr>
          <w:ilvl w:val="0"/>
          <w:numId w:val="0"/>
        </w:numPr>
        <w:tabs>
          <w:tab w:val="clear" w:pos="709"/>
        </w:tabs>
        <w:kinsoku/>
        <w:wordWrap/>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宋体" w:cs="Times New Roman"/>
          <w:color w:val="auto"/>
          <w:sz w:val="24"/>
          <w:szCs w:val="24"/>
          <w:highlight w:val="none"/>
        </w:rPr>
      </w:pPr>
      <w:bookmarkStart w:id="382" w:name="_Toc19672"/>
      <w:r>
        <w:rPr>
          <w:rFonts w:hint="default" w:ascii="Times New Roman" w:hAnsi="Times New Roman" w:eastAsia="宋体" w:cs="Times New Roman"/>
          <w:color w:val="auto"/>
          <w:sz w:val="24"/>
          <w:szCs w:val="24"/>
          <w:highlight w:val="none"/>
        </w:rPr>
        <w:t>1.2.5相关规划</w:t>
      </w:r>
      <w:bookmarkEnd w:id="382"/>
    </w:p>
    <w:p w14:paraId="61C5D834">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⑴</w:t>
      </w:r>
      <w:r>
        <w:rPr>
          <w:rFonts w:hint="default" w:ascii="Times New Roman" w:hAnsi="Times New Roman" w:cs="Times New Roman"/>
          <w:color w:val="auto"/>
          <w:highlight w:val="none"/>
        </w:rPr>
        <w:t>《全国生态功能区划（修编版）》</w:t>
      </w:r>
      <w:r>
        <w:rPr>
          <w:rFonts w:hint="default" w:ascii="Times New Roman" w:hAnsi="Times New Roman" w:cs="Times New Roman"/>
          <w:snapToGrid w:val="0"/>
          <w:color w:val="auto"/>
          <w:szCs w:val="24"/>
          <w:highlight w:val="none"/>
        </w:rPr>
        <w:t>；</w:t>
      </w:r>
    </w:p>
    <w:p w14:paraId="07126A6E">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⑵</w:t>
      </w:r>
      <w:r>
        <w:rPr>
          <w:rFonts w:hint="default" w:ascii="Times New Roman" w:hAnsi="Times New Roman" w:cs="Times New Roman"/>
          <w:snapToGrid w:val="0"/>
          <w:color w:val="auto"/>
          <w:szCs w:val="24"/>
          <w:highlight w:val="none"/>
        </w:rPr>
        <w:t>《宁夏回族自治区生态功能区规划》；</w:t>
      </w:r>
    </w:p>
    <w:p w14:paraId="2BEAC99D">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lang w:eastAsia="zh-CN"/>
        </w:rPr>
      </w:pPr>
      <w:r>
        <w:rPr>
          <w:rFonts w:hint="default" w:ascii="Times New Roman" w:hAnsi="Times New Roman" w:cs="Times New Roman"/>
          <w:snapToGrid w:val="0"/>
          <w:color w:val="auto"/>
          <w:szCs w:val="24"/>
          <w:highlight w:val="none"/>
          <w:lang w:eastAsia="zh-CN"/>
        </w:rPr>
        <w:t>⑶《宁夏回族自治区生态环境保护“十四五”规划》；</w:t>
      </w:r>
    </w:p>
    <w:p w14:paraId="6D49BB2E">
      <w:pPr>
        <w:pStyle w:val="96"/>
        <w:pageBreakBefore w:val="0"/>
        <w:widowControl w:val="0"/>
        <w:kinsoku/>
        <w:wordWrap/>
        <w:topLinePunct w:val="0"/>
        <w:autoSpaceDE/>
        <w:autoSpaceDN/>
        <w:bidi w:val="0"/>
        <w:adjustRightInd w:val="0"/>
        <w:snapToGrid w:val="0"/>
        <w:spacing w:beforeAutospacing="0" w:afterAutospacing="0" w:line="360" w:lineRule="auto"/>
        <w:ind w:left="0" w:firstLine="480" w:firstLineChars="200"/>
        <w:contextualSpacing/>
        <w:jc w:val="both"/>
        <w:textAlignment w:val="auto"/>
        <w:rPr>
          <w:rFonts w:hint="default" w:ascii="Times New Roman" w:hAnsi="Times New Roman" w:cs="Times New Roman"/>
          <w:snapToGrid w:val="0"/>
          <w:color w:val="auto"/>
          <w:szCs w:val="24"/>
          <w:highlight w:val="none"/>
        </w:rPr>
      </w:pPr>
      <w:r>
        <w:rPr>
          <w:rFonts w:hint="default" w:ascii="Times New Roman" w:hAnsi="Times New Roman" w:cs="Times New Roman"/>
          <w:snapToGrid w:val="0"/>
          <w:color w:val="auto"/>
          <w:szCs w:val="24"/>
          <w:highlight w:val="none"/>
          <w:lang w:eastAsia="zh-CN"/>
        </w:rPr>
        <w:t>⑷</w:t>
      </w:r>
      <w:r>
        <w:rPr>
          <w:rFonts w:hint="default" w:ascii="Times New Roman" w:hAnsi="Times New Roman" w:cs="Times New Roman"/>
          <w:snapToGrid w:val="0"/>
          <w:color w:val="auto"/>
          <w:szCs w:val="24"/>
          <w:highlight w:val="none"/>
        </w:rPr>
        <w:t>《</w:t>
      </w:r>
      <w:r>
        <w:rPr>
          <w:rFonts w:hint="eastAsia" w:ascii="Times New Roman" w:hAnsi="Times New Roman" w:cs="Times New Roman"/>
          <w:snapToGrid w:val="0"/>
          <w:color w:val="auto"/>
          <w:szCs w:val="24"/>
          <w:highlight w:val="none"/>
          <w:lang w:val="en-US" w:eastAsia="zh-CN"/>
        </w:rPr>
        <w:t>固原</w:t>
      </w:r>
      <w:r>
        <w:rPr>
          <w:rFonts w:hint="default" w:ascii="Times New Roman" w:hAnsi="Times New Roman" w:cs="Times New Roman"/>
          <w:snapToGrid w:val="0"/>
          <w:color w:val="auto"/>
          <w:szCs w:val="24"/>
          <w:highlight w:val="none"/>
        </w:rPr>
        <w:t>市“十四五”生态环境保护规划》。</w:t>
      </w:r>
    </w:p>
    <w:p w14:paraId="48E06B83">
      <w:pPr>
        <w:pStyle w:val="3"/>
        <w:keepNext/>
        <w:keepLines/>
        <w:spacing w:before="0" w:beforeAutospacing="0" w:after="0" w:afterAutospacing="0" w:line="360" w:lineRule="auto"/>
        <w:jc w:val="both"/>
        <w:rPr>
          <w:rFonts w:hint="default" w:ascii="Times New Roman" w:hAnsi="Times New Roman" w:eastAsia="宋体" w:cs="Times New Roman"/>
          <w:bCs/>
          <w:color w:val="auto"/>
          <w:spacing w:val="0"/>
          <w:kern w:val="2"/>
          <w:sz w:val="24"/>
          <w:szCs w:val="24"/>
        </w:rPr>
      </w:pPr>
      <w:bookmarkStart w:id="383" w:name="_Toc23691"/>
      <w:bookmarkStart w:id="384" w:name="_Toc21868"/>
      <w:bookmarkStart w:id="385" w:name="_Toc8393"/>
      <w:bookmarkStart w:id="386" w:name="_Toc26606"/>
      <w:bookmarkStart w:id="387" w:name="_Toc24091"/>
      <w:bookmarkStart w:id="388" w:name="_Toc22061"/>
      <w:r>
        <w:rPr>
          <w:rFonts w:hint="default" w:ascii="Times New Roman" w:hAnsi="Times New Roman" w:eastAsia="宋体" w:cs="Times New Roman"/>
          <w:bCs/>
          <w:color w:val="auto"/>
          <w:spacing w:val="0"/>
          <w:kern w:val="2"/>
          <w:sz w:val="24"/>
          <w:szCs w:val="24"/>
        </w:rPr>
        <w:t>1.3工作程序</w:t>
      </w:r>
      <w:bookmarkEnd w:id="383"/>
      <w:bookmarkEnd w:id="384"/>
      <w:bookmarkEnd w:id="385"/>
      <w:bookmarkEnd w:id="386"/>
      <w:bookmarkEnd w:id="387"/>
      <w:bookmarkEnd w:id="388"/>
    </w:p>
    <w:p w14:paraId="57B9B166">
      <w:pPr>
        <w:pageBreakBefore w:val="0"/>
        <w:widowControl w:val="0"/>
        <w:kinsoku/>
        <w:wordWrap/>
        <w:topLinePunct w:val="0"/>
        <w:autoSpaceDE/>
        <w:autoSpaceDN/>
        <w:bidi w:val="0"/>
        <w:adjustRightInd w:val="0"/>
        <w:snapToGrid w:val="0"/>
        <w:spacing w:beforeAutospacing="0" w:afterAutospacing="0" w:line="360" w:lineRule="auto"/>
        <w:ind w:left="0" w:firstLine="480" w:firstLineChars="200"/>
        <w:jc w:val="both"/>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highlight w:val="none"/>
        </w:rPr>
        <w:t>根据</w:t>
      </w:r>
      <w:r>
        <w:rPr>
          <w:rFonts w:hint="default" w:ascii="Times New Roman" w:hAnsi="Times New Roman" w:cs="Times New Roman"/>
          <w:color w:val="auto"/>
          <w:sz w:val="24"/>
          <w:szCs w:val="24"/>
        </w:rPr>
        <w:t>《环境影响评价技术导则 输变电》（HJ 24-2020）</w:t>
      </w:r>
      <w:r>
        <w:rPr>
          <w:rFonts w:hint="default" w:ascii="Times New Roman" w:hAnsi="Times New Roman" w:cs="Times New Roman"/>
          <w:color w:val="auto"/>
          <w:sz w:val="24"/>
          <w:szCs w:val="24"/>
          <w:lang w:val="en-US" w:eastAsia="zh-CN"/>
        </w:rPr>
        <w:t>项目</w:t>
      </w:r>
      <w:r>
        <w:rPr>
          <w:rFonts w:hint="eastAsia" w:cs="Times New Roman"/>
          <w:color w:val="auto"/>
          <w:sz w:val="24"/>
          <w:szCs w:val="24"/>
          <w:lang w:val="en-US" w:eastAsia="zh-CN"/>
        </w:rPr>
        <w:t>进入</w:t>
      </w:r>
      <w:r>
        <w:rPr>
          <w:rFonts w:hint="default" w:ascii="Times New Roman" w:hAnsi="Times New Roman" w:cs="Times New Roman"/>
          <w:color w:val="auto"/>
          <w:sz w:val="24"/>
          <w:szCs w:val="24"/>
          <w:lang w:val="en-US" w:eastAsia="zh-CN"/>
        </w:rPr>
        <w:t>生态敏感区时</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应</w:t>
      </w:r>
      <w:r>
        <w:rPr>
          <w:rFonts w:hint="eastAsia" w:cs="Times New Roman"/>
          <w:color w:val="auto"/>
          <w:sz w:val="24"/>
          <w:szCs w:val="24"/>
          <w:lang w:val="en-US" w:eastAsia="zh-CN"/>
        </w:rPr>
        <w:t>设置生态</w:t>
      </w:r>
      <w:r>
        <w:rPr>
          <w:rFonts w:hint="default" w:ascii="Times New Roman" w:hAnsi="Times New Roman" w:cs="Times New Roman"/>
          <w:color w:val="auto"/>
          <w:sz w:val="24"/>
          <w:szCs w:val="24"/>
          <w:lang w:val="en-US" w:eastAsia="zh-CN"/>
        </w:rPr>
        <w:t>专题</w:t>
      </w:r>
      <w:r>
        <w:rPr>
          <w:rFonts w:hint="eastAsia" w:cs="Times New Roman"/>
          <w:color w:val="auto"/>
          <w:sz w:val="24"/>
          <w:szCs w:val="24"/>
          <w:lang w:val="en-US" w:eastAsia="zh-CN"/>
        </w:rPr>
        <w:t>评价</w:t>
      </w:r>
      <w:r>
        <w:rPr>
          <w:rFonts w:hint="default" w:ascii="Times New Roman" w:hAnsi="Times New Roman" w:cs="Times New Roman"/>
          <w:color w:val="auto"/>
          <w:sz w:val="24"/>
          <w:szCs w:val="24"/>
          <w:lang w:val="en-US" w:eastAsia="zh-CN"/>
        </w:rPr>
        <w:t>。</w:t>
      </w:r>
      <w:r>
        <w:rPr>
          <w:rFonts w:hint="default" w:ascii="Times New Roman" w:hAnsi="Times New Roman" w:eastAsia="宋体" w:cs="Times New Roman"/>
          <w:color w:val="auto"/>
          <w:kern w:val="0"/>
          <w:sz w:val="24"/>
          <w:szCs w:val="24"/>
          <w:shd w:val="clear" w:color="auto" w:fill="auto"/>
          <w:lang w:val="en-US" w:eastAsia="zh-CN"/>
        </w:rPr>
        <w:t>本项目</w:t>
      </w:r>
      <w:r>
        <w:rPr>
          <w:rFonts w:hint="default" w:ascii="Times New Roman" w:hAnsi="Times New Roman" w:cs="Times New Roman"/>
          <w:color w:val="auto"/>
          <w:sz w:val="24"/>
          <w:highlight w:val="none"/>
          <w:lang w:val="en-US" w:eastAsia="zh-CN"/>
        </w:rPr>
        <w:t>云雾山330千伏变电站</w:t>
      </w:r>
      <w:r>
        <w:rPr>
          <w:rFonts w:hint="eastAsia" w:cs="Times New Roman"/>
          <w:color w:val="auto"/>
          <w:sz w:val="24"/>
          <w:highlight w:val="none"/>
          <w:lang w:val="en-US" w:eastAsia="zh-CN"/>
        </w:rPr>
        <w:t>间隔扩建工程生态影响评价范围内涉及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color w:val="auto"/>
          <w:sz w:val="24"/>
          <w:highlight w:val="none"/>
          <w:lang w:val="en-US" w:eastAsia="zh-CN"/>
        </w:rPr>
        <w:t>，</w:t>
      </w:r>
      <w:r>
        <w:rPr>
          <w:rFonts w:hint="default" w:ascii="Times New Roman" w:hAnsi="Times New Roman" w:cs="Times New Roman"/>
          <w:b w:val="0"/>
          <w:bCs/>
          <w:color w:val="auto"/>
          <w:sz w:val="24"/>
          <w:highlight w:val="none"/>
          <w:lang w:val="en-US" w:eastAsia="zh-CN"/>
        </w:rPr>
        <w:t>输电线路</w:t>
      </w:r>
      <w:r>
        <w:rPr>
          <w:rFonts w:hint="default" w:ascii="Times New Roman" w:hAnsi="Times New Roman" w:cs="Times New Roman"/>
          <w:color w:val="auto"/>
          <w:sz w:val="24"/>
          <w:szCs w:val="24"/>
          <w:highlight w:val="none"/>
          <w:vertAlign w:val="baseline"/>
          <w:lang w:val="en-US" w:eastAsia="zh-CN"/>
        </w:rPr>
        <w:t>穿越东南黄土高原丘陵水土保持生态保护红线</w:t>
      </w:r>
      <w:r>
        <w:rPr>
          <w:rFonts w:hint="eastAsia" w:cs="Times New Roman"/>
          <w:color w:val="auto"/>
          <w:sz w:val="24"/>
          <w:szCs w:val="24"/>
          <w:highlight w:val="none"/>
          <w:vertAlign w:val="baseline"/>
          <w:lang w:val="en-US" w:eastAsia="zh-CN"/>
        </w:rPr>
        <w:t>10.514</w:t>
      </w:r>
      <w:r>
        <w:rPr>
          <w:rFonts w:hint="default" w:ascii="Times New Roman" w:hAnsi="Times New Roman" w:cs="Times New Roman"/>
          <w:color w:val="auto"/>
          <w:sz w:val="24"/>
          <w:szCs w:val="24"/>
          <w:highlight w:val="none"/>
          <w:vertAlign w:val="baseline"/>
          <w:lang w:val="en-US" w:eastAsia="zh-CN"/>
        </w:rPr>
        <w:t>km，红线内立塔3</w:t>
      </w:r>
      <w:r>
        <w:rPr>
          <w:rFonts w:hint="eastAsia" w:cs="Times New Roman"/>
          <w:color w:val="auto"/>
          <w:sz w:val="24"/>
          <w:szCs w:val="24"/>
          <w:highlight w:val="none"/>
          <w:vertAlign w:val="baseline"/>
          <w:lang w:val="en-US" w:eastAsia="zh-CN"/>
        </w:rPr>
        <w:t>5</w:t>
      </w:r>
      <w:r>
        <w:rPr>
          <w:rFonts w:hint="default" w:ascii="Times New Roman" w:hAnsi="Times New Roman" w:cs="Times New Roman"/>
          <w:color w:val="auto"/>
          <w:sz w:val="24"/>
          <w:szCs w:val="24"/>
          <w:highlight w:val="none"/>
          <w:vertAlign w:val="baseline"/>
          <w:lang w:val="en-US" w:eastAsia="zh-CN"/>
        </w:rPr>
        <w:t>基，在红线内总占地面积3.1696hm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cs="Times New Roman"/>
          <w:color w:val="auto"/>
          <w:kern w:val="0"/>
          <w:sz w:val="24"/>
          <w:szCs w:val="24"/>
          <w:highlight w:val="none"/>
        </w:rPr>
        <w:t>因此编制生态环境影响专</w:t>
      </w:r>
      <w:r>
        <w:rPr>
          <w:rFonts w:hint="default" w:ascii="Times New Roman" w:hAnsi="Times New Roman" w:cs="Times New Roman"/>
          <w:color w:val="auto"/>
          <w:sz w:val="24"/>
          <w:szCs w:val="24"/>
          <w:lang w:val="en-US" w:eastAsia="zh-CN"/>
        </w:rPr>
        <w:t>题</w:t>
      </w:r>
      <w:r>
        <w:rPr>
          <w:rFonts w:hint="default" w:ascii="Times New Roman" w:hAnsi="Times New Roman" w:cs="Times New Roman"/>
          <w:color w:val="auto"/>
          <w:kern w:val="0"/>
          <w:sz w:val="24"/>
          <w:szCs w:val="24"/>
          <w:highlight w:val="none"/>
        </w:rPr>
        <w:t>评价。</w:t>
      </w:r>
    </w:p>
    <w:p w14:paraId="42DFE1DB">
      <w:pPr>
        <w:pageBreakBefore w:val="0"/>
        <w:widowControl w:val="0"/>
        <w:kinsoku/>
        <w:wordWrap/>
        <w:topLinePunct w:val="0"/>
        <w:autoSpaceDE/>
        <w:autoSpaceDN/>
        <w:bidi w:val="0"/>
        <w:adjustRightInd w:val="0"/>
        <w:snapToGrid w:val="0"/>
        <w:spacing w:beforeAutospacing="0" w:afterAutospacing="0" w:line="360" w:lineRule="auto"/>
        <w:ind w:left="0"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评价单位组织技术人员广泛开展</w:t>
      </w:r>
      <w:r>
        <w:rPr>
          <w:rFonts w:hint="default" w:ascii="Times New Roman" w:hAnsi="Times New Roman" w:cs="Times New Roman"/>
          <w:color w:val="auto"/>
          <w:kern w:val="0"/>
          <w:sz w:val="24"/>
          <w:highlight w:val="none"/>
          <w:lang w:val="zh-CN"/>
        </w:rPr>
        <w:t>了现场</w:t>
      </w:r>
      <w:r>
        <w:rPr>
          <w:rFonts w:hint="default" w:ascii="Times New Roman" w:hAnsi="Times New Roman" w:cs="Times New Roman"/>
          <w:color w:val="auto"/>
          <w:kern w:val="0"/>
          <w:sz w:val="24"/>
          <w:highlight w:val="none"/>
        </w:rPr>
        <w:t>生态</w:t>
      </w:r>
      <w:r>
        <w:rPr>
          <w:rFonts w:hint="default" w:ascii="Times New Roman" w:hAnsi="Times New Roman" w:cs="Times New Roman"/>
          <w:color w:val="auto"/>
          <w:kern w:val="0"/>
          <w:sz w:val="24"/>
          <w:highlight w:val="none"/>
          <w:lang w:val="zh-CN"/>
        </w:rPr>
        <w:t>环境调查和资料收集工作，在完成环境现状调查、</w:t>
      </w:r>
      <w:r>
        <w:rPr>
          <w:rFonts w:hint="default" w:ascii="Times New Roman" w:hAnsi="Times New Roman" w:cs="Times New Roman"/>
          <w:color w:val="auto"/>
          <w:kern w:val="0"/>
          <w:sz w:val="24"/>
          <w:highlight w:val="none"/>
        </w:rPr>
        <w:t>样方调查</w:t>
      </w:r>
      <w:r>
        <w:rPr>
          <w:rFonts w:hint="default" w:ascii="Times New Roman" w:hAnsi="Times New Roman" w:cs="Times New Roman"/>
          <w:color w:val="auto"/>
          <w:kern w:val="0"/>
          <w:sz w:val="24"/>
          <w:highlight w:val="none"/>
          <w:lang w:val="zh-CN"/>
        </w:rPr>
        <w:t>、</w:t>
      </w:r>
      <w:r>
        <w:rPr>
          <w:rFonts w:hint="default" w:ascii="Times New Roman" w:hAnsi="Times New Roman" w:cs="Times New Roman"/>
          <w:color w:val="auto"/>
          <w:kern w:val="0"/>
          <w:sz w:val="24"/>
          <w:highlight w:val="none"/>
        </w:rPr>
        <w:t>路线比选</w:t>
      </w:r>
      <w:r>
        <w:rPr>
          <w:rFonts w:hint="default" w:ascii="Times New Roman" w:hAnsi="Times New Roman" w:cs="Times New Roman"/>
          <w:color w:val="auto"/>
          <w:kern w:val="0"/>
          <w:sz w:val="24"/>
          <w:highlight w:val="none"/>
          <w:lang w:val="zh-CN"/>
        </w:rPr>
        <w:t>分析等基础上，按照建设单位提供的</w:t>
      </w:r>
      <w:r>
        <w:rPr>
          <w:rFonts w:hint="default" w:ascii="Times New Roman" w:hAnsi="Times New Roman" w:cs="Times New Roman"/>
          <w:color w:val="auto"/>
          <w:kern w:val="0"/>
          <w:sz w:val="24"/>
          <w:highlight w:val="none"/>
        </w:rPr>
        <w:t>初步设计报告</w:t>
      </w:r>
      <w:r>
        <w:rPr>
          <w:rFonts w:hint="default" w:ascii="Times New Roman" w:hAnsi="Times New Roman" w:cs="Times New Roman"/>
          <w:color w:val="auto"/>
          <w:kern w:val="0"/>
          <w:sz w:val="24"/>
          <w:highlight w:val="none"/>
          <w:lang w:val="zh-CN"/>
        </w:rPr>
        <w:t>等资料，结合当地相关规划，并根据相关法律法规及技术导则要求，编制完成了《</w:t>
      </w:r>
      <w:r>
        <w:rPr>
          <w:rFonts w:hint="default" w:ascii="Times New Roman" w:hAnsi="Times New Roman" w:cs="Times New Roman"/>
          <w:color w:val="auto"/>
          <w:sz w:val="24"/>
          <w:highlight w:val="none"/>
          <w:lang w:eastAsia="zh-CN"/>
        </w:rPr>
        <w:t>宁夏固原华电彭阳200兆瓦风电项目110千伏送出工程</w:t>
      </w:r>
      <w:r>
        <w:rPr>
          <w:rFonts w:hint="default" w:ascii="Times New Roman" w:hAnsi="Times New Roman" w:cs="Times New Roman"/>
          <w:snapToGrid w:val="0"/>
          <w:color w:val="auto"/>
          <w:sz w:val="24"/>
          <w:highlight w:val="none"/>
        </w:rPr>
        <w:t>生态影响专项评价报告</w:t>
      </w:r>
      <w:r>
        <w:rPr>
          <w:rFonts w:hint="default" w:ascii="Times New Roman" w:hAnsi="Times New Roman" w:cs="Times New Roman"/>
          <w:color w:val="auto"/>
          <w:kern w:val="0"/>
          <w:sz w:val="24"/>
          <w:highlight w:val="none"/>
        </w:rPr>
        <w:t>》。</w:t>
      </w:r>
    </w:p>
    <w:p w14:paraId="16F0C7F0">
      <w:pPr>
        <w:pageBreakBefore w:val="0"/>
        <w:widowControl w:val="0"/>
        <w:kinsoku/>
        <w:wordWrap/>
        <w:topLinePunct w:val="0"/>
        <w:autoSpaceDE/>
        <w:autoSpaceDN/>
        <w:bidi w:val="0"/>
        <w:adjustRightInd w:val="0"/>
        <w:snapToGrid w:val="0"/>
        <w:spacing w:beforeAutospacing="0" w:afterAutospacing="0" w:line="360" w:lineRule="auto"/>
        <w:ind w:left="0"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在评价过程中，评价单位与建设单位、</w:t>
      </w:r>
      <w:r>
        <w:rPr>
          <w:rFonts w:hint="default" w:ascii="Times New Roman" w:hAnsi="Times New Roman" w:cs="Times New Roman"/>
          <w:color w:val="auto"/>
          <w:kern w:val="0"/>
          <w:sz w:val="24"/>
          <w:highlight w:val="none"/>
          <w:lang w:val="en-US" w:eastAsia="zh-CN"/>
        </w:rPr>
        <w:t>初步</w:t>
      </w:r>
      <w:r>
        <w:rPr>
          <w:rFonts w:hint="default" w:ascii="Times New Roman" w:hAnsi="Times New Roman" w:cs="Times New Roman"/>
          <w:color w:val="auto"/>
          <w:kern w:val="0"/>
          <w:sz w:val="24"/>
          <w:highlight w:val="none"/>
        </w:rPr>
        <w:t>设计单位保持密切的交流、讨论和沟通。报告中对项目环境保护的主要建议均已得到建设单位的认同和承诺。</w:t>
      </w:r>
    </w:p>
    <w:p w14:paraId="6191477A">
      <w:pPr>
        <w:jc w:val="center"/>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w:drawing>
          <wp:inline distT="0" distB="0" distL="114300" distR="114300">
            <wp:extent cx="4062095" cy="4084320"/>
            <wp:effectExtent l="0" t="0" r="1905" b="5080"/>
            <wp:docPr id="26" name="图片 799" descr="168906261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99" descr="1689062613954"/>
                    <pic:cNvPicPr>
                      <a:picLocks noChangeAspect="1"/>
                    </pic:cNvPicPr>
                  </pic:nvPicPr>
                  <pic:blipFill>
                    <a:blip r:embed="rId122"/>
                    <a:stretch>
                      <a:fillRect/>
                    </a:stretch>
                  </pic:blipFill>
                  <pic:spPr>
                    <a:xfrm>
                      <a:off x="0" y="0"/>
                      <a:ext cx="4062095" cy="4084320"/>
                    </a:xfrm>
                    <a:prstGeom prst="rect">
                      <a:avLst/>
                    </a:prstGeom>
                    <a:noFill/>
                    <a:ln>
                      <a:noFill/>
                    </a:ln>
                  </pic:spPr>
                </pic:pic>
              </a:graphicData>
            </a:graphic>
          </wp:inline>
        </w:drawing>
      </w:r>
    </w:p>
    <w:p w14:paraId="4A45D54E">
      <w:pPr>
        <w:keepNext w:val="0"/>
        <w:keepLines w:val="0"/>
        <w:pageBreakBefore w:val="0"/>
        <w:widowControl w:val="0"/>
        <w:kinsoku/>
        <w:wordWrap/>
        <w:overflowPunct/>
        <w:topLinePunct w:val="0"/>
        <w:autoSpaceDE/>
        <w:autoSpaceDN/>
        <w:bidi w:val="0"/>
        <w:adjustRightInd w:val="0"/>
        <w:snapToGrid w:val="0"/>
        <w:spacing w:before="157" w:beforeLines="50"/>
        <w:jc w:val="center"/>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图1-1</w:t>
      </w:r>
      <w:r>
        <w:rPr>
          <w:rFonts w:hint="default" w:ascii="Times New Roman" w:hAnsi="Times New Roman" w:cs="Times New Roman"/>
          <w:b/>
          <w:color w:val="auto"/>
          <w:sz w:val="24"/>
          <w:highlight w:val="none"/>
          <w:lang w:val="en-US" w:eastAsia="zh-CN"/>
        </w:rPr>
        <w:t xml:space="preserve">  </w:t>
      </w:r>
      <w:r>
        <w:rPr>
          <w:rFonts w:hint="default" w:ascii="Times New Roman" w:hAnsi="Times New Roman" w:cs="Times New Roman"/>
          <w:b/>
          <w:color w:val="auto"/>
          <w:sz w:val="24"/>
          <w:highlight w:val="none"/>
        </w:rPr>
        <w:t>生态影响评价工作程序</w:t>
      </w:r>
    </w:p>
    <w:bookmarkEnd w:id="359"/>
    <w:bookmarkEnd w:id="360"/>
    <w:bookmarkEnd w:id="361"/>
    <w:bookmarkEnd w:id="362"/>
    <w:p w14:paraId="2518EE52">
      <w:pPr>
        <w:pStyle w:val="3"/>
        <w:keepNext/>
        <w:keepLines/>
        <w:spacing w:before="0" w:beforeAutospacing="0" w:after="0" w:afterAutospacing="0" w:line="360" w:lineRule="auto"/>
        <w:jc w:val="both"/>
        <w:rPr>
          <w:rFonts w:hint="default" w:ascii="Times New Roman" w:hAnsi="Times New Roman" w:eastAsia="宋体" w:cs="Times New Roman"/>
          <w:bCs/>
          <w:color w:val="auto"/>
          <w:spacing w:val="0"/>
          <w:kern w:val="2"/>
          <w:sz w:val="24"/>
          <w:szCs w:val="24"/>
        </w:rPr>
      </w:pPr>
      <w:bookmarkStart w:id="389" w:name="_Toc24907"/>
      <w:bookmarkStart w:id="390" w:name="_Toc29220"/>
      <w:bookmarkStart w:id="391" w:name="_Toc18158"/>
      <w:bookmarkStart w:id="392" w:name="_Toc24193"/>
      <w:bookmarkStart w:id="393" w:name="_Toc1490"/>
      <w:bookmarkStart w:id="394" w:name="_Toc18945"/>
      <w:bookmarkStart w:id="395" w:name="_Toc109767193"/>
      <w:bookmarkStart w:id="396" w:name="_Toc395184623"/>
      <w:bookmarkStart w:id="397" w:name="_Toc24379"/>
      <w:bookmarkStart w:id="398" w:name="_Toc25389"/>
      <w:bookmarkStart w:id="399" w:name="_Toc16525"/>
      <w:bookmarkStart w:id="400" w:name="_Toc342575378"/>
      <w:r>
        <w:rPr>
          <w:rFonts w:hint="default" w:ascii="Times New Roman" w:hAnsi="Times New Roman" w:eastAsia="宋体" w:cs="Times New Roman"/>
          <w:bCs/>
          <w:color w:val="auto"/>
          <w:spacing w:val="0"/>
          <w:kern w:val="2"/>
          <w:sz w:val="24"/>
          <w:szCs w:val="24"/>
        </w:rPr>
        <w:t>1.4评价等级</w:t>
      </w:r>
      <w:bookmarkEnd w:id="389"/>
      <w:bookmarkEnd w:id="390"/>
      <w:bookmarkEnd w:id="391"/>
      <w:bookmarkEnd w:id="392"/>
      <w:bookmarkEnd w:id="393"/>
      <w:bookmarkEnd w:id="394"/>
    </w:p>
    <w:p w14:paraId="401BA5DB">
      <w:pPr>
        <w:spacing w:line="360" w:lineRule="auto"/>
        <w:ind w:firstLine="480" w:firstLineChars="20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highlight w:val="none"/>
          <w:lang w:bidi="ar"/>
        </w:rPr>
        <w:t>根据《环境影响评价技术导则 生态影响》（HJ19-2022）中有关生态影响评价等级判定的原则，</w:t>
      </w:r>
      <w:r>
        <w:rPr>
          <w:rFonts w:hint="default" w:ascii="Times New Roman" w:hAnsi="Times New Roman" w:eastAsia="宋体" w:cs="Times New Roman"/>
          <w:color w:val="auto"/>
          <w:kern w:val="0"/>
          <w:sz w:val="24"/>
          <w:szCs w:val="24"/>
          <w:lang w:val="en-US" w:eastAsia="zh-CN" w:bidi="ar"/>
        </w:rPr>
        <w:t>a）涉及国家公园、自然保护区、世界自然遗产、重要生境时，评价等级为一级；b）涉及自然公园时，评价等级为二级；c）涉及生态保护红线时，评价等级不低于二级；g）其他情况，评价等级为三级；h）当评价等级判定同时符合上述多种情况时，应采用其中最高的评价等级；6.1.3建设项目涉及经论证对保护生物多样性具有重要意义的区域时可适当上调评价等级；6.1.6线性工程可分段确定评价等级。线性工程地下穿越或地表跨越生态敏感区，在生态敏感区范围内无永久、临时占地时，评价等级可下调一级。</w:t>
      </w:r>
    </w:p>
    <w:p w14:paraId="19B44B1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lang w:val="en-US" w:eastAsia="zh-CN" w:bidi="ar"/>
        </w:rPr>
        <w:t>根据上述判定原则，</w:t>
      </w:r>
      <w:r>
        <w:rPr>
          <w:rFonts w:hint="default" w:ascii="Times New Roman" w:hAnsi="Times New Roman" w:cs="Times New Roman"/>
          <w:color w:val="auto"/>
          <w:sz w:val="24"/>
          <w:highlight w:val="none"/>
          <w:lang w:val="en-US" w:eastAsia="zh-CN"/>
        </w:rPr>
        <w:t>云雾山330千伏变电站</w:t>
      </w:r>
      <w:r>
        <w:rPr>
          <w:rFonts w:hint="eastAsia" w:cs="Times New Roman"/>
          <w:color w:val="auto"/>
          <w:sz w:val="24"/>
          <w:highlight w:val="none"/>
          <w:lang w:val="en-US" w:eastAsia="zh-CN"/>
        </w:rPr>
        <w:t>间隔扩建工程生态影响评价范围内涉及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color w:val="auto"/>
          <w:sz w:val="24"/>
          <w:highlight w:val="none"/>
          <w:lang w:val="en-US" w:eastAsia="zh-CN"/>
        </w:rPr>
        <w:t>，但本次间隔扩建工程仅为站内施工，不在站外设置永久或临时占地，</w:t>
      </w:r>
      <w:r>
        <w:rPr>
          <w:rFonts w:hint="default" w:ascii="Times New Roman" w:hAnsi="Times New Roman" w:cs="Times New Roman"/>
          <w:color w:val="auto"/>
          <w:sz w:val="24"/>
          <w:szCs w:val="24"/>
          <w:highlight w:val="none"/>
          <w:lang w:val="en-US" w:eastAsia="zh-CN"/>
        </w:rPr>
        <w:t>不属于</w:t>
      </w:r>
      <w:r>
        <w:rPr>
          <w:rFonts w:hint="default" w:ascii="Times New Roman" w:hAnsi="Times New Roman" w:eastAsia="宋体" w:cs="Times New Roman"/>
          <w:color w:val="auto"/>
          <w:kern w:val="0"/>
          <w:sz w:val="24"/>
          <w:szCs w:val="24"/>
          <w:highlight w:val="none"/>
          <w:lang w:val="en-US" w:eastAsia="zh-CN" w:bidi="ar"/>
        </w:rPr>
        <w:t>HJ19-2022评价等级判定中6.1.2中a）、b）、d）、e）、f）的情况，因此，确定</w:t>
      </w:r>
      <w:r>
        <w:rPr>
          <w:rFonts w:hint="default" w:ascii="Times New Roman" w:hAnsi="Times New Roman" w:eastAsia="宋体" w:cs="Times New Roman"/>
          <w:b w:val="0"/>
          <w:bCs w:val="0"/>
          <w:color w:val="auto"/>
          <w:kern w:val="2"/>
          <w:sz w:val="24"/>
          <w:szCs w:val="24"/>
          <w:shd w:val="clear" w:color="auto" w:fill="auto"/>
          <w:lang w:val="en-US" w:eastAsia="zh-CN" w:bidi="ar-SA"/>
        </w:rPr>
        <w:t>间隔扩建工程</w:t>
      </w:r>
      <w:r>
        <w:rPr>
          <w:rFonts w:hint="default" w:ascii="Times New Roman" w:hAnsi="Times New Roman" w:cs="Times New Roman"/>
          <w:color w:val="auto"/>
          <w:sz w:val="24"/>
          <w:szCs w:val="24"/>
          <w:highlight w:val="none"/>
          <w:lang w:val="en-US" w:eastAsia="zh-CN"/>
        </w:rPr>
        <w:t>生态影响评价等级为</w:t>
      </w:r>
      <w:r>
        <w:rPr>
          <w:rFonts w:hint="eastAsia" w:cs="Times New Roman"/>
          <w:color w:val="auto"/>
          <w:sz w:val="24"/>
          <w:szCs w:val="24"/>
          <w:highlight w:val="none"/>
          <w:lang w:val="en-US" w:eastAsia="zh-CN"/>
        </w:rPr>
        <w:t>二</w:t>
      </w:r>
      <w:r>
        <w:rPr>
          <w:rFonts w:hint="default" w:ascii="Times New Roman" w:hAnsi="Times New Roman" w:cs="Times New Roman"/>
          <w:color w:val="auto"/>
          <w:sz w:val="24"/>
          <w:szCs w:val="24"/>
          <w:highlight w:val="none"/>
          <w:lang w:val="en-US" w:eastAsia="zh-CN"/>
        </w:rPr>
        <w:t>级。</w:t>
      </w:r>
    </w:p>
    <w:p w14:paraId="63540120">
      <w:pPr>
        <w:keepNext w:val="0"/>
        <w:keepLines w:val="0"/>
        <w:pageBreakBefore w:val="0"/>
        <w:widowControl w:val="0"/>
        <w:kinsoku/>
        <w:wordWrap/>
        <w:overflowPunct/>
        <w:topLinePunct w:val="0"/>
        <w:autoSpaceDE/>
        <w:autoSpaceDN/>
        <w:bidi w:val="0"/>
        <w:adjustRightInd w:val="0"/>
        <w:snapToGrid w:val="0"/>
        <w:spacing w:line="360" w:lineRule="auto"/>
        <w:ind w:firstLine="482"/>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b w:val="0"/>
          <w:bCs w:val="0"/>
          <w:color w:val="auto"/>
          <w:kern w:val="2"/>
          <w:sz w:val="24"/>
          <w:szCs w:val="24"/>
          <w:shd w:val="clear" w:color="auto" w:fill="auto"/>
          <w:lang w:val="en-US" w:eastAsia="zh-CN" w:bidi="ar-SA"/>
        </w:rPr>
        <w:t>②输电线路工程：本项目110千伏输电线路全长24.2km，其中</w:t>
      </w:r>
      <w:r>
        <w:rPr>
          <w:rFonts w:hint="default" w:ascii="Times New Roman" w:hAnsi="Times New Roman" w:cs="Times New Roman"/>
          <w:bCs/>
          <w:color w:val="auto"/>
          <w:sz w:val="24"/>
          <w:szCs w:val="24"/>
          <w:highlight w:val="none"/>
          <w:lang w:val="en-US" w:eastAsia="zh-CN"/>
        </w:rPr>
        <w:t>穿越东南黄土高原丘陵水土保持生态保护红线</w:t>
      </w:r>
      <w:r>
        <w:rPr>
          <w:rFonts w:hint="eastAsia" w:cs="Times New Roman"/>
          <w:bCs/>
          <w:color w:val="auto"/>
          <w:sz w:val="24"/>
          <w:szCs w:val="24"/>
          <w:highlight w:val="none"/>
          <w:lang w:val="en-US" w:eastAsia="zh-CN"/>
        </w:rPr>
        <w:t>10.514</w:t>
      </w:r>
      <w:r>
        <w:rPr>
          <w:rFonts w:hint="default" w:ascii="Times New Roman" w:hAnsi="Times New Roman" w:cs="Times New Roman"/>
          <w:bCs/>
          <w:color w:val="auto"/>
          <w:sz w:val="24"/>
          <w:szCs w:val="24"/>
          <w:highlight w:val="none"/>
          <w:lang w:val="en-US" w:eastAsia="zh-CN"/>
        </w:rPr>
        <w:t>km，红线内立塔3</w:t>
      </w:r>
      <w:r>
        <w:rPr>
          <w:rFonts w:hint="eastAsia"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lang w:val="en-US" w:eastAsia="zh-CN"/>
        </w:rPr>
        <w:t>基，</w:t>
      </w:r>
      <w:r>
        <w:rPr>
          <w:rFonts w:hint="default" w:ascii="Times New Roman" w:hAnsi="Times New Roman" w:eastAsia="宋体" w:cs="Times New Roman"/>
          <w:b w:val="0"/>
          <w:bCs w:val="0"/>
          <w:color w:val="auto"/>
          <w:kern w:val="2"/>
          <w:sz w:val="24"/>
          <w:szCs w:val="24"/>
          <w:shd w:val="clear" w:color="auto" w:fill="auto"/>
          <w:lang w:val="en-US" w:eastAsia="zh-CN" w:bidi="ar-SA"/>
        </w:rPr>
        <w:t>生态环境影响评价等级为二级，</w:t>
      </w:r>
      <w:r>
        <w:rPr>
          <w:rFonts w:hint="default" w:ascii="Times New Roman" w:hAnsi="Times New Roman" w:cs="Times New Roman"/>
          <w:color w:val="auto"/>
          <w:sz w:val="24"/>
          <w:lang w:val="en-US" w:eastAsia="zh-CN"/>
        </w:rPr>
        <w:t>其余</w:t>
      </w:r>
      <w:r>
        <w:rPr>
          <w:rFonts w:hint="default" w:ascii="Times New Roman" w:hAnsi="Times New Roman" w:cs="Times New Roman"/>
          <w:i w:val="0"/>
          <w:iCs w:val="0"/>
          <w:color w:val="auto"/>
          <w:sz w:val="24"/>
          <w:szCs w:val="24"/>
          <w:highlight w:val="none"/>
          <w:u w:val="none"/>
          <w:shd w:val="clear" w:color="auto" w:fill="auto"/>
          <w:lang w:val="en-US" w:eastAsia="zh-CN"/>
        </w:rPr>
        <w:t>1</w:t>
      </w:r>
      <w:r>
        <w:rPr>
          <w:rFonts w:hint="eastAsia" w:cs="Times New Roman"/>
          <w:i w:val="0"/>
          <w:iCs w:val="0"/>
          <w:color w:val="auto"/>
          <w:sz w:val="24"/>
          <w:szCs w:val="24"/>
          <w:highlight w:val="none"/>
          <w:u w:val="none"/>
          <w:shd w:val="clear" w:color="auto" w:fill="auto"/>
          <w:lang w:val="en-US" w:eastAsia="zh-CN"/>
        </w:rPr>
        <w:t>3.686</w:t>
      </w:r>
      <w:r>
        <w:rPr>
          <w:rFonts w:hint="default" w:ascii="Times New Roman" w:hAnsi="Times New Roman" w:cs="Times New Roman"/>
          <w:i w:val="0"/>
          <w:iCs w:val="0"/>
          <w:color w:val="auto"/>
          <w:sz w:val="24"/>
          <w:szCs w:val="24"/>
          <w:highlight w:val="none"/>
          <w:u w:val="none"/>
          <w:shd w:val="clear" w:color="auto" w:fill="auto"/>
          <w:lang w:val="en-US" w:eastAsia="zh-CN"/>
        </w:rPr>
        <w:t>km</w:t>
      </w:r>
      <w:r>
        <w:rPr>
          <w:rFonts w:hint="default" w:ascii="Times New Roman" w:hAnsi="Times New Roman" w:cs="Times New Roman"/>
          <w:color w:val="auto"/>
          <w:sz w:val="24"/>
          <w:lang w:val="en-US" w:eastAsia="zh-CN"/>
        </w:rPr>
        <w:t>输电</w:t>
      </w:r>
      <w:r>
        <w:rPr>
          <w:rFonts w:hint="default" w:ascii="Times New Roman" w:hAnsi="Times New Roman" w:cs="Times New Roman"/>
          <w:i w:val="0"/>
          <w:iCs w:val="0"/>
          <w:color w:val="auto"/>
          <w:sz w:val="24"/>
          <w:szCs w:val="24"/>
          <w:highlight w:val="none"/>
          <w:u w:val="none"/>
          <w:shd w:val="clear" w:color="auto" w:fill="auto"/>
          <w:lang w:val="en-US" w:eastAsia="zh-CN"/>
        </w:rPr>
        <w:t>线路不涉及生态敏感区，其</w:t>
      </w:r>
      <w:r>
        <w:rPr>
          <w:rFonts w:hint="default" w:ascii="Times New Roman" w:hAnsi="Times New Roman" w:eastAsia="宋体" w:cs="Times New Roman"/>
          <w:b w:val="0"/>
          <w:bCs w:val="0"/>
          <w:color w:val="auto"/>
          <w:kern w:val="2"/>
          <w:sz w:val="24"/>
          <w:szCs w:val="24"/>
          <w:shd w:val="clear" w:color="auto" w:fill="auto"/>
          <w:lang w:val="en-US" w:eastAsia="zh-CN" w:bidi="ar-SA"/>
        </w:rPr>
        <w:t>生态环境影响评价等级为三级。</w:t>
      </w:r>
    </w:p>
    <w:p w14:paraId="44FE707C">
      <w:pPr>
        <w:pStyle w:val="3"/>
        <w:keepNext/>
        <w:keepLines/>
        <w:pageBreakBefore w:val="0"/>
        <w:widowControl w:val="0"/>
        <w:kinsoku/>
        <w:wordWrap/>
        <w:overflowPunct/>
        <w:topLinePunct w:val="0"/>
        <w:autoSpaceDE/>
        <w:autoSpaceDN/>
        <w:bidi w:val="0"/>
        <w:adjustRightInd w:val="0"/>
        <w:snapToGrid w:val="0"/>
        <w:spacing w:before="0" w:beforeAutospacing="0" w:after="0" w:afterAutospacing="0" w:line="360" w:lineRule="auto"/>
        <w:jc w:val="both"/>
        <w:textAlignment w:val="auto"/>
        <w:rPr>
          <w:rFonts w:hint="default" w:ascii="Times New Roman" w:hAnsi="Times New Roman" w:eastAsia="宋体" w:cs="Times New Roman"/>
          <w:bCs/>
          <w:color w:val="auto"/>
          <w:spacing w:val="0"/>
          <w:kern w:val="2"/>
          <w:sz w:val="24"/>
          <w:szCs w:val="24"/>
        </w:rPr>
      </w:pPr>
      <w:bookmarkStart w:id="401" w:name="_Toc8370"/>
      <w:bookmarkStart w:id="402" w:name="_Toc395184624"/>
      <w:bookmarkStart w:id="403" w:name="_Toc20349"/>
      <w:bookmarkStart w:id="404" w:name="_Toc342575379"/>
      <w:bookmarkStart w:id="405" w:name="_Toc29640"/>
      <w:bookmarkStart w:id="406" w:name="_Toc269"/>
      <w:bookmarkStart w:id="407" w:name="_Toc12415"/>
      <w:bookmarkStart w:id="408" w:name="_Toc603"/>
      <w:bookmarkStart w:id="409" w:name="_Toc109767194"/>
      <w:bookmarkStart w:id="410" w:name="_Toc29670"/>
      <w:bookmarkStart w:id="411" w:name="_Toc3000"/>
      <w:bookmarkStart w:id="412" w:name="_Toc32265"/>
      <w:r>
        <w:rPr>
          <w:rFonts w:hint="default" w:ascii="Times New Roman" w:hAnsi="Times New Roman" w:eastAsia="宋体" w:cs="Times New Roman"/>
          <w:bCs/>
          <w:color w:val="auto"/>
          <w:spacing w:val="0"/>
          <w:kern w:val="2"/>
          <w:sz w:val="24"/>
          <w:szCs w:val="24"/>
        </w:rPr>
        <w:t>1.5评价范围</w:t>
      </w:r>
      <w:bookmarkEnd w:id="401"/>
      <w:bookmarkEnd w:id="402"/>
      <w:bookmarkEnd w:id="403"/>
      <w:bookmarkEnd w:id="404"/>
      <w:bookmarkEnd w:id="405"/>
      <w:bookmarkEnd w:id="406"/>
      <w:bookmarkEnd w:id="407"/>
      <w:bookmarkEnd w:id="408"/>
      <w:bookmarkEnd w:id="409"/>
      <w:bookmarkEnd w:id="410"/>
      <w:bookmarkEnd w:id="411"/>
      <w:bookmarkEnd w:id="412"/>
    </w:p>
    <w:p w14:paraId="7C92B4B8">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sz w:val="24"/>
          <w:highlight w:val="none"/>
        </w:rPr>
        <w:t>根据《环境影响评价技术导则 输变电》（HJ24-2020）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0"/>
          <w:sz w:val="24"/>
          <w:highlight w:val="none"/>
          <w:lang w:val="zh-CN"/>
        </w:rPr>
        <w:t>变电站、换流站、开关站、串补站、接地极生态环境影响评价范围为站场边界或围墙外500m内</w:t>
      </w:r>
      <w:r>
        <w:rPr>
          <w:rFonts w:hint="eastAsia" w:cs="Times New Roman"/>
          <w:color w:val="auto"/>
          <w:kern w:val="0"/>
          <w:sz w:val="24"/>
          <w:highlight w:val="none"/>
          <w:lang w:val="zh-CN"/>
        </w:rPr>
        <w:t>，</w:t>
      </w:r>
      <w:r>
        <w:rPr>
          <w:rFonts w:hint="eastAsia" w:cs="Times New Roman"/>
          <w:color w:val="auto"/>
          <w:kern w:val="0"/>
          <w:sz w:val="24"/>
          <w:highlight w:val="none"/>
          <w:lang w:val="en-US" w:eastAsia="zh-CN"/>
        </w:rPr>
        <w:t>因此，本次间隔扩建工程</w:t>
      </w:r>
      <w:r>
        <w:rPr>
          <w:rFonts w:hint="default" w:ascii="Times New Roman" w:hAnsi="Times New Roman" w:cs="Times New Roman"/>
          <w:color w:val="auto"/>
          <w:kern w:val="0"/>
          <w:sz w:val="24"/>
          <w:highlight w:val="none"/>
          <w:lang w:val="zh-CN"/>
        </w:rPr>
        <w:t>生态环境影响评价范围为</w:t>
      </w:r>
      <w:r>
        <w:rPr>
          <w:rFonts w:hint="default" w:ascii="Times New Roman" w:hAnsi="Times New Roman" w:cs="Times New Roman"/>
          <w:color w:val="auto"/>
          <w:sz w:val="24"/>
          <w:highlight w:val="none"/>
          <w:lang w:val="en-US" w:eastAsia="zh-CN"/>
        </w:rPr>
        <w:t>变电站站场边界外500m</w:t>
      </w:r>
      <w:r>
        <w:rPr>
          <w:rFonts w:hint="eastAsia" w:cs="Times New Roman"/>
          <w:color w:val="auto"/>
          <w:sz w:val="24"/>
          <w:highlight w:val="none"/>
          <w:lang w:val="en-US" w:eastAsia="zh-CN"/>
        </w:rPr>
        <w:t>（重点评价本期110</w:t>
      </w:r>
      <w:r>
        <w:rPr>
          <w:rFonts w:hint="default" w:ascii="Times New Roman" w:hAnsi="Times New Roman" w:eastAsia="宋体" w:cs="Times New Roman"/>
          <w:b w:val="0"/>
          <w:bCs w:val="0"/>
          <w:color w:val="auto"/>
          <w:sz w:val="24"/>
          <w:highlight w:val="none"/>
          <w:lang w:val="en-US" w:eastAsia="zh-CN"/>
        </w:rPr>
        <w:t>千伏</w:t>
      </w:r>
      <w:r>
        <w:rPr>
          <w:rFonts w:hint="eastAsia" w:cs="Times New Roman"/>
          <w:color w:val="auto"/>
          <w:sz w:val="24"/>
          <w:highlight w:val="none"/>
          <w:lang w:val="en-US" w:eastAsia="zh-CN"/>
        </w:rPr>
        <w:t>间隔扩建侧）。</w:t>
      </w:r>
    </w:p>
    <w:p w14:paraId="003B5275">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lang w:val="zh-CN"/>
        </w:rPr>
        <w:t>根据《环境影响评价技术导则 生态影响》（HJ19</w:t>
      </w:r>
      <w:r>
        <w:rPr>
          <w:rFonts w:hint="default" w:ascii="Times New Roman" w:hAnsi="Times New Roman" w:cs="Times New Roman"/>
          <w:color w:val="auto"/>
          <w:kern w:val="0"/>
          <w:sz w:val="24"/>
          <w:highlight w:val="none"/>
          <w:lang w:val="en-US" w:eastAsia="zh-CN"/>
        </w:rPr>
        <w:t>-</w:t>
      </w:r>
      <w:r>
        <w:rPr>
          <w:rFonts w:hint="default" w:ascii="Times New Roman" w:hAnsi="Times New Roman" w:cs="Times New Roman"/>
          <w:color w:val="auto"/>
          <w:kern w:val="0"/>
          <w:sz w:val="24"/>
          <w:highlight w:val="none"/>
          <w:lang w:val="zh-CN"/>
        </w:rPr>
        <w:t>2022）的要求，</w:t>
      </w:r>
      <w:r>
        <w:rPr>
          <w:rFonts w:hint="default" w:ascii="Times New Roman" w:hAnsi="Times New Roman" w:cs="Times New Roman"/>
          <w:color w:val="auto"/>
          <w:sz w:val="24"/>
          <w:highlight w:val="none"/>
        </w:rPr>
        <w:t>线性工程穿越生态敏感区时，以线路穿越段向两端外延1km，线路中心线向两侧外延1km为参考评价范围，实际确定时应结合生态敏感区主要保护对象的分布、生态学特征、项目的穿越方式、周边地形地貌等适当调整，主要保护对象为野生动物栖息地时，应进一步扩大评价范围，涉及迁徙、洄游物种的，其评价范围应涵盖工程影响的迁徙洄游通道范围；穿越非生态敏感区时，以线路中心线向两侧外延300m为参考评价范围。</w:t>
      </w:r>
    </w:p>
    <w:p w14:paraId="0510FA76">
      <w:pPr>
        <w:keepNext w:val="0"/>
        <w:keepLines w:val="0"/>
        <w:pageBreakBefore w:val="0"/>
        <w:widowControl w:val="0"/>
        <w:kinsoku/>
        <w:wordWrap/>
        <w:overflowPunct/>
        <w:topLinePunct w:val="0"/>
        <w:bidi w:val="0"/>
        <w:adjustRightInd w:val="0"/>
        <w:snapToGrid w:val="0"/>
        <w:spacing w:beforeAutospacing="0" w:afterAutospacing="0"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lang w:val="en-US" w:eastAsia="zh-CN"/>
        </w:rPr>
        <w:t>本项目</w:t>
      </w:r>
      <w:r>
        <w:rPr>
          <w:rFonts w:hint="default" w:ascii="Times New Roman" w:hAnsi="Times New Roman" w:eastAsia="宋体" w:cs="Times New Roman"/>
          <w:b w:val="0"/>
          <w:bCs w:val="0"/>
          <w:color w:val="auto"/>
          <w:kern w:val="2"/>
          <w:sz w:val="24"/>
          <w:szCs w:val="24"/>
          <w:shd w:val="clear" w:color="auto" w:fill="auto"/>
          <w:lang w:val="en-US" w:eastAsia="zh-CN" w:bidi="ar-SA"/>
        </w:rPr>
        <w:t>110千伏输电线路</w:t>
      </w:r>
      <w:r>
        <w:rPr>
          <w:rFonts w:hint="default" w:ascii="Times New Roman" w:hAnsi="Times New Roman" w:cs="Times New Roman"/>
          <w:bCs/>
          <w:color w:val="auto"/>
          <w:sz w:val="24"/>
          <w:szCs w:val="24"/>
          <w:highlight w:val="none"/>
          <w:lang w:val="en-US" w:eastAsia="zh-CN"/>
        </w:rPr>
        <w:t>穿越东南黄土高原丘陵水土保持生态保护红线</w:t>
      </w:r>
      <w:r>
        <w:rPr>
          <w:rFonts w:hint="eastAsia" w:cs="Times New Roman"/>
          <w:bCs/>
          <w:color w:val="auto"/>
          <w:sz w:val="24"/>
          <w:szCs w:val="24"/>
          <w:highlight w:val="none"/>
          <w:lang w:val="en-US" w:eastAsia="zh-CN"/>
        </w:rPr>
        <w:t>10.514</w:t>
      </w:r>
      <w:r>
        <w:rPr>
          <w:rFonts w:hint="default" w:ascii="Times New Roman" w:hAnsi="Times New Roman" w:cs="Times New Roman"/>
          <w:bCs/>
          <w:color w:val="auto"/>
          <w:sz w:val="24"/>
          <w:szCs w:val="24"/>
          <w:highlight w:val="none"/>
          <w:lang w:val="en-US" w:eastAsia="zh-CN"/>
        </w:rPr>
        <w:t>km段其</w:t>
      </w:r>
      <w:r>
        <w:rPr>
          <w:rFonts w:hint="default" w:ascii="Times New Roman" w:hAnsi="Times New Roman" w:eastAsia="宋体" w:cs="Times New Roman"/>
          <w:b w:val="0"/>
          <w:bCs w:val="0"/>
          <w:color w:val="auto"/>
          <w:kern w:val="2"/>
          <w:sz w:val="24"/>
          <w:szCs w:val="24"/>
          <w:shd w:val="clear" w:color="auto" w:fill="auto"/>
          <w:lang w:val="en-US" w:eastAsia="zh-CN" w:bidi="ar-SA"/>
        </w:rPr>
        <w:t>生态环境影响评价</w:t>
      </w:r>
      <w:r>
        <w:rPr>
          <w:rFonts w:hint="default" w:ascii="Times New Roman" w:hAnsi="Times New Roman" w:cs="Times New Roman"/>
          <w:color w:val="auto"/>
          <w:sz w:val="24"/>
          <w:lang w:eastAsia="zh-CN"/>
        </w:rPr>
        <w:t>范围</w:t>
      </w:r>
      <w:r>
        <w:rPr>
          <w:rFonts w:hint="default" w:ascii="Times New Roman" w:hAnsi="Times New Roman" w:cs="Times New Roman"/>
          <w:color w:val="auto"/>
          <w:sz w:val="24"/>
          <w:lang w:val="en-US" w:eastAsia="zh-CN"/>
        </w:rPr>
        <w:t>为线路边导线地面投影外两侧各1000m内的带状区域</w:t>
      </w:r>
      <w:r>
        <w:rPr>
          <w:rFonts w:hint="default" w:ascii="Times New Roman" w:hAnsi="Times New Roman" w:eastAsia="宋体" w:cs="Times New Roman"/>
          <w:b w:val="0"/>
          <w:bCs/>
          <w:color w:val="auto"/>
          <w:kern w:val="2"/>
          <w:sz w:val="24"/>
          <w:szCs w:val="24"/>
          <w:highlight w:val="none"/>
          <w:lang w:val="en-US" w:eastAsia="zh-CN" w:bidi="ar-SA"/>
        </w:rPr>
        <w:t>及穿越段两端外延1000m的带状区域</w:t>
      </w:r>
      <w:r>
        <w:rPr>
          <w:rFonts w:hint="default" w:ascii="Times New Roman" w:hAnsi="Times New Roman" w:cs="Times New Roman"/>
          <w:color w:val="auto"/>
          <w:sz w:val="24"/>
          <w:lang w:val="en-US" w:eastAsia="zh-CN"/>
        </w:rPr>
        <w:t>，其余1</w:t>
      </w:r>
      <w:r>
        <w:rPr>
          <w:rFonts w:hint="eastAsia" w:cs="Times New Roman"/>
          <w:color w:val="auto"/>
          <w:sz w:val="24"/>
          <w:lang w:val="en-US" w:eastAsia="zh-CN"/>
        </w:rPr>
        <w:t>3.686</w:t>
      </w:r>
      <w:r>
        <w:rPr>
          <w:rFonts w:hint="default" w:ascii="Times New Roman" w:hAnsi="Times New Roman" w:cs="Times New Roman"/>
          <w:color w:val="auto"/>
          <w:sz w:val="24"/>
          <w:lang w:val="en-US" w:eastAsia="zh-CN"/>
        </w:rPr>
        <w:t>km输电线路段生态环境影响评价范围为线路边导线地面投影外两侧各300m内的带状区域</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br w:type="textWrapping"/>
      </w:r>
      <w:r>
        <w:rPr>
          <w:rFonts w:hint="eastAsia" w:ascii="Times New Roman" w:hAnsi="Times New Roman" w:cs="Times New Roman"/>
          <w:color w:val="auto"/>
          <w:sz w:val="24"/>
          <w:highlight w:val="none"/>
          <w:lang w:val="en-US" w:eastAsia="zh-CN"/>
        </w:rPr>
        <w:t xml:space="preserve">   </w:t>
      </w:r>
      <w:r>
        <w:rPr>
          <w:rFonts w:hint="default" w:ascii="Times New Roman" w:hAnsi="Times New Roman" w:cs="Times New Roman"/>
          <w:color w:val="auto"/>
          <w:sz w:val="24"/>
          <w:lang w:val="en-US" w:eastAsia="zh-CN"/>
        </w:rPr>
        <w:t>本项目</w:t>
      </w:r>
      <w:r>
        <w:rPr>
          <w:rFonts w:hint="default" w:ascii="Times New Roman" w:hAnsi="Times New Roman" w:cs="Times New Roman"/>
          <w:color w:val="auto"/>
          <w:sz w:val="24"/>
          <w:highlight w:val="none"/>
          <w:lang w:val="en-US" w:eastAsia="zh-CN"/>
        </w:rPr>
        <w:t>新建华电彭阳200兆瓦风电～云雾山330千伏变电站110千伏架空线路</w:t>
      </w:r>
      <w:r>
        <w:rPr>
          <w:rFonts w:hint="default" w:ascii="Times New Roman" w:hAnsi="Times New Roman" w:cs="Times New Roman"/>
          <w:color w:val="auto"/>
          <w:sz w:val="24"/>
          <w:highlight w:val="none"/>
        </w:rPr>
        <w:t>评价区总面积为</w:t>
      </w:r>
      <w:r>
        <w:rPr>
          <w:rFonts w:hint="eastAsia" w:cs="Times New Roman"/>
          <w:color w:val="auto"/>
          <w:sz w:val="24"/>
          <w:highlight w:val="none"/>
          <w:lang w:val="en-US" w:eastAsia="zh-CN"/>
        </w:rPr>
        <w:t>5132.6</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bookmarkStart w:id="413" w:name="_Toc28166"/>
      <w:bookmarkStart w:id="414" w:name="_Toc2025"/>
    </w:p>
    <w:p w14:paraId="44CFE858">
      <w:pPr>
        <w:pStyle w:val="3"/>
        <w:keepNext/>
        <w:keepLines/>
        <w:spacing w:before="0" w:beforeAutospacing="0" w:after="0" w:afterAutospacing="0" w:line="360" w:lineRule="auto"/>
        <w:jc w:val="both"/>
        <w:rPr>
          <w:rFonts w:hint="default" w:ascii="Times New Roman" w:hAnsi="Times New Roman" w:eastAsia="宋体" w:cs="Times New Roman"/>
          <w:bCs/>
          <w:color w:val="auto"/>
          <w:spacing w:val="0"/>
          <w:kern w:val="2"/>
          <w:sz w:val="24"/>
          <w:szCs w:val="24"/>
        </w:rPr>
      </w:pPr>
      <w:bookmarkStart w:id="415" w:name="_Toc17571"/>
      <w:bookmarkStart w:id="416" w:name="_Toc25534"/>
      <w:bookmarkStart w:id="417" w:name="_Toc30656"/>
      <w:bookmarkStart w:id="418" w:name="_Toc24089"/>
      <w:r>
        <w:rPr>
          <w:rFonts w:hint="default" w:ascii="Times New Roman" w:hAnsi="Times New Roman" w:eastAsia="宋体" w:cs="Times New Roman"/>
          <w:bCs/>
          <w:color w:val="auto"/>
          <w:spacing w:val="0"/>
          <w:kern w:val="2"/>
          <w:sz w:val="24"/>
          <w:szCs w:val="24"/>
        </w:rPr>
        <w:t>1.6</w:t>
      </w:r>
      <w:bookmarkEnd w:id="413"/>
      <w:bookmarkEnd w:id="414"/>
      <w:bookmarkEnd w:id="415"/>
      <w:bookmarkEnd w:id="416"/>
      <w:r>
        <w:rPr>
          <w:rFonts w:hint="default" w:ascii="Times New Roman" w:hAnsi="Times New Roman" w:eastAsia="宋体" w:cs="Times New Roman"/>
          <w:bCs/>
          <w:color w:val="auto"/>
          <w:spacing w:val="0"/>
          <w:kern w:val="2"/>
          <w:sz w:val="24"/>
          <w:szCs w:val="24"/>
        </w:rPr>
        <w:t>生态影响评价因子</w:t>
      </w:r>
      <w:bookmarkEnd w:id="417"/>
      <w:bookmarkEnd w:id="418"/>
    </w:p>
    <w:p w14:paraId="7156CC47">
      <w:pPr>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szCs w:val="32"/>
        </w:rPr>
        <w:t>本项目的生态环境影响主要表现为施工活动对评价区域物种、生境、生物群落、生态系统、生物多样性和生态敏感区的影响。本项目施工期生态影响评价因子筛选表见</w:t>
      </w:r>
      <w:r>
        <w:rPr>
          <w:rFonts w:hint="eastAsia" w:ascii="Times New Roman" w:hAnsi="Times New Roman" w:cs="Times New Roman"/>
          <w:color w:val="auto"/>
          <w:sz w:val="24"/>
          <w:szCs w:val="32"/>
          <w:lang w:val="en-US" w:eastAsia="zh-CN"/>
        </w:rPr>
        <w:t>专题</w:t>
      </w:r>
      <w:r>
        <w:rPr>
          <w:rFonts w:hint="default" w:ascii="Times New Roman" w:hAnsi="Times New Roman" w:cs="Times New Roman"/>
          <w:color w:val="auto"/>
          <w:sz w:val="24"/>
          <w:szCs w:val="32"/>
        </w:rPr>
        <w:t>表1-1和</w:t>
      </w:r>
      <w:r>
        <w:rPr>
          <w:rFonts w:hint="eastAsia" w:ascii="Times New Roman" w:hAnsi="Times New Roman" w:cs="Times New Roman"/>
          <w:color w:val="auto"/>
          <w:sz w:val="24"/>
          <w:szCs w:val="32"/>
          <w:lang w:val="en-US" w:eastAsia="zh-CN"/>
        </w:rPr>
        <w:t>专题</w:t>
      </w:r>
      <w:r>
        <w:rPr>
          <w:rFonts w:hint="default" w:ascii="Times New Roman" w:hAnsi="Times New Roman" w:cs="Times New Roman"/>
          <w:color w:val="auto"/>
          <w:sz w:val="24"/>
          <w:szCs w:val="32"/>
        </w:rPr>
        <w:t>表1-2。</w:t>
      </w:r>
    </w:p>
    <w:p w14:paraId="5437CE34">
      <w:pPr>
        <w:adjustRightInd w:val="0"/>
        <w:snapToGrid w:val="0"/>
        <w:spacing w:line="240" w:lineRule="auto"/>
        <w:jc w:val="center"/>
        <w:rPr>
          <w:rFonts w:hint="default" w:ascii="Times New Roman" w:hAnsi="Times New Roman" w:cs="Times New Roman"/>
          <w:b/>
          <w:color w:val="auto"/>
          <w:sz w:val="24"/>
          <w:szCs w:val="24"/>
        </w:rPr>
      </w:pPr>
      <w:r>
        <w:rPr>
          <w:rFonts w:hint="eastAsia" w:ascii="Times New Roman" w:hAnsi="Times New Roman" w:cs="Times New Roman"/>
          <w:b/>
          <w:color w:val="auto"/>
          <w:sz w:val="24"/>
          <w:szCs w:val="24"/>
          <w:lang w:val="en-US" w:eastAsia="zh-CN"/>
        </w:rPr>
        <w:t>专题</w:t>
      </w:r>
      <w:r>
        <w:rPr>
          <w:rFonts w:hint="default" w:ascii="Times New Roman" w:hAnsi="Times New Roman" w:cs="Times New Roman"/>
          <w:b/>
          <w:color w:val="auto"/>
          <w:sz w:val="24"/>
          <w:szCs w:val="24"/>
        </w:rPr>
        <w:t>表1-1  本项目施工期生态影响评价因子筛选表</w:t>
      </w:r>
    </w:p>
    <w:tbl>
      <w:tblPr>
        <w:tblStyle w:val="31"/>
        <w:tblW w:w="9014"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93"/>
        <w:gridCol w:w="1477"/>
        <w:gridCol w:w="5085"/>
        <w:gridCol w:w="897"/>
        <w:gridCol w:w="662"/>
      </w:tblGrid>
      <w:tr w14:paraId="1C2340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tblHeader/>
          <w:jc w:val="center"/>
        </w:trPr>
        <w:tc>
          <w:tcPr>
            <w:tcW w:w="893" w:type="dxa"/>
            <w:noWrap w:val="0"/>
            <w:vAlign w:val="center"/>
          </w:tcPr>
          <w:p w14:paraId="02FA813E">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受影响对象</w:t>
            </w:r>
          </w:p>
        </w:tc>
        <w:tc>
          <w:tcPr>
            <w:tcW w:w="1477" w:type="dxa"/>
            <w:noWrap w:val="0"/>
            <w:vAlign w:val="center"/>
          </w:tcPr>
          <w:p w14:paraId="71E560B1">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评价因子</w:t>
            </w:r>
          </w:p>
        </w:tc>
        <w:tc>
          <w:tcPr>
            <w:tcW w:w="5085" w:type="dxa"/>
            <w:noWrap w:val="0"/>
            <w:vAlign w:val="center"/>
          </w:tcPr>
          <w:p w14:paraId="0FE176DF">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工程内容及影响方式</w:t>
            </w:r>
          </w:p>
        </w:tc>
        <w:tc>
          <w:tcPr>
            <w:tcW w:w="897" w:type="dxa"/>
            <w:noWrap w:val="0"/>
            <w:vAlign w:val="center"/>
          </w:tcPr>
          <w:p w14:paraId="7F575C2A">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影响</w:t>
            </w:r>
          </w:p>
          <w:p w14:paraId="005607D0">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性质</w:t>
            </w:r>
          </w:p>
        </w:tc>
        <w:tc>
          <w:tcPr>
            <w:tcW w:w="662" w:type="dxa"/>
            <w:noWrap w:val="0"/>
            <w:vAlign w:val="center"/>
          </w:tcPr>
          <w:p w14:paraId="5A0C27F2">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影响程度</w:t>
            </w:r>
          </w:p>
        </w:tc>
      </w:tr>
      <w:tr w14:paraId="75B6932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93" w:type="dxa"/>
            <w:noWrap w:val="0"/>
            <w:vAlign w:val="center"/>
          </w:tcPr>
          <w:p w14:paraId="76EB3C19">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物种</w:t>
            </w:r>
          </w:p>
        </w:tc>
        <w:tc>
          <w:tcPr>
            <w:tcW w:w="1477" w:type="dxa"/>
            <w:noWrap w:val="0"/>
            <w:vAlign w:val="center"/>
          </w:tcPr>
          <w:p w14:paraId="6E3A5868">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分布范围、种群数量、种群结构、行为</w:t>
            </w:r>
          </w:p>
        </w:tc>
        <w:tc>
          <w:tcPr>
            <w:tcW w:w="5085" w:type="dxa"/>
            <w:noWrap w:val="0"/>
            <w:vAlign w:val="center"/>
          </w:tcPr>
          <w:p w14:paraId="1C3D58E9">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①工程占地或扰动直接破坏植被，导致植物种群数量、分布范围、甚至种群结构受到一定影响；</w:t>
            </w:r>
          </w:p>
          <w:p w14:paraId="5544B044">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②施工活动噪声、灯光等对野生动物行为产生干扰。</w:t>
            </w:r>
          </w:p>
        </w:tc>
        <w:tc>
          <w:tcPr>
            <w:tcW w:w="897" w:type="dxa"/>
            <w:noWrap w:val="0"/>
            <w:vAlign w:val="center"/>
          </w:tcPr>
          <w:p w14:paraId="57062021">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短期</w:t>
            </w:r>
          </w:p>
          <w:p w14:paraId="48BF54FF">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可逆</w:t>
            </w:r>
          </w:p>
        </w:tc>
        <w:tc>
          <w:tcPr>
            <w:tcW w:w="662" w:type="dxa"/>
            <w:noWrap w:val="0"/>
            <w:vAlign w:val="center"/>
          </w:tcPr>
          <w:p w14:paraId="3CE25E5B">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2DE6B56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93" w:type="dxa"/>
            <w:vMerge w:val="restart"/>
            <w:noWrap w:val="0"/>
            <w:vAlign w:val="center"/>
          </w:tcPr>
          <w:p w14:paraId="6DD390A9">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生境</w:t>
            </w:r>
          </w:p>
        </w:tc>
        <w:tc>
          <w:tcPr>
            <w:tcW w:w="1477" w:type="dxa"/>
            <w:noWrap w:val="0"/>
            <w:vAlign w:val="center"/>
          </w:tcPr>
          <w:p w14:paraId="643BBCF8">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生境面积、质量</w:t>
            </w:r>
          </w:p>
        </w:tc>
        <w:tc>
          <w:tcPr>
            <w:tcW w:w="5085" w:type="dxa"/>
            <w:noWrap w:val="0"/>
            <w:vAlign w:val="center"/>
          </w:tcPr>
          <w:p w14:paraId="238BC261">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①工程永久占地或施工活动、物料堆放会改变土壤等的理化性质，使植物生境面积减少或生境质量受到暂时性破坏，影响植物生长、扩散；</w:t>
            </w:r>
          </w:p>
          <w:p w14:paraId="2C779D3B">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②工程永久占地导致动物的生境面积减少或生境质量受到永久性破坏，可能对动物的种群扩散及分布情况产生影响。</w:t>
            </w:r>
          </w:p>
        </w:tc>
        <w:tc>
          <w:tcPr>
            <w:tcW w:w="897" w:type="dxa"/>
            <w:noWrap w:val="0"/>
            <w:vAlign w:val="center"/>
          </w:tcPr>
          <w:p w14:paraId="63823AA5">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长期</w:t>
            </w:r>
          </w:p>
          <w:p w14:paraId="0248CF4B">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不可逆</w:t>
            </w:r>
          </w:p>
        </w:tc>
        <w:tc>
          <w:tcPr>
            <w:tcW w:w="662" w:type="dxa"/>
            <w:noWrap w:val="0"/>
            <w:vAlign w:val="center"/>
          </w:tcPr>
          <w:p w14:paraId="466D0D68">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1C2E7B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93" w:type="dxa"/>
            <w:vMerge w:val="continue"/>
            <w:noWrap w:val="0"/>
            <w:vAlign w:val="center"/>
          </w:tcPr>
          <w:p w14:paraId="2350C66F">
            <w:pPr>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1477" w:type="dxa"/>
            <w:noWrap w:val="0"/>
            <w:vAlign w:val="center"/>
          </w:tcPr>
          <w:p w14:paraId="76768D1E">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连通性</w:t>
            </w:r>
          </w:p>
        </w:tc>
        <w:tc>
          <w:tcPr>
            <w:tcW w:w="5085" w:type="dxa"/>
            <w:noWrap w:val="0"/>
            <w:vAlign w:val="center"/>
          </w:tcPr>
          <w:p w14:paraId="6B7C7FAF">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塔基</w:t>
            </w:r>
            <w:r>
              <w:rPr>
                <w:rFonts w:hint="default" w:ascii="Times New Roman" w:hAnsi="Times New Roman" w:cs="Times New Roman"/>
                <w:color w:val="auto"/>
                <w:kern w:val="0"/>
                <w:sz w:val="21"/>
                <w:szCs w:val="21"/>
              </w:rPr>
              <w:t>占地和施工活动一定程度上可能会影响小型啮齿类或爬行类动物生活区域的连通性，但施工期的活动已能够驱散该类小型动物，使其向周边同类型生境迁移；且相较于评价区面积，</w:t>
            </w:r>
            <w:r>
              <w:rPr>
                <w:rFonts w:hint="eastAsia" w:ascii="Times New Roman" w:hAnsi="Times New Roman" w:cs="Times New Roman"/>
                <w:color w:val="auto"/>
                <w:kern w:val="0"/>
                <w:sz w:val="21"/>
                <w:szCs w:val="21"/>
                <w:lang w:val="en-US" w:eastAsia="zh-CN"/>
              </w:rPr>
              <w:t>塔基</w:t>
            </w:r>
            <w:r>
              <w:rPr>
                <w:rFonts w:hint="default" w:ascii="Times New Roman" w:hAnsi="Times New Roman" w:cs="Times New Roman"/>
                <w:color w:val="auto"/>
                <w:kern w:val="0"/>
                <w:sz w:val="21"/>
                <w:szCs w:val="21"/>
              </w:rPr>
              <w:t>占地面积小，周边生境基本一致，不会对动物生境的连通性造成破坏。输电线路属于线性工程，施工占地面积小，线路施工不会对动物生境造成切割影响、不会导致生境连通性下降。</w:t>
            </w:r>
          </w:p>
        </w:tc>
        <w:tc>
          <w:tcPr>
            <w:tcW w:w="897" w:type="dxa"/>
            <w:noWrap w:val="0"/>
            <w:vAlign w:val="center"/>
          </w:tcPr>
          <w:p w14:paraId="733BFB3C">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短期</w:t>
            </w:r>
          </w:p>
          <w:p w14:paraId="46A286D0">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可逆</w:t>
            </w:r>
          </w:p>
        </w:tc>
        <w:tc>
          <w:tcPr>
            <w:tcW w:w="662" w:type="dxa"/>
            <w:noWrap w:val="0"/>
            <w:vAlign w:val="center"/>
          </w:tcPr>
          <w:p w14:paraId="77CDBEFE">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4E0833B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93" w:type="dxa"/>
            <w:noWrap w:val="0"/>
            <w:vAlign w:val="center"/>
          </w:tcPr>
          <w:p w14:paraId="00D51A0F">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生物群落</w:t>
            </w:r>
          </w:p>
        </w:tc>
        <w:tc>
          <w:tcPr>
            <w:tcW w:w="1477" w:type="dxa"/>
            <w:noWrap w:val="0"/>
            <w:vAlign w:val="center"/>
          </w:tcPr>
          <w:p w14:paraId="47CD882E">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物种组成、群落结构</w:t>
            </w:r>
          </w:p>
        </w:tc>
        <w:tc>
          <w:tcPr>
            <w:tcW w:w="5085" w:type="dxa"/>
            <w:noWrap w:val="0"/>
            <w:vAlign w:val="center"/>
          </w:tcPr>
          <w:p w14:paraId="51B560EF">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①据调查，受破坏的植物种类较少，多数植物均为常见种且扩散能力强、分布范围广；</w:t>
            </w:r>
          </w:p>
          <w:p w14:paraId="41B0EC24">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②评价区内植物群落结构简单，在本地区广泛分布，群落类型非特有类型；</w:t>
            </w:r>
          </w:p>
          <w:p w14:paraId="3F67EF3F">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③项目建设对植物群落内各类植物影响基本一致，不会对评价区内某一种或某几种植物造成特殊破坏。</w:t>
            </w:r>
          </w:p>
        </w:tc>
        <w:tc>
          <w:tcPr>
            <w:tcW w:w="897" w:type="dxa"/>
            <w:noWrap w:val="0"/>
            <w:vAlign w:val="center"/>
          </w:tcPr>
          <w:p w14:paraId="79C61FCB">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短期</w:t>
            </w:r>
          </w:p>
          <w:p w14:paraId="3CCC7BA9">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可逆</w:t>
            </w:r>
          </w:p>
        </w:tc>
        <w:tc>
          <w:tcPr>
            <w:tcW w:w="662" w:type="dxa"/>
            <w:noWrap w:val="0"/>
            <w:vAlign w:val="center"/>
          </w:tcPr>
          <w:p w14:paraId="1D6A8545">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0CF7DEB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93" w:type="dxa"/>
            <w:noWrap w:val="0"/>
            <w:vAlign w:val="center"/>
          </w:tcPr>
          <w:p w14:paraId="58D73018">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生态</w:t>
            </w:r>
          </w:p>
          <w:p w14:paraId="23C43001">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系统</w:t>
            </w:r>
          </w:p>
        </w:tc>
        <w:tc>
          <w:tcPr>
            <w:tcW w:w="1477" w:type="dxa"/>
            <w:noWrap w:val="0"/>
            <w:vAlign w:val="center"/>
          </w:tcPr>
          <w:p w14:paraId="1BFF840F">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植被覆盖度、生物量、生态系统功能</w:t>
            </w:r>
          </w:p>
        </w:tc>
        <w:tc>
          <w:tcPr>
            <w:tcW w:w="5085" w:type="dxa"/>
            <w:noWrap w:val="0"/>
            <w:vAlign w:val="center"/>
          </w:tcPr>
          <w:p w14:paraId="54ECC7AD">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植物个体或生境遭到破坏，导致植被覆盖度下降、生物量降低，生态系统功能受到一定影响。</w:t>
            </w:r>
          </w:p>
        </w:tc>
        <w:tc>
          <w:tcPr>
            <w:tcW w:w="897" w:type="dxa"/>
            <w:noWrap w:val="0"/>
            <w:vAlign w:val="center"/>
          </w:tcPr>
          <w:p w14:paraId="43D3C57A">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短期</w:t>
            </w:r>
          </w:p>
          <w:p w14:paraId="23E77C76">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可逆</w:t>
            </w:r>
          </w:p>
        </w:tc>
        <w:tc>
          <w:tcPr>
            <w:tcW w:w="662" w:type="dxa"/>
            <w:noWrap w:val="0"/>
            <w:vAlign w:val="center"/>
          </w:tcPr>
          <w:p w14:paraId="7BE775B7">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5197A38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93" w:type="dxa"/>
            <w:noWrap w:val="0"/>
            <w:vAlign w:val="center"/>
          </w:tcPr>
          <w:p w14:paraId="5A9B6326">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生物多样性</w:t>
            </w:r>
          </w:p>
        </w:tc>
        <w:tc>
          <w:tcPr>
            <w:tcW w:w="1477" w:type="dxa"/>
            <w:noWrap w:val="0"/>
            <w:vAlign w:val="center"/>
          </w:tcPr>
          <w:p w14:paraId="3A561578">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物种丰富度、均匀度、优势度</w:t>
            </w:r>
          </w:p>
        </w:tc>
        <w:tc>
          <w:tcPr>
            <w:tcW w:w="5085" w:type="dxa"/>
            <w:noWrap w:val="0"/>
            <w:vAlign w:val="center"/>
          </w:tcPr>
          <w:p w14:paraId="064BEA60">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综合上述对物种、生境、群落及生态系统的影响程度进行判定。</w:t>
            </w:r>
          </w:p>
        </w:tc>
        <w:tc>
          <w:tcPr>
            <w:tcW w:w="897" w:type="dxa"/>
            <w:noWrap w:val="0"/>
            <w:vAlign w:val="center"/>
          </w:tcPr>
          <w:p w14:paraId="51838051">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短期、可逆</w:t>
            </w:r>
          </w:p>
        </w:tc>
        <w:tc>
          <w:tcPr>
            <w:tcW w:w="662" w:type="dxa"/>
            <w:noWrap w:val="0"/>
            <w:vAlign w:val="center"/>
          </w:tcPr>
          <w:p w14:paraId="7A811580">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5443185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93" w:type="dxa"/>
            <w:noWrap w:val="0"/>
            <w:vAlign w:val="center"/>
          </w:tcPr>
          <w:p w14:paraId="420976E1">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生态敏感区</w:t>
            </w:r>
          </w:p>
        </w:tc>
        <w:tc>
          <w:tcPr>
            <w:tcW w:w="1477" w:type="dxa"/>
            <w:noWrap w:val="0"/>
            <w:vAlign w:val="center"/>
          </w:tcPr>
          <w:p w14:paraId="0E6AAA00">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主要保护对象、生态功能</w:t>
            </w:r>
          </w:p>
        </w:tc>
        <w:tc>
          <w:tcPr>
            <w:tcW w:w="5085" w:type="dxa"/>
            <w:noWrap w:val="0"/>
            <w:vAlign w:val="center"/>
          </w:tcPr>
          <w:p w14:paraId="470E703B">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本项目输电线路穿越</w:t>
            </w:r>
            <w:r>
              <w:rPr>
                <w:rFonts w:hint="default" w:ascii="Times New Roman" w:hAnsi="Times New Roman" w:cs="Times New Roman"/>
                <w:color w:val="auto"/>
                <w:kern w:val="0"/>
                <w:sz w:val="21"/>
                <w:szCs w:val="21"/>
                <w:lang w:val="en-US" w:eastAsia="zh-CN"/>
              </w:rPr>
              <w:t>东南黄土高原丘陵水土保持生态保护红线</w:t>
            </w:r>
            <w:r>
              <w:rPr>
                <w:rFonts w:hint="default" w:ascii="Times New Roman" w:hAnsi="Times New Roman" w:cs="Times New Roman"/>
                <w:color w:val="auto"/>
                <w:kern w:val="0"/>
                <w:sz w:val="21"/>
                <w:szCs w:val="21"/>
              </w:rPr>
              <w:t>约</w:t>
            </w:r>
            <w:r>
              <w:rPr>
                <w:rFonts w:hint="eastAsia" w:cs="Times New Roman"/>
                <w:color w:val="auto"/>
                <w:kern w:val="0"/>
                <w:sz w:val="21"/>
                <w:szCs w:val="21"/>
                <w:lang w:val="en-US" w:eastAsia="zh-CN"/>
              </w:rPr>
              <w:t>10.514</w:t>
            </w:r>
            <w:r>
              <w:rPr>
                <w:rFonts w:hint="default" w:ascii="Times New Roman" w:hAnsi="Times New Roman" w:cs="Times New Roman"/>
                <w:color w:val="auto"/>
                <w:kern w:val="0"/>
                <w:sz w:val="21"/>
                <w:szCs w:val="21"/>
                <w:lang w:val="en-US" w:eastAsia="zh-CN"/>
              </w:rPr>
              <w:t>km</w:t>
            </w:r>
            <w:r>
              <w:rPr>
                <w:rFonts w:hint="default" w:ascii="Times New Roman" w:hAnsi="Times New Roman" w:cs="Times New Roman"/>
                <w:color w:val="auto"/>
                <w:kern w:val="0"/>
                <w:sz w:val="21"/>
                <w:szCs w:val="21"/>
              </w:rPr>
              <w:t>。施工期清除植被、表土剥离和临时土方堆放等环节均可能会导致</w:t>
            </w:r>
            <w:r>
              <w:rPr>
                <w:rFonts w:hint="default" w:ascii="Times New Roman" w:hAnsi="Times New Roman" w:cs="Times New Roman"/>
                <w:color w:val="auto"/>
                <w:kern w:val="0"/>
                <w:sz w:val="21"/>
                <w:szCs w:val="21"/>
                <w:lang w:val="en-US" w:eastAsia="zh-CN"/>
              </w:rPr>
              <w:t>生态保护红线</w:t>
            </w:r>
            <w:r>
              <w:rPr>
                <w:rFonts w:hint="default" w:ascii="Times New Roman" w:hAnsi="Times New Roman" w:cs="Times New Roman"/>
                <w:color w:val="auto"/>
                <w:kern w:val="0"/>
                <w:sz w:val="21"/>
                <w:szCs w:val="21"/>
              </w:rPr>
              <w:t>区域水土流失的发生。施工活动噪声会对生态保护红线内野生动物产生干扰。</w:t>
            </w:r>
          </w:p>
        </w:tc>
        <w:tc>
          <w:tcPr>
            <w:tcW w:w="897" w:type="dxa"/>
            <w:noWrap w:val="0"/>
            <w:vAlign w:val="center"/>
          </w:tcPr>
          <w:p w14:paraId="098177EE">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短期</w:t>
            </w:r>
          </w:p>
          <w:p w14:paraId="772AF8AB">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可逆</w:t>
            </w:r>
          </w:p>
        </w:tc>
        <w:tc>
          <w:tcPr>
            <w:tcW w:w="662" w:type="dxa"/>
            <w:noWrap w:val="0"/>
            <w:vAlign w:val="center"/>
          </w:tcPr>
          <w:p w14:paraId="4C00D315">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2A35B64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14" w:type="dxa"/>
            <w:gridSpan w:val="5"/>
            <w:noWrap w:val="0"/>
            <w:vAlign w:val="center"/>
          </w:tcPr>
          <w:p w14:paraId="35140BAE">
            <w:pPr>
              <w:keepNext w:val="0"/>
              <w:keepLines w:val="0"/>
              <w:pageBreakBefore w:val="0"/>
              <w:widowControl w:val="0"/>
              <w:kinsoku/>
              <w:wordWrap/>
              <w:overflowPunct/>
              <w:topLinePunct w:val="0"/>
              <w:autoSpaceDE/>
              <w:autoSpaceDN/>
              <w:bidi w:val="0"/>
              <w:adjustRightInd w:val="0"/>
              <w:snapToGrid w:val="0"/>
              <w:spacing w:line="240" w:lineRule="auto"/>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注：“弱”指：生境受到暂时性破坏；野生动植物栖息繁衍（或生长繁殖）受到暂时性干扰，物种种类、种群数量、种群结构变化不大；生物多样性、生态系统结构、功能以及生态系统稳定性基本维持现状。</w:t>
            </w:r>
          </w:p>
        </w:tc>
      </w:tr>
    </w:tbl>
    <w:p w14:paraId="6D05F776">
      <w:pPr>
        <w:adjustRightInd w:val="0"/>
        <w:snapToGrid w:val="0"/>
        <w:spacing w:before="156" w:beforeLines="50" w:line="240" w:lineRule="auto"/>
        <w:jc w:val="center"/>
        <w:rPr>
          <w:rFonts w:hint="default" w:ascii="Times New Roman" w:hAnsi="Times New Roman" w:cs="Times New Roman"/>
          <w:b/>
          <w:color w:val="auto"/>
          <w:sz w:val="24"/>
          <w:szCs w:val="24"/>
        </w:rPr>
      </w:pPr>
      <w:r>
        <w:rPr>
          <w:rFonts w:hint="eastAsia" w:ascii="Times New Roman" w:hAnsi="Times New Roman" w:cs="Times New Roman"/>
          <w:b/>
          <w:color w:val="auto"/>
          <w:sz w:val="24"/>
          <w:szCs w:val="24"/>
          <w:lang w:val="en-US" w:eastAsia="zh-CN"/>
        </w:rPr>
        <w:t>专题</w:t>
      </w:r>
      <w:r>
        <w:rPr>
          <w:rFonts w:hint="default" w:ascii="Times New Roman" w:hAnsi="Times New Roman" w:cs="Times New Roman"/>
          <w:b/>
          <w:color w:val="auto"/>
          <w:sz w:val="24"/>
          <w:szCs w:val="24"/>
        </w:rPr>
        <w:t>表1-2  本项目运行期生态影响评价因子筛选表</w:t>
      </w:r>
    </w:p>
    <w:tbl>
      <w:tblPr>
        <w:tblStyle w:val="31"/>
        <w:tblW w:w="9014"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55"/>
        <w:gridCol w:w="807"/>
        <w:gridCol w:w="5692"/>
        <w:gridCol w:w="897"/>
        <w:gridCol w:w="642"/>
        <w:gridCol w:w="21"/>
      </w:tblGrid>
      <w:tr w14:paraId="7B023BB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21" w:type="dxa"/>
          <w:trHeight w:val="397" w:hRule="atLeast"/>
          <w:tblHeader/>
          <w:jc w:val="center"/>
        </w:trPr>
        <w:tc>
          <w:tcPr>
            <w:tcW w:w="955" w:type="dxa"/>
            <w:noWrap w:val="0"/>
            <w:vAlign w:val="center"/>
          </w:tcPr>
          <w:p w14:paraId="11CFE620">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受影响对象</w:t>
            </w:r>
          </w:p>
        </w:tc>
        <w:tc>
          <w:tcPr>
            <w:tcW w:w="807" w:type="dxa"/>
            <w:noWrap w:val="0"/>
            <w:vAlign w:val="center"/>
          </w:tcPr>
          <w:p w14:paraId="72674CFB">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评价因子</w:t>
            </w:r>
          </w:p>
        </w:tc>
        <w:tc>
          <w:tcPr>
            <w:tcW w:w="5692" w:type="dxa"/>
            <w:noWrap w:val="0"/>
            <w:vAlign w:val="center"/>
          </w:tcPr>
          <w:p w14:paraId="180D9FF7">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工程内容及影响方式</w:t>
            </w:r>
          </w:p>
        </w:tc>
        <w:tc>
          <w:tcPr>
            <w:tcW w:w="897" w:type="dxa"/>
            <w:noWrap w:val="0"/>
            <w:vAlign w:val="center"/>
          </w:tcPr>
          <w:p w14:paraId="34062E67">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影响性质</w:t>
            </w:r>
          </w:p>
        </w:tc>
        <w:tc>
          <w:tcPr>
            <w:tcW w:w="642" w:type="dxa"/>
            <w:noWrap w:val="0"/>
            <w:vAlign w:val="center"/>
          </w:tcPr>
          <w:p w14:paraId="3DFB9092">
            <w:pPr>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影响程度</w:t>
            </w:r>
          </w:p>
        </w:tc>
      </w:tr>
      <w:tr w14:paraId="66FC8BF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21" w:type="dxa"/>
          <w:trHeight w:val="397" w:hRule="atLeast"/>
          <w:jc w:val="center"/>
        </w:trPr>
        <w:tc>
          <w:tcPr>
            <w:tcW w:w="955" w:type="dxa"/>
            <w:noWrap w:val="0"/>
            <w:vAlign w:val="center"/>
          </w:tcPr>
          <w:p w14:paraId="7F909B4F">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物种</w:t>
            </w:r>
          </w:p>
        </w:tc>
        <w:tc>
          <w:tcPr>
            <w:tcW w:w="807" w:type="dxa"/>
            <w:noWrap w:val="0"/>
            <w:vAlign w:val="center"/>
          </w:tcPr>
          <w:p w14:paraId="4DC8E6F4">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分布范围、种群数量、种群结构、行为</w:t>
            </w:r>
          </w:p>
        </w:tc>
        <w:tc>
          <w:tcPr>
            <w:tcW w:w="5692" w:type="dxa"/>
            <w:noWrap w:val="0"/>
            <w:vAlign w:val="center"/>
          </w:tcPr>
          <w:p w14:paraId="099BA2D7">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项目永久占地不可避免地将造成用地范围内植被的减少和损失，但输变电项目永久占地面积相对较小，且比较分散，项目涉及的植物均为项目区常见植物，故项目建设造成的植被数量减少，运行期不会引起区域各种植被种类和群落类型发生变化。同时运行期人为活动影响减弱，污染减少，工程占地区的部分区域自然环境逐步得到恢复，在建设期迁移减少的动物将逐渐回到现状区域附近，评价区域均为常见动物，受到的影响很小。</w:t>
            </w:r>
          </w:p>
        </w:tc>
        <w:tc>
          <w:tcPr>
            <w:tcW w:w="897" w:type="dxa"/>
            <w:noWrap w:val="0"/>
            <w:vAlign w:val="center"/>
          </w:tcPr>
          <w:p w14:paraId="55485C34">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短期</w:t>
            </w:r>
          </w:p>
          <w:p w14:paraId="10F59409">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可逆</w:t>
            </w:r>
          </w:p>
        </w:tc>
        <w:tc>
          <w:tcPr>
            <w:tcW w:w="642" w:type="dxa"/>
            <w:noWrap w:val="0"/>
            <w:vAlign w:val="center"/>
          </w:tcPr>
          <w:p w14:paraId="64835859">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6405B75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21" w:type="dxa"/>
          <w:trHeight w:val="397" w:hRule="atLeast"/>
          <w:jc w:val="center"/>
        </w:trPr>
        <w:tc>
          <w:tcPr>
            <w:tcW w:w="955" w:type="dxa"/>
            <w:noWrap w:val="0"/>
            <w:vAlign w:val="center"/>
          </w:tcPr>
          <w:p w14:paraId="435C94B6">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生境</w:t>
            </w:r>
          </w:p>
        </w:tc>
        <w:tc>
          <w:tcPr>
            <w:tcW w:w="807" w:type="dxa"/>
            <w:noWrap w:val="0"/>
            <w:vAlign w:val="center"/>
          </w:tcPr>
          <w:p w14:paraId="0792FC8F">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连通性</w:t>
            </w:r>
          </w:p>
        </w:tc>
        <w:tc>
          <w:tcPr>
            <w:tcW w:w="5692" w:type="dxa"/>
            <w:noWrap w:val="0"/>
            <w:vAlign w:val="center"/>
          </w:tcPr>
          <w:p w14:paraId="22829958">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塔基</w:t>
            </w:r>
            <w:r>
              <w:rPr>
                <w:rFonts w:hint="default" w:ascii="Times New Roman" w:hAnsi="Times New Roman" w:cs="Times New Roman"/>
                <w:color w:val="auto"/>
                <w:kern w:val="0"/>
                <w:sz w:val="21"/>
                <w:szCs w:val="21"/>
              </w:rPr>
              <w:t>占地一定程度上可能会影响小型啮齿类或爬行类动物生活区域的连通性，但施工期的活动已能够驱散该类小型动物，使其向周边同类型生境迁移；且相较于评价区面积，</w:t>
            </w:r>
            <w:r>
              <w:rPr>
                <w:rFonts w:hint="eastAsia" w:ascii="Times New Roman" w:hAnsi="Times New Roman" w:cs="Times New Roman"/>
                <w:color w:val="auto"/>
                <w:kern w:val="0"/>
                <w:sz w:val="21"/>
                <w:szCs w:val="21"/>
                <w:lang w:val="en-US" w:eastAsia="zh-CN"/>
              </w:rPr>
              <w:t>塔基</w:t>
            </w:r>
            <w:r>
              <w:rPr>
                <w:rFonts w:hint="default" w:ascii="Times New Roman" w:hAnsi="Times New Roman" w:cs="Times New Roman"/>
                <w:color w:val="auto"/>
                <w:kern w:val="0"/>
                <w:sz w:val="21"/>
                <w:szCs w:val="21"/>
              </w:rPr>
              <w:t>占地面积小，周边生境基本一致，不会对动物生境的连通性造成破坏。</w:t>
            </w:r>
          </w:p>
          <w:p w14:paraId="1AB92306">
            <w:pPr>
              <w:adjustRightInd w:val="0"/>
              <w:snapToGrid w:val="0"/>
              <w:spacing w:line="240" w:lineRule="auto"/>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输电线路属于线性工程，塔基占地面积小，运行期不会对动物生境造成切割影响、不会导致生境连通性下降。</w:t>
            </w:r>
          </w:p>
        </w:tc>
        <w:tc>
          <w:tcPr>
            <w:tcW w:w="897" w:type="dxa"/>
            <w:noWrap w:val="0"/>
            <w:vAlign w:val="center"/>
          </w:tcPr>
          <w:p w14:paraId="0A29F46A">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短期</w:t>
            </w:r>
          </w:p>
          <w:p w14:paraId="748AE678">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可逆</w:t>
            </w:r>
          </w:p>
        </w:tc>
        <w:tc>
          <w:tcPr>
            <w:tcW w:w="642" w:type="dxa"/>
            <w:noWrap w:val="0"/>
            <w:vAlign w:val="center"/>
          </w:tcPr>
          <w:p w14:paraId="5BFD79F3">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7B5915C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21" w:type="dxa"/>
          <w:trHeight w:val="397" w:hRule="atLeast"/>
          <w:jc w:val="center"/>
        </w:trPr>
        <w:tc>
          <w:tcPr>
            <w:tcW w:w="955" w:type="dxa"/>
            <w:noWrap w:val="0"/>
            <w:vAlign w:val="center"/>
          </w:tcPr>
          <w:p w14:paraId="2A7C4520">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生态敏感区</w:t>
            </w:r>
          </w:p>
        </w:tc>
        <w:tc>
          <w:tcPr>
            <w:tcW w:w="807" w:type="dxa"/>
            <w:noWrap w:val="0"/>
            <w:vAlign w:val="center"/>
          </w:tcPr>
          <w:p w14:paraId="64587133">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生态功能</w:t>
            </w:r>
          </w:p>
        </w:tc>
        <w:tc>
          <w:tcPr>
            <w:tcW w:w="5692" w:type="dxa"/>
            <w:noWrap w:val="0"/>
            <w:vAlign w:val="center"/>
          </w:tcPr>
          <w:p w14:paraId="1BE0F84C">
            <w:pPr>
              <w:adjustRightInd w:val="0"/>
              <w:snapToGrid w:val="0"/>
              <w:spacing w:line="240" w:lineRule="auto"/>
              <w:jc w:val="left"/>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本项目输电线路穿越</w:t>
            </w:r>
            <w:r>
              <w:rPr>
                <w:rFonts w:hint="default" w:ascii="Times New Roman" w:hAnsi="Times New Roman" w:eastAsia="宋体" w:cs="Times New Roman"/>
                <w:color w:val="auto"/>
                <w:sz w:val="20"/>
                <w:szCs w:val="22"/>
                <w:highlight w:val="none"/>
                <w:lang w:val="en-US" w:eastAsia="zh-CN" w:bidi="ar-SA"/>
              </w:rPr>
              <w:t>东南黄土高原丘陵水土保持生态保护红线</w:t>
            </w:r>
            <w:r>
              <w:rPr>
                <w:rFonts w:hint="default" w:ascii="Times New Roman" w:hAnsi="Times New Roman" w:cs="Times New Roman"/>
                <w:color w:val="auto"/>
                <w:kern w:val="0"/>
                <w:sz w:val="21"/>
                <w:szCs w:val="21"/>
              </w:rPr>
              <w:t>约</w:t>
            </w:r>
            <w:r>
              <w:rPr>
                <w:rFonts w:hint="eastAsia" w:cs="Times New Roman"/>
                <w:color w:val="auto"/>
                <w:kern w:val="0"/>
                <w:sz w:val="21"/>
                <w:szCs w:val="21"/>
                <w:lang w:val="en-US" w:eastAsia="zh-CN"/>
              </w:rPr>
              <w:t>10.514</w:t>
            </w:r>
            <w:r>
              <w:rPr>
                <w:rFonts w:hint="default" w:ascii="Times New Roman" w:hAnsi="Times New Roman" w:cs="Times New Roman"/>
                <w:color w:val="auto"/>
                <w:kern w:val="0"/>
                <w:sz w:val="21"/>
                <w:szCs w:val="21"/>
                <w:lang w:val="en-US" w:eastAsia="zh-CN"/>
              </w:rPr>
              <w:t>km</w:t>
            </w:r>
            <w:r>
              <w:rPr>
                <w:rFonts w:hint="default" w:ascii="Times New Roman" w:hAnsi="Times New Roman" w:cs="Times New Roman"/>
                <w:color w:val="auto"/>
                <w:kern w:val="0"/>
                <w:sz w:val="21"/>
                <w:szCs w:val="21"/>
              </w:rPr>
              <w:t>。输电线路运行产生的电磁和噪声可能会对生态保护红线内野生动物产生干扰。</w:t>
            </w:r>
          </w:p>
        </w:tc>
        <w:tc>
          <w:tcPr>
            <w:tcW w:w="897" w:type="dxa"/>
            <w:noWrap w:val="0"/>
            <w:vAlign w:val="center"/>
          </w:tcPr>
          <w:p w14:paraId="1B21FC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长期</w:t>
            </w:r>
          </w:p>
          <w:p w14:paraId="19BDA8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不可逆</w:t>
            </w:r>
          </w:p>
        </w:tc>
        <w:tc>
          <w:tcPr>
            <w:tcW w:w="642" w:type="dxa"/>
            <w:noWrap w:val="0"/>
            <w:vAlign w:val="center"/>
          </w:tcPr>
          <w:p w14:paraId="150E1C19">
            <w:pPr>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弱</w:t>
            </w:r>
          </w:p>
        </w:tc>
      </w:tr>
      <w:tr w14:paraId="3D71130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14" w:type="dxa"/>
            <w:gridSpan w:val="6"/>
            <w:noWrap w:val="0"/>
            <w:vAlign w:val="center"/>
          </w:tcPr>
          <w:p w14:paraId="284E3E1D">
            <w:pPr>
              <w:adjustRightInd w:val="0"/>
              <w:snapToGrid w:val="0"/>
              <w:spacing w:line="240" w:lineRule="auto"/>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注：“弱”指：生境受到暂时性破坏；野生动植物栖息繁衍（或生长繁殖）受到暂时性干扰，物种种类、种群数量、种群结构变化不大；生物多样性、生态系统结构、功能以及生态系统稳定性基本维持现状。</w:t>
            </w:r>
          </w:p>
        </w:tc>
      </w:tr>
    </w:tbl>
    <w:p w14:paraId="06001DBC">
      <w:pPr>
        <w:pStyle w:val="3"/>
        <w:keepNext/>
        <w:keepLines/>
        <w:pageBreakBefore w:val="0"/>
        <w:widowControl w:val="0"/>
        <w:kinsoku/>
        <w:wordWrap/>
        <w:overflowPunct/>
        <w:topLinePunct w:val="0"/>
        <w:autoSpaceDE/>
        <w:autoSpaceDN/>
        <w:bidi w:val="0"/>
        <w:adjustRightInd w:val="0"/>
        <w:snapToGrid w:val="0"/>
        <w:spacing w:before="157" w:beforeLines="50" w:beforeAutospacing="0" w:after="0" w:afterAutospacing="0" w:line="360" w:lineRule="auto"/>
        <w:jc w:val="both"/>
        <w:textAlignment w:val="auto"/>
        <w:rPr>
          <w:rFonts w:hint="default" w:ascii="Times New Roman" w:hAnsi="Times New Roman" w:eastAsia="宋体" w:cs="Times New Roman"/>
          <w:bCs/>
          <w:color w:val="auto"/>
          <w:spacing w:val="0"/>
          <w:kern w:val="2"/>
          <w:sz w:val="24"/>
          <w:szCs w:val="24"/>
        </w:rPr>
      </w:pPr>
      <w:bookmarkStart w:id="419" w:name="_Toc7039"/>
      <w:bookmarkStart w:id="420" w:name="_Toc10611"/>
      <w:bookmarkStart w:id="421" w:name="_Toc5080"/>
      <w:bookmarkStart w:id="422" w:name="_Toc8300"/>
      <w:bookmarkStart w:id="423" w:name="_Toc23153"/>
      <w:bookmarkStart w:id="424" w:name="_Toc24599"/>
      <w:bookmarkStart w:id="425" w:name="_Toc13107"/>
      <w:bookmarkStart w:id="426" w:name="_Toc14875"/>
      <w:r>
        <w:rPr>
          <w:rFonts w:hint="default" w:ascii="Times New Roman" w:hAnsi="Times New Roman" w:eastAsia="宋体" w:cs="Times New Roman"/>
          <w:bCs/>
          <w:color w:val="auto"/>
          <w:spacing w:val="0"/>
          <w:kern w:val="2"/>
          <w:sz w:val="24"/>
          <w:szCs w:val="24"/>
        </w:rPr>
        <w:t>1.7评价内容</w:t>
      </w:r>
      <w:bookmarkEnd w:id="419"/>
      <w:bookmarkEnd w:id="420"/>
      <w:bookmarkEnd w:id="421"/>
      <w:bookmarkEnd w:id="422"/>
      <w:bookmarkEnd w:id="423"/>
      <w:bookmarkEnd w:id="424"/>
      <w:bookmarkEnd w:id="425"/>
      <w:bookmarkEnd w:id="426"/>
    </w:p>
    <w:p w14:paraId="08CAC42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⑴</w:t>
      </w:r>
      <w:r>
        <w:rPr>
          <w:rFonts w:hint="default" w:ascii="Times New Roman" w:hAnsi="Times New Roman" w:eastAsia="宋体" w:cs="Times New Roman"/>
          <w:color w:val="auto"/>
          <w:sz w:val="24"/>
          <w:highlight w:val="none"/>
        </w:rPr>
        <w:t>对拟建</w:t>
      </w:r>
      <w:r>
        <w:rPr>
          <w:rFonts w:hint="default" w:ascii="Times New Roman" w:hAnsi="Times New Roman" w:eastAsia="宋体" w:cs="Times New Roman"/>
          <w:color w:val="auto"/>
          <w:sz w:val="24"/>
          <w:highlight w:val="none"/>
          <w:lang w:eastAsia="zh-CN"/>
        </w:rPr>
        <w:t>宁夏固原华电彭阳200兆瓦风电项目110千伏送出工程</w:t>
      </w:r>
      <w:r>
        <w:rPr>
          <w:rFonts w:hint="default" w:ascii="Times New Roman" w:hAnsi="Times New Roman" w:eastAsia="宋体" w:cs="Times New Roman"/>
          <w:color w:val="auto"/>
          <w:sz w:val="24"/>
          <w:highlight w:val="none"/>
        </w:rPr>
        <w:t>进行分析；</w:t>
      </w:r>
    </w:p>
    <w:p w14:paraId="18B8355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⑵</w:t>
      </w:r>
      <w:r>
        <w:rPr>
          <w:rFonts w:hint="default" w:ascii="Times New Roman" w:hAnsi="Times New Roman" w:eastAsia="宋体" w:cs="Times New Roman"/>
          <w:color w:val="auto"/>
          <w:sz w:val="24"/>
          <w:highlight w:val="none"/>
        </w:rPr>
        <w:t>进行生态现状的调查与评价；</w:t>
      </w:r>
    </w:p>
    <w:p w14:paraId="1DA0C8E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⑶</w:t>
      </w:r>
      <w:r>
        <w:rPr>
          <w:rFonts w:hint="default" w:ascii="Times New Roman" w:hAnsi="Times New Roman" w:eastAsia="宋体" w:cs="Times New Roman"/>
          <w:color w:val="auto"/>
          <w:sz w:val="24"/>
          <w:highlight w:val="none"/>
        </w:rPr>
        <w:t>环境影响识别与评价因子筛选；</w:t>
      </w:r>
    </w:p>
    <w:p w14:paraId="218E46C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⑷</w:t>
      </w:r>
      <w:r>
        <w:rPr>
          <w:rFonts w:hint="default" w:ascii="Times New Roman" w:hAnsi="Times New Roman" w:eastAsia="宋体" w:cs="Times New Roman"/>
          <w:color w:val="auto"/>
          <w:sz w:val="24"/>
          <w:highlight w:val="none"/>
        </w:rPr>
        <w:t>确定评价等级和范围；</w:t>
      </w:r>
    </w:p>
    <w:p w14:paraId="1134677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⑸</w:t>
      </w:r>
      <w:r>
        <w:rPr>
          <w:rFonts w:hint="default" w:ascii="Times New Roman" w:hAnsi="Times New Roman" w:eastAsia="宋体" w:cs="Times New Roman"/>
          <w:color w:val="auto"/>
          <w:sz w:val="24"/>
          <w:highlight w:val="none"/>
        </w:rPr>
        <w:t>进行建设项目全过程的影响评价和动态管理；</w:t>
      </w:r>
    </w:p>
    <w:p w14:paraId="166BE3A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⑹</w:t>
      </w:r>
      <w:r>
        <w:rPr>
          <w:rFonts w:hint="default" w:ascii="Times New Roman" w:hAnsi="Times New Roman" w:eastAsia="宋体" w:cs="Times New Roman"/>
          <w:color w:val="auto"/>
          <w:sz w:val="24"/>
          <w:highlight w:val="none"/>
        </w:rPr>
        <w:t>进行</w:t>
      </w:r>
      <w:r>
        <w:rPr>
          <w:rFonts w:hint="eastAsia" w:cs="Times New Roman"/>
          <w:color w:val="auto"/>
          <w:sz w:val="24"/>
          <w:highlight w:val="none"/>
          <w:lang w:val="en-US" w:eastAsia="zh-CN"/>
        </w:rPr>
        <w:t>生态</w:t>
      </w:r>
      <w:r>
        <w:rPr>
          <w:rFonts w:hint="default" w:ascii="Times New Roman" w:hAnsi="Times New Roman" w:eastAsia="宋体" w:cs="Times New Roman"/>
          <w:color w:val="auto"/>
          <w:sz w:val="24"/>
          <w:highlight w:val="none"/>
        </w:rPr>
        <w:t>敏感保护目标的影响评价，研究保护措施；</w:t>
      </w:r>
    </w:p>
    <w:p w14:paraId="40E80C4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⑺</w:t>
      </w:r>
      <w:r>
        <w:rPr>
          <w:rFonts w:hint="default" w:ascii="Times New Roman" w:hAnsi="Times New Roman" w:eastAsia="宋体" w:cs="Times New Roman"/>
          <w:color w:val="auto"/>
          <w:sz w:val="24"/>
          <w:highlight w:val="none"/>
        </w:rPr>
        <w:t>研究消除和减缓影响的对策措施；</w:t>
      </w:r>
    </w:p>
    <w:p w14:paraId="7376300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⑻</w:t>
      </w:r>
      <w:r>
        <w:rPr>
          <w:rFonts w:hint="default" w:ascii="Times New Roman" w:hAnsi="Times New Roman" w:eastAsia="宋体" w:cs="Times New Roman"/>
          <w:color w:val="auto"/>
          <w:sz w:val="24"/>
          <w:highlight w:val="none"/>
        </w:rPr>
        <w:t>得出结论。</w:t>
      </w:r>
    </w:p>
    <w:p w14:paraId="65F773C0">
      <w:pPr>
        <w:pStyle w:val="3"/>
        <w:keepNext/>
        <w:keepLines/>
        <w:spacing w:before="0" w:beforeAutospacing="0" w:after="0" w:afterAutospacing="0" w:line="360" w:lineRule="auto"/>
        <w:jc w:val="both"/>
        <w:rPr>
          <w:rFonts w:hint="default" w:ascii="Times New Roman" w:hAnsi="Times New Roman" w:eastAsia="宋体" w:cs="Times New Roman"/>
          <w:bCs/>
          <w:color w:val="auto"/>
          <w:spacing w:val="0"/>
          <w:kern w:val="2"/>
          <w:sz w:val="24"/>
          <w:szCs w:val="24"/>
        </w:rPr>
      </w:pPr>
      <w:bookmarkStart w:id="427" w:name="_Toc23743"/>
      <w:bookmarkStart w:id="428" w:name="_Toc6940"/>
      <w:bookmarkStart w:id="429" w:name="_Toc19585"/>
      <w:bookmarkStart w:id="430" w:name="_Toc8184"/>
      <w:bookmarkStart w:id="431" w:name="_Toc28720"/>
      <w:bookmarkStart w:id="432" w:name="_Toc15320"/>
      <w:bookmarkStart w:id="433" w:name="_Toc10488"/>
      <w:bookmarkStart w:id="434" w:name="_Toc1887"/>
      <w:r>
        <w:rPr>
          <w:rFonts w:hint="default" w:ascii="Times New Roman" w:hAnsi="Times New Roman" w:eastAsia="宋体" w:cs="Times New Roman"/>
          <w:bCs/>
          <w:color w:val="auto"/>
          <w:spacing w:val="0"/>
          <w:kern w:val="2"/>
          <w:sz w:val="24"/>
          <w:szCs w:val="24"/>
        </w:rPr>
        <w:t>1.8生态保护目标</w:t>
      </w:r>
      <w:bookmarkEnd w:id="427"/>
      <w:bookmarkEnd w:id="428"/>
      <w:bookmarkEnd w:id="429"/>
      <w:bookmarkEnd w:id="430"/>
      <w:bookmarkEnd w:id="431"/>
      <w:bookmarkEnd w:id="432"/>
      <w:bookmarkEnd w:id="433"/>
      <w:bookmarkEnd w:id="434"/>
    </w:p>
    <w:p w14:paraId="79FF0A61">
      <w:pPr>
        <w:spacing w:line="360" w:lineRule="auto"/>
        <w:ind w:firstLine="480" w:firstLineChars="200"/>
        <w:rPr>
          <w:rFonts w:hint="default" w:ascii="Times New Roman" w:hAnsi="Times New Roman" w:eastAsia="黑体" w:cs="Times New Roman"/>
          <w:b/>
          <w:bCs/>
          <w:color w:val="auto"/>
          <w:kern w:val="44"/>
          <w:sz w:val="36"/>
          <w:szCs w:val="36"/>
          <w:highlight w:val="none"/>
          <w:lang w:eastAsia="zh-CN"/>
        </w:rPr>
      </w:pP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cs="Times New Roman"/>
          <w:color w:val="auto"/>
          <w:sz w:val="24"/>
          <w:highlight w:val="none"/>
          <w:lang w:val="en-US" w:eastAsia="zh-CN"/>
        </w:rPr>
        <w:t>云雾山330千伏变电站</w:t>
      </w:r>
      <w:r>
        <w:rPr>
          <w:rFonts w:hint="eastAsia" w:cs="Times New Roman"/>
          <w:color w:val="auto"/>
          <w:sz w:val="24"/>
          <w:highlight w:val="none"/>
          <w:lang w:val="en-US" w:eastAsia="zh-CN"/>
        </w:rPr>
        <w:t>间隔扩建工程生态影响评价范围内涉及</w:t>
      </w:r>
      <w:r>
        <w:rPr>
          <w:rFonts w:hint="default" w:ascii="Times New Roman" w:hAnsi="Times New Roman" w:cs="Times New Roman"/>
          <w:bCs/>
          <w:color w:val="auto"/>
          <w:sz w:val="24"/>
          <w:szCs w:val="24"/>
          <w:highlight w:val="none"/>
          <w:lang w:val="en-US" w:eastAsia="zh-CN"/>
        </w:rPr>
        <w:t>东南黄土高原丘陵水土保持生态保护红线</w:t>
      </w:r>
      <w:r>
        <w:rPr>
          <w:rFonts w:hint="eastAsia" w:cs="Times New Roman"/>
          <w:color w:val="auto"/>
          <w:sz w:val="24"/>
          <w:highlight w:val="none"/>
          <w:lang w:val="en-US" w:eastAsia="zh-CN"/>
        </w:rPr>
        <w:t>，输电线路</w:t>
      </w:r>
      <w:r>
        <w:rPr>
          <w:rFonts w:hint="default" w:ascii="Times New Roman" w:hAnsi="Times New Roman" w:cs="Times New Roman"/>
          <w:color w:val="auto"/>
          <w:sz w:val="24"/>
          <w:highlight w:val="none"/>
          <w:lang w:val="en-US" w:eastAsia="zh-CN"/>
        </w:rPr>
        <w:t>穿越东南黄土高原丘陵水土保持生态保护红线</w:t>
      </w:r>
      <w:r>
        <w:rPr>
          <w:rFonts w:hint="eastAsia" w:cs="Times New Roman"/>
          <w:bCs/>
          <w:color w:val="auto"/>
          <w:sz w:val="24"/>
          <w:szCs w:val="24"/>
          <w:highlight w:val="none"/>
          <w:lang w:val="en-US" w:eastAsia="zh-CN"/>
        </w:rPr>
        <w:t>10.514</w:t>
      </w:r>
      <w:r>
        <w:rPr>
          <w:rFonts w:hint="default" w:ascii="Times New Roman" w:hAnsi="Times New Roman" w:cs="Times New Roman"/>
          <w:bCs/>
          <w:color w:val="auto"/>
          <w:sz w:val="24"/>
          <w:szCs w:val="24"/>
          <w:highlight w:val="none"/>
          <w:lang w:val="en-US" w:eastAsia="zh-CN"/>
        </w:rPr>
        <w:t>km</w:t>
      </w:r>
      <w:r>
        <w:rPr>
          <w:rFonts w:hint="default" w:ascii="Times New Roman" w:hAnsi="Times New Roman" w:cs="Times New Roman"/>
          <w:b w:val="0"/>
          <w:bCs w:val="0"/>
          <w:color w:val="auto"/>
          <w:sz w:val="24"/>
          <w:lang w:val="en-US" w:eastAsia="zh-CN"/>
        </w:rPr>
        <w:t>，</w:t>
      </w:r>
      <w:r>
        <w:rPr>
          <w:rFonts w:hint="default" w:ascii="Times New Roman" w:hAnsi="Times New Roman" w:eastAsia="宋体" w:cs="Times New Roman"/>
          <w:color w:val="auto"/>
          <w:sz w:val="24"/>
          <w:highlight w:val="none"/>
        </w:rPr>
        <w:t>生态保护目标</w:t>
      </w:r>
      <w:r>
        <w:rPr>
          <w:rFonts w:hint="eastAsia" w:cs="Times New Roman"/>
          <w:color w:val="auto"/>
          <w:sz w:val="24"/>
          <w:highlight w:val="none"/>
          <w:lang w:val="en-US" w:eastAsia="zh-CN"/>
        </w:rPr>
        <w:t>具体情况</w:t>
      </w:r>
      <w:r>
        <w:rPr>
          <w:rFonts w:hint="default" w:ascii="Times New Roman" w:hAnsi="Times New Roman" w:eastAsia="宋体" w:cs="Times New Roman"/>
          <w:color w:val="auto"/>
          <w:sz w:val="24"/>
          <w:highlight w:val="none"/>
        </w:rPr>
        <w:t>见《报告表》正文表3-</w:t>
      </w:r>
      <w:r>
        <w:rPr>
          <w:rFonts w:hint="default" w:ascii="Times New Roman" w:hAnsi="Times New Roman" w:eastAsia="宋体" w:cs="Times New Roman"/>
          <w:color w:val="auto"/>
          <w:sz w:val="24"/>
          <w:highlight w:val="none"/>
          <w:lang w:val="en-US" w:eastAsia="zh-CN"/>
        </w:rPr>
        <w:t>1</w:t>
      </w:r>
      <w:r>
        <w:rPr>
          <w:rFonts w:hint="eastAsia" w:cs="Times New Roman"/>
          <w:color w:val="auto"/>
          <w:sz w:val="24"/>
          <w:highlight w:val="none"/>
          <w:lang w:val="en-US" w:eastAsia="zh-CN"/>
        </w:rPr>
        <w:t>1</w:t>
      </w:r>
      <w:r>
        <w:rPr>
          <w:rFonts w:hint="default" w:ascii="Times New Roman" w:hAnsi="Times New Roman" w:eastAsia="宋体" w:cs="Times New Roman"/>
          <w:color w:val="auto"/>
          <w:sz w:val="24"/>
          <w:highlight w:val="none"/>
        </w:rPr>
        <w:t>。</w:t>
      </w:r>
    </w:p>
    <w:p w14:paraId="116ED016">
      <w:pPr>
        <w:jc w:val="center"/>
        <w:outlineLvl w:val="9"/>
        <w:rPr>
          <w:rFonts w:hint="default" w:ascii="Times New Roman" w:hAnsi="Times New Roman" w:eastAsia="宋体" w:cs="Times New Roman"/>
          <w:b/>
          <w:bCs/>
          <w:color w:val="auto"/>
          <w:kern w:val="44"/>
          <w:sz w:val="36"/>
          <w:szCs w:val="36"/>
          <w:highlight w:val="none"/>
          <w:lang w:val="en-US" w:eastAsia="zh-CN"/>
        </w:rPr>
        <w:sectPr>
          <w:footerReference r:id="rId23" w:type="default"/>
          <w:pgSz w:w="11906" w:h="16838"/>
          <w:pgMar w:top="1440" w:right="1800" w:bottom="1440" w:left="1803" w:header="851" w:footer="1077" w:gutter="0"/>
          <w:pgBorders>
            <w:top w:val="none" w:sz="0" w:space="0"/>
            <w:left w:val="none" w:sz="0" w:space="0"/>
            <w:bottom w:val="none" w:sz="0" w:space="0"/>
            <w:right w:val="none" w:sz="0" w:space="0"/>
          </w:pgBorders>
          <w:pgNumType w:fmt="decimal" w:start="1"/>
          <w:cols w:space="720" w:num="1"/>
          <w:docGrid w:linePitch="312" w:charSpace="0"/>
        </w:sectPr>
      </w:pPr>
    </w:p>
    <w:bookmarkEnd w:id="395"/>
    <w:bookmarkEnd w:id="396"/>
    <w:bookmarkEnd w:id="397"/>
    <w:bookmarkEnd w:id="398"/>
    <w:bookmarkEnd w:id="399"/>
    <w:bookmarkEnd w:id="400"/>
    <w:p w14:paraId="463A3C64">
      <w:pPr>
        <w:pStyle w:val="2"/>
        <w:keepLines/>
        <w:pageBreakBefore w:val="0"/>
        <w:widowControl w:val="0"/>
        <w:kinsoku/>
        <w:wordWrap/>
        <w:overflowPunct/>
        <w:topLinePunct w:val="0"/>
        <w:autoSpaceDE/>
        <w:autoSpaceDN/>
        <w:bidi w:val="0"/>
        <w:adjustRightInd w:val="0"/>
        <w:snapToGrid w:val="0"/>
        <w:spacing w:before="0" w:after="0" w:line="360" w:lineRule="auto"/>
        <w:ind w:left="0" w:firstLine="0"/>
        <w:textAlignment w:val="auto"/>
        <w:rPr>
          <w:rFonts w:hint="default" w:ascii="Times New Roman" w:hAnsi="Times New Roman" w:eastAsia="宋体" w:cs="Times New Roman"/>
          <w:b/>
          <w:bCs/>
          <w:color w:val="auto"/>
          <w:sz w:val="28"/>
          <w:szCs w:val="28"/>
        </w:rPr>
      </w:pPr>
      <w:bookmarkStart w:id="435" w:name="_Toc17552"/>
      <w:bookmarkStart w:id="436" w:name="_Toc30480"/>
      <w:bookmarkStart w:id="437" w:name="_Toc8496"/>
      <w:bookmarkStart w:id="438" w:name="_Toc27905"/>
      <w:bookmarkStart w:id="439" w:name="_Toc28683"/>
      <w:bookmarkStart w:id="440" w:name="_Toc10302"/>
      <w:r>
        <w:rPr>
          <w:rFonts w:hint="eastAsia" w:eastAsia="宋体" w:cs="Times New Roman"/>
          <w:b/>
          <w:bCs/>
          <w:color w:val="auto"/>
          <w:sz w:val="28"/>
          <w:szCs w:val="28"/>
          <w:lang w:val="en-US" w:eastAsia="zh-CN"/>
        </w:rPr>
        <w:t>2</w:t>
      </w:r>
      <w:r>
        <w:rPr>
          <w:rFonts w:hint="default" w:ascii="Times New Roman" w:hAnsi="Times New Roman" w:eastAsia="宋体" w:cs="Times New Roman"/>
          <w:b/>
          <w:bCs/>
          <w:color w:val="auto"/>
          <w:sz w:val="28"/>
          <w:szCs w:val="28"/>
        </w:rPr>
        <w:t>生态现状调查与评价</w:t>
      </w:r>
      <w:bookmarkEnd w:id="435"/>
      <w:bookmarkEnd w:id="436"/>
      <w:bookmarkEnd w:id="437"/>
      <w:bookmarkEnd w:id="438"/>
      <w:bookmarkEnd w:id="439"/>
      <w:bookmarkEnd w:id="440"/>
    </w:p>
    <w:p w14:paraId="5A2748AE">
      <w:pPr>
        <w:pStyle w:val="3"/>
        <w:keepNext/>
        <w:keepLines/>
        <w:spacing w:before="0" w:beforeAutospacing="0" w:after="0" w:afterAutospacing="0" w:line="360" w:lineRule="auto"/>
        <w:jc w:val="both"/>
        <w:rPr>
          <w:rFonts w:hint="default" w:ascii="Times New Roman" w:hAnsi="Times New Roman" w:eastAsia="宋体" w:cs="Times New Roman"/>
          <w:bCs/>
          <w:color w:val="auto"/>
          <w:spacing w:val="0"/>
          <w:kern w:val="2"/>
          <w:sz w:val="24"/>
          <w:szCs w:val="24"/>
        </w:rPr>
      </w:pPr>
      <w:bookmarkStart w:id="441" w:name="4.2_设计风速与风区"/>
      <w:bookmarkEnd w:id="441"/>
      <w:bookmarkStart w:id="442" w:name="_Toc21932"/>
      <w:bookmarkStart w:id="443" w:name="_Toc5587"/>
      <w:bookmarkStart w:id="444" w:name="_Toc8402"/>
      <w:bookmarkStart w:id="445" w:name="_Toc27734"/>
      <w:bookmarkStart w:id="446" w:name="_Toc11500"/>
      <w:bookmarkStart w:id="447" w:name="_Toc109767195"/>
      <w:bookmarkStart w:id="448" w:name="_Toc18786"/>
      <w:bookmarkStart w:id="449" w:name="_Toc2481"/>
      <w:bookmarkStart w:id="450" w:name="_Toc12136"/>
      <w:bookmarkStart w:id="451" w:name="_Toc393099898"/>
      <w:bookmarkStart w:id="452" w:name="_Toc360352051"/>
      <w:bookmarkStart w:id="453" w:name="_Toc395184625"/>
      <w:bookmarkStart w:id="454" w:name="_Toc8409"/>
      <w:bookmarkStart w:id="455" w:name="_Toc392050740"/>
      <w:bookmarkStart w:id="456" w:name="_Toc477336632"/>
      <w:bookmarkStart w:id="457" w:name="_Toc395184647"/>
      <w:bookmarkStart w:id="458" w:name="_Toc478487187"/>
      <w:bookmarkStart w:id="459" w:name="_Toc466908981"/>
      <w:bookmarkStart w:id="460" w:name="_Toc392049511"/>
      <w:bookmarkStart w:id="461" w:name="_Toc17794"/>
      <w:bookmarkStart w:id="462" w:name="_Toc31909"/>
      <w:bookmarkStart w:id="463" w:name="_Toc1345"/>
      <w:bookmarkStart w:id="464" w:name="_Toc109767238"/>
      <w:r>
        <w:rPr>
          <w:rFonts w:hint="eastAsia" w:ascii="Times New Roman" w:hAnsi="Times New Roman" w:cs="Times New Roman"/>
          <w:bCs/>
          <w:color w:val="auto"/>
          <w:spacing w:val="0"/>
          <w:kern w:val="2"/>
          <w:sz w:val="24"/>
          <w:szCs w:val="24"/>
          <w:lang w:val="en-US" w:eastAsia="zh-CN"/>
        </w:rPr>
        <w:t>2</w:t>
      </w:r>
      <w:r>
        <w:rPr>
          <w:rFonts w:hint="default" w:ascii="Times New Roman" w:hAnsi="Times New Roman" w:eastAsia="宋体" w:cs="Times New Roman"/>
          <w:bCs/>
          <w:color w:val="auto"/>
          <w:spacing w:val="0"/>
          <w:kern w:val="2"/>
          <w:sz w:val="24"/>
          <w:szCs w:val="24"/>
        </w:rPr>
        <w:t>.</w:t>
      </w:r>
      <w:r>
        <w:rPr>
          <w:rFonts w:hint="default" w:ascii="Times New Roman" w:hAnsi="Times New Roman" w:cs="Times New Roman"/>
          <w:bCs/>
          <w:color w:val="auto"/>
          <w:spacing w:val="0"/>
          <w:kern w:val="2"/>
          <w:sz w:val="24"/>
          <w:szCs w:val="24"/>
          <w:lang w:val="en-US" w:eastAsia="zh-CN"/>
        </w:rPr>
        <w:t>1</w:t>
      </w:r>
      <w:r>
        <w:rPr>
          <w:rFonts w:hint="default" w:ascii="Times New Roman" w:hAnsi="Times New Roman" w:eastAsia="宋体" w:cs="Times New Roman"/>
          <w:bCs/>
          <w:color w:val="auto"/>
          <w:spacing w:val="0"/>
          <w:kern w:val="2"/>
          <w:sz w:val="24"/>
          <w:szCs w:val="24"/>
        </w:rPr>
        <w:t>生态调查与评价方法</w:t>
      </w:r>
      <w:bookmarkEnd w:id="442"/>
      <w:bookmarkEnd w:id="443"/>
      <w:bookmarkEnd w:id="444"/>
      <w:bookmarkEnd w:id="445"/>
      <w:bookmarkEnd w:id="446"/>
      <w:bookmarkEnd w:id="447"/>
      <w:bookmarkEnd w:id="448"/>
      <w:bookmarkEnd w:id="449"/>
      <w:bookmarkEnd w:id="450"/>
      <w:bookmarkEnd w:id="451"/>
      <w:bookmarkEnd w:id="452"/>
      <w:bookmarkEnd w:id="453"/>
      <w:bookmarkEnd w:id="454"/>
    </w:p>
    <w:p w14:paraId="2B103B9C">
      <w:pPr>
        <w:pStyle w:val="1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bookmarkStart w:id="465" w:name="_Toc29851_WPSOffice_Level3"/>
      <w:bookmarkStart w:id="466" w:name="_Toc14965_WPSOffice_Level3"/>
      <w:r>
        <w:rPr>
          <w:rFonts w:hint="default" w:ascii="Times New Roman" w:hAnsi="Times New Roman" w:cs="Times New Roman"/>
          <w:color w:val="auto"/>
          <w:sz w:val="24"/>
          <w:highlight w:val="none"/>
          <w:lang w:val="en-US" w:eastAsia="zh-CN"/>
        </w:rPr>
        <w:t>根</w:t>
      </w:r>
      <w:r>
        <w:rPr>
          <w:rFonts w:hint="default" w:ascii="Times New Roman" w:hAnsi="Times New Roman" w:eastAsia="宋体" w:cs="Times New Roman"/>
          <w:color w:val="auto"/>
          <w:sz w:val="24"/>
          <w:highlight w:val="none"/>
        </w:rPr>
        <w:t>据《环境影响评价技术导则</w:t>
      </w:r>
      <w:r>
        <w:rPr>
          <w:rFonts w:hint="default" w:ascii="Times New Roman" w:hAnsi="Times New Roman"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生态影响》（HJ19-2022）等标准，调查内容主要包括陆生生态现状调查（动、植物区系、植被类型、植物群落结构、物种组成、生态系统类型、重要物种及生境等）</w:t>
      </w:r>
      <w:r>
        <w:rPr>
          <w:rFonts w:hint="default" w:ascii="Times New Roman" w:hAnsi="Times New Roman" w:eastAsia="宋体" w:cs="Times New Roman"/>
          <w:color w:val="auto"/>
          <w:sz w:val="24"/>
          <w:highlight w:val="none"/>
          <w:lang w:val="en-US" w:eastAsia="zh-CN"/>
        </w:rPr>
        <w:t>和</w:t>
      </w:r>
      <w:r>
        <w:rPr>
          <w:rFonts w:hint="default" w:ascii="Times New Roman" w:hAnsi="Times New Roman" w:eastAsia="宋体" w:cs="Times New Roman"/>
          <w:color w:val="auto"/>
          <w:sz w:val="24"/>
          <w:highlight w:val="none"/>
        </w:rPr>
        <w:t>生态敏感区</w:t>
      </w:r>
      <w:r>
        <w:rPr>
          <w:rFonts w:hint="default" w:ascii="Times New Roman" w:hAnsi="Times New Roman" w:eastAsia="宋体" w:cs="Times New Roman"/>
          <w:color w:val="auto"/>
          <w:sz w:val="24"/>
          <w:highlight w:val="none"/>
          <w:lang w:val="en-US" w:eastAsia="zh-CN"/>
        </w:rPr>
        <w:t>的调查</w:t>
      </w:r>
      <w:r>
        <w:rPr>
          <w:rFonts w:hint="default" w:ascii="Times New Roman" w:hAnsi="Times New Roman" w:eastAsia="宋体" w:cs="Times New Roman"/>
          <w:color w:val="auto"/>
          <w:sz w:val="24"/>
          <w:highlight w:val="none"/>
        </w:rPr>
        <w:t>。</w:t>
      </w:r>
    </w:p>
    <w:p w14:paraId="2494C598">
      <w:pPr>
        <w:pStyle w:val="1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本项目生态影响评价范围内涉及</w:t>
      </w:r>
      <w:r>
        <w:rPr>
          <w:rFonts w:hint="default" w:ascii="Times New Roman" w:hAnsi="Times New Roman" w:eastAsia="宋体" w:cs="Times New Roman"/>
          <w:color w:val="auto"/>
          <w:sz w:val="24"/>
          <w:highlight w:val="none"/>
          <w:lang w:val="en-US" w:eastAsia="zh-CN"/>
        </w:rPr>
        <w:t>东南黄土高原丘陵水土保持生态保护红线</w:t>
      </w:r>
      <w:r>
        <w:rPr>
          <w:rFonts w:hint="default" w:ascii="Times New Roman" w:hAnsi="Times New Roman" w:eastAsia="宋体" w:cs="Times New Roman"/>
          <w:color w:val="auto"/>
          <w:sz w:val="24"/>
          <w:highlight w:val="none"/>
        </w:rPr>
        <w:t>。根据输电项目建设特点和区域生态环境特征，本项目生态现状调查除基本生态背景状况调查外，还包括生态保护红线调查、重要物种及其生境（重点保护野生动植物和古树名木调查）等工作重点，以及评价区主要生态问题调查。</w:t>
      </w:r>
    </w:p>
    <w:p w14:paraId="6C53830A">
      <w:pPr>
        <w:spacing w:line="360" w:lineRule="auto"/>
        <w:outlineLvl w:val="2"/>
        <w:rPr>
          <w:rFonts w:hint="default" w:ascii="Times New Roman" w:hAnsi="Times New Roman" w:eastAsia="宋体" w:cs="Times New Roman"/>
          <w:b/>
          <w:bCs/>
          <w:color w:val="auto"/>
          <w:kern w:val="2"/>
          <w:sz w:val="24"/>
          <w:szCs w:val="24"/>
          <w:highlight w:val="none"/>
          <w:lang w:val="en-US" w:eastAsia="zh-CN" w:bidi="ar-SA"/>
        </w:rPr>
      </w:pPr>
      <w:bookmarkStart w:id="467" w:name="_Toc9038"/>
      <w:r>
        <w:rPr>
          <w:rFonts w:hint="eastAsia"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w:t>
      </w:r>
      <w:r>
        <w:rPr>
          <w:rFonts w:hint="default" w:ascii="Times New Roman" w:hAnsi="Times New Roman"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kern w:val="2"/>
          <w:sz w:val="24"/>
          <w:szCs w:val="24"/>
          <w:highlight w:val="none"/>
          <w:lang w:val="en-US" w:eastAsia="zh-CN" w:bidi="ar-SA"/>
        </w:rPr>
        <w:t>.1基础资料收集</w:t>
      </w:r>
      <w:bookmarkEnd w:id="467"/>
    </w:p>
    <w:p w14:paraId="7D1C3501">
      <w:pPr>
        <w:pStyle w:val="13"/>
        <w:spacing w:after="0" w:line="360" w:lineRule="auto"/>
        <w:ind w:left="0" w:leftChars="0"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lang w:val="en-US" w:eastAsia="zh-CN"/>
        </w:rPr>
        <w:t>本次</w:t>
      </w:r>
      <w:r>
        <w:rPr>
          <w:rFonts w:hint="default" w:ascii="Times New Roman" w:hAnsi="Times New Roman" w:eastAsia="宋体" w:cs="Times New Roman"/>
          <w:color w:val="auto"/>
          <w:sz w:val="24"/>
          <w:highlight w:val="none"/>
        </w:rPr>
        <w:t>整理评价范围内现有的能反映生态现状或生态本底的资料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在综合分析现有资料的基础上，确定实地考察的重点区域及考察路线。</w:t>
      </w:r>
    </w:p>
    <w:p w14:paraId="2F8A8229">
      <w:pPr>
        <w:keepNext w:val="0"/>
        <w:keepLines w:val="0"/>
        <w:pageBreakBefore w:val="0"/>
        <w:widowControl w:val="0"/>
        <w:kinsoku/>
        <w:wordWrap/>
        <w:overflowPunct/>
        <w:topLinePunct w:val="0"/>
        <w:autoSpaceDE/>
        <w:autoSpaceDN/>
        <w:bidi w:val="0"/>
        <w:adjustRightInd w:val="0"/>
        <w:snapToGrid/>
        <w:spacing w:line="360" w:lineRule="auto"/>
        <w:textAlignment w:val="auto"/>
        <w:outlineLvl w:val="2"/>
        <w:rPr>
          <w:rFonts w:hint="default" w:ascii="Times New Roman" w:hAnsi="Times New Roman" w:eastAsia="宋体" w:cs="Times New Roman"/>
          <w:b/>
          <w:bCs/>
          <w:color w:val="auto"/>
          <w:kern w:val="2"/>
          <w:sz w:val="24"/>
          <w:szCs w:val="32"/>
          <w:lang w:val="en-US" w:eastAsia="zh-CN" w:bidi="ar-SA"/>
        </w:rPr>
      </w:pPr>
      <w:bookmarkStart w:id="468" w:name="_Toc8028"/>
      <w:r>
        <w:rPr>
          <w:rFonts w:hint="eastAsia" w:ascii="Times New Roman" w:hAnsi="Times New Roman" w:eastAsia="宋体" w:cs="Times New Roman"/>
          <w:b/>
          <w:bCs/>
          <w:color w:val="auto"/>
          <w:kern w:val="2"/>
          <w:sz w:val="24"/>
          <w:szCs w:val="32"/>
          <w:lang w:val="en-US" w:eastAsia="zh-CN" w:bidi="ar-SA"/>
        </w:rPr>
        <w:t>2.1.2</w:t>
      </w:r>
      <w:r>
        <w:rPr>
          <w:rFonts w:hint="default" w:ascii="Times New Roman" w:hAnsi="Times New Roman" w:eastAsia="宋体" w:cs="Times New Roman"/>
          <w:b/>
          <w:bCs/>
          <w:color w:val="auto"/>
          <w:kern w:val="2"/>
          <w:sz w:val="24"/>
          <w:szCs w:val="32"/>
          <w:lang w:val="en-US" w:eastAsia="zh-CN" w:bidi="ar-SA"/>
        </w:rPr>
        <w:t>生态现状调查方法</w:t>
      </w:r>
    </w:p>
    <w:p w14:paraId="281A528E">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本次评价中生态现状调查采用资料收集法、现场调查法、专家和公众咨询法及遥感调查法等多种方法结合的方式进行。</w:t>
      </w:r>
    </w:p>
    <w:p w14:paraId="7F2DC3EF">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评价采用的遥感影像为2023年8月14日欧洲航天局（ESA）的Sentinel-2卫星Level-2A产品（已经过正射校正、几何精校正、大气校正），投影坐标Pseudo-Mercator，可见光、近红外波段的空间分辨率为10m，云量为1.006447%。</w:t>
      </w:r>
    </w:p>
    <w:p w14:paraId="26D77908">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结合实地调查情况、谷歌卫星影像、遥感影像，依据《土地利用现状分类》（GB/T21010-2017）确定评价区土地利用类型。</w:t>
      </w:r>
    </w:p>
    <w:p w14:paraId="6C3C3D23">
      <w:pPr>
        <w:spacing w:line="360" w:lineRule="auto"/>
        <w:outlineLvl w:val="2"/>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w:t>
      </w:r>
      <w:r>
        <w:rPr>
          <w:rFonts w:hint="default" w:ascii="Times New Roman" w:hAnsi="Times New Roman"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kern w:val="2"/>
          <w:sz w:val="24"/>
          <w:szCs w:val="24"/>
          <w:highlight w:val="none"/>
          <w:lang w:val="en-US" w:eastAsia="zh-CN" w:bidi="ar-SA"/>
        </w:rPr>
        <w:t>.</w:t>
      </w:r>
      <w:r>
        <w:rPr>
          <w:rFonts w:hint="eastAsia"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生物资源调查</w:t>
      </w:r>
      <w:bookmarkEnd w:id="468"/>
    </w:p>
    <w:p w14:paraId="63251545">
      <w:pPr>
        <w:pStyle w:val="13"/>
        <w:adjustRightInd w:val="0"/>
        <w:snapToGrid w:val="0"/>
        <w:spacing w:after="0" w:line="360" w:lineRule="auto"/>
        <w:ind w:firstLine="0"/>
        <w:rPr>
          <w:rFonts w:hint="default" w:ascii="Times New Roman" w:hAnsi="Times New Roman" w:eastAsia="宋体" w:cs="Times New Roman"/>
          <w:b/>
          <w:bCs/>
          <w:color w:val="auto"/>
          <w:sz w:val="24"/>
          <w:highlight w:val="none"/>
        </w:rPr>
      </w:pPr>
      <w:r>
        <w:rPr>
          <w:rFonts w:hint="default" w:ascii="Times New Roman" w:hAnsi="Times New Roman" w:cs="Times New Roman"/>
          <w:b/>
          <w:bCs/>
          <w:color w:val="auto"/>
          <w:sz w:val="24"/>
          <w:highlight w:val="none"/>
          <w:lang w:eastAsia="zh-CN"/>
        </w:rPr>
        <w:t>⑴</w:t>
      </w:r>
      <w:r>
        <w:rPr>
          <w:rFonts w:hint="default" w:ascii="Times New Roman" w:hAnsi="Times New Roman" w:eastAsia="宋体" w:cs="Times New Roman"/>
          <w:b/>
          <w:bCs/>
          <w:color w:val="auto"/>
          <w:sz w:val="24"/>
          <w:highlight w:val="none"/>
        </w:rPr>
        <w:t>陆生植物调查方法</w:t>
      </w:r>
    </w:p>
    <w:p w14:paraId="09C6FF1C">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①GPS地面类型取样</w:t>
      </w:r>
    </w:p>
    <w:p w14:paraId="611A1FDB">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GPS样点是卫星遥感影像判读各种景观类型的基础，根据室内判读的植被与土地利用类型初图，现场核实判读的正误率，并对每个GPS取样点作如下记录：</w:t>
      </w:r>
    </w:p>
    <w:p w14:paraId="04532938">
      <w:pPr>
        <w:pStyle w:val="13"/>
        <w:keepNext w:val="0"/>
        <w:keepLines w:val="0"/>
        <w:pageBreakBefore w:val="0"/>
        <w:widowControl w:val="0"/>
        <w:numPr>
          <w:ilvl w:val="0"/>
          <w:numId w:val="4"/>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海拔表读出测点的海拔值和经纬度；</w:t>
      </w:r>
    </w:p>
    <w:p w14:paraId="040C8CEC">
      <w:pPr>
        <w:pStyle w:val="13"/>
        <w:keepNext w:val="0"/>
        <w:keepLines w:val="0"/>
        <w:pageBreakBefore w:val="0"/>
        <w:widowControl w:val="0"/>
        <w:numPr>
          <w:ilvl w:val="0"/>
          <w:numId w:val="4"/>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记录样点植被类型，以群</w:t>
      </w:r>
      <w:r>
        <w:rPr>
          <w:rFonts w:hint="default" w:ascii="Times New Roman" w:hAnsi="Times New Roman" w:cs="Times New Roman"/>
          <w:color w:val="auto"/>
          <w:sz w:val="24"/>
          <w:highlight w:val="none"/>
          <w:lang w:val="en-US" w:eastAsia="zh-CN"/>
        </w:rPr>
        <w:t>落</w:t>
      </w:r>
      <w:r>
        <w:rPr>
          <w:rFonts w:hint="default" w:ascii="Times New Roman" w:hAnsi="Times New Roman" w:eastAsia="宋体" w:cs="Times New Roman"/>
          <w:color w:val="auto"/>
          <w:sz w:val="24"/>
          <w:highlight w:val="none"/>
        </w:rPr>
        <w:t>为单位，同时记录</w:t>
      </w:r>
      <w:r>
        <w:rPr>
          <w:rFonts w:hint="eastAsia" w:cs="Times New Roman"/>
          <w:color w:val="auto"/>
          <w:sz w:val="24"/>
          <w:highlight w:val="none"/>
          <w:lang w:val="en-US" w:eastAsia="zh-CN"/>
        </w:rPr>
        <w:t>多度、盖度、均高</w:t>
      </w:r>
      <w:r>
        <w:rPr>
          <w:rFonts w:hint="default" w:ascii="Times New Roman" w:hAnsi="Times New Roman" w:eastAsia="宋体" w:cs="Times New Roman"/>
          <w:color w:val="auto"/>
          <w:sz w:val="24"/>
          <w:highlight w:val="none"/>
        </w:rPr>
        <w:t>等；</w:t>
      </w:r>
    </w:p>
    <w:p w14:paraId="61B6D2F9">
      <w:pPr>
        <w:pStyle w:val="13"/>
        <w:keepNext w:val="0"/>
        <w:keepLines w:val="0"/>
        <w:pageBreakBefore w:val="0"/>
        <w:widowControl w:val="0"/>
        <w:numPr>
          <w:ilvl w:val="0"/>
          <w:numId w:val="4"/>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记录样点优势植物以及观察动物的活动的情况；</w:t>
      </w:r>
    </w:p>
    <w:p w14:paraId="62185538">
      <w:pPr>
        <w:pStyle w:val="13"/>
        <w:adjustRightInd w:val="0"/>
        <w:snapToGrid w:val="0"/>
        <w:spacing w:after="0" w:line="360" w:lineRule="auto"/>
        <w:ind w:left="0" w:lef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4）拍摄典型植被外貌与结构特征。</w:t>
      </w:r>
    </w:p>
    <w:p w14:paraId="2F1D1693">
      <w:pPr>
        <w:pStyle w:val="13"/>
        <w:adjustRightInd w:val="0"/>
        <w:snapToGrid w:val="0"/>
        <w:spacing w:after="0" w:line="360" w:lineRule="auto"/>
        <w:ind w:leftChars="0" w:firstLine="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②植被和陆生植物调查</w:t>
      </w:r>
    </w:p>
    <w:p w14:paraId="4C7448CF">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cs="Times New Roman"/>
          <w:b w:val="0"/>
          <w:bCs w:val="0"/>
          <w:color w:val="auto"/>
          <w:kern w:val="0"/>
          <w:sz w:val="24"/>
          <w:lang w:val="en-US" w:eastAsia="zh-CN"/>
        </w:rPr>
        <w:t>本项目</w:t>
      </w:r>
      <w:r>
        <w:rPr>
          <w:rFonts w:hint="eastAsia" w:cs="Times New Roman"/>
          <w:b w:val="0"/>
          <w:bCs w:val="0"/>
          <w:color w:val="auto"/>
          <w:kern w:val="0"/>
          <w:sz w:val="24"/>
          <w:lang w:val="en-US" w:eastAsia="zh-CN"/>
        </w:rPr>
        <w:t>输电线路</w:t>
      </w:r>
      <w:r>
        <w:rPr>
          <w:rFonts w:hint="default" w:ascii="Times New Roman" w:hAnsi="Times New Roman" w:eastAsia="宋体" w:cs="Times New Roman"/>
          <w:color w:val="auto"/>
          <w:sz w:val="24"/>
          <w:highlight w:val="none"/>
        </w:rPr>
        <w:t>穿越1个植被区，即</w:t>
      </w:r>
      <w:r>
        <w:rPr>
          <w:rFonts w:hint="default" w:ascii="Times New Roman" w:hAnsi="Times New Roman" w:eastAsia="宋体" w:cs="Times New Roman"/>
          <w:color w:val="auto"/>
          <w:sz w:val="24"/>
          <w:highlight w:val="none"/>
          <w:lang w:val="en-US" w:eastAsia="zh-CN"/>
        </w:rPr>
        <w:t>亚洲荒漠植物亚区</w:t>
      </w:r>
      <w:r>
        <w:rPr>
          <w:rFonts w:hint="default" w:ascii="Times New Roman" w:hAnsi="Times New Roman" w:eastAsia="宋体" w:cs="Times New Roman"/>
          <w:color w:val="auto"/>
          <w:sz w:val="24"/>
          <w:highlight w:val="none"/>
        </w:rPr>
        <w:t>，涉及</w:t>
      </w:r>
      <w:r>
        <w:rPr>
          <w:rFonts w:hint="default"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rPr>
        <w:t>个</w:t>
      </w:r>
      <w:r>
        <w:rPr>
          <w:rFonts w:hint="default" w:ascii="Times New Roman" w:hAnsi="Times New Roman" w:cs="Times New Roman"/>
          <w:color w:val="auto"/>
          <w:sz w:val="24"/>
          <w:highlight w:val="none"/>
          <w:lang w:val="en-US" w:eastAsia="zh-CN"/>
        </w:rPr>
        <w:t>市</w:t>
      </w:r>
      <w:r>
        <w:rPr>
          <w:rFonts w:hint="default" w:ascii="Times New Roman" w:hAnsi="Times New Roman" w:eastAsia="宋体" w:cs="Times New Roman"/>
          <w:color w:val="auto"/>
          <w:sz w:val="24"/>
          <w:highlight w:val="none"/>
        </w:rPr>
        <w:t>（区），线路</w:t>
      </w:r>
      <w:r>
        <w:rPr>
          <w:rFonts w:hint="default" w:ascii="Times New Roman" w:hAnsi="Times New Roman" w:cs="Times New Roman"/>
          <w:color w:val="auto"/>
          <w:sz w:val="24"/>
          <w:highlight w:val="none"/>
          <w:lang w:val="en-US" w:eastAsia="zh-CN"/>
        </w:rPr>
        <w:t>全</w:t>
      </w:r>
      <w:r>
        <w:rPr>
          <w:rFonts w:hint="default" w:ascii="Times New Roman" w:hAnsi="Times New Roman" w:cs="Times New Roman"/>
          <w:color w:val="auto"/>
          <w:sz w:val="24"/>
          <w:highlight w:val="none"/>
          <w:lang w:eastAsia="zh-CN"/>
        </w:rPr>
        <w:t>长</w:t>
      </w:r>
      <w:r>
        <w:rPr>
          <w:rFonts w:hint="eastAsia" w:cs="Times New Roman"/>
          <w:color w:val="auto"/>
          <w:sz w:val="24"/>
          <w:highlight w:val="none"/>
          <w:lang w:val="en-US" w:eastAsia="zh-CN"/>
        </w:rPr>
        <w:t>24.2</w:t>
      </w:r>
      <w:r>
        <w:rPr>
          <w:rFonts w:hint="default" w:ascii="Times New Roman" w:hAnsi="Times New Roman" w:cs="Times New Roman"/>
          <w:color w:val="auto"/>
          <w:sz w:val="24"/>
          <w:highlight w:val="none"/>
          <w:lang w:val="en-US" w:eastAsia="zh-CN"/>
        </w:rPr>
        <w:t>km，其中</w:t>
      </w:r>
      <w:r>
        <w:rPr>
          <w:rFonts w:hint="default" w:ascii="Times New Roman" w:hAnsi="Times New Roman" w:cs="Times New Roman"/>
          <w:color w:val="auto"/>
          <w:sz w:val="24"/>
          <w:highlight w:val="none"/>
          <w:lang w:eastAsia="zh-CN"/>
        </w:rPr>
        <w:t>穿越红线</w:t>
      </w:r>
      <w:r>
        <w:rPr>
          <w:rFonts w:hint="default" w:ascii="Times New Roman" w:hAnsi="Times New Roman" w:eastAsia="宋体" w:cs="Times New Roman"/>
          <w:color w:val="auto"/>
          <w:sz w:val="24"/>
          <w:highlight w:val="none"/>
        </w:rPr>
        <w:t>长度</w:t>
      </w:r>
      <w:r>
        <w:rPr>
          <w:rFonts w:hint="eastAsia" w:cs="Times New Roman"/>
          <w:color w:val="auto"/>
          <w:sz w:val="24"/>
          <w:highlight w:val="none"/>
          <w:lang w:val="en-US" w:eastAsia="zh-CN"/>
        </w:rPr>
        <w:t>10.514</w:t>
      </w:r>
      <w:r>
        <w:rPr>
          <w:rFonts w:hint="default" w:ascii="Times New Roman" w:hAnsi="Times New Roman" w:eastAsia="宋体" w:cs="Times New Roman"/>
          <w:color w:val="auto"/>
          <w:sz w:val="24"/>
          <w:highlight w:val="none"/>
        </w:rPr>
        <w:t>km</w:t>
      </w:r>
      <w:r>
        <w:rPr>
          <w:rFonts w:hint="default" w:ascii="Times New Roman" w:hAnsi="Times New Roman" w:cs="Times New Roman"/>
          <w:b w:val="0"/>
          <w:bCs w:val="0"/>
          <w:color w:val="auto"/>
          <w:sz w:val="24"/>
          <w:highlight w:val="none"/>
          <w:lang w:val="en-US" w:eastAsia="zh-CN"/>
        </w:rPr>
        <w:t>（</w:t>
      </w:r>
      <w:r>
        <w:rPr>
          <w:rFonts w:hint="eastAsia" w:cs="Times New Roman"/>
          <w:b w:val="0"/>
          <w:bCs w:val="0"/>
          <w:color w:val="auto"/>
          <w:sz w:val="24"/>
          <w:highlight w:val="none"/>
          <w:lang w:val="en-US" w:eastAsia="zh-CN"/>
        </w:rPr>
        <w:t>立</w:t>
      </w:r>
      <w:r>
        <w:rPr>
          <w:rFonts w:hint="default" w:ascii="Times New Roman" w:hAnsi="Times New Roman" w:cs="Times New Roman"/>
          <w:b w:val="0"/>
          <w:bCs w:val="0"/>
          <w:color w:val="auto"/>
          <w:sz w:val="24"/>
          <w:highlight w:val="none"/>
          <w:lang w:val="en-US" w:eastAsia="zh-CN"/>
        </w:rPr>
        <w:t>塔</w:t>
      </w:r>
      <w:r>
        <w:rPr>
          <w:rFonts w:hint="eastAsia" w:cs="Times New Roman"/>
          <w:b w:val="0"/>
          <w:bCs w:val="0"/>
          <w:color w:val="auto"/>
          <w:sz w:val="24"/>
          <w:highlight w:val="none"/>
          <w:lang w:val="en-US" w:eastAsia="zh-CN"/>
        </w:rPr>
        <w:t>35</w:t>
      </w:r>
      <w:r>
        <w:rPr>
          <w:rFonts w:hint="default" w:ascii="Times New Roman" w:hAnsi="Times New Roman" w:cs="Times New Roman"/>
          <w:b w:val="0"/>
          <w:bCs w:val="0"/>
          <w:color w:val="auto"/>
          <w:sz w:val="24"/>
          <w:highlight w:val="none"/>
          <w:lang w:val="en-US" w:eastAsia="zh-CN"/>
        </w:rPr>
        <w:t>基）</w:t>
      </w:r>
      <w:r>
        <w:rPr>
          <w:rFonts w:hint="default" w:ascii="Times New Roman" w:hAnsi="Times New Roman" w:eastAsia="宋体" w:cs="Times New Roman"/>
          <w:color w:val="auto"/>
          <w:sz w:val="24"/>
          <w:highlight w:val="none"/>
        </w:rPr>
        <w:t>，在对评价区植被及陆生植物资料检索分析的基础上，根据工程方案、敏感区分布及评价等级确定调查路线、调查时间及调查人员。</w:t>
      </w:r>
    </w:p>
    <w:p w14:paraId="09B1F1A9">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szCs w:val="24"/>
          <w:highlight w:val="none"/>
          <w:lang w:val="en-US" w:eastAsia="zh-CN"/>
        </w:rPr>
        <w:t>本次</w:t>
      </w:r>
      <w:r>
        <w:rPr>
          <w:rFonts w:hint="default" w:ascii="Times New Roman" w:hAnsi="Times New Roman" w:eastAsia="宋体" w:cs="Times New Roman"/>
          <w:color w:val="auto"/>
          <w:sz w:val="24"/>
          <w:szCs w:val="24"/>
          <w:highlight w:val="none"/>
          <w:lang w:val="en-US" w:eastAsia="zh-CN"/>
        </w:rPr>
        <w:t>组织</w:t>
      </w:r>
      <w:r>
        <w:rPr>
          <w:rFonts w:hint="default" w:ascii="Times New Roman" w:hAnsi="Times New Roman" w:eastAsia="宋体" w:cs="Times New Roman"/>
          <w:color w:val="auto"/>
          <w:sz w:val="24"/>
          <w:szCs w:val="24"/>
          <w:highlight w:val="none"/>
        </w:rPr>
        <w:t>工作</w:t>
      </w:r>
      <w:r>
        <w:rPr>
          <w:rFonts w:hint="default" w:ascii="Times New Roman" w:hAnsi="Times New Roman" w:eastAsia="宋体" w:cs="Times New Roman"/>
          <w:color w:val="auto"/>
          <w:kern w:val="0"/>
          <w:sz w:val="24"/>
          <w:szCs w:val="22"/>
          <w:highlight w:val="none"/>
        </w:rPr>
        <w:t>人员</w:t>
      </w:r>
      <w:r>
        <w:rPr>
          <w:rFonts w:hint="eastAsia" w:cs="Times New Roman"/>
          <w:color w:val="auto"/>
          <w:sz w:val="24"/>
          <w:szCs w:val="24"/>
          <w:highlight w:val="none"/>
          <w:lang w:val="en-US" w:eastAsia="zh-CN"/>
        </w:rPr>
        <w:t>于</w:t>
      </w:r>
      <w:r>
        <w:rPr>
          <w:rFonts w:hint="eastAsia"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年</w:t>
      </w:r>
      <w:r>
        <w:rPr>
          <w:rFonts w:hint="eastAsia"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lang w:val="en-US" w:eastAsia="zh-CN"/>
        </w:rPr>
        <w:t>月</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lang w:val="en-US" w:eastAsia="zh-CN"/>
        </w:rPr>
        <w:t>日</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月</w:t>
      </w:r>
      <w:r>
        <w:rPr>
          <w:rFonts w:hint="eastAsia"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rPr>
        <w:t>日</w:t>
      </w:r>
      <w:r>
        <w:rPr>
          <w:rFonts w:hint="eastAsia" w:ascii="Times New Roman" w:hAnsi="Times New Roman" w:eastAsia="宋体" w:cs="Times New Roman"/>
          <w:color w:val="auto"/>
          <w:sz w:val="24"/>
          <w:szCs w:val="24"/>
          <w:highlight w:val="none"/>
          <w:lang w:val="en-US" w:eastAsia="zh-CN"/>
        </w:rPr>
        <w:t>对评价范围</w:t>
      </w:r>
      <w:r>
        <w:rPr>
          <w:rFonts w:hint="default" w:ascii="Times New Roman" w:hAnsi="Times New Roman" w:eastAsia="宋体" w:cs="Times New Roman"/>
          <w:color w:val="auto"/>
          <w:kern w:val="0"/>
          <w:sz w:val="24"/>
          <w:szCs w:val="22"/>
          <w:highlight w:val="none"/>
          <w:lang w:val="en-US" w:eastAsia="zh-CN"/>
        </w:rPr>
        <w:t>进行植物样方调查</w:t>
      </w:r>
      <w:r>
        <w:rPr>
          <w:rFonts w:hint="eastAsia" w:ascii="Times New Roman" w:hAnsi="Times New Roman" w:eastAsia="宋体" w:cs="Times New Roman"/>
          <w:color w:val="auto"/>
          <w:kern w:val="0"/>
          <w:sz w:val="24"/>
          <w:szCs w:val="22"/>
          <w:highlight w:val="none"/>
          <w:lang w:val="en-US" w:eastAsia="zh-CN"/>
        </w:rPr>
        <w:t>，</w:t>
      </w:r>
      <w:r>
        <w:rPr>
          <w:rFonts w:hint="default" w:ascii="Times New Roman" w:hAnsi="Times New Roman" w:eastAsia="宋体" w:cs="Times New Roman"/>
          <w:color w:val="auto"/>
          <w:sz w:val="24"/>
          <w:highlight w:val="none"/>
        </w:rPr>
        <w:t>此次现场调查共安排1组人员</w:t>
      </w: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rPr>
        <w:t>人。</w:t>
      </w:r>
    </w:p>
    <w:p w14:paraId="446E590B">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Times New Roman" w:cs="Times New Roman"/>
          <w:color w:val="auto"/>
          <w:sz w:val="24"/>
          <w:highlight w:val="none"/>
          <w:lang w:val="zh-CN"/>
        </w:rPr>
        <w:t>环境影响评价技术导则</w:t>
      </w:r>
      <w:r>
        <w:rPr>
          <w:rFonts w:hint="default" w:ascii="Times New Roman" w:hAnsi="Times New Roman" w:cs="Times New Roman"/>
          <w:color w:val="auto"/>
          <w:sz w:val="24"/>
          <w:highlight w:val="none"/>
        </w:rPr>
        <w:t xml:space="preserve"> </w:t>
      </w:r>
      <w:r>
        <w:rPr>
          <w:rFonts w:hint="default" w:ascii="Times New Roman" w:hAnsi="Times New Roman" w:eastAsia="Times New Roman" w:cs="Times New Roman"/>
          <w:color w:val="auto"/>
          <w:sz w:val="24"/>
          <w:highlight w:val="none"/>
          <w:lang w:val="zh-CN"/>
        </w:rPr>
        <w:t>生态影响</w:t>
      </w:r>
      <w:r>
        <w:rPr>
          <w:rFonts w:hint="default" w:ascii="Times New Roman" w:hAnsi="Times New Roman" w:eastAsia="宋体" w:cs="Times New Roman"/>
          <w:color w:val="auto"/>
          <w:sz w:val="24"/>
          <w:highlight w:val="none"/>
        </w:rPr>
        <w:t>》（HJ19-2022）陆生生态一级、二级评价应结合调查范围、调查对象、地形地貌和实际情况选择合适的调查方法。开展样线、样方调查的，应合理确定样线、样方的数量、长度或面积，涵盖评价范围内不同的植被类型及生境类型，山地区域还应结合海拔段、坡位、坡向进行布设。根据植物群落类型（宜以群落及以下分类单位为调查单元）设置调查样地，一级评价每种群落类型设置的样方数量不少于5个，二级评价不少于3个，调查时间宜选择植物生长旺盛季节；一级评价每种生境类型设置的野生动物调查样线数量不少于5条，二级评价不少于3条，三级评价现状调查以收集有效资料为主。</w:t>
      </w:r>
    </w:p>
    <w:p w14:paraId="071BA418">
      <w:pPr>
        <w:keepNext w:val="0"/>
        <w:keepLines w:val="0"/>
        <w:pageBreakBefore w:val="0"/>
        <w:widowControl w:val="0"/>
        <w:kinsoku/>
        <w:wordWrap/>
        <w:overflowPunct/>
        <w:topLinePunct w:val="0"/>
        <w:autoSpaceDE/>
        <w:autoSpaceDN/>
        <w:bidi w:val="0"/>
        <w:adjustRightInd w:val="0"/>
        <w:snapToGrid w:val="0"/>
        <w:spacing w:line="360" w:lineRule="auto"/>
        <w:ind w:firstLine="482"/>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本次调查根据评价区群落特点，灌丛样方面积设置为10m×10m，草丛样方设置为</w:t>
      </w:r>
      <w:r>
        <w:rPr>
          <w:rFonts w:hint="default"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rPr>
        <w:t>m×</w:t>
      </w:r>
      <w:r>
        <w:rPr>
          <w:rFonts w:hint="default"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rPr>
        <w:t>m，记录样方内所有植物种类，选取的植物群落应涵盖</w:t>
      </w:r>
      <w:r>
        <w:rPr>
          <w:rFonts w:hint="default" w:ascii="Times New Roman" w:hAnsi="Times New Roman" w:cs="Times New Roman"/>
          <w:color w:val="auto"/>
          <w:sz w:val="24"/>
          <w:highlight w:val="none"/>
          <w:lang w:val="en-US" w:eastAsia="zh-CN"/>
        </w:rPr>
        <w:t>森林、</w:t>
      </w:r>
      <w:r>
        <w:rPr>
          <w:rFonts w:hint="default" w:ascii="Times New Roman" w:hAnsi="Times New Roman" w:eastAsia="宋体" w:cs="Times New Roman"/>
          <w:color w:val="auto"/>
          <w:sz w:val="24"/>
          <w:highlight w:val="none"/>
        </w:rPr>
        <w:t>灌丛、草原、荒漠及水生植被等常见且具有代表性的类型。实地调查时，在评价区内设置了多个样地及调查点，最终根据样地及调查点内植被情况，共设</w:t>
      </w:r>
      <w:r>
        <w:rPr>
          <w:rFonts w:hint="eastAsia" w:cs="Times New Roman"/>
          <w:color w:val="auto"/>
          <w:sz w:val="24"/>
          <w:highlight w:val="none"/>
          <w:lang w:val="en-US" w:eastAsia="zh-CN"/>
        </w:rPr>
        <w:t>54</w:t>
      </w:r>
      <w:r>
        <w:rPr>
          <w:rFonts w:hint="default" w:ascii="Times New Roman" w:hAnsi="Times New Roman" w:eastAsia="宋体" w:cs="Times New Roman"/>
          <w:color w:val="auto"/>
          <w:sz w:val="24"/>
          <w:highlight w:val="none"/>
        </w:rPr>
        <w:t>个植物样方调查点，详见</w:t>
      </w:r>
      <w:r>
        <w:rPr>
          <w:rFonts w:hint="default" w:ascii="Times New Roman" w:hAnsi="Times New Roman" w:cs="Times New Roman"/>
          <w:color w:val="auto"/>
          <w:sz w:val="24"/>
          <w:highlight w:val="none"/>
          <w:lang w:val="en-US" w:eastAsia="zh-CN"/>
        </w:rPr>
        <w:t>专题</w:t>
      </w:r>
      <w:r>
        <w:rPr>
          <w:rFonts w:hint="default" w:ascii="Times New Roman" w:hAnsi="Times New Roman" w:eastAsia="宋体" w:cs="Times New Roman"/>
          <w:color w:val="auto"/>
          <w:sz w:val="24"/>
          <w:highlight w:val="none"/>
        </w:rPr>
        <w:t>表</w:t>
      </w: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rPr>
        <w:t>-1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样方调查点位图见专题图</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lang w:val="en-US" w:eastAsia="zh-CN"/>
        </w:rPr>
        <w:t>植被</w:t>
      </w:r>
      <w:r>
        <w:rPr>
          <w:rFonts w:hint="default" w:ascii="Times New Roman" w:hAnsi="Times New Roman" w:eastAsia="宋体" w:cs="Times New Roman"/>
          <w:color w:val="auto"/>
          <w:sz w:val="24"/>
          <w:highlight w:val="none"/>
        </w:rPr>
        <w:t>样方调查</w:t>
      </w:r>
      <w:r>
        <w:rPr>
          <w:rFonts w:hint="default" w:ascii="Times New Roman" w:hAnsi="Times New Roman" w:cs="Times New Roman"/>
          <w:color w:val="auto"/>
          <w:sz w:val="24"/>
          <w:highlight w:val="none"/>
          <w:lang w:val="en-US" w:eastAsia="zh-CN"/>
        </w:rPr>
        <w:t>表</w:t>
      </w:r>
      <w:r>
        <w:rPr>
          <w:rFonts w:hint="default" w:ascii="Times New Roman" w:hAnsi="Times New Roman" w:eastAsia="宋体" w:cs="Times New Roman"/>
          <w:color w:val="auto"/>
          <w:sz w:val="24"/>
          <w:highlight w:val="none"/>
        </w:rPr>
        <w:t>详见附</w:t>
      </w:r>
      <w:r>
        <w:rPr>
          <w:rFonts w:hint="default" w:ascii="Times New Roman" w:hAnsi="Times New Roman" w:cs="Times New Roman"/>
          <w:color w:val="auto"/>
          <w:sz w:val="24"/>
          <w:highlight w:val="none"/>
          <w:lang w:eastAsia="zh-CN"/>
        </w:rPr>
        <w:t>表</w:t>
      </w:r>
      <w:r>
        <w:rPr>
          <w:rFonts w:hint="default" w:ascii="Times New Roman" w:hAnsi="Times New Roman" w:eastAsia="宋体" w:cs="Times New Roman"/>
          <w:color w:val="auto"/>
          <w:sz w:val="24"/>
          <w:highlight w:val="none"/>
        </w:rPr>
        <w:t>。</w:t>
      </w:r>
    </w:p>
    <w:p w14:paraId="611E98E2">
      <w:pPr>
        <w:rPr>
          <w:rFonts w:hint="default"/>
          <w:color w:val="auto"/>
          <w:lang w:val="en-US" w:eastAsia="zh-CN"/>
        </w:rPr>
        <w:sectPr>
          <w:pgSz w:w="11906" w:h="16838"/>
          <w:pgMar w:top="1440" w:right="1800" w:bottom="1440" w:left="1803" w:header="851" w:footer="1077" w:gutter="0"/>
          <w:pgBorders>
            <w:top w:val="none" w:sz="0" w:space="0"/>
            <w:left w:val="none" w:sz="0" w:space="0"/>
            <w:bottom w:val="none" w:sz="0" w:space="0"/>
            <w:right w:val="none" w:sz="0" w:space="0"/>
          </w:pgBorders>
          <w:pgNumType w:fmt="decimal"/>
          <w:cols w:space="720" w:num="1"/>
          <w:docGrid w:linePitch="312" w:charSpace="0"/>
        </w:sectPr>
      </w:pPr>
    </w:p>
    <w:p w14:paraId="21C2ECC6">
      <w:pPr>
        <w:jc w:val="center"/>
        <w:rPr>
          <w:rFonts w:hint="default"/>
          <w:b/>
          <w:bCs/>
          <w:color w:val="auto"/>
          <w:sz w:val="24"/>
          <w:szCs w:val="24"/>
        </w:rPr>
      </w:pPr>
      <w:r>
        <w:rPr>
          <w:rFonts w:hint="default"/>
          <w:b/>
          <w:bCs/>
          <w:color w:val="auto"/>
          <w:sz w:val="24"/>
          <w:szCs w:val="24"/>
          <w:lang w:val="en-US" w:eastAsia="zh-CN"/>
        </w:rPr>
        <w:t>专题</w:t>
      </w:r>
      <w:r>
        <w:rPr>
          <w:rFonts w:hint="default"/>
          <w:b/>
          <w:bCs/>
          <w:color w:val="auto"/>
          <w:sz w:val="24"/>
          <w:szCs w:val="24"/>
        </w:rPr>
        <w:t>表</w:t>
      </w:r>
      <w:r>
        <w:rPr>
          <w:rFonts w:hint="eastAsia"/>
          <w:b/>
          <w:bCs/>
          <w:color w:val="auto"/>
          <w:sz w:val="24"/>
          <w:szCs w:val="24"/>
          <w:lang w:val="en-US" w:eastAsia="zh-CN"/>
        </w:rPr>
        <w:t>2</w:t>
      </w:r>
      <w:r>
        <w:rPr>
          <w:rFonts w:hint="default"/>
          <w:b/>
          <w:bCs/>
          <w:color w:val="auto"/>
          <w:sz w:val="24"/>
          <w:szCs w:val="24"/>
        </w:rPr>
        <w:t xml:space="preserve">-1  </w:t>
      </w:r>
      <w:r>
        <w:rPr>
          <w:rFonts w:hint="default"/>
          <w:b/>
          <w:bCs/>
          <w:color w:val="auto"/>
          <w:sz w:val="24"/>
          <w:szCs w:val="24"/>
          <w:lang w:val="en-US" w:eastAsia="zh-CN"/>
        </w:rPr>
        <w:t xml:space="preserve">  </w:t>
      </w:r>
      <w:r>
        <w:rPr>
          <w:rFonts w:hint="default"/>
          <w:b/>
          <w:bCs/>
          <w:color w:val="auto"/>
          <w:sz w:val="24"/>
          <w:szCs w:val="24"/>
        </w:rPr>
        <w:t>评价区内植物调查样方一览表</w:t>
      </w:r>
    </w:p>
    <w:tbl>
      <w:tblPr>
        <w:tblStyle w:val="31"/>
        <w:tblW w:w="901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74"/>
        <w:gridCol w:w="1562"/>
        <w:gridCol w:w="1462"/>
        <w:gridCol w:w="858"/>
        <w:gridCol w:w="1326"/>
        <w:gridCol w:w="2003"/>
        <w:gridCol w:w="688"/>
        <w:gridCol w:w="641"/>
      </w:tblGrid>
      <w:tr w14:paraId="5A36FF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vMerge w:val="restart"/>
            <w:tcBorders>
              <w:tl2br w:val="nil"/>
              <w:tr2bl w:val="nil"/>
            </w:tcBorders>
            <w:noWrap w:val="0"/>
            <w:vAlign w:val="center"/>
          </w:tcPr>
          <w:p w14:paraId="6F3FA5A1">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w w:val="98"/>
                <w:sz w:val="21"/>
                <w:szCs w:val="21"/>
                <w:highlight w:val="none"/>
              </w:rPr>
            </w:pPr>
            <w:r>
              <w:rPr>
                <w:rFonts w:hint="default" w:ascii="Times New Roman" w:hAnsi="Times New Roman" w:cs="Times New Roman" w:eastAsiaTheme="minorEastAsia"/>
                <w:b/>
                <w:i w:val="0"/>
                <w:iCs w:val="0"/>
                <w:color w:val="auto"/>
                <w:sz w:val="21"/>
                <w:szCs w:val="21"/>
                <w:highlight w:val="none"/>
              </w:rPr>
              <w:t>样方编号</w:t>
            </w:r>
          </w:p>
        </w:tc>
        <w:tc>
          <w:tcPr>
            <w:tcW w:w="3024" w:type="dxa"/>
            <w:gridSpan w:val="2"/>
            <w:tcBorders>
              <w:tl2br w:val="nil"/>
              <w:tr2bl w:val="nil"/>
            </w:tcBorders>
            <w:noWrap w:val="0"/>
            <w:vAlign w:val="center"/>
          </w:tcPr>
          <w:p w14:paraId="227888B9">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w w:val="98"/>
                <w:sz w:val="21"/>
                <w:szCs w:val="21"/>
                <w:highlight w:val="none"/>
              </w:rPr>
            </w:pPr>
            <w:r>
              <w:rPr>
                <w:rFonts w:hint="default" w:ascii="Times New Roman" w:hAnsi="Times New Roman" w:cs="Times New Roman" w:eastAsiaTheme="minorEastAsia"/>
                <w:b/>
                <w:i w:val="0"/>
                <w:iCs w:val="0"/>
                <w:color w:val="auto"/>
                <w:w w:val="98"/>
                <w:sz w:val="21"/>
                <w:szCs w:val="21"/>
                <w:highlight w:val="none"/>
              </w:rPr>
              <w:t>地理位置</w:t>
            </w:r>
          </w:p>
        </w:tc>
        <w:tc>
          <w:tcPr>
            <w:tcW w:w="858" w:type="dxa"/>
            <w:vMerge w:val="restart"/>
            <w:tcBorders>
              <w:tl2br w:val="nil"/>
              <w:tr2bl w:val="nil"/>
            </w:tcBorders>
            <w:noWrap w:val="0"/>
            <w:vAlign w:val="center"/>
          </w:tcPr>
          <w:p w14:paraId="4FF9592E">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lang w:eastAsia="zh-CN"/>
              </w:rPr>
            </w:pPr>
            <w:r>
              <w:rPr>
                <w:rFonts w:hint="default" w:ascii="Times New Roman" w:hAnsi="Times New Roman" w:cs="Times New Roman" w:eastAsiaTheme="minorEastAsia"/>
                <w:b/>
                <w:i w:val="0"/>
                <w:iCs w:val="0"/>
                <w:color w:val="auto"/>
                <w:sz w:val="21"/>
                <w:szCs w:val="21"/>
                <w:highlight w:val="none"/>
                <w:lang w:eastAsia="zh-CN"/>
              </w:rPr>
              <w:t>海拔高度（m）</w:t>
            </w:r>
          </w:p>
        </w:tc>
        <w:tc>
          <w:tcPr>
            <w:tcW w:w="1326" w:type="dxa"/>
            <w:vMerge w:val="restart"/>
            <w:tcBorders>
              <w:tl2br w:val="nil"/>
              <w:tr2bl w:val="nil"/>
            </w:tcBorders>
            <w:noWrap w:val="0"/>
            <w:vAlign w:val="center"/>
          </w:tcPr>
          <w:p w14:paraId="47BDD32B">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w w:val="98"/>
                <w:sz w:val="21"/>
                <w:szCs w:val="21"/>
                <w:highlight w:val="none"/>
                <w:lang w:eastAsia="zh-CN"/>
              </w:rPr>
            </w:pPr>
            <w:r>
              <w:rPr>
                <w:rFonts w:hint="default" w:ascii="Times New Roman" w:hAnsi="Times New Roman" w:cs="Times New Roman" w:eastAsiaTheme="minorEastAsia"/>
                <w:b/>
                <w:i w:val="0"/>
                <w:iCs w:val="0"/>
                <w:color w:val="auto"/>
                <w:sz w:val="21"/>
                <w:szCs w:val="21"/>
                <w:highlight w:val="none"/>
                <w:lang w:eastAsia="zh-CN"/>
              </w:rPr>
              <w:t>群</w:t>
            </w:r>
            <w:r>
              <w:rPr>
                <w:rFonts w:hint="default" w:ascii="Times New Roman" w:hAnsi="Times New Roman" w:cs="Times New Roman" w:eastAsiaTheme="minorEastAsia"/>
                <w:b/>
                <w:i w:val="0"/>
                <w:iCs w:val="0"/>
                <w:color w:val="auto"/>
                <w:sz w:val="21"/>
                <w:szCs w:val="21"/>
                <w:highlight w:val="none"/>
                <w:lang w:val="en-US" w:eastAsia="zh-CN"/>
              </w:rPr>
              <w:t>落</w:t>
            </w:r>
            <w:r>
              <w:rPr>
                <w:rFonts w:hint="default" w:ascii="Times New Roman" w:hAnsi="Times New Roman" w:cs="Times New Roman" w:eastAsiaTheme="minorEastAsia"/>
                <w:b/>
                <w:i w:val="0"/>
                <w:iCs w:val="0"/>
                <w:color w:val="auto"/>
                <w:sz w:val="21"/>
                <w:szCs w:val="21"/>
                <w:highlight w:val="none"/>
                <w:lang w:eastAsia="zh-CN"/>
              </w:rPr>
              <w:t>类型</w:t>
            </w:r>
          </w:p>
        </w:tc>
        <w:tc>
          <w:tcPr>
            <w:tcW w:w="2003" w:type="dxa"/>
            <w:vMerge w:val="restart"/>
            <w:tcBorders>
              <w:tl2br w:val="nil"/>
              <w:tr2bl w:val="nil"/>
            </w:tcBorders>
            <w:noWrap w:val="0"/>
            <w:vAlign w:val="center"/>
          </w:tcPr>
          <w:p w14:paraId="5D88F0E4">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lang w:eastAsia="zh-CN"/>
              </w:rPr>
            </w:pPr>
            <w:r>
              <w:rPr>
                <w:rFonts w:hint="default" w:ascii="Times New Roman" w:hAnsi="Times New Roman" w:cs="Times New Roman" w:eastAsiaTheme="minorEastAsia"/>
                <w:b/>
                <w:i w:val="0"/>
                <w:iCs w:val="0"/>
                <w:color w:val="auto"/>
                <w:sz w:val="21"/>
                <w:szCs w:val="21"/>
                <w:highlight w:val="none"/>
                <w:lang w:eastAsia="zh-CN"/>
              </w:rPr>
              <w:t>群丛类型</w:t>
            </w:r>
          </w:p>
        </w:tc>
        <w:tc>
          <w:tcPr>
            <w:tcW w:w="688" w:type="dxa"/>
            <w:vMerge w:val="restart"/>
            <w:tcBorders>
              <w:tl2br w:val="nil"/>
              <w:tr2bl w:val="nil"/>
            </w:tcBorders>
            <w:noWrap w:val="0"/>
            <w:vAlign w:val="center"/>
          </w:tcPr>
          <w:p w14:paraId="25AABA49">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rPr>
            </w:pPr>
            <w:r>
              <w:rPr>
                <w:rFonts w:hint="default" w:ascii="Times New Roman" w:hAnsi="Times New Roman" w:cs="Times New Roman" w:eastAsiaTheme="minorEastAsia"/>
                <w:b/>
                <w:i w:val="0"/>
                <w:iCs w:val="0"/>
                <w:color w:val="auto"/>
                <w:sz w:val="21"/>
                <w:szCs w:val="21"/>
                <w:highlight w:val="none"/>
              </w:rPr>
              <w:t>地形</w:t>
            </w:r>
          </w:p>
          <w:p w14:paraId="1FEC559E">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w w:val="98"/>
                <w:sz w:val="21"/>
                <w:szCs w:val="21"/>
                <w:highlight w:val="none"/>
              </w:rPr>
            </w:pPr>
            <w:r>
              <w:rPr>
                <w:rFonts w:hint="default" w:ascii="Times New Roman" w:hAnsi="Times New Roman" w:cs="Times New Roman" w:eastAsiaTheme="minorEastAsia"/>
                <w:b/>
                <w:i w:val="0"/>
                <w:iCs w:val="0"/>
                <w:color w:val="auto"/>
                <w:sz w:val="21"/>
                <w:szCs w:val="21"/>
                <w:highlight w:val="none"/>
              </w:rPr>
              <w:t>地貌</w:t>
            </w:r>
          </w:p>
        </w:tc>
        <w:tc>
          <w:tcPr>
            <w:tcW w:w="641" w:type="dxa"/>
            <w:vMerge w:val="restart"/>
            <w:tcBorders>
              <w:tl2br w:val="nil"/>
              <w:tr2bl w:val="nil"/>
            </w:tcBorders>
            <w:noWrap w:val="0"/>
            <w:vAlign w:val="center"/>
          </w:tcPr>
          <w:p w14:paraId="57930652">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lang w:eastAsia="zh-CN"/>
              </w:rPr>
            </w:pPr>
            <w:r>
              <w:rPr>
                <w:rFonts w:hint="default" w:ascii="Times New Roman" w:hAnsi="Times New Roman" w:cs="Times New Roman" w:eastAsiaTheme="minorEastAsia"/>
                <w:b/>
                <w:i w:val="0"/>
                <w:iCs w:val="0"/>
                <w:color w:val="auto"/>
                <w:sz w:val="21"/>
                <w:szCs w:val="21"/>
                <w:highlight w:val="none"/>
                <w:lang w:eastAsia="zh-CN"/>
              </w:rPr>
              <w:t>评价</w:t>
            </w:r>
          </w:p>
          <w:p w14:paraId="067446C7">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lang w:eastAsia="zh-CN"/>
              </w:rPr>
            </w:pPr>
            <w:r>
              <w:rPr>
                <w:rFonts w:hint="default" w:ascii="Times New Roman" w:hAnsi="Times New Roman" w:cs="Times New Roman" w:eastAsiaTheme="minorEastAsia"/>
                <w:b/>
                <w:i w:val="0"/>
                <w:iCs w:val="0"/>
                <w:color w:val="auto"/>
                <w:sz w:val="21"/>
                <w:szCs w:val="21"/>
                <w:highlight w:val="none"/>
                <w:lang w:eastAsia="zh-CN"/>
              </w:rPr>
              <w:t>等级</w:t>
            </w:r>
          </w:p>
        </w:tc>
      </w:tr>
      <w:tr w14:paraId="7468D2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vMerge w:val="continue"/>
            <w:tcBorders>
              <w:tl2br w:val="nil"/>
              <w:tr2bl w:val="nil"/>
            </w:tcBorders>
            <w:noWrap w:val="0"/>
            <w:vAlign w:val="center"/>
          </w:tcPr>
          <w:p w14:paraId="08FAC810">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rPr>
            </w:pPr>
          </w:p>
        </w:tc>
        <w:tc>
          <w:tcPr>
            <w:tcW w:w="1562" w:type="dxa"/>
            <w:tcBorders>
              <w:tl2br w:val="nil"/>
              <w:tr2bl w:val="nil"/>
            </w:tcBorders>
            <w:noWrap w:val="0"/>
            <w:vAlign w:val="center"/>
          </w:tcPr>
          <w:p w14:paraId="1900FC7F">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rPr>
            </w:pPr>
            <w:r>
              <w:rPr>
                <w:rFonts w:hint="default" w:ascii="Times New Roman" w:hAnsi="Times New Roman" w:cs="Times New Roman" w:eastAsiaTheme="minorEastAsia"/>
                <w:b/>
                <w:i w:val="0"/>
                <w:iCs w:val="0"/>
                <w:color w:val="auto"/>
                <w:sz w:val="21"/>
                <w:szCs w:val="21"/>
                <w:highlight w:val="none"/>
              </w:rPr>
              <w:t>东经</w:t>
            </w:r>
          </w:p>
        </w:tc>
        <w:tc>
          <w:tcPr>
            <w:tcW w:w="1462" w:type="dxa"/>
            <w:tcBorders>
              <w:tl2br w:val="nil"/>
              <w:tr2bl w:val="nil"/>
            </w:tcBorders>
            <w:noWrap w:val="0"/>
            <w:vAlign w:val="center"/>
          </w:tcPr>
          <w:p w14:paraId="3E0A03DF">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rPr>
            </w:pPr>
            <w:r>
              <w:rPr>
                <w:rFonts w:hint="default" w:ascii="Times New Roman" w:hAnsi="Times New Roman" w:cs="Times New Roman" w:eastAsiaTheme="minorEastAsia"/>
                <w:b/>
                <w:i w:val="0"/>
                <w:iCs w:val="0"/>
                <w:color w:val="auto"/>
                <w:sz w:val="21"/>
                <w:szCs w:val="21"/>
                <w:highlight w:val="none"/>
              </w:rPr>
              <w:t>北纬</w:t>
            </w:r>
          </w:p>
        </w:tc>
        <w:tc>
          <w:tcPr>
            <w:tcW w:w="858" w:type="dxa"/>
            <w:vMerge w:val="continue"/>
            <w:tcBorders>
              <w:tl2br w:val="nil"/>
              <w:tr2bl w:val="nil"/>
            </w:tcBorders>
            <w:noWrap w:val="0"/>
            <w:vAlign w:val="center"/>
          </w:tcPr>
          <w:p w14:paraId="452DB6D8">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rPr>
            </w:pPr>
          </w:p>
        </w:tc>
        <w:tc>
          <w:tcPr>
            <w:tcW w:w="1326" w:type="dxa"/>
            <w:vMerge w:val="continue"/>
            <w:tcBorders>
              <w:tl2br w:val="nil"/>
              <w:tr2bl w:val="nil"/>
            </w:tcBorders>
            <w:noWrap w:val="0"/>
            <w:vAlign w:val="center"/>
          </w:tcPr>
          <w:p w14:paraId="45659CE7">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rPr>
            </w:pPr>
          </w:p>
        </w:tc>
        <w:tc>
          <w:tcPr>
            <w:tcW w:w="2003" w:type="dxa"/>
            <w:vMerge w:val="continue"/>
            <w:tcBorders>
              <w:tl2br w:val="nil"/>
              <w:tr2bl w:val="nil"/>
            </w:tcBorders>
            <w:noWrap w:val="0"/>
            <w:vAlign w:val="center"/>
          </w:tcPr>
          <w:p w14:paraId="4545AE83">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rPr>
            </w:pPr>
          </w:p>
        </w:tc>
        <w:tc>
          <w:tcPr>
            <w:tcW w:w="688" w:type="dxa"/>
            <w:vMerge w:val="continue"/>
            <w:tcBorders>
              <w:tl2br w:val="nil"/>
              <w:tr2bl w:val="nil"/>
            </w:tcBorders>
            <w:noWrap w:val="0"/>
            <w:vAlign w:val="center"/>
          </w:tcPr>
          <w:p w14:paraId="78CD1800">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rPr>
            </w:pPr>
          </w:p>
        </w:tc>
        <w:tc>
          <w:tcPr>
            <w:tcW w:w="641" w:type="dxa"/>
            <w:vMerge w:val="continue"/>
            <w:tcBorders>
              <w:tl2br w:val="nil"/>
              <w:tr2bl w:val="nil"/>
            </w:tcBorders>
            <w:noWrap w:val="0"/>
            <w:vAlign w:val="center"/>
          </w:tcPr>
          <w:p w14:paraId="55E893F8">
            <w:pPr>
              <w:pStyle w:val="71"/>
              <w:kinsoku w:val="0"/>
              <w:overflowPunct w:val="0"/>
              <w:snapToGrid w:val="0"/>
              <w:ind w:left="-105" w:leftChars="-50" w:right="-105" w:rightChars="-50"/>
              <w:jc w:val="center"/>
              <w:rPr>
                <w:rFonts w:hint="default" w:ascii="Times New Roman" w:hAnsi="Times New Roman" w:cs="Times New Roman" w:eastAsiaTheme="minorEastAsia"/>
                <w:b/>
                <w:i w:val="0"/>
                <w:iCs w:val="0"/>
                <w:color w:val="auto"/>
                <w:sz w:val="21"/>
                <w:szCs w:val="21"/>
                <w:highlight w:val="none"/>
              </w:rPr>
            </w:pPr>
          </w:p>
        </w:tc>
      </w:tr>
      <w:tr w14:paraId="6BF2A2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244A16B7">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rPr>
              <w:t>1</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5E982436">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106.53137674°</w:t>
            </w:r>
          </w:p>
        </w:tc>
        <w:tc>
          <w:tcPr>
            <w:tcW w:w="1462" w:type="dxa"/>
            <w:tcBorders>
              <w:tl2br w:val="nil"/>
              <w:tr2bl w:val="nil"/>
            </w:tcBorders>
            <w:noWrap w:val="0"/>
            <w:vAlign w:val="center"/>
          </w:tcPr>
          <w:p w14:paraId="64399154">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36.20881418°</w:t>
            </w:r>
          </w:p>
        </w:tc>
        <w:tc>
          <w:tcPr>
            <w:tcW w:w="858" w:type="dxa"/>
            <w:tcBorders>
              <w:tl2br w:val="nil"/>
              <w:tr2bl w:val="nil"/>
            </w:tcBorders>
            <w:noWrap w:val="0"/>
            <w:vAlign w:val="center"/>
          </w:tcPr>
          <w:p w14:paraId="57900E24">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1865</w:t>
            </w:r>
          </w:p>
        </w:tc>
        <w:tc>
          <w:tcPr>
            <w:tcW w:w="1326" w:type="dxa"/>
            <w:tcBorders>
              <w:tl2br w:val="nil"/>
              <w:tr2bl w:val="nil"/>
            </w:tcBorders>
            <w:noWrap w:val="0"/>
            <w:vAlign w:val="center"/>
          </w:tcPr>
          <w:p w14:paraId="23CF4B08">
            <w:pPr>
              <w:pStyle w:val="71"/>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vertAlign w:val="baseline"/>
                <w:lang w:val="en-US" w:eastAsia="zh-CN"/>
              </w:rPr>
              <w:t>白羊草群落</w:t>
            </w:r>
          </w:p>
        </w:tc>
        <w:tc>
          <w:tcPr>
            <w:tcW w:w="2003" w:type="dxa"/>
            <w:tcBorders>
              <w:tl2br w:val="nil"/>
              <w:tr2bl w:val="nil"/>
            </w:tcBorders>
            <w:noWrap w:val="0"/>
            <w:vAlign w:val="center"/>
          </w:tcPr>
          <w:p w14:paraId="5F9B7984">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vertAlign w:val="baseline"/>
                <w:lang w:val="en-US" w:eastAsia="zh-CN"/>
              </w:rPr>
              <w:t>白羊草</w:t>
            </w:r>
            <w:r>
              <w:rPr>
                <w:rFonts w:hint="default" w:ascii="Times New Roman" w:hAnsi="Times New Roman" w:cs="Times New Roman" w:eastAsiaTheme="minorEastAsia"/>
                <w:i w:val="0"/>
                <w:iCs w:val="0"/>
                <w:color w:val="auto"/>
                <w:kern w:val="2"/>
                <w:sz w:val="21"/>
                <w:szCs w:val="21"/>
                <w:highlight w:val="none"/>
                <w:lang w:eastAsia="zh-CN"/>
              </w:rPr>
              <w:t>+</w:t>
            </w:r>
            <w:r>
              <w:rPr>
                <w:rFonts w:hint="default" w:ascii="Times New Roman" w:hAnsi="Times New Roman" w:cs="Times New Roman" w:eastAsiaTheme="minorEastAsia"/>
                <w:i w:val="0"/>
                <w:iCs w:val="0"/>
                <w:color w:val="auto"/>
                <w:kern w:val="2"/>
                <w:sz w:val="21"/>
                <w:szCs w:val="21"/>
                <w:highlight w:val="none"/>
                <w:lang w:val="en-US" w:eastAsia="zh-CN"/>
              </w:rPr>
              <w:t>腋花苋 </w:t>
            </w:r>
            <w:r>
              <w:rPr>
                <w:rFonts w:hint="default" w:ascii="Times New Roman" w:hAnsi="Times New Roman" w:cs="Times New Roman" w:eastAsiaTheme="minorEastAsia"/>
                <w:i w:val="0"/>
                <w:iCs w:val="0"/>
                <w:color w:val="auto"/>
                <w:sz w:val="21"/>
                <w:szCs w:val="21"/>
                <w:highlight w:val="none"/>
              </w:rPr>
              <w:t>群从</w:t>
            </w:r>
          </w:p>
        </w:tc>
        <w:tc>
          <w:tcPr>
            <w:tcW w:w="688" w:type="dxa"/>
            <w:tcBorders>
              <w:tl2br w:val="nil"/>
              <w:tr2bl w:val="nil"/>
            </w:tcBorders>
            <w:noWrap w:val="0"/>
            <w:vAlign w:val="center"/>
          </w:tcPr>
          <w:p w14:paraId="5FA6EB2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0A313EA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0356B0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62B1B06B">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rPr>
              <w:t>2</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308D8D9E">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106.53287406</w:t>
            </w:r>
            <w:r>
              <w:rPr>
                <w:rFonts w:hint="default" w:ascii="Times New Roman" w:hAnsi="Times New Roman" w:cs="Times New Roman" w:eastAsiaTheme="minorEastAsia"/>
                <w:i w:val="0"/>
                <w:iCs w:val="0"/>
                <w:color w:val="auto"/>
                <w:sz w:val="21"/>
                <w:szCs w:val="21"/>
                <w:highlight w:val="none"/>
                <w:lang w:val="en-US" w:eastAsia="zh-CN"/>
              </w:rPr>
              <w:t>°</w:t>
            </w:r>
          </w:p>
        </w:tc>
        <w:tc>
          <w:tcPr>
            <w:tcW w:w="1462" w:type="dxa"/>
            <w:tcBorders>
              <w:tl2br w:val="nil"/>
              <w:tr2bl w:val="nil"/>
            </w:tcBorders>
            <w:noWrap w:val="0"/>
            <w:vAlign w:val="center"/>
          </w:tcPr>
          <w:p w14:paraId="6DB4A1D1">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36.20648724</w:t>
            </w:r>
            <w:r>
              <w:rPr>
                <w:rFonts w:hint="default" w:ascii="Times New Roman" w:hAnsi="Times New Roman" w:cs="Times New Roman" w:eastAsiaTheme="minorEastAsia"/>
                <w:i w:val="0"/>
                <w:iCs w:val="0"/>
                <w:color w:val="auto"/>
                <w:sz w:val="21"/>
                <w:szCs w:val="21"/>
                <w:highlight w:val="none"/>
                <w:lang w:val="en-US" w:eastAsia="zh-CN"/>
              </w:rPr>
              <w:t>°</w:t>
            </w:r>
          </w:p>
        </w:tc>
        <w:tc>
          <w:tcPr>
            <w:tcW w:w="858" w:type="dxa"/>
            <w:tcBorders>
              <w:tl2br w:val="nil"/>
              <w:tr2bl w:val="nil"/>
            </w:tcBorders>
            <w:noWrap w:val="0"/>
            <w:vAlign w:val="center"/>
          </w:tcPr>
          <w:p w14:paraId="79F77894">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1863</w:t>
            </w:r>
          </w:p>
        </w:tc>
        <w:tc>
          <w:tcPr>
            <w:tcW w:w="1326" w:type="dxa"/>
            <w:tcBorders>
              <w:tl2br w:val="nil"/>
              <w:tr2bl w:val="nil"/>
            </w:tcBorders>
            <w:noWrap w:val="0"/>
            <w:vAlign w:val="center"/>
          </w:tcPr>
          <w:p w14:paraId="0361DDBB">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白羊草群落</w:t>
            </w:r>
          </w:p>
        </w:tc>
        <w:tc>
          <w:tcPr>
            <w:tcW w:w="2003" w:type="dxa"/>
            <w:tcBorders>
              <w:tl2br w:val="nil"/>
              <w:tr2bl w:val="nil"/>
            </w:tcBorders>
            <w:noWrap w:val="0"/>
            <w:vAlign w:val="center"/>
          </w:tcPr>
          <w:p w14:paraId="727C03C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白羊草</w:t>
            </w:r>
            <w:r>
              <w:rPr>
                <w:rFonts w:hint="default" w:ascii="Times New Roman" w:hAnsi="Times New Roman" w:cs="Times New Roman" w:eastAsiaTheme="minorEastAsia"/>
                <w:i w:val="0"/>
                <w:iCs w:val="0"/>
                <w:color w:val="auto"/>
                <w:kern w:val="2"/>
                <w:sz w:val="21"/>
                <w:szCs w:val="21"/>
                <w:highlight w:val="none"/>
                <w:lang w:eastAsia="zh-CN"/>
              </w:rPr>
              <w:t>+</w:t>
            </w:r>
            <w:r>
              <w:rPr>
                <w:rFonts w:hint="default" w:ascii="Times New Roman" w:hAnsi="Times New Roman" w:cs="Times New Roman" w:eastAsiaTheme="minorEastAsia"/>
                <w:i w:val="0"/>
                <w:iCs w:val="0"/>
                <w:color w:val="auto"/>
                <w:sz w:val="21"/>
                <w:szCs w:val="21"/>
                <w:highlight w:val="none"/>
                <w:lang w:val="en-US" w:eastAsia="zh-CN" w:bidi="ar-SA"/>
              </w:rPr>
              <w:t>京芒草</w:t>
            </w:r>
            <w:r>
              <w:rPr>
                <w:rFonts w:hint="default" w:ascii="Times New Roman" w:hAnsi="Times New Roman" w:cs="Times New Roman" w:eastAsiaTheme="minorEastAsia"/>
                <w:i w:val="0"/>
                <w:iCs w:val="0"/>
                <w:color w:val="auto"/>
                <w:kern w:val="2"/>
                <w:sz w:val="21"/>
                <w:szCs w:val="21"/>
                <w:highlight w:val="none"/>
                <w:lang w:eastAsia="zh-CN"/>
              </w:rPr>
              <w:t>+</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w:t>
            </w:r>
            <w:r>
              <w:rPr>
                <w:rFonts w:hint="default" w:ascii="Times New Roman" w:hAnsi="Times New Roman" w:cs="Times New Roman" w:eastAsiaTheme="minorEastAsia"/>
                <w:i w:val="0"/>
                <w:iCs w:val="0"/>
                <w:color w:val="auto"/>
                <w:sz w:val="21"/>
                <w:szCs w:val="21"/>
                <w:highlight w:val="none"/>
              </w:rPr>
              <w:t>群从</w:t>
            </w:r>
          </w:p>
        </w:tc>
        <w:tc>
          <w:tcPr>
            <w:tcW w:w="688" w:type="dxa"/>
            <w:tcBorders>
              <w:tl2br w:val="nil"/>
              <w:tr2bl w:val="nil"/>
            </w:tcBorders>
            <w:noWrap w:val="0"/>
            <w:vAlign w:val="center"/>
          </w:tcPr>
          <w:p w14:paraId="27A301A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8E1561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60A299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2B14E7F5">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rPr>
              <w:t>3</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2992FCB1">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106.53077760°</w:t>
            </w:r>
          </w:p>
        </w:tc>
        <w:tc>
          <w:tcPr>
            <w:tcW w:w="1462" w:type="dxa"/>
            <w:tcBorders>
              <w:tl2br w:val="nil"/>
              <w:tr2bl w:val="nil"/>
            </w:tcBorders>
            <w:noWrap w:val="0"/>
            <w:vAlign w:val="center"/>
          </w:tcPr>
          <w:p w14:paraId="296E3B11">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36.20677061°</w:t>
            </w:r>
          </w:p>
        </w:tc>
        <w:tc>
          <w:tcPr>
            <w:tcW w:w="858" w:type="dxa"/>
            <w:tcBorders>
              <w:tl2br w:val="nil"/>
              <w:tr2bl w:val="nil"/>
            </w:tcBorders>
            <w:noWrap w:val="0"/>
            <w:vAlign w:val="center"/>
          </w:tcPr>
          <w:p w14:paraId="3493DAD8">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1863</w:t>
            </w:r>
          </w:p>
        </w:tc>
        <w:tc>
          <w:tcPr>
            <w:tcW w:w="1326" w:type="dxa"/>
            <w:tcBorders>
              <w:tl2br w:val="nil"/>
              <w:tr2bl w:val="nil"/>
            </w:tcBorders>
            <w:noWrap w:val="0"/>
            <w:vAlign w:val="center"/>
          </w:tcPr>
          <w:p w14:paraId="7C30D752">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白羊草群落</w:t>
            </w:r>
          </w:p>
        </w:tc>
        <w:tc>
          <w:tcPr>
            <w:tcW w:w="2003" w:type="dxa"/>
            <w:tcBorders>
              <w:tl2br w:val="nil"/>
              <w:tr2bl w:val="nil"/>
            </w:tcBorders>
            <w:noWrap w:val="0"/>
            <w:vAlign w:val="center"/>
          </w:tcPr>
          <w:p w14:paraId="772F378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白羊草</w:t>
            </w:r>
            <w:r>
              <w:rPr>
                <w:rFonts w:hint="default" w:ascii="Times New Roman" w:hAnsi="Times New Roman" w:cs="Times New Roman" w:eastAsiaTheme="minorEastAsia"/>
                <w:i w:val="0"/>
                <w:iCs w:val="0"/>
                <w:color w:val="auto"/>
                <w:kern w:val="2"/>
                <w:sz w:val="21"/>
                <w:szCs w:val="21"/>
                <w:highlight w:val="none"/>
                <w:lang w:eastAsia="zh-CN"/>
              </w:rPr>
              <w:t>+</w:t>
            </w:r>
            <w:r>
              <w:rPr>
                <w:rFonts w:hint="default" w:ascii="Times New Roman" w:hAnsi="Times New Roman" w:cs="Times New Roman" w:eastAsiaTheme="minorEastAsia"/>
                <w:i w:val="0"/>
                <w:iCs w:val="0"/>
                <w:color w:val="auto"/>
                <w:sz w:val="21"/>
                <w:szCs w:val="21"/>
                <w:highlight w:val="none"/>
                <w:lang w:val="en-US" w:eastAsia="zh-CN" w:bidi="ar-SA"/>
              </w:rPr>
              <w:t>京芒草</w:t>
            </w:r>
            <w:r>
              <w:rPr>
                <w:rFonts w:hint="default" w:ascii="Times New Roman" w:hAnsi="Times New Roman" w:cs="Times New Roman" w:eastAsiaTheme="minorEastAsia"/>
                <w:i w:val="0"/>
                <w:iCs w:val="0"/>
                <w:color w:val="auto"/>
                <w:sz w:val="21"/>
                <w:szCs w:val="21"/>
                <w:highlight w:val="none"/>
              </w:rPr>
              <w:t>群从</w:t>
            </w:r>
          </w:p>
        </w:tc>
        <w:tc>
          <w:tcPr>
            <w:tcW w:w="688" w:type="dxa"/>
            <w:tcBorders>
              <w:tl2br w:val="nil"/>
              <w:tr2bl w:val="nil"/>
            </w:tcBorders>
            <w:noWrap w:val="0"/>
            <w:vAlign w:val="center"/>
          </w:tcPr>
          <w:p w14:paraId="06FE949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2AF782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29A8AB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59A6AD99">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rPr>
              <w:t>4</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3ADDC324">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106.52347367</w:t>
            </w:r>
            <w:r>
              <w:rPr>
                <w:rFonts w:hint="default" w:ascii="Times New Roman" w:hAnsi="Times New Roman" w:cs="Times New Roman" w:eastAsiaTheme="minorEastAsia"/>
                <w:i w:val="0"/>
                <w:iCs w:val="0"/>
                <w:color w:val="auto"/>
                <w:sz w:val="21"/>
                <w:szCs w:val="21"/>
                <w:highlight w:val="none"/>
                <w:lang w:val="en-US" w:eastAsia="zh-CN"/>
              </w:rPr>
              <w:t>°</w:t>
            </w:r>
          </w:p>
        </w:tc>
        <w:tc>
          <w:tcPr>
            <w:tcW w:w="1462" w:type="dxa"/>
            <w:tcBorders>
              <w:tl2br w:val="nil"/>
              <w:tr2bl w:val="nil"/>
            </w:tcBorders>
            <w:noWrap w:val="0"/>
            <w:vAlign w:val="center"/>
          </w:tcPr>
          <w:p w14:paraId="07E0ECFF">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36.17428515</w:t>
            </w:r>
            <w:r>
              <w:rPr>
                <w:rFonts w:hint="default" w:ascii="Times New Roman" w:hAnsi="Times New Roman" w:cs="Times New Roman" w:eastAsiaTheme="minorEastAsia"/>
                <w:i w:val="0"/>
                <w:iCs w:val="0"/>
                <w:color w:val="auto"/>
                <w:sz w:val="21"/>
                <w:szCs w:val="21"/>
                <w:highlight w:val="none"/>
                <w:lang w:val="en-US" w:eastAsia="zh-CN"/>
              </w:rPr>
              <w:t>°</w:t>
            </w:r>
          </w:p>
        </w:tc>
        <w:tc>
          <w:tcPr>
            <w:tcW w:w="858" w:type="dxa"/>
            <w:tcBorders>
              <w:tl2br w:val="nil"/>
              <w:tr2bl w:val="nil"/>
            </w:tcBorders>
            <w:noWrap w:val="0"/>
            <w:vAlign w:val="center"/>
          </w:tcPr>
          <w:p w14:paraId="0A030B4B">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1835</w:t>
            </w:r>
          </w:p>
        </w:tc>
        <w:tc>
          <w:tcPr>
            <w:tcW w:w="1326" w:type="dxa"/>
            <w:tcBorders>
              <w:tl2br w:val="nil"/>
              <w:tr2bl w:val="nil"/>
            </w:tcBorders>
            <w:noWrap w:val="0"/>
            <w:vAlign w:val="center"/>
          </w:tcPr>
          <w:p w14:paraId="4C963361">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展毛地椒群落</w:t>
            </w:r>
          </w:p>
        </w:tc>
        <w:tc>
          <w:tcPr>
            <w:tcW w:w="2003" w:type="dxa"/>
            <w:tcBorders>
              <w:tl2br w:val="nil"/>
              <w:tr2bl w:val="nil"/>
            </w:tcBorders>
            <w:noWrap w:val="0"/>
            <w:vAlign w:val="center"/>
          </w:tcPr>
          <w:p w14:paraId="77479E11">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vertAlign w:val="baseline"/>
                <w:lang w:val="en-US" w:eastAsia="zh-CN"/>
              </w:rPr>
              <w:t>展毛地椒</w:t>
            </w:r>
            <w:r>
              <w:rPr>
                <w:rFonts w:hint="default" w:ascii="Times New Roman" w:hAnsi="Times New Roman" w:cs="Times New Roman" w:eastAsiaTheme="minorEastAsia"/>
                <w:i w:val="0"/>
                <w:iCs w:val="0"/>
                <w:color w:val="auto"/>
                <w:sz w:val="21"/>
                <w:szCs w:val="21"/>
                <w:highlight w:val="none"/>
              </w:rPr>
              <w:t>群从</w:t>
            </w:r>
          </w:p>
        </w:tc>
        <w:tc>
          <w:tcPr>
            <w:tcW w:w="688" w:type="dxa"/>
            <w:tcBorders>
              <w:tl2br w:val="nil"/>
              <w:tr2bl w:val="nil"/>
            </w:tcBorders>
            <w:noWrap w:val="0"/>
            <w:vAlign w:val="center"/>
          </w:tcPr>
          <w:p w14:paraId="355D709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5FB4725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453D49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386E129D">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rPr>
              <w:t>5</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070C6D06">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106.52441491</w:t>
            </w:r>
          </w:p>
        </w:tc>
        <w:tc>
          <w:tcPr>
            <w:tcW w:w="1462" w:type="dxa"/>
            <w:tcBorders>
              <w:tl2br w:val="nil"/>
              <w:tr2bl w:val="nil"/>
            </w:tcBorders>
            <w:noWrap w:val="0"/>
            <w:vAlign w:val="center"/>
          </w:tcPr>
          <w:p w14:paraId="1F9B1468">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36.17324257</w:t>
            </w:r>
          </w:p>
        </w:tc>
        <w:tc>
          <w:tcPr>
            <w:tcW w:w="858" w:type="dxa"/>
            <w:tcBorders>
              <w:tl2br w:val="nil"/>
              <w:tr2bl w:val="nil"/>
            </w:tcBorders>
            <w:noWrap w:val="0"/>
            <w:vAlign w:val="center"/>
          </w:tcPr>
          <w:p w14:paraId="31575CEC">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1834</w:t>
            </w:r>
          </w:p>
        </w:tc>
        <w:tc>
          <w:tcPr>
            <w:tcW w:w="1326" w:type="dxa"/>
            <w:tcBorders>
              <w:tl2br w:val="nil"/>
              <w:tr2bl w:val="nil"/>
            </w:tcBorders>
            <w:noWrap w:val="0"/>
            <w:vAlign w:val="center"/>
          </w:tcPr>
          <w:p w14:paraId="6B6CFDC2">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展毛地椒群落</w:t>
            </w:r>
          </w:p>
        </w:tc>
        <w:tc>
          <w:tcPr>
            <w:tcW w:w="2003" w:type="dxa"/>
            <w:tcBorders>
              <w:tl2br w:val="nil"/>
              <w:tr2bl w:val="nil"/>
            </w:tcBorders>
            <w:noWrap w:val="0"/>
            <w:vAlign w:val="center"/>
          </w:tcPr>
          <w:p w14:paraId="5BF8F9F2">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vertAlign w:val="baseline"/>
                <w:lang w:val="en-US" w:eastAsia="zh-CN"/>
              </w:rPr>
              <w:t>展毛地椒</w:t>
            </w:r>
            <w:r>
              <w:rPr>
                <w:rFonts w:hint="default" w:ascii="Times New Roman" w:hAnsi="Times New Roman" w:cs="Times New Roman" w:eastAsiaTheme="minorEastAsia"/>
                <w:i w:val="0"/>
                <w:iCs w:val="0"/>
                <w:color w:val="auto"/>
                <w:sz w:val="21"/>
                <w:szCs w:val="21"/>
                <w:highlight w:val="none"/>
              </w:rPr>
              <w:t>群从</w:t>
            </w:r>
          </w:p>
        </w:tc>
        <w:tc>
          <w:tcPr>
            <w:tcW w:w="688" w:type="dxa"/>
            <w:tcBorders>
              <w:tl2br w:val="nil"/>
              <w:tr2bl w:val="nil"/>
            </w:tcBorders>
            <w:noWrap w:val="0"/>
            <w:vAlign w:val="center"/>
          </w:tcPr>
          <w:p w14:paraId="0EE5FB4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FD5E61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226AE5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6CAF223F">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rPr>
              <w:t>6</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21C7FF4F">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106.52351654</w:t>
            </w:r>
            <w:r>
              <w:rPr>
                <w:rFonts w:hint="default" w:ascii="Times New Roman" w:hAnsi="Times New Roman" w:cs="Times New Roman" w:eastAsiaTheme="minorEastAsia"/>
                <w:i w:val="0"/>
                <w:iCs w:val="0"/>
                <w:color w:val="auto"/>
                <w:sz w:val="21"/>
                <w:szCs w:val="21"/>
                <w:highlight w:val="none"/>
                <w:lang w:val="en-US" w:eastAsia="zh-CN"/>
              </w:rPr>
              <w:t>°</w:t>
            </w:r>
          </w:p>
        </w:tc>
        <w:tc>
          <w:tcPr>
            <w:tcW w:w="1462" w:type="dxa"/>
            <w:tcBorders>
              <w:tl2br w:val="nil"/>
              <w:tr2bl w:val="nil"/>
            </w:tcBorders>
            <w:noWrap w:val="0"/>
            <w:vAlign w:val="center"/>
          </w:tcPr>
          <w:p w14:paraId="43F9C238">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36.17539425</w:t>
            </w:r>
            <w:r>
              <w:rPr>
                <w:rFonts w:hint="default" w:ascii="Times New Roman" w:hAnsi="Times New Roman" w:cs="Times New Roman" w:eastAsiaTheme="minorEastAsia"/>
                <w:i w:val="0"/>
                <w:iCs w:val="0"/>
                <w:color w:val="auto"/>
                <w:sz w:val="21"/>
                <w:szCs w:val="21"/>
                <w:highlight w:val="none"/>
                <w:lang w:val="en-US" w:eastAsia="zh-CN"/>
              </w:rPr>
              <w:t>°</w:t>
            </w:r>
          </w:p>
        </w:tc>
        <w:tc>
          <w:tcPr>
            <w:tcW w:w="858" w:type="dxa"/>
            <w:tcBorders>
              <w:tl2br w:val="nil"/>
              <w:tr2bl w:val="nil"/>
            </w:tcBorders>
            <w:noWrap w:val="0"/>
            <w:vAlign w:val="center"/>
          </w:tcPr>
          <w:p w14:paraId="52B2CC30">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1834</w:t>
            </w:r>
          </w:p>
        </w:tc>
        <w:tc>
          <w:tcPr>
            <w:tcW w:w="1326" w:type="dxa"/>
            <w:tcBorders>
              <w:tl2br w:val="nil"/>
              <w:tr2bl w:val="nil"/>
            </w:tcBorders>
            <w:noWrap w:val="0"/>
            <w:vAlign w:val="center"/>
          </w:tcPr>
          <w:p w14:paraId="78748868">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b w:val="0"/>
                <w:bCs w:val="0"/>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展毛地椒</w:t>
            </w:r>
            <w:r>
              <w:rPr>
                <w:rFonts w:hint="default" w:ascii="Times New Roman" w:hAnsi="Times New Roman" w:cs="Times New Roman" w:eastAsiaTheme="minorEastAsia"/>
                <w:b w:val="0"/>
                <w:bCs w:val="0"/>
                <w:i w:val="0"/>
                <w:iCs w:val="0"/>
                <w:color w:val="auto"/>
                <w:sz w:val="21"/>
                <w:szCs w:val="21"/>
                <w:highlight w:val="none"/>
              </w:rPr>
              <w:t>群</w:t>
            </w:r>
            <w:r>
              <w:rPr>
                <w:rFonts w:hint="default" w:ascii="Times New Roman" w:hAnsi="Times New Roman" w:cs="Times New Roman" w:eastAsiaTheme="minorEastAsia"/>
                <w:b w:val="0"/>
                <w:bCs w:val="0"/>
                <w:i w:val="0"/>
                <w:iCs w:val="0"/>
                <w:color w:val="auto"/>
                <w:sz w:val="21"/>
                <w:szCs w:val="21"/>
                <w:highlight w:val="none"/>
                <w:lang w:val="en-US" w:eastAsia="zh-CN"/>
              </w:rPr>
              <w:t>落</w:t>
            </w:r>
          </w:p>
        </w:tc>
        <w:tc>
          <w:tcPr>
            <w:tcW w:w="2003" w:type="dxa"/>
            <w:tcBorders>
              <w:tl2br w:val="nil"/>
              <w:tr2bl w:val="nil"/>
            </w:tcBorders>
            <w:noWrap w:val="0"/>
            <w:vAlign w:val="center"/>
          </w:tcPr>
          <w:p w14:paraId="0D453BDB">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vertAlign w:val="baseline"/>
                <w:lang w:val="en-US" w:eastAsia="zh-CN"/>
              </w:rPr>
              <w:t>展毛地椒</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0E90F47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D9CD7DE">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5C2A5F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2937B5A0">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rPr>
              <w:t>7</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70F78C23">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106.49971375</w:t>
            </w:r>
            <w:r>
              <w:rPr>
                <w:rFonts w:hint="default" w:ascii="Times New Roman" w:hAnsi="Times New Roman" w:cs="Times New Roman" w:eastAsiaTheme="minorEastAsia"/>
                <w:i w:val="0"/>
                <w:iCs w:val="0"/>
                <w:color w:val="auto"/>
                <w:sz w:val="21"/>
                <w:szCs w:val="21"/>
                <w:highlight w:val="none"/>
                <w:lang w:val="en-US" w:eastAsia="zh-CN"/>
              </w:rPr>
              <w:t>°</w:t>
            </w:r>
          </w:p>
        </w:tc>
        <w:tc>
          <w:tcPr>
            <w:tcW w:w="1462" w:type="dxa"/>
            <w:tcBorders>
              <w:tl2br w:val="nil"/>
              <w:tr2bl w:val="nil"/>
            </w:tcBorders>
            <w:noWrap w:val="0"/>
            <w:vAlign w:val="center"/>
          </w:tcPr>
          <w:p w14:paraId="2D25D74D">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36.10173973</w:t>
            </w:r>
            <w:r>
              <w:rPr>
                <w:rFonts w:hint="default" w:ascii="Times New Roman" w:hAnsi="Times New Roman" w:cs="Times New Roman" w:eastAsiaTheme="minorEastAsia"/>
                <w:i w:val="0"/>
                <w:iCs w:val="0"/>
                <w:color w:val="auto"/>
                <w:sz w:val="21"/>
                <w:szCs w:val="21"/>
                <w:highlight w:val="none"/>
                <w:lang w:val="en-US" w:eastAsia="zh-CN"/>
              </w:rPr>
              <w:t>°</w:t>
            </w:r>
          </w:p>
        </w:tc>
        <w:tc>
          <w:tcPr>
            <w:tcW w:w="858" w:type="dxa"/>
            <w:tcBorders>
              <w:tl2br w:val="nil"/>
              <w:tr2bl w:val="nil"/>
            </w:tcBorders>
            <w:noWrap w:val="0"/>
            <w:vAlign w:val="center"/>
          </w:tcPr>
          <w:p w14:paraId="417D6942">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1653</w:t>
            </w:r>
          </w:p>
        </w:tc>
        <w:tc>
          <w:tcPr>
            <w:tcW w:w="1326" w:type="dxa"/>
            <w:tcBorders>
              <w:tl2br w:val="nil"/>
              <w:tr2bl w:val="nil"/>
            </w:tcBorders>
            <w:noWrap w:val="0"/>
            <w:vAlign w:val="center"/>
          </w:tcPr>
          <w:p w14:paraId="22167F93">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b w:val="0"/>
                <w:bCs w:val="0"/>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拂子茅</w:t>
            </w:r>
            <w:r>
              <w:rPr>
                <w:rFonts w:hint="default" w:ascii="Times New Roman" w:hAnsi="Times New Roman" w:cs="Times New Roman" w:eastAsiaTheme="minorEastAsia"/>
                <w:b w:val="0"/>
                <w:bCs w:val="0"/>
                <w:i w:val="0"/>
                <w:iCs w:val="0"/>
                <w:color w:val="auto"/>
                <w:sz w:val="21"/>
                <w:szCs w:val="21"/>
                <w:highlight w:val="none"/>
              </w:rPr>
              <w:t>群</w:t>
            </w:r>
            <w:r>
              <w:rPr>
                <w:rFonts w:hint="default" w:ascii="Times New Roman" w:hAnsi="Times New Roman" w:cs="Times New Roman" w:eastAsiaTheme="minorEastAsia"/>
                <w:b w:val="0"/>
                <w:bCs w:val="0"/>
                <w:i w:val="0"/>
                <w:iCs w:val="0"/>
                <w:color w:val="auto"/>
                <w:sz w:val="21"/>
                <w:szCs w:val="21"/>
                <w:highlight w:val="none"/>
                <w:lang w:val="en-US" w:eastAsia="zh-CN"/>
              </w:rPr>
              <w:t>落</w:t>
            </w:r>
          </w:p>
        </w:tc>
        <w:tc>
          <w:tcPr>
            <w:tcW w:w="2003" w:type="dxa"/>
            <w:tcBorders>
              <w:tl2br w:val="nil"/>
              <w:tr2bl w:val="nil"/>
            </w:tcBorders>
            <w:noWrap w:val="0"/>
            <w:vAlign w:val="center"/>
          </w:tcPr>
          <w:p w14:paraId="130145FC">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vertAlign w:val="baseline"/>
                <w:lang w:val="en-US" w:eastAsia="zh-CN"/>
              </w:rPr>
              <w:t>拂子茅</w:t>
            </w:r>
            <w:r>
              <w:rPr>
                <w:rFonts w:hint="default" w:ascii="Times New Roman" w:hAnsi="Times New Roman" w:cs="Times New Roman" w:eastAsiaTheme="minorEastAsia"/>
                <w:i w:val="0"/>
                <w:iCs w:val="0"/>
                <w:color w:val="auto"/>
                <w:sz w:val="21"/>
                <w:szCs w:val="21"/>
                <w:highlight w:val="none"/>
                <w:lang w:val="en-US" w:eastAsia="zh-CN"/>
              </w:rPr>
              <w:t>+</w:t>
            </w:r>
            <w:r>
              <w:rPr>
                <w:rFonts w:hint="default" w:ascii="Times New Roman" w:hAnsi="Times New Roman" w:cs="Times New Roman" w:eastAsiaTheme="minorEastAsia"/>
                <w:i w:val="0"/>
                <w:iCs w:val="0"/>
                <w:color w:val="auto"/>
                <w:sz w:val="21"/>
                <w:szCs w:val="21"/>
                <w:highlight w:val="none"/>
                <w:lang w:val="en-US" w:eastAsia="zh-CN" w:bidi="ar-SA"/>
              </w:rPr>
              <w:t>沙蒿</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3735D6C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03CBCB3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0037B4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2EC14EF6">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rPr>
              <w:t>8</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20AF0B0C">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106.49928578</w:t>
            </w:r>
          </w:p>
        </w:tc>
        <w:tc>
          <w:tcPr>
            <w:tcW w:w="1462" w:type="dxa"/>
            <w:tcBorders>
              <w:tl2br w:val="nil"/>
              <w:tr2bl w:val="nil"/>
            </w:tcBorders>
            <w:noWrap w:val="0"/>
            <w:vAlign w:val="center"/>
          </w:tcPr>
          <w:p w14:paraId="378DE511">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36.10983248</w:t>
            </w:r>
          </w:p>
        </w:tc>
        <w:tc>
          <w:tcPr>
            <w:tcW w:w="858" w:type="dxa"/>
            <w:tcBorders>
              <w:tl2br w:val="nil"/>
              <w:tr2bl w:val="nil"/>
            </w:tcBorders>
            <w:noWrap w:val="0"/>
            <w:vAlign w:val="center"/>
          </w:tcPr>
          <w:p w14:paraId="60F5FAB2">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1653</w:t>
            </w:r>
          </w:p>
        </w:tc>
        <w:tc>
          <w:tcPr>
            <w:tcW w:w="1326" w:type="dxa"/>
            <w:tcBorders>
              <w:tl2br w:val="nil"/>
              <w:tr2bl w:val="nil"/>
            </w:tcBorders>
            <w:noWrap w:val="0"/>
            <w:vAlign w:val="center"/>
          </w:tcPr>
          <w:p w14:paraId="4F924E16">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拂子茅</w:t>
            </w:r>
            <w:r>
              <w:rPr>
                <w:rFonts w:hint="default" w:ascii="Times New Roman" w:hAnsi="Times New Roman" w:cs="Times New Roman" w:eastAsiaTheme="minorEastAsia"/>
                <w:i w:val="0"/>
                <w:iCs w:val="0"/>
                <w:color w:val="auto"/>
                <w:sz w:val="21"/>
                <w:szCs w:val="21"/>
                <w:highlight w:val="none"/>
              </w:rPr>
              <w:t>群</w:t>
            </w:r>
            <w:r>
              <w:rPr>
                <w:rFonts w:hint="default" w:ascii="Times New Roman" w:hAnsi="Times New Roman" w:cs="Times New Roman" w:eastAsiaTheme="minorEastAsia"/>
                <w:b w:val="0"/>
                <w:bCs w:val="0"/>
                <w:i w:val="0"/>
                <w:iCs w:val="0"/>
                <w:color w:val="auto"/>
                <w:sz w:val="21"/>
                <w:szCs w:val="21"/>
                <w:highlight w:val="none"/>
                <w:lang w:val="en-US" w:eastAsia="zh-CN"/>
              </w:rPr>
              <w:t>落</w:t>
            </w:r>
          </w:p>
        </w:tc>
        <w:tc>
          <w:tcPr>
            <w:tcW w:w="2003" w:type="dxa"/>
            <w:tcBorders>
              <w:tl2br w:val="nil"/>
              <w:tr2bl w:val="nil"/>
            </w:tcBorders>
            <w:noWrap w:val="0"/>
            <w:vAlign w:val="center"/>
          </w:tcPr>
          <w:p w14:paraId="398F08A7">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vertAlign w:val="baseline"/>
                <w:lang w:val="en-US" w:eastAsia="zh-CN"/>
              </w:rPr>
              <w:t>拂子茅</w:t>
            </w:r>
            <w:r>
              <w:rPr>
                <w:rFonts w:hint="default" w:ascii="Times New Roman" w:hAnsi="Times New Roman" w:cs="Times New Roman" w:eastAsiaTheme="minorEastAsia"/>
                <w:i w:val="0"/>
                <w:iCs w:val="0"/>
                <w:color w:val="auto"/>
                <w:sz w:val="21"/>
                <w:szCs w:val="21"/>
                <w:highlight w:val="none"/>
                <w:lang w:val="en-US" w:eastAsia="zh-CN"/>
              </w:rPr>
              <w:t>+</w:t>
            </w:r>
            <w:r>
              <w:rPr>
                <w:rFonts w:hint="default" w:ascii="Times New Roman" w:hAnsi="Times New Roman" w:cs="Times New Roman" w:eastAsiaTheme="minorEastAsia"/>
                <w:i w:val="0"/>
                <w:iCs w:val="0"/>
                <w:color w:val="auto"/>
                <w:sz w:val="21"/>
                <w:szCs w:val="21"/>
                <w:highlight w:val="none"/>
                <w:lang w:val="en-US" w:eastAsia="zh-CN" w:bidi="ar-SA"/>
              </w:rPr>
              <w:t>沙蒿</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4FA7014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5086A8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008907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5B44F37C">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rPr>
              <w:t>9</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51316D4E">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106.49753199</w:t>
            </w:r>
            <w:r>
              <w:rPr>
                <w:rFonts w:hint="default" w:ascii="Times New Roman" w:hAnsi="Times New Roman" w:cs="Times New Roman" w:eastAsiaTheme="minorEastAsia"/>
                <w:i w:val="0"/>
                <w:iCs w:val="0"/>
                <w:color w:val="auto"/>
                <w:sz w:val="21"/>
                <w:szCs w:val="21"/>
                <w:highlight w:val="none"/>
                <w:lang w:val="en-US" w:eastAsia="zh-CN"/>
              </w:rPr>
              <w:t>°</w:t>
            </w:r>
          </w:p>
        </w:tc>
        <w:tc>
          <w:tcPr>
            <w:tcW w:w="1462" w:type="dxa"/>
            <w:tcBorders>
              <w:tl2br w:val="nil"/>
              <w:tr2bl w:val="nil"/>
            </w:tcBorders>
            <w:noWrap w:val="0"/>
            <w:vAlign w:val="center"/>
          </w:tcPr>
          <w:p w14:paraId="32F52494">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36.10358512</w:t>
            </w:r>
            <w:r>
              <w:rPr>
                <w:rFonts w:hint="default" w:ascii="Times New Roman" w:hAnsi="Times New Roman" w:cs="Times New Roman" w:eastAsiaTheme="minorEastAsia"/>
                <w:i w:val="0"/>
                <w:iCs w:val="0"/>
                <w:color w:val="auto"/>
                <w:sz w:val="21"/>
                <w:szCs w:val="21"/>
                <w:highlight w:val="none"/>
                <w:lang w:val="en-US" w:eastAsia="zh-CN"/>
              </w:rPr>
              <w:t>°</w:t>
            </w:r>
          </w:p>
        </w:tc>
        <w:tc>
          <w:tcPr>
            <w:tcW w:w="858" w:type="dxa"/>
            <w:tcBorders>
              <w:tl2br w:val="nil"/>
              <w:tr2bl w:val="nil"/>
            </w:tcBorders>
            <w:noWrap w:val="0"/>
            <w:vAlign w:val="center"/>
          </w:tcPr>
          <w:p w14:paraId="4AABD60B">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1653</w:t>
            </w:r>
          </w:p>
        </w:tc>
        <w:tc>
          <w:tcPr>
            <w:tcW w:w="1326" w:type="dxa"/>
            <w:tcBorders>
              <w:tl2br w:val="nil"/>
              <w:tr2bl w:val="nil"/>
            </w:tcBorders>
            <w:noWrap w:val="0"/>
            <w:vAlign w:val="center"/>
          </w:tcPr>
          <w:p w14:paraId="360EFE28">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拂子茅</w:t>
            </w:r>
            <w:r>
              <w:rPr>
                <w:rFonts w:hint="default" w:ascii="Times New Roman" w:hAnsi="Times New Roman" w:cs="Times New Roman" w:eastAsiaTheme="minorEastAsia"/>
                <w:i w:val="0"/>
                <w:iCs w:val="0"/>
                <w:color w:val="auto"/>
                <w:sz w:val="21"/>
                <w:szCs w:val="21"/>
                <w:highlight w:val="none"/>
              </w:rPr>
              <w:t>群</w:t>
            </w:r>
            <w:r>
              <w:rPr>
                <w:rFonts w:hint="default" w:ascii="Times New Roman" w:hAnsi="Times New Roman" w:cs="Times New Roman" w:eastAsiaTheme="minorEastAsia"/>
                <w:b w:val="0"/>
                <w:bCs w:val="0"/>
                <w:i w:val="0"/>
                <w:iCs w:val="0"/>
                <w:color w:val="auto"/>
                <w:sz w:val="21"/>
                <w:szCs w:val="21"/>
                <w:highlight w:val="none"/>
                <w:lang w:val="en-US" w:eastAsia="zh-CN"/>
              </w:rPr>
              <w:t>落</w:t>
            </w:r>
          </w:p>
        </w:tc>
        <w:tc>
          <w:tcPr>
            <w:tcW w:w="2003" w:type="dxa"/>
            <w:tcBorders>
              <w:tl2br w:val="nil"/>
              <w:tr2bl w:val="nil"/>
            </w:tcBorders>
            <w:noWrap w:val="0"/>
            <w:vAlign w:val="center"/>
          </w:tcPr>
          <w:p w14:paraId="706F8BD8">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vertAlign w:val="baseline"/>
                <w:lang w:val="en-US" w:eastAsia="zh-CN"/>
              </w:rPr>
              <w:t>拂子茅</w:t>
            </w:r>
            <w:r>
              <w:rPr>
                <w:rFonts w:hint="default" w:ascii="Times New Roman" w:hAnsi="Times New Roman" w:cs="Times New Roman" w:eastAsiaTheme="minorEastAsia"/>
                <w:i w:val="0"/>
                <w:iCs w:val="0"/>
                <w:color w:val="auto"/>
                <w:sz w:val="21"/>
                <w:szCs w:val="21"/>
                <w:highlight w:val="none"/>
                <w:lang w:val="en-US" w:eastAsia="zh-CN"/>
              </w:rPr>
              <w:t>+</w:t>
            </w:r>
            <w:r>
              <w:rPr>
                <w:rFonts w:hint="default" w:ascii="Times New Roman" w:hAnsi="Times New Roman" w:cs="Times New Roman" w:eastAsiaTheme="minorEastAsia"/>
                <w:i w:val="0"/>
                <w:iCs w:val="0"/>
                <w:color w:val="auto"/>
                <w:sz w:val="21"/>
                <w:szCs w:val="21"/>
                <w:highlight w:val="none"/>
                <w:lang w:val="en-US" w:eastAsia="zh-CN" w:bidi="ar-SA"/>
              </w:rPr>
              <w:t>沙蒿</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02A7E4E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347A6C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7DE5AD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45D42A51">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rPr>
              <w:t>10</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016DB26D">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106.49054730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19018B1A">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36.10297518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5997C4D1">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1654</w:t>
            </w:r>
          </w:p>
        </w:tc>
        <w:tc>
          <w:tcPr>
            <w:tcW w:w="1326" w:type="dxa"/>
            <w:tcBorders>
              <w:tl2br w:val="nil"/>
              <w:tr2bl w:val="nil"/>
            </w:tcBorders>
            <w:noWrap w:val="0"/>
            <w:vAlign w:val="center"/>
          </w:tcPr>
          <w:p w14:paraId="5E08ED39">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胡枝子</w:t>
            </w:r>
            <w:r>
              <w:rPr>
                <w:rFonts w:hint="default" w:ascii="Times New Roman" w:hAnsi="Times New Roman" w:cs="Times New Roman" w:eastAsiaTheme="minorEastAsia"/>
                <w:i w:val="0"/>
                <w:iCs w:val="0"/>
                <w:color w:val="auto"/>
                <w:sz w:val="21"/>
                <w:szCs w:val="21"/>
                <w:highlight w:val="none"/>
              </w:rPr>
              <w:t>群</w:t>
            </w:r>
            <w:r>
              <w:rPr>
                <w:rFonts w:hint="default" w:ascii="Times New Roman" w:hAnsi="Times New Roman" w:cs="Times New Roman" w:eastAsiaTheme="minorEastAsia"/>
                <w:b w:val="0"/>
                <w:bCs w:val="0"/>
                <w:i w:val="0"/>
                <w:iCs w:val="0"/>
                <w:color w:val="auto"/>
                <w:sz w:val="21"/>
                <w:szCs w:val="21"/>
                <w:highlight w:val="none"/>
                <w:lang w:val="en-US" w:eastAsia="zh-CN"/>
              </w:rPr>
              <w:t>落</w:t>
            </w:r>
          </w:p>
        </w:tc>
        <w:tc>
          <w:tcPr>
            <w:tcW w:w="2003" w:type="dxa"/>
            <w:tcBorders>
              <w:tl2br w:val="nil"/>
              <w:tr2bl w:val="nil"/>
            </w:tcBorders>
            <w:noWrap w:val="0"/>
            <w:vAlign w:val="center"/>
          </w:tcPr>
          <w:p w14:paraId="45AB862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胡枝子</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6046150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E8F195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355451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139" w:hRule="atLeast"/>
          <w:jc w:val="center"/>
        </w:trPr>
        <w:tc>
          <w:tcPr>
            <w:tcW w:w="474" w:type="dxa"/>
            <w:tcBorders>
              <w:tl2br w:val="nil"/>
              <w:tr2bl w:val="nil"/>
            </w:tcBorders>
            <w:noWrap w:val="0"/>
            <w:vAlign w:val="center"/>
          </w:tcPr>
          <w:p w14:paraId="267560FB">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lang w:eastAsia="zh-CN"/>
              </w:rPr>
              <w:t>11</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3A2433EE">
            <w:pPr>
              <w:adjustRightInd w:val="0"/>
              <w:snapToGrid w:val="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106.49992702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3FC7061F">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36.10365371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2C7F7BA6">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1653</w:t>
            </w:r>
          </w:p>
        </w:tc>
        <w:tc>
          <w:tcPr>
            <w:tcW w:w="1326" w:type="dxa"/>
            <w:tcBorders>
              <w:tl2br w:val="nil"/>
              <w:tr2bl w:val="nil"/>
            </w:tcBorders>
            <w:noWrap w:val="0"/>
            <w:vAlign w:val="center"/>
          </w:tcPr>
          <w:p w14:paraId="1520E6BC">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胡枝子</w:t>
            </w:r>
            <w:r>
              <w:rPr>
                <w:rFonts w:hint="default" w:ascii="Times New Roman" w:hAnsi="Times New Roman" w:cs="Times New Roman" w:eastAsiaTheme="minorEastAsia"/>
                <w:i w:val="0"/>
                <w:iCs w:val="0"/>
                <w:color w:val="auto"/>
                <w:sz w:val="21"/>
                <w:szCs w:val="21"/>
                <w:highlight w:val="none"/>
              </w:rPr>
              <w:t>群</w:t>
            </w:r>
            <w:r>
              <w:rPr>
                <w:rFonts w:hint="default" w:ascii="Times New Roman" w:hAnsi="Times New Roman" w:cs="Times New Roman" w:eastAsiaTheme="minorEastAsia"/>
                <w:b w:val="0"/>
                <w:bCs w:val="0"/>
                <w:i w:val="0"/>
                <w:iCs w:val="0"/>
                <w:color w:val="auto"/>
                <w:sz w:val="21"/>
                <w:szCs w:val="21"/>
                <w:highlight w:val="none"/>
                <w:lang w:val="en-US" w:eastAsia="zh-CN"/>
              </w:rPr>
              <w:t>落</w:t>
            </w:r>
          </w:p>
        </w:tc>
        <w:tc>
          <w:tcPr>
            <w:tcW w:w="2003" w:type="dxa"/>
            <w:tcBorders>
              <w:tl2br w:val="nil"/>
              <w:tr2bl w:val="nil"/>
            </w:tcBorders>
            <w:noWrap w:val="0"/>
            <w:vAlign w:val="center"/>
          </w:tcPr>
          <w:p w14:paraId="521EEAA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kern w:val="0"/>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胡枝子</w:t>
            </w:r>
            <w:r>
              <w:rPr>
                <w:rFonts w:hint="default" w:ascii="Times New Roman" w:hAnsi="Times New Roman" w:cs="Times New Roman" w:eastAsiaTheme="minorEastAsia"/>
                <w:i w:val="0"/>
                <w:iCs w:val="0"/>
                <w:color w:val="auto"/>
                <w:sz w:val="21"/>
                <w:szCs w:val="21"/>
                <w:highlight w:val="none"/>
                <w:lang w:val="en-US" w:eastAsia="zh-CN"/>
              </w:rPr>
              <w:t>+</w:t>
            </w:r>
            <w:r>
              <w:rPr>
                <w:rFonts w:hint="default" w:ascii="Times New Roman" w:hAnsi="Times New Roman" w:cs="Times New Roman" w:eastAsiaTheme="minorEastAsia"/>
                <w:i w:val="0"/>
                <w:iCs w:val="0"/>
                <w:caps w:val="0"/>
                <w:color w:val="auto"/>
                <w:spacing w:val="0"/>
                <w:sz w:val="21"/>
                <w:szCs w:val="21"/>
                <w:shd w:val="clear" w:fill="FFFFFF"/>
                <w:lang w:val="en-US" w:eastAsia="zh-CN"/>
              </w:rPr>
              <w:t>长芒草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7025E526">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6315F78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19CF8A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474" w:type="dxa"/>
            <w:tcBorders>
              <w:tl2br w:val="nil"/>
              <w:tr2bl w:val="nil"/>
            </w:tcBorders>
            <w:noWrap w:val="0"/>
            <w:vAlign w:val="center"/>
          </w:tcPr>
          <w:p w14:paraId="757836B3">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lang w:eastAsia="zh-CN"/>
              </w:rPr>
              <w:t>12</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25C11357">
            <w:pPr>
              <w:adjustRightInd w:val="0"/>
              <w:snapToGrid w:val="0"/>
              <w:jc w:val="center"/>
              <w:rPr>
                <w:rFonts w:hint="default" w:ascii="Times New Roman" w:hAnsi="Times New Roman" w:cs="Times New Roman" w:eastAsiaTheme="minorEastAsia"/>
                <w:b w:val="0"/>
                <w:bCs w:val="0"/>
                <w:i w:val="0"/>
                <w:iCs w:val="0"/>
                <w:color w:val="auto"/>
                <w:sz w:val="21"/>
                <w:szCs w:val="21"/>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106.49868634</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p w14:paraId="06EF954E">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p>
        </w:tc>
        <w:tc>
          <w:tcPr>
            <w:tcW w:w="1462" w:type="dxa"/>
            <w:tcBorders>
              <w:tl2br w:val="nil"/>
              <w:tr2bl w:val="nil"/>
            </w:tcBorders>
            <w:noWrap w:val="0"/>
            <w:vAlign w:val="center"/>
          </w:tcPr>
          <w:p w14:paraId="2FABCE06">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36.10660527</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2FEF88C3">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1652</w:t>
            </w:r>
          </w:p>
        </w:tc>
        <w:tc>
          <w:tcPr>
            <w:tcW w:w="1326" w:type="dxa"/>
            <w:tcBorders>
              <w:tl2br w:val="nil"/>
              <w:tr2bl w:val="nil"/>
            </w:tcBorders>
            <w:noWrap w:val="0"/>
            <w:vAlign w:val="center"/>
          </w:tcPr>
          <w:p w14:paraId="572A7BAC">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胡枝子</w:t>
            </w:r>
            <w:r>
              <w:rPr>
                <w:rFonts w:hint="default" w:ascii="Times New Roman" w:hAnsi="Times New Roman" w:cs="Times New Roman" w:eastAsiaTheme="minorEastAsia"/>
                <w:i w:val="0"/>
                <w:iCs w:val="0"/>
                <w:color w:val="auto"/>
                <w:sz w:val="21"/>
                <w:szCs w:val="21"/>
                <w:highlight w:val="none"/>
              </w:rPr>
              <w:t>群</w:t>
            </w:r>
            <w:r>
              <w:rPr>
                <w:rFonts w:hint="default" w:ascii="Times New Roman" w:hAnsi="Times New Roman" w:cs="Times New Roman" w:eastAsiaTheme="minorEastAsia"/>
                <w:b w:val="0"/>
                <w:bCs w:val="0"/>
                <w:i w:val="0"/>
                <w:iCs w:val="0"/>
                <w:color w:val="auto"/>
                <w:sz w:val="21"/>
                <w:szCs w:val="21"/>
                <w:highlight w:val="none"/>
                <w:lang w:val="en-US" w:eastAsia="zh-CN"/>
              </w:rPr>
              <w:t>落</w:t>
            </w:r>
          </w:p>
        </w:tc>
        <w:tc>
          <w:tcPr>
            <w:tcW w:w="2003" w:type="dxa"/>
            <w:tcBorders>
              <w:tl2br w:val="nil"/>
              <w:tr2bl w:val="nil"/>
            </w:tcBorders>
            <w:noWrap w:val="0"/>
            <w:vAlign w:val="center"/>
          </w:tcPr>
          <w:p w14:paraId="6324883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kern w:val="0"/>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胡枝子</w:t>
            </w:r>
            <w:r>
              <w:rPr>
                <w:rFonts w:hint="default" w:ascii="Times New Roman" w:hAnsi="Times New Roman" w:cs="Times New Roman" w:eastAsiaTheme="minorEastAsia"/>
                <w:i w:val="0"/>
                <w:iCs w:val="0"/>
                <w:color w:val="auto"/>
                <w:sz w:val="21"/>
                <w:szCs w:val="21"/>
                <w:highlight w:val="none"/>
                <w:lang w:val="en-US" w:eastAsia="zh-CN"/>
              </w:rPr>
              <w:t>+</w:t>
            </w:r>
            <w:r>
              <w:rPr>
                <w:rFonts w:hint="default" w:ascii="Times New Roman" w:hAnsi="Times New Roman" w:cs="Times New Roman" w:eastAsiaTheme="minorEastAsia"/>
                <w:i w:val="0"/>
                <w:iCs w:val="0"/>
                <w:caps w:val="0"/>
                <w:color w:val="auto"/>
                <w:spacing w:val="0"/>
                <w:sz w:val="21"/>
                <w:szCs w:val="21"/>
                <w:shd w:val="clear" w:fill="FFFFFF"/>
                <w:lang w:val="en-US" w:eastAsia="zh-CN"/>
              </w:rPr>
              <w:t>长芒草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38BB832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723B36E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36D8C6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54E43562">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lang w:eastAsia="zh-CN"/>
              </w:rPr>
              <w:t>13</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23544AB9">
            <w:pPr>
              <w:adjustRightInd w:val="0"/>
              <w:snapToGrid w:val="0"/>
              <w:jc w:val="center"/>
              <w:rPr>
                <w:rFonts w:hint="default" w:ascii="Times New Roman" w:hAnsi="Times New Roman" w:cs="Times New Roman" w:eastAsiaTheme="minorEastAsia"/>
                <w:b w:val="0"/>
                <w:bCs w:val="0"/>
                <w:i w:val="0"/>
                <w:iCs w:val="0"/>
                <w:color w:val="auto"/>
                <w:sz w:val="21"/>
                <w:szCs w:val="21"/>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106.49984063</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p w14:paraId="0256EBB0">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p>
        </w:tc>
        <w:tc>
          <w:tcPr>
            <w:tcW w:w="1462" w:type="dxa"/>
            <w:tcBorders>
              <w:tl2br w:val="nil"/>
              <w:tr2bl w:val="nil"/>
            </w:tcBorders>
            <w:noWrap w:val="0"/>
            <w:vAlign w:val="center"/>
          </w:tcPr>
          <w:p w14:paraId="018576FC">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36.10312088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1F8BC3DD">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1654</w:t>
            </w:r>
          </w:p>
        </w:tc>
        <w:tc>
          <w:tcPr>
            <w:tcW w:w="1326" w:type="dxa"/>
            <w:tcBorders>
              <w:tl2br w:val="nil"/>
              <w:tr2bl w:val="nil"/>
            </w:tcBorders>
            <w:noWrap w:val="0"/>
            <w:vAlign w:val="center"/>
          </w:tcPr>
          <w:p w14:paraId="5EA57DB8">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灰莲蒿群落</w:t>
            </w:r>
          </w:p>
        </w:tc>
        <w:tc>
          <w:tcPr>
            <w:tcW w:w="2003" w:type="dxa"/>
            <w:tcBorders>
              <w:tl2br w:val="nil"/>
              <w:tr2bl w:val="nil"/>
            </w:tcBorders>
            <w:noWrap w:val="0"/>
            <w:vAlign w:val="center"/>
          </w:tcPr>
          <w:p w14:paraId="15E8BBB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kern w:val="0"/>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灰莲蒿</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58401DC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3CFC736">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7AA4F2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4C6C6EA2">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lang w:eastAsia="zh-CN"/>
              </w:rPr>
              <w:t>14</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5A4BA208">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106.49867511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3D3FD36E">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36.10619001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7B845460">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1652</w:t>
            </w:r>
          </w:p>
        </w:tc>
        <w:tc>
          <w:tcPr>
            <w:tcW w:w="1326" w:type="dxa"/>
            <w:tcBorders>
              <w:tl2br w:val="nil"/>
              <w:tr2bl w:val="nil"/>
            </w:tcBorders>
            <w:noWrap w:val="0"/>
            <w:vAlign w:val="center"/>
          </w:tcPr>
          <w:p w14:paraId="3497FB0A">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灰莲蒿群落</w:t>
            </w:r>
          </w:p>
        </w:tc>
        <w:tc>
          <w:tcPr>
            <w:tcW w:w="2003" w:type="dxa"/>
            <w:tcBorders>
              <w:tl2br w:val="nil"/>
              <w:tr2bl w:val="nil"/>
            </w:tcBorders>
            <w:noWrap w:val="0"/>
            <w:vAlign w:val="center"/>
          </w:tcPr>
          <w:p w14:paraId="6DF4E69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kern w:val="0"/>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灰莲蒿</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3E5E501E">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733CD3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3FB51E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1C72E7FB">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eastAsia="zh-CN"/>
              </w:rPr>
            </w:pPr>
            <w:r>
              <w:rPr>
                <w:rFonts w:hint="default" w:ascii="Times New Roman" w:hAnsi="Times New Roman" w:cs="Times New Roman" w:eastAsiaTheme="minorEastAsia"/>
                <w:i w:val="0"/>
                <w:iCs w:val="0"/>
                <w:color w:val="auto"/>
                <w:sz w:val="21"/>
                <w:szCs w:val="21"/>
                <w:highlight w:val="none"/>
                <w:lang w:eastAsia="zh-CN"/>
              </w:rPr>
              <w:t>15</w:t>
            </w:r>
            <w:r>
              <w:rPr>
                <w:rFonts w:hint="default" w:ascii="Times New Roman" w:hAnsi="Times New Roman" w:cs="Times New Roman" w:eastAsiaTheme="minorEastAsia"/>
                <w:i w:val="0"/>
                <w:iCs w:val="0"/>
                <w:color w:val="auto"/>
                <w:sz w:val="21"/>
                <w:szCs w:val="21"/>
                <w:highlight w:val="none"/>
                <w:lang w:val="en-US" w:eastAsia="zh-CN"/>
              </w:rPr>
              <w:t>#</w:t>
            </w:r>
          </w:p>
        </w:tc>
        <w:tc>
          <w:tcPr>
            <w:tcW w:w="1562" w:type="dxa"/>
            <w:tcBorders>
              <w:tl2br w:val="nil"/>
              <w:tr2bl w:val="nil"/>
            </w:tcBorders>
            <w:noWrap w:val="0"/>
            <w:vAlign w:val="center"/>
          </w:tcPr>
          <w:p w14:paraId="120B9EA5">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106.49847357</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6CBA6154">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36.10612778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756060FA">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1652</w:t>
            </w:r>
          </w:p>
        </w:tc>
        <w:tc>
          <w:tcPr>
            <w:tcW w:w="1326" w:type="dxa"/>
            <w:tcBorders>
              <w:tl2br w:val="nil"/>
              <w:tr2bl w:val="nil"/>
            </w:tcBorders>
            <w:noWrap w:val="0"/>
            <w:vAlign w:val="center"/>
          </w:tcPr>
          <w:p w14:paraId="3195C485">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灰莲蒿群落</w:t>
            </w:r>
          </w:p>
        </w:tc>
        <w:tc>
          <w:tcPr>
            <w:tcW w:w="2003" w:type="dxa"/>
            <w:tcBorders>
              <w:tl2br w:val="nil"/>
              <w:tr2bl w:val="nil"/>
            </w:tcBorders>
            <w:noWrap w:val="0"/>
            <w:vAlign w:val="center"/>
          </w:tcPr>
          <w:p w14:paraId="23F5263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灰莲蒿</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6A70E17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F5C118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2DD8D0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5EBE96E0">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16#</w:t>
            </w:r>
          </w:p>
        </w:tc>
        <w:tc>
          <w:tcPr>
            <w:tcW w:w="1562" w:type="dxa"/>
            <w:tcBorders>
              <w:tl2br w:val="nil"/>
              <w:tr2bl w:val="nil"/>
            </w:tcBorders>
            <w:noWrap w:val="0"/>
            <w:vAlign w:val="center"/>
          </w:tcPr>
          <w:p w14:paraId="48360CF8">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106.490835°</w:t>
            </w:r>
          </w:p>
        </w:tc>
        <w:tc>
          <w:tcPr>
            <w:tcW w:w="1462" w:type="dxa"/>
            <w:tcBorders>
              <w:tl2br w:val="nil"/>
              <w:tr2bl w:val="nil"/>
            </w:tcBorders>
            <w:noWrap w:val="0"/>
            <w:vAlign w:val="center"/>
          </w:tcPr>
          <w:p w14:paraId="72D10362">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36.031339°</w:t>
            </w:r>
          </w:p>
        </w:tc>
        <w:tc>
          <w:tcPr>
            <w:tcW w:w="858" w:type="dxa"/>
            <w:tcBorders>
              <w:tl2br w:val="nil"/>
              <w:tr2bl w:val="nil"/>
            </w:tcBorders>
            <w:noWrap w:val="0"/>
            <w:vAlign w:val="center"/>
          </w:tcPr>
          <w:p w14:paraId="3570CBD1">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1732</w:t>
            </w:r>
          </w:p>
        </w:tc>
        <w:tc>
          <w:tcPr>
            <w:tcW w:w="1326" w:type="dxa"/>
            <w:tcBorders>
              <w:tl2br w:val="nil"/>
              <w:tr2bl w:val="nil"/>
            </w:tcBorders>
            <w:noWrap w:val="0"/>
            <w:vAlign w:val="center"/>
          </w:tcPr>
          <w:p w14:paraId="5FE54548">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芨芨草群落</w:t>
            </w:r>
          </w:p>
        </w:tc>
        <w:tc>
          <w:tcPr>
            <w:tcW w:w="2003" w:type="dxa"/>
            <w:tcBorders>
              <w:tl2br w:val="nil"/>
              <w:tr2bl w:val="nil"/>
            </w:tcBorders>
            <w:noWrap w:val="0"/>
            <w:vAlign w:val="center"/>
          </w:tcPr>
          <w:p w14:paraId="045699C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i w:val="0"/>
                <w:iCs w:val="0"/>
                <w:color w:val="auto"/>
                <w:sz w:val="21"/>
                <w:szCs w:val="21"/>
                <w:highlight w:val="none"/>
                <w:vertAlign w:val="baseline"/>
                <w:lang w:val="en-US" w:eastAsia="zh-CN"/>
              </w:rPr>
              <w:t>芨芨草</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412E89F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16336C36">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3E1C00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74" w:type="dxa"/>
            <w:tcBorders>
              <w:tl2br w:val="nil"/>
              <w:tr2bl w:val="nil"/>
            </w:tcBorders>
            <w:noWrap w:val="0"/>
            <w:vAlign w:val="center"/>
          </w:tcPr>
          <w:p w14:paraId="2E0D5B33">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w:t>
            </w:r>
          </w:p>
        </w:tc>
        <w:tc>
          <w:tcPr>
            <w:tcW w:w="1562" w:type="dxa"/>
            <w:tcBorders>
              <w:tl2br w:val="nil"/>
              <w:tr2bl w:val="nil"/>
            </w:tcBorders>
            <w:noWrap w:val="0"/>
            <w:vAlign w:val="center"/>
          </w:tcPr>
          <w:p w14:paraId="76B9525A">
            <w:pPr>
              <w:adjustRightInd w:val="0"/>
              <w:snapToGrid w:val="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106.483993</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4D1ED61D">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36.054377</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4EE384E0">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1747</w:t>
            </w:r>
          </w:p>
        </w:tc>
        <w:tc>
          <w:tcPr>
            <w:tcW w:w="1326" w:type="dxa"/>
            <w:tcBorders>
              <w:tl2br w:val="nil"/>
              <w:tr2bl w:val="nil"/>
            </w:tcBorders>
            <w:noWrap w:val="0"/>
            <w:vAlign w:val="center"/>
          </w:tcPr>
          <w:p w14:paraId="2B692613">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芨芨草群落</w:t>
            </w:r>
          </w:p>
        </w:tc>
        <w:tc>
          <w:tcPr>
            <w:tcW w:w="2003" w:type="dxa"/>
            <w:tcBorders>
              <w:tl2br w:val="nil"/>
              <w:tr2bl w:val="nil"/>
            </w:tcBorders>
            <w:noWrap w:val="0"/>
            <w:vAlign w:val="center"/>
          </w:tcPr>
          <w:p w14:paraId="1495949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芨芨草+</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 </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6565852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75C116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400E7F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74" w:type="dxa"/>
            <w:tcBorders>
              <w:tl2br w:val="nil"/>
              <w:tr2bl w:val="nil"/>
            </w:tcBorders>
            <w:noWrap w:val="0"/>
            <w:vAlign w:val="center"/>
          </w:tcPr>
          <w:p w14:paraId="5448F34F">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18#</w:t>
            </w:r>
          </w:p>
        </w:tc>
        <w:tc>
          <w:tcPr>
            <w:tcW w:w="1562" w:type="dxa"/>
            <w:tcBorders>
              <w:tl2br w:val="nil"/>
              <w:tr2bl w:val="nil"/>
            </w:tcBorders>
            <w:noWrap w:val="0"/>
            <w:vAlign w:val="center"/>
          </w:tcPr>
          <w:p w14:paraId="0972E3F0">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106.49089457</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6C29DF7F">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36.03189426</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43497028">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1733</w:t>
            </w:r>
          </w:p>
        </w:tc>
        <w:tc>
          <w:tcPr>
            <w:tcW w:w="1326" w:type="dxa"/>
            <w:tcBorders>
              <w:tl2br w:val="nil"/>
              <w:tr2bl w:val="nil"/>
            </w:tcBorders>
            <w:noWrap w:val="0"/>
            <w:vAlign w:val="center"/>
          </w:tcPr>
          <w:p w14:paraId="2C501A32">
            <w:pPr>
              <w:keepNext w:val="0"/>
              <w:keepLines w:val="0"/>
              <w:pageBreakBefore w:val="0"/>
              <w:kinsoku w:val="0"/>
              <w:wordWrap/>
              <w:overflowPunct w:val="0"/>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芨芨草群落</w:t>
            </w:r>
          </w:p>
        </w:tc>
        <w:tc>
          <w:tcPr>
            <w:tcW w:w="2003" w:type="dxa"/>
            <w:tcBorders>
              <w:tl2br w:val="nil"/>
              <w:tr2bl w:val="nil"/>
            </w:tcBorders>
            <w:noWrap w:val="0"/>
            <w:vAlign w:val="center"/>
          </w:tcPr>
          <w:p w14:paraId="7B08D27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芨芨草+</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712CCA8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636BB1E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024BA6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74" w:type="dxa"/>
            <w:tcBorders>
              <w:tl2br w:val="nil"/>
              <w:tr2bl w:val="nil"/>
            </w:tcBorders>
            <w:noWrap w:val="0"/>
            <w:vAlign w:val="center"/>
          </w:tcPr>
          <w:p w14:paraId="6201ACAF">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19#</w:t>
            </w:r>
          </w:p>
        </w:tc>
        <w:tc>
          <w:tcPr>
            <w:tcW w:w="1562" w:type="dxa"/>
            <w:tcBorders>
              <w:tl2br w:val="nil"/>
              <w:tr2bl w:val="nil"/>
            </w:tcBorders>
            <w:noWrap w:val="0"/>
            <w:vAlign w:val="center"/>
          </w:tcPr>
          <w:p w14:paraId="3C66EB8B">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106.48448707</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1C02E7D6">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sz w:val="21"/>
                <w:szCs w:val="21"/>
                <w:lang w:val="en-US" w:eastAsia="zh-CN"/>
              </w:rPr>
              <w:t>36.0551521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4DF74E07">
            <w:pPr>
              <w:keepNext w:val="0"/>
              <w:keepLines w:val="0"/>
              <w:pageBreakBefore w:val="0"/>
              <w:widowControl/>
              <w:kinsoku/>
              <w:wordWrap/>
              <w:overflowPunct/>
              <w:topLinePunct w:val="0"/>
              <w:bidi w:val="0"/>
              <w:adjustRightInd w:val="0"/>
              <w:snapToGrid w:val="0"/>
              <w:ind w:left="0" w:leftChars="0" w:right="0" w:rightChars="0"/>
              <w:jc w:val="center"/>
              <w:textAlignment w:val="auto"/>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1752</w:t>
            </w:r>
          </w:p>
        </w:tc>
        <w:tc>
          <w:tcPr>
            <w:tcW w:w="1326" w:type="dxa"/>
            <w:tcBorders>
              <w:tl2br w:val="nil"/>
              <w:tr2bl w:val="nil"/>
            </w:tcBorders>
            <w:noWrap w:val="0"/>
            <w:vAlign w:val="center"/>
          </w:tcPr>
          <w:p w14:paraId="293A24D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角蒿群落</w:t>
            </w:r>
          </w:p>
        </w:tc>
        <w:tc>
          <w:tcPr>
            <w:tcW w:w="2003" w:type="dxa"/>
            <w:tcBorders>
              <w:tl2br w:val="nil"/>
              <w:tr2bl w:val="nil"/>
            </w:tcBorders>
            <w:noWrap w:val="0"/>
            <w:vAlign w:val="center"/>
          </w:tcPr>
          <w:p w14:paraId="0C46B0C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角蒿</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10C1EF1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FB20556">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448003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74" w:type="dxa"/>
            <w:tcBorders>
              <w:tl2br w:val="nil"/>
              <w:tr2bl w:val="nil"/>
            </w:tcBorders>
            <w:noWrap w:val="0"/>
            <w:vAlign w:val="center"/>
          </w:tcPr>
          <w:p w14:paraId="1606B0D4">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20#</w:t>
            </w:r>
          </w:p>
        </w:tc>
        <w:tc>
          <w:tcPr>
            <w:tcW w:w="1562" w:type="dxa"/>
            <w:tcBorders>
              <w:tl2br w:val="nil"/>
              <w:tr2bl w:val="nil"/>
            </w:tcBorders>
            <w:noWrap w:val="0"/>
            <w:vAlign w:val="center"/>
          </w:tcPr>
          <w:p w14:paraId="65CADFA0">
            <w:pPr>
              <w:adjustRightInd w:val="0"/>
              <w:snapToGrid w:val="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106.48432350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32EE6923">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36.05516838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6F6E6607">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i w:val="0"/>
                <w:iCs w:val="0"/>
                <w:color w:val="auto"/>
                <w:sz w:val="21"/>
                <w:szCs w:val="21"/>
                <w:highlight w:val="none"/>
                <w:lang w:val="en-US" w:eastAsia="zh-CN"/>
              </w:rPr>
              <w:t>1751</w:t>
            </w:r>
          </w:p>
        </w:tc>
        <w:tc>
          <w:tcPr>
            <w:tcW w:w="1326" w:type="dxa"/>
            <w:tcBorders>
              <w:tl2br w:val="nil"/>
              <w:tr2bl w:val="nil"/>
            </w:tcBorders>
            <w:noWrap w:val="0"/>
            <w:vAlign w:val="center"/>
          </w:tcPr>
          <w:p w14:paraId="35769AC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角蒿群落</w:t>
            </w:r>
          </w:p>
        </w:tc>
        <w:tc>
          <w:tcPr>
            <w:tcW w:w="2003" w:type="dxa"/>
            <w:tcBorders>
              <w:tl2br w:val="nil"/>
              <w:tr2bl w:val="nil"/>
            </w:tcBorders>
            <w:noWrap w:val="0"/>
            <w:vAlign w:val="center"/>
          </w:tcPr>
          <w:p w14:paraId="1BABC2C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角蒿</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sz w:val="21"/>
                <w:szCs w:val="21"/>
                <w:highlight w:val="none"/>
                <w:vertAlign w:val="baseline"/>
                <w:lang w:val="en-US" w:eastAsia="zh-CN"/>
              </w:rPr>
              <w:t>+</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 </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67E9764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082D03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396A02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74" w:type="dxa"/>
            <w:tcBorders>
              <w:tl2br w:val="nil"/>
              <w:tr2bl w:val="nil"/>
            </w:tcBorders>
            <w:noWrap w:val="0"/>
            <w:vAlign w:val="center"/>
          </w:tcPr>
          <w:p w14:paraId="283DF723">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21#</w:t>
            </w:r>
          </w:p>
        </w:tc>
        <w:tc>
          <w:tcPr>
            <w:tcW w:w="1562" w:type="dxa"/>
            <w:tcBorders>
              <w:tl2br w:val="nil"/>
              <w:tr2bl w:val="nil"/>
            </w:tcBorders>
            <w:noWrap w:val="0"/>
            <w:vAlign w:val="center"/>
          </w:tcPr>
          <w:p w14:paraId="52215A37">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106.48435160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6332FFF0">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36.06552766</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7CDEBC15">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1749</w:t>
            </w:r>
          </w:p>
        </w:tc>
        <w:tc>
          <w:tcPr>
            <w:tcW w:w="1326" w:type="dxa"/>
            <w:tcBorders>
              <w:tl2br w:val="nil"/>
              <w:tr2bl w:val="nil"/>
            </w:tcBorders>
            <w:noWrap w:val="0"/>
            <w:vAlign w:val="center"/>
          </w:tcPr>
          <w:p w14:paraId="6497CD6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角蒿群落</w:t>
            </w:r>
          </w:p>
        </w:tc>
        <w:tc>
          <w:tcPr>
            <w:tcW w:w="2003" w:type="dxa"/>
            <w:tcBorders>
              <w:tl2br w:val="nil"/>
              <w:tr2bl w:val="nil"/>
            </w:tcBorders>
            <w:noWrap w:val="0"/>
            <w:vAlign w:val="center"/>
          </w:tcPr>
          <w:p w14:paraId="0BD7EC7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i w:val="0"/>
                <w:iCs w:val="0"/>
                <w:color w:val="auto"/>
                <w:sz w:val="21"/>
                <w:szCs w:val="21"/>
                <w:highlight w:val="none"/>
                <w:vertAlign w:val="baseline"/>
                <w:lang w:val="en-US" w:eastAsia="zh-CN"/>
              </w:rPr>
              <w:t>角蒿</w:t>
            </w:r>
            <w:r>
              <w:rPr>
                <w:rFonts w:hint="default" w:ascii="Times New Roman" w:hAnsi="Times New Roman" w:cs="Times New Roman" w:eastAsiaTheme="minorEastAsia"/>
                <w:i w:val="0"/>
                <w:iCs w:val="0"/>
                <w:color w:val="auto"/>
                <w:sz w:val="21"/>
                <w:szCs w:val="21"/>
                <w:highlight w:val="none"/>
                <w:lang w:val="en-US" w:eastAsia="zh-CN"/>
              </w:rPr>
              <w:t>+</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 +</w:t>
            </w:r>
            <w:r>
              <w:rPr>
                <w:rFonts w:hint="default" w:ascii="Times New Roman" w:hAnsi="Times New Roman" w:cs="Times New Roman" w:eastAsiaTheme="minorEastAsia"/>
                <w:i w:val="0"/>
                <w:iCs w:val="0"/>
                <w:color w:val="auto"/>
                <w:sz w:val="21"/>
                <w:szCs w:val="21"/>
                <w:highlight w:val="none"/>
                <w:lang w:val="en-US" w:eastAsia="zh-CN" w:bidi="ar-SA"/>
              </w:rPr>
              <w:t>沙蒿</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479F4A7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66C4CBD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14B950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74" w:type="dxa"/>
            <w:tcBorders>
              <w:tl2br w:val="nil"/>
              <w:tr2bl w:val="nil"/>
            </w:tcBorders>
            <w:noWrap w:val="0"/>
            <w:vAlign w:val="center"/>
          </w:tcPr>
          <w:p w14:paraId="1E0536CC">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22#</w:t>
            </w:r>
          </w:p>
        </w:tc>
        <w:tc>
          <w:tcPr>
            <w:tcW w:w="1562" w:type="dxa"/>
            <w:tcBorders>
              <w:tl2br w:val="nil"/>
              <w:tr2bl w:val="nil"/>
            </w:tcBorders>
            <w:noWrap w:val="0"/>
            <w:vAlign w:val="center"/>
          </w:tcPr>
          <w:p w14:paraId="55FCDA4F">
            <w:pPr>
              <w:adjustRightInd w:val="0"/>
              <w:snapToGrid w:val="0"/>
              <w:jc w:val="center"/>
              <w:rPr>
                <w:rFonts w:hint="default" w:ascii="Times New Roman" w:hAnsi="Times New Roman" w:cs="Times New Roman" w:eastAsiaTheme="minorEastAsia"/>
                <w:b w:val="0"/>
                <w:bCs w:val="0"/>
                <w:i w:val="0"/>
                <w:iCs w:val="0"/>
                <w:color w:val="auto"/>
                <w:sz w:val="21"/>
                <w:szCs w:val="21"/>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106.48481666</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p w14:paraId="5A3C242A">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p>
        </w:tc>
        <w:tc>
          <w:tcPr>
            <w:tcW w:w="1462" w:type="dxa"/>
            <w:tcBorders>
              <w:tl2br w:val="nil"/>
              <w:tr2bl w:val="nil"/>
            </w:tcBorders>
            <w:noWrap w:val="0"/>
            <w:vAlign w:val="center"/>
          </w:tcPr>
          <w:p w14:paraId="6973BE5C">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36.05529312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569DA8EA">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b w:val="0"/>
                <w:bCs w:val="0"/>
                <w:i w:val="0"/>
                <w:iCs w:val="0"/>
                <w:color w:val="auto"/>
                <w:kern w:val="2"/>
                <w:sz w:val="21"/>
                <w:szCs w:val="21"/>
                <w:lang w:val="en-US" w:eastAsia="zh-CN" w:bidi="ar-SA"/>
              </w:rPr>
              <w:t>1756</w:t>
            </w:r>
          </w:p>
        </w:tc>
        <w:tc>
          <w:tcPr>
            <w:tcW w:w="1326" w:type="dxa"/>
            <w:tcBorders>
              <w:tl2br w:val="nil"/>
              <w:tr2bl w:val="nil"/>
            </w:tcBorders>
            <w:noWrap w:val="0"/>
            <w:vAlign w:val="center"/>
          </w:tcPr>
          <w:p w14:paraId="28CEFE1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京芒草群落</w:t>
            </w:r>
          </w:p>
        </w:tc>
        <w:tc>
          <w:tcPr>
            <w:tcW w:w="2003" w:type="dxa"/>
            <w:tcBorders>
              <w:tl2br w:val="nil"/>
              <w:tr2bl w:val="nil"/>
            </w:tcBorders>
            <w:noWrap w:val="0"/>
            <w:vAlign w:val="center"/>
          </w:tcPr>
          <w:p w14:paraId="3132F49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i w:val="0"/>
                <w:iCs w:val="0"/>
                <w:color w:val="auto"/>
                <w:sz w:val="21"/>
                <w:szCs w:val="21"/>
                <w:highlight w:val="none"/>
                <w:vertAlign w:val="baseline"/>
                <w:lang w:val="en-US" w:eastAsia="zh-CN"/>
              </w:rPr>
              <w:t>京芒草+沙蒿群从</w:t>
            </w:r>
          </w:p>
        </w:tc>
        <w:tc>
          <w:tcPr>
            <w:tcW w:w="688" w:type="dxa"/>
            <w:tcBorders>
              <w:tl2br w:val="nil"/>
              <w:tr2bl w:val="nil"/>
            </w:tcBorders>
            <w:noWrap w:val="0"/>
            <w:vAlign w:val="center"/>
          </w:tcPr>
          <w:p w14:paraId="18E6B4A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70E2CEF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1DF1E2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7D48E642">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23#</w:t>
            </w:r>
          </w:p>
        </w:tc>
        <w:tc>
          <w:tcPr>
            <w:tcW w:w="1562" w:type="dxa"/>
            <w:tcBorders>
              <w:tl2br w:val="nil"/>
              <w:tr2bl w:val="nil"/>
            </w:tcBorders>
            <w:noWrap w:val="0"/>
            <w:vAlign w:val="center"/>
          </w:tcPr>
          <w:p w14:paraId="75403649">
            <w:pPr>
              <w:adjustRightInd w:val="0"/>
              <w:snapToGrid w:val="0"/>
              <w:jc w:val="center"/>
              <w:rPr>
                <w:rFonts w:hint="default" w:ascii="Times New Roman" w:hAnsi="Times New Roman" w:cs="Times New Roman" w:eastAsiaTheme="minorEastAsia"/>
                <w:b w:val="0"/>
                <w:bCs w:val="0"/>
                <w:i w:val="0"/>
                <w:iCs w:val="0"/>
                <w:color w:val="auto"/>
                <w:sz w:val="21"/>
                <w:szCs w:val="21"/>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106.48480296</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p w14:paraId="2BE23356">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p>
        </w:tc>
        <w:tc>
          <w:tcPr>
            <w:tcW w:w="1462" w:type="dxa"/>
            <w:tcBorders>
              <w:tl2br w:val="nil"/>
              <w:tr2bl w:val="nil"/>
            </w:tcBorders>
            <w:noWrap w:val="0"/>
            <w:vAlign w:val="center"/>
          </w:tcPr>
          <w:p w14:paraId="68220B7A">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36.05540981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79606DC4">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i w:val="0"/>
                <w:iCs w:val="0"/>
                <w:color w:val="auto"/>
                <w:sz w:val="21"/>
                <w:szCs w:val="21"/>
                <w:highlight w:val="none"/>
                <w:lang w:val="en-US" w:eastAsia="zh-CN"/>
              </w:rPr>
              <w:t>1754</w:t>
            </w:r>
          </w:p>
        </w:tc>
        <w:tc>
          <w:tcPr>
            <w:tcW w:w="1326" w:type="dxa"/>
            <w:tcBorders>
              <w:tl2br w:val="nil"/>
              <w:tr2bl w:val="nil"/>
            </w:tcBorders>
            <w:noWrap w:val="0"/>
            <w:vAlign w:val="center"/>
          </w:tcPr>
          <w:p w14:paraId="7A78FB1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京芒草群落</w:t>
            </w:r>
          </w:p>
        </w:tc>
        <w:tc>
          <w:tcPr>
            <w:tcW w:w="2003" w:type="dxa"/>
            <w:tcBorders>
              <w:tl2br w:val="nil"/>
              <w:tr2bl w:val="nil"/>
            </w:tcBorders>
            <w:noWrap w:val="0"/>
            <w:vAlign w:val="center"/>
          </w:tcPr>
          <w:p w14:paraId="4DC8075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京芒草+沙蒿群从</w:t>
            </w:r>
          </w:p>
        </w:tc>
        <w:tc>
          <w:tcPr>
            <w:tcW w:w="688" w:type="dxa"/>
            <w:tcBorders>
              <w:tl2br w:val="nil"/>
              <w:tr2bl w:val="nil"/>
            </w:tcBorders>
            <w:noWrap w:val="0"/>
            <w:vAlign w:val="center"/>
          </w:tcPr>
          <w:p w14:paraId="3ADEA3D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9A98B0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3EFDD0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342B01EC">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24#</w:t>
            </w:r>
          </w:p>
        </w:tc>
        <w:tc>
          <w:tcPr>
            <w:tcW w:w="1562" w:type="dxa"/>
            <w:tcBorders>
              <w:tl2br w:val="nil"/>
              <w:tr2bl w:val="nil"/>
            </w:tcBorders>
            <w:noWrap w:val="0"/>
            <w:vAlign w:val="center"/>
          </w:tcPr>
          <w:p w14:paraId="1A66823F">
            <w:pPr>
              <w:adjustRightInd w:val="0"/>
              <w:snapToGrid w:val="0"/>
              <w:jc w:val="center"/>
              <w:rPr>
                <w:rFonts w:hint="default" w:ascii="Times New Roman" w:hAnsi="Times New Roman" w:cs="Times New Roman" w:eastAsiaTheme="minorEastAsia"/>
                <w:b w:val="0"/>
                <w:bCs w:val="0"/>
                <w:i w:val="0"/>
                <w:iCs w:val="0"/>
                <w:color w:val="auto"/>
                <w:sz w:val="21"/>
                <w:szCs w:val="21"/>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106.48943328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p w14:paraId="189F15E9">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p>
        </w:tc>
        <w:tc>
          <w:tcPr>
            <w:tcW w:w="1462" w:type="dxa"/>
            <w:tcBorders>
              <w:tl2br w:val="nil"/>
              <w:tr2bl w:val="nil"/>
            </w:tcBorders>
            <w:noWrap w:val="0"/>
            <w:vAlign w:val="center"/>
          </w:tcPr>
          <w:p w14:paraId="49969536">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36.05538263</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1CE92885">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1754</w:t>
            </w:r>
          </w:p>
        </w:tc>
        <w:tc>
          <w:tcPr>
            <w:tcW w:w="1326" w:type="dxa"/>
            <w:tcBorders>
              <w:tl2br w:val="nil"/>
              <w:tr2bl w:val="nil"/>
            </w:tcBorders>
            <w:noWrap w:val="0"/>
            <w:vAlign w:val="center"/>
          </w:tcPr>
          <w:p w14:paraId="28C124A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京芒草群落</w:t>
            </w:r>
          </w:p>
        </w:tc>
        <w:tc>
          <w:tcPr>
            <w:tcW w:w="2003" w:type="dxa"/>
            <w:tcBorders>
              <w:tl2br w:val="nil"/>
              <w:tr2bl w:val="nil"/>
            </w:tcBorders>
            <w:noWrap w:val="0"/>
            <w:vAlign w:val="center"/>
          </w:tcPr>
          <w:p w14:paraId="23834BF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京芒草+沙蒿群从</w:t>
            </w:r>
          </w:p>
        </w:tc>
        <w:tc>
          <w:tcPr>
            <w:tcW w:w="688" w:type="dxa"/>
            <w:tcBorders>
              <w:tl2br w:val="nil"/>
              <w:tr2bl w:val="nil"/>
            </w:tcBorders>
            <w:noWrap w:val="0"/>
            <w:vAlign w:val="center"/>
          </w:tcPr>
          <w:p w14:paraId="45C7999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80EF9E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58E9A2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171A116F">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25#</w:t>
            </w:r>
          </w:p>
        </w:tc>
        <w:tc>
          <w:tcPr>
            <w:tcW w:w="1562" w:type="dxa"/>
            <w:tcBorders>
              <w:tl2br w:val="nil"/>
              <w:tr2bl w:val="nil"/>
            </w:tcBorders>
            <w:noWrap w:val="0"/>
            <w:vAlign w:val="center"/>
          </w:tcPr>
          <w:p w14:paraId="37B7AEF3">
            <w:pPr>
              <w:adjustRightInd w:val="0"/>
              <w:snapToGrid w:val="0"/>
              <w:jc w:val="center"/>
              <w:rPr>
                <w:rFonts w:hint="default" w:ascii="Times New Roman" w:hAnsi="Times New Roman" w:cs="Times New Roman" w:eastAsiaTheme="minorEastAsia"/>
                <w:b w:val="0"/>
                <w:bCs w:val="0"/>
                <w:i w:val="0"/>
                <w:iCs w:val="0"/>
                <w:color w:val="auto"/>
                <w:sz w:val="21"/>
                <w:szCs w:val="21"/>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106.48467007</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p w14:paraId="11DFE7C3">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p>
        </w:tc>
        <w:tc>
          <w:tcPr>
            <w:tcW w:w="1462" w:type="dxa"/>
            <w:tcBorders>
              <w:tl2br w:val="nil"/>
              <w:tr2bl w:val="nil"/>
            </w:tcBorders>
            <w:noWrap w:val="0"/>
            <w:vAlign w:val="center"/>
          </w:tcPr>
          <w:p w14:paraId="7AAE7DBD">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36.03925759</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1CEB899D">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1752</w:t>
            </w:r>
          </w:p>
        </w:tc>
        <w:tc>
          <w:tcPr>
            <w:tcW w:w="1326" w:type="dxa"/>
            <w:tcBorders>
              <w:tl2br w:val="nil"/>
              <w:tr2bl w:val="nil"/>
            </w:tcBorders>
            <w:noWrap w:val="0"/>
            <w:vAlign w:val="center"/>
          </w:tcPr>
          <w:p w14:paraId="69E10A3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柠条锦鸡儿群落</w:t>
            </w:r>
          </w:p>
        </w:tc>
        <w:tc>
          <w:tcPr>
            <w:tcW w:w="2003" w:type="dxa"/>
            <w:tcBorders>
              <w:tl2br w:val="nil"/>
              <w:tr2bl w:val="nil"/>
            </w:tcBorders>
            <w:noWrap w:val="0"/>
            <w:vAlign w:val="center"/>
          </w:tcPr>
          <w:p w14:paraId="0F95F7B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柠条锦鸡儿+京芒草+</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w:t>
            </w:r>
            <w:r>
              <w:rPr>
                <w:rFonts w:hint="default" w:ascii="Times New Roman" w:hAnsi="Times New Roman" w:cs="Times New Roman" w:eastAsiaTheme="minorEastAsia"/>
                <w:i w:val="0"/>
                <w:iCs w:val="0"/>
                <w:color w:val="auto"/>
                <w:sz w:val="21"/>
                <w:szCs w:val="21"/>
                <w:highlight w:val="none"/>
                <w:vertAlign w:val="baseline"/>
                <w:lang w:val="en-US" w:eastAsia="zh-CN"/>
              </w:rPr>
              <w:t>群从</w:t>
            </w:r>
          </w:p>
        </w:tc>
        <w:tc>
          <w:tcPr>
            <w:tcW w:w="688" w:type="dxa"/>
            <w:tcBorders>
              <w:tl2br w:val="nil"/>
              <w:tr2bl w:val="nil"/>
            </w:tcBorders>
            <w:noWrap w:val="0"/>
            <w:vAlign w:val="center"/>
          </w:tcPr>
          <w:p w14:paraId="0A18282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59A035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491286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72DFB8B9">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26#</w:t>
            </w:r>
          </w:p>
        </w:tc>
        <w:tc>
          <w:tcPr>
            <w:tcW w:w="1562" w:type="dxa"/>
            <w:tcBorders>
              <w:tl2br w:val="nil"/>
              <w:tr2bl w:val="nil"/>
            </w:tcBorders>
            <w:noWrap w:val="0"/>
            <w:vAlign w:val="center"/>
          </w:tcPr>
          <w:p w14:paraId="7713C2E8">
            <w:pPr>
              <w:adjustRightInd w:val="0"/>
              <w:snapToGrid w:val="0"/>
              <w:jc w:val="center"/>
              <w:rPr>
                <w:rFonts w:hint="default" w:ascii="Times New Roman" w:hAnsi="Times New Roman" w:cs="Times New Roman" w:eastAsiaTheme="minorEastAsia"/>
                <w:b w:val="0"/>
                <w:bCs w:val="0"/>
                <w:i w:val="0"/>
                <w:iCs w:val="0"/>
                <w:color w:val="auto"/>
                <w:sz w:val="21"/>
                <w:szCs w:val="21"/>
                <w:lang w:val="en-US" w:eastAsia="zh-CN"/>
              </w:rPr>
            </w:pPr>
            <w:r>
              <w:rPr>
                <w:rFonts w:hint="default" w:ascii="Times New Roman" w:hAnsi="Times New Roman" w:cs="Times New Roman" w:eastAsiaTheme="minorEastAsia"/>
                <w:b w:val="0"/>
                <w:bCs w:val="0"/>
                <w:i w:val="0"/>
                <w:iCs w:val="0"/>
                <w:color w:val="auto"/>
                <w:sz w:val="21"/>
                <w:szCs w:val="21"/>
                <w:lang w:val="en-US" w:eastAsia="zh-CN"/>
              </w:rPr>
              <w:t>106.48448416</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p w14:paraId="114CC362">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p>
        </w:tc>
        <w:tc>
          <w:tcPr>
            <w:tcW w:w="1462" w:type="dxa"/>
            <w:tcBorders>
              <w:tl2br w:val="nil"/>
              <w:tr2bl w:val="nil"/>
            </w:tcBorders>
            <w:noWrap w:val="0"/>
            <w:vAlign w:val="center"/>
          </w:tcPr>
          <w:p w14:paraId="6E276131">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36.05515333</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53F3B7FE">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1752</w:t>
            </w:r>
          </w:p>
        </w:tc>
        <w:tc>
          <w:tcPr>
            <w:tcW w:w="1326" w:type="dxa"/>
            <w:tcBorders>
              <w:tl2br w:val="nil"/>
              <w:tr2bl w:val="nil"/>
            </w:tcBorders>
            <w:noWrap w:val="0"/>
            <w:vAlign w:val="center"/>
          </w:tcPr>
          <w:p w14:paraId="15007C6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柠条锦鸡儿群落</w:t>
            </w:r>
          </w:p>
        </w:tc>
        <w:tc>
          <w:tcPr>
            <w:tcW w:w="2003" w:type="dxa"/>
            <w:tcBorders>
              <w:tl2br w:val="nil"/>
              <w:tr2bl w:val="nil"/>
            </w:tcBorders>
            <w:noWrap w:val="0"/>
            <w:vAlign w:val="center"/>
          </w:tcPr>
          <w:p w14:paraId="5A4E58D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i w:val="0"/>
                <w:iCs w:val="0"/>
                <w:color w:val="auto"/>
                <w:sz w:val="21"/>
                <w:szCs w:val="21"/>
                <w:highlight w:val="none"/>
                <w:vertAlign w:val="baseline"/>
                <w:lang w:val="en-US" w:eastAsia="zh-CN"/>
              </w:rPr>
              <w:t>柠条锦鸡儿+京芒草+芨芨草群从</w:t>
            </w:r>
          </w:p>
        </w:tc>
        <w:tc>
          <w:tcPr>
            <w:tcW w:w="688" w:type="dxa"/>
            <w:tcBorders>
              <w:tl2br w:val="nil"/>
              <w:tr2bl w:val="nil"/>
            </w:tcBorders>
            <w:noWrap w:val="0"/>
            <w:vAlign w:val="center"/>
          </w:tcPr>
          <w:p w14:paraId="1356112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96BAF8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216D9D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40317304">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27#</w:t>
            </w:r>
          </w:p>
        </w:tc>
        <w:tc>
          <w:tcPr>
            <w:tcW w:w="1562" w:type="dxa"/>
            <w:tcBorders>
              <w:tl2br w:val="nil"/>
              <w:tr2bl w:val="nil"/>
            </w:tcBorders>
            <w:noWrap w:val="0"/>
            <w:vAlign w:val="center"/>
          </w:tcPr>
          <w:p w14:paraId="00CD10A0">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106.48452378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28FA4338">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36.05517618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79D10ACF">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1752</w:t>
            </w:r>
          </w:p>
        </w:tc>
        <w:tc>
          <w:tcPr>
            <w:tcW w:w="1326" w:type="dxa"/>
            <w:tcBorders>
              <w:tl2br w:val="nil"/>
              <w:tr2bl w:val="nil"/>
            </w:tcBorders>
            <w:noWrap w:val="0"/>
            <w:vAlign w:val="center"/>
          </w:tcPr>
          <w:p w14:paraId="3993AAC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柠条锦鸡儿群落</w:t>
            </w:r>
          </w:p>
        </w:tc>
        <w:tc>
          <w:tcPr>
            <w:tcW w:w="2003" w:type="dxa"/>
            <w:tcBorders>
              <w:tl2br w:val="nil"/>
              <w:tr2bl w:val="nil"/>
            </w:tcBorders>
            <w:noWrap w:val="0"/>
            <w:vAlign w:val="center"/>
          </w:tcPr>
          <w:p w14:paraId="3AFAFF4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柠条锦鸡儿+京芒草+</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w:t>
            </w:r>
            <w:r>
              <w:rPr>
                <w:rFonts w:hint="default" w:ascii="Times New Roman" w:hAnsi="Times New Roman" w:cs="Times New Roman" w:eastAsiaTheme="minorEastAsia"/>
                <w:i w:val="0"/>
                <w:iCs w:val="0"/>
                <w:color w:val="auto"/>
                <w:sz w:val="21"/>
                <w:szCs w:val="21"/>
                <w:highlight w:val="none"/>
                <w:vertAlign w:val="baseline"/>
                <w:lang w:val="en-US" w:eastAsia="zh-CN"/>
              </w:rPr>
              <w:t>群从</w:t>
            </w:r>
          </w:p>
        </w:tc>
        <w:tc>
          <w:tcPr>
            <w:tcW w:w="688" w:type="dxa"/>
            <w:tcBorders>
              <w:tl2br w:val="nil"/>
              <w:tr2bl w:val="nil"/>
            </w:tcBorders>
            <w:noWrap w:val="0"/>
            <w:vAlign w:val="center"/>
          </w:tcPr>
          <w:p w14:paraId="09EFD50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569F887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68407E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0E422626">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28#</w:t>
            </w:r>
          </w:p>
        </w:tc>
        <w:tc>
          <w:tcPr>
            <w:tcW w:w="1562" w:type="dxa"/>
            <w:tcBorders>
              <w:tl2br w:val="nil"/>
              <w:tr2bl w:val="nil"/>
            </w:tcBorders>
            <w:noWrap w:val="0"/>
            <w:vAlign w:val="center"/>
          </w:tcPr>
          <w:p w14:paraId="3C1EF91D">
            <w:pPr>
              <w:adjustRightInd w:val="0"/>
              <w:snapToGrid w:val="0"/>
              <w:jc w:val="center"/>
              <w:rPr>
                <w:rFonts w:hint="default" w:ascii="Times New Roman" w:hAnsi="Times New Roman" w:cs="Times New Roman" w:eastAsiaTheme="minorEastAsia"/>
                <w:b w:val="0"/>
                <w:bCs w:val="0"/>
                <w:i w:val="0"/>
                <w:iCs w:val="0"/>
                <w:color w:val="auto"/>
                <w:sz w:val="21"/>
                <w:szCs w:val="21"/>
                <w:lang w:val="en-US" w:eastAsia="zh-CN"/>
              </w:rPr>
            </w:pPr>
            <w:r>
              <w:rPr>
                <w:rFonts w:hint="default" w:ascii="Times New Roman" w:hAnsi="Times New Roman" w:cs="Times New Roman" w:eastAsiaTheme="minorEastAsia"/>
                <w:b w:val="0"/>
                <w:bCs w:val="0"/>
                <w:i w:val="0"/>
                <w:iCs w:val="0"/>
                <w:color w:val="auto"/>
                <w:sz w:val="21"/>
                <w:szCs w:val="21"/>
                <w:lang w:val="en-US" w:eastAsia="zh-CN"/>
              </w:rPr>
              <w:t>106.52473469</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p w14:paraId="1EB96B14">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p>
        </w:tc>
        <w:tc>
          <w:tcPr>
            <w:tcW w:w="1462" w:type="dxa"/>
            <w:tcBorders>
              <w:tl2br w:val="nil"/>
              <w:tr2bl w:val="nil"/>
            </w:tcBorders>
            <w:noWrap w:val="0"/>
            <w:vAlign w:val="center"/>
          </w:tcPr>
          <w:p w14:paraId="514F820D">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36.15173015</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5573B506">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1834</w:t>
            </w:r>
          </w:p>
        </w:tc>
        <w:tc>
          <w:tcPr>
            <w:tcW w:w="1326" w:type="dxa"/>
            <w:tcBorders>
              <w:tl2br w:val="nil"/>
              <w:tr2bl w:val="nil"/>
            </w:tcBorders>
            <w:noWrap w:val="0"/>
            <w:vAlign w:val="center"/>
          </w:tcPr>
          <w:p w14:paraId="3286FC6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柠条锦鸡儿群落</w:t>
            </w:r>
          </w:p>
        </w:tc>
        <w:tc>
          <w:tcPr>
            <w:tcW w:w="2003" w:type="dxa"/>
            <w:tcBorders>
              <w:tl2br w:val="nil"/>
              <w:tr2bl w:val="nil"/>
            </w:tcBorders>
            <w:noWrap w:val="0"/>
            <w:vAlign w:val="center"/>
          </w:tcPr>
          <w:p w14:paraId="7F11388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山桃 </w:t>
            </w:r>
            <w:r>
              <w:rPr>
                <w:rFonts w:hint="default" w:ascii="Times New Roman" w:hAnsi="Times New Roman" w:cs="Times New Roman" w:eastAsiaTheme="minorEastAsia"/>
                <w:i w:val="0"/>
                <w:iCs w:val="0"/>
                <w:color w:val="auto"/>
                <w:sz w:val="21"/>
                <w:szCs w:val="21"/>
                <w:highlight w:val="none"/>
                <w:lang w:val="en-US" w:eastAsia="zh-CN" w:bidi="ar-SA"/>
              </w:rPr>
              <w:t>+</w:t>
            </w:r>
            <w:r>
              <w:rPr>
                <w:rFonts w:hint="default" w:ascii="Times New Roman" w:hAnsi="Times New Roman" w:cs="Times New Roman" w:eastAsiaTheme="minorEastAsia"/>
                <w:i w:val="0"/>
                <w:iCs w:val="0"/>
                <w:color w:val="auto"/>
                <w:sz w:val="21"/>
                <w:szCs w:val="21"/>
                <w:highlight w:val="none"/>
                <w:vertAlign w:val="baseline"/>
                <w:lang w:val="en-US" w:eastAsia="zh-CN"/>
              </w:rPr>
              <w:t>柠条锦鸡儿+</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w:t>
            </w:r>
            <w:r>
              <w:rPr>
                <w:rFonts w:hint="default" w:ascii="Times New Roman" w:hAnsi="Times New Roman" w:cs="Times New Roman" w:eastAsiaTheme="minorEastAsia"/>
                <w:i w:val="0"/>
                <w:iCs w:val="0"/>
                <w:color w:val="auto"/>
                <w:sz w:val="21"/>
                <w:szCs w:val="21"/>
                <w:highlight w:val="none"/>
                <w:vertAlign w:val="baseline"/>
                <w:lang w:val="en-US" w:eastAsia="zh-CN"/>
              </w:rPr>
              <w:t>群从</w:t>
            </w:r>
          </w:p>
        </w:tc>
        <w:tc>
          <w:tcPr>
            <w:tcW w:w="688" w:type="dxa"/>
            <w:tcBorders>
              <w:tl2br w:val="nil"/>
              <w:tr2bl w:val="nil"/>
            </w:tcBorders>
            <w:noWrap w:val="0"/>
            <w:vAlign w:val="center"/>
          </w:tcPr>
          <w:p w14:paraId="285FBEA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4BF3E74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395C63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5E4D6EF1">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29#</w:t>
            </w:r>
          </w:p>
        </w:tc>
        <w:tc>
          <w:tcPr>
            <w:tcW w:w="1562" w:type="dxa"/>
            <w:tcBorders>
              <w:tl2br w:val="nil"/>
              <w:tr2bl w:val="nil"/>
            </w:tcBorders>
            <w:noWrap w:val="0"/>
            <w:vAlign w:val="center"/>
          </w:tcPr>
          <w:p w14:paraId="570E0A22">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106.52472835</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42001843">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36.17164891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6303584A">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1834</w:t>
            </w:r>
          </w:p>
        </w:tc>
        <w:tc>
          <w:tcPr>
            <w:tcW w:w="1326" w:type="dxa"/>
            <w:tcBorders>
              <w:tl2br w:val="nil"/>
              <w:tr2bl w:val="nil"/>
            </w:tcBorders>
            <w:noWrap w:val="0"/>
            <w:vAlign w:val="center"/>
          </w:tcPr>
          <w:p w14:paraId="1AAA1C7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柠条锦鸡儿群落</w:t>
            </w:r>
          </w:p>
        </w:tc>
        <w:tc>
          <w:tcPr>
            <w:tcW w:w="2003" w:type="dxa"/>
            <w:tcBorders>
              <w:tl2br w:val="nil"/>
              <w:tr2bl w:val="nil"/>
            </w:tcBorders>
            <w:noWrap w:val="0"/>
            <w:vAlign w:val="center"/>
          </w:tcPr>
          <w:p w14:paraId="7B969DE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山桃 </w:t>
            </w:r>
            <w:r>
              <w:rPr>
                <w:rFonts w:hint="default" w:ascii="Times New Roman" w:hAnsi="Times New Roman" w:cs="Times New Roman" w:eastAsiaTheme="minorEastAsia"/>
                <w:i w:val="0"/>
                <w:iCs w:val="0"/>
                <w:color w:val="auto"/>
                <w:sz w:val="21"/>
                <w:szCs w:val="21"/>
                <w:highlight w:val="none"/>
                <w:lang w:val="en-US" w:eastAsia="zh-CN" w:bidi="ar-SA"/>
              </w:rPr>
              <w:t>+</w:t>
            </w:r>
            <w:r>
              <w:rPr>
                <w:rFonts w:hint="default" w:ascii="Times New Roman" w:hAnsi="Times New Roman" w:cs="Times New Roman" w:eastAsiaTheme="minorEastAsia"/>
                <w:i w:val="0"/>
                <w:iCs w:val="0"/>
                <w:color w:val="auto"/>
                <w:sz w:val="21"/>
                <w:szCs w:val="21"/>
                <w:highlight w:val="none"/>
                <w:vertAlign w:val="baseline"/>
                <w:lang w:val="en-US" w:eastAsia="zh-CN"/>
              </w:rPr>
              <w:t>柠条锦鸡儿+</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w:t>
            </w:r>
            <w:r>
              <w:rPr>
                <w:rFonts w:hint="default" w:ascii="Times New Roman" w:hAnsi="Times New Roman" w:cs="Times New Roman" w:eastAsiaTheme="minorEastAsia"/>
                <w:i w:val="0"/>
                <w:iCs w:val="0"/>
                <w:color w:val="auto"/>
                <w:sz w:val="21"/>
                <w:szCs w:val="21"/>
                <w:highlight w:val="none"/>
                <w:vertAlign w:val="baseline"/>
                <w:lang w:val="en-US" w:eastAsia="zh-CN"/>
              </w:rPr>
              <w:t>群从</w:t>
            </w:r>
          </w:p>
        </w:tc>
        <w:tc>
          <w:tcPr>
            <w:tcW w:w="688" w:type="dxa"/>
            <w:tcBorders>
              <w:tl2br w:val="nil"/>
              <w:tr2bl w:val="nil"/>
            </w:tcBorders>
            <w:noWrap w:val="0"/>
            <w:vAlign w:val="center"/>
          </w:tcPr>
          <w:p w14:paraId="42A2B28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EEF101E">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0EA805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552EB453">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30#</w:t>
            </w:r>
          </w:p>
        </w:tc>
        <w:tc>
          <w:tcPr>
            <w:tcW w:w="1562" w:type="dxa"/>
            <w:tcBorders>
              <w:tl2br w:val="nil"/>
              <w:tr2bl w:val="nil"/>
            </w:tcBorders>
            <w:noWrap w:val="0"/>
            <w:vAlign w:val="center"/>
          </w:tcPr>
          <w:p w14:paraId="7B1A3184">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106.52477191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605B41D4">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36.17154461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239CB536">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1833</w:t>
            </w:r>
          </w:p>
        </w:tc>
        <w:tc>
          <w:tcPr>
            <w:tcW w:w="1326" w:type="dxa"/>
            <w:tcBorders>
              <w:tl2br w:val="nil"/>
              <w:tr2bl w:val="nil"/>
            </w:tcBorders>
            <w:noWrap w:val="0"/>
            <w:vAlign w:val="center"/>
          </w:tcPr>
          <w:p w14:paraId="07F380A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i w:val="0"/>
                <w:iCs w:val="0"/>
                <w:color w:val="auto"/>
                <w:sz w:val="21"/>
                <w:szCs w:val="21"/>
                <w:highlight w:val="none"/>
                <w:vertAlign w:val="baseline"/>
                <w:lang w:val="en-US" w:eastAsia="zh-CN"/>
              </w:rPr>
              <w:t>柠条锦鸡儿群落</w:t>
            </w:r>
          </w:p>
        </w:tc>
        <w:tc>
          <w:tcPr>
            <w:tcW w:w="2003" w:type="dxa"/>
            <w:tcBorders>
              <w:tl2br w:val="nil"/>
              <w:tr2bl w:val="nil"/>
            </w:tcBorders>
            <w:noWrap w:val="0"/>
            <w:vAlign w:val="center"/>
          </w:tcPr>
          <w:p w14:paraId="61B18FC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山桃 </w:t>
            </w:r>
            <w:r>
              <w:rPr>
                <w:rFonts w:hint="default" w:ascii="Times New Roman" w:hAnsi="Times New Roman" w:cs="Times New Roman" w:eastAsiaTheme="minorEastAsia"/>
                <w:i w:val="0"/>
                <w:iCs w:val="0"/>
                <w:color w:val="auto"/>
                <w:sz w:val="21"/>
                <w:szCs w:val="21"/>
                <w:highlight w:val="none"/>
                <w:lang w:val="en-US" w:eastAsia="zh-CN" w:bidi="ar-SA"/>
              </w:rPr>
              <w:t>+</w:t>
            </w:r>
            <w:r>
              <w:rPr>
                <w:rFonts w:hint="default" w:ascii="Times New Roman" w:hAnsi="Times New Roman" w:cs="Times New Roman" w:eastAsiaTheme="minorEastAsia"/>
                <w:i w:val="0"/>
                <w:iCs w:val="0"/>
                <w:color w:val="auto"/>
                <w:sz w:val="21"/>
                <w:szCs w:val="21"/>
                <w:highlight w:val="none"/>
                <w:vertAlign w:val="baseline"/>
                <w:lang w:val="en-US" w:eastAsia="zh-CN"/>
              </w:rPr>
              <w:t>柠条锦鸡儿+京芒草+</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w:t>
            </w:r>
            <w:r>
              <w:rPr>
                <w:rFonts w:hint="default" w:ascii="Times New Roman" w:hAnsi="Times New Roman" w:cs="Times New Roman" w:eastAsiaTheme="minorEastAsia"/>
                <w:i w:val="0"/>
                <w:iCs w:val="0"/>
                <w:color w:val="auto"/>
                <w:sz w:val="21"/>
                <w:szCs w:val="21"/>
                <w:highlight w:val="none"/>
                <w:vertAlign w:val="baseline"/>
                <w:lang w:val="en-US" w:eastAsia="zh-CN"/>
              </w:rPr>
              <w:t>群从</w:t>
            </w:r>
          </w:p>
        </w:tc>
        <w:tc>
          <w:tcPr>
            <w:tcW w:w="688" w:type="dxa"/>
            <w:tcBorders>
              <w:tl2br w:val="nil"/>
              <w:tr2bl w:val="nil"/>
            </w:tcBorders>
            <w:noWrap w:val="0"/>
            <w:vAlign w:val="center"/>
          </w:tcPr>
          <w:p w14:paraId="40F89B5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839969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515AE7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3AE906A0">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31#</w:t>
            </w:r>
          </w:p>
        </w:tc>
        <w:tc>
          <w:tcPr>
            <w:tcW w:w="1562" w:type="dxa"/>
            <w:tcBorders>
              <w:tl2br w:val="nil"/>
              <w:tr2bl w:val="nil"/>
            </w:tcBorders>
            <w:noWrap w:val="0"/>
            <w:vAlign w:val="center"/>
          </w:tcPr>
          <w:p w14:paraId="1B99141C">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106.53330324</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451F7E21">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36.20207203</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2807EE53">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1864</w:t>
            </w:r>
          </w:p>
        </w:tc>
        <w:tc>
          <w:tcPr>
            <w:tcW w:w="1326" w:type="dxa"/>
            <w:tcBorders>
              <w:tl2br w:val="nil"/>
              <w:tr2bl w:val="nil"/>
            </w:tcBorders>
            <w:noWrap w:val="0"/>
            <w:vAlign w:val="center"/>
          </w:tcPr>
          <w:p w14:paraId="2FAC026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黄花蒿群落</w:t>
            </w:r>
          </w:p>
        </w:tc>
        <w:tc>
          <w:tcPr>
            <w:tcW w:w="2003" w:type="dxa"/>
            <w:tcBorders>
              <w:tl2br w:val="nil"/>
              <w:tr2bl w:val="nil"/>
            </w:tcBorders>
            <w:noWrap w:val="0"/>
            <w:vAlign w:val="center"/>
          </w:tcPr>
          <w:p w14:paraId="5752100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lang w:val="en-US" w:eastAsia="zh-CN"/>
              </w:rPr>
              <w:t>黄花蒿+</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b w:val="0"/>
                <w:bCs w:val="0"/>
                <w:i w:val="0"/>
                <w:iCs w:val="0"/>
                <w:color w:val="auto"/>
                <w:sz w:val="21"/>
                <w:szCs w:val="21"/>
                <w:lang w:val="en-US" w:eastAsia="zh-CN"/>
              </w:rPr>
              <w:t>苦豆子</w:t>
            </w:r>
            <w:r>
              <w:rPr>
                <w:rFonts w:hint="default" w:ascii="Times New Roman" w:hAnsi="Times New Roman" w:cs="Times New Roman" w:eastAsiaTheme="minorEastAsia"/>
                <w:i w:val="0"/>
                <w:iCs w:val="0"/>
                <w:color w:val="auto"/>
                <w:sz w:val="21"/>
                <w:szCs w:val="21"/>
                <w:highlight w:val="none"/>
                <w:vertAlign w:val="baseline"/>
                <w:lang w:val="en-US" w:eastAsia="zh-CN"/>
              </w:rPr>
              <w:t>群从</w:t>
            </w:r>
          </w:p>
        </w:tc>
        <w:tc>
          <w:tcPr>
            <w:tcW w:w="688" w:type="dxa"/>
            <w:tcBorders>
              <w:tl2br w:val="nil"/>
              <w:tr2bl w:val="nil"/>
            </w:tcBorders>
            <w:noWrap w:val="0"/>
            <w:vAlign w:val="center"/>
          </w:tcPr>
          <w:p w14:paraId="4DCF040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CAAEDA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4B452B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2136516E">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32#</w:t>
            </w:r>
          </w:p>
        </w:tc>
        <w:tc>
          <w:tcPr>
            <w:tcW w:w="1562" w:type="dxa"/>
            <w:tcBorders>
              <w:tl2br w:val="nil"/>
              <w:tr2bl w:val="nil"/>
            </w:tcBorders>
            <w:noWrap w:val="0"/>
            <w:vAlign w:val="center"/>
          </w:tcPr>
          <w:p w14:paraId="38AB1DA2">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106.5332800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30AA1B64">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36.20201661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0C633122">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1863</w:t>
            </w:r>
          </w:p>
        </w:tc>
        <w:tc>
          <w:tcPr>
            <w:tcW w:w="1326" w:type="dxa"/>
            <w:tcBorders>
              <w:tl2br w:val="nil"/>
              <w:tr2bl w:val="nil"/>
            </w:tcBorders>
            <w:noWrap w:val="0"/>
            <w:vAlign w:val="center"/>
          </w:tcPr>
          <w:p w14:paraId="4E8A561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黄花蒿群落</w:t>
            </w:r>
          </w:p>
        </w:tc>
        <w:tc>
          <w:tcPr>
            <w:tcW w:w="2003" w:type="dxa"/>
            <w:tcBorders>
              <w:tl2br w:val="nil"/>
              <w:tr2bl w:val="nil"/>
            </w:tcBorders>
            <w:noWrap w:val="0"/>
            <w:vAlign w:val="center"/>
          </w:tcPr>
          <w:p w14:paraId="5562F6B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黄花蒿+</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b w:val="0"/>
                <w:bCs w:val="0"/>
                <w:i w:val="0"/>
                <w:iCs w:val="0"/>
                <w:color w:val="auto"/>
                <w:sz w:val="21"/>
                <w:szCs w:val="21"/>
                <w:lang w:val="en-US" w:eastAsia="zh-CN"/>
              </w:rPr>
              <w:t>苦豆子</w:t>
            </w:r>
            <w:r>
              <w:rPr>
                <w:rFonts w:hint="default" w:ascii="Times New Roman" w:hAnsi="Times New Roman" w:cs="Times New Roman" w:eastAsiaTheme="minorEastAsia"/>
                <w:i w:val="0"/>
                <w:iCs w:val="0"/>
                <w:color w:val="auto"/>
                <w:sz w:val="21"/>
                <w:szCs w:val="21"/>
                <w:highlight w:val="none"/>
                <w:vertAlign w:val="baseline"/>
                <w:lang w:val="en-US" w:eastAsia="zh-CN"/>
              </w:rPr>
              <w:t>群从</w:t>
            </w:r>
          </w:p>
        </w:tc>
        <w:tc>
          <w:tcPr>
            <w:tcW w:w="688" w:type="dxa"/>
            <w:tcBorders>
              <w:tl2br w:val="nil"/>
              <w:tr2bl w:val="nil"/>
            </w:tcBorders>
            <w:noWrap w:val="0"/>
            <w:vAlign w:val="center"/>
          </w:tcPr>
          <w:p w14:paraId="641EEAC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427641F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7F4EC1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1BD51169">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33#</w:t>
            </w:r>
          </w:p>
        </w:tc>
        <w:tc>
          <w:tcPr>
            <w:tcW w:w="1562" w:type="dxa"/>
            <w:tcBorders>
              <w:tl2br w:val="nil"/>
              <w:tr2bl w:val="nil"/>
            </w:tcBorders>
            <w:noWrap w:val="0"/>
            <w:vAlign w:val="center"/>
          </w:tcPr>
          <w:p w14:paraId="153C2756">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highlight w:val="none"/>
                <w:lang w:val="en-US" w:eastAsia="zh-CN"/>
              </w:rPr>
              <w:t>106.53331331</w:t>
            </w:r>
            <w:r>
              <w:rPr>
                <w:rFonts w:hint="default" w:ascii="Times New Roman" w:hAnsi="Times New Roman" w:cs="Times New Roman" w:eastAsiaTheme="minorEastAsia"/>
                <w:b w:val="0"/>
                <w:bCs w:val="0"/>
                <w:i w:val="0"/>
                <w:iCs w:val="0"/>
                <w:color w:val="auto"/>
                <w:sz w:val="21"/>
                <w:szCs w:val="21"/>
                <w:highlight w:val="none"/>
                <w:vertAlign w:val="superscript"/>
                <w:lang w:val="en-US" w:eastAsia="zh-CN"/>
              </w:rPr>
              <w:t>o</w:t>
            </w:r>
          </w:p>
        </w:tc>
        <w:tc>
          <w:tcPr>
            <w:tcW w:w="1462" w:type="dxa"/>
            <w:tcBorders>
              <w:tl2br w:val="nil"/>
              <w:tr2bl w:val="nil"/>
            </w:tcBorders>
            <w:noWrap w:val="0"/>
            <w:vAlign w:val="center"/>
          </w:tcPr>
          <w:p w14:paraId="3D50DBE7">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highlight w:val="none"/>
                <w:lang w:val="en-US" w:eastAsia="zh-CN"/>
              </w:rPr>
              <w:t>36.20202089</w:t>
            </w:r>
            <w:r>
              <w:rPr>
                <w:rFonts w:hint="default" w:ascii="Times New Roman" w:hAnsi="Times New Roman" w:cs="Times New Roman" w:eastAsiaTheme="minorEastAsia"/>
                <w:b w:val="0"/>
                <w:bCs w:val="0"/>
                <w:i w:val="0"/>
                <w:iCs w:val="0"/>
                <w:color w:val="auto"/>
                <w:sz w:val="21"/>
                <w:szCs w:val="21"/>
                <w:highlight w:val="none"/>
                <w:vertAlign w:val="superscript"/>
                <w:lang w:val="en-US" w:eastAsia="zh-CN"/>
              </w:rPr>
              <w:t>o</w:t>
            </w:r>
          </w:p>
        </w:tc>
        <w:tc>
          <w:tcPr>
            <w:tcW w:w="858" w:type="dxa"/>
            <w:tcBorders>
              <w:tl2br w:val="nil"/>
              <w:tr2bl w:val="nil"/>
            </w:tcBorders>
            <w:noWrap w:val="0"/>
            <w:vAlign w:val="center"/>
          </w:tcPr>
          <w:p w14:paraId="3E600917">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1864</w:t>
            </w:r>
          </w:p>
        </w:tc>
        <w:tc>
          <w:tcPr>
            <w:tcW w:w="1326" w:type="dxa"/>
            <w:tcBorders>
              <w:tl2br w:val="nil"/>
              <w:tr2bl w:val="nil"/>
            </w:tcBorders>
            <w:noWrap w:val="0"/>
            <w:vAlign w:val="center"/>
          </w:tcPr>
          <w:p w14:paraId="003DB0C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黄花蒿群落</w:t>
            </w:r>
          </w:p>
        </w:tc>
        <w:tc>
          <w:tcPr>
            <w:tcW w:w="2003" w:type="dxa"/>
            <w:tcBorders>
              <w:tl2br w:val="nil"/>
              <w:tr2bl w:val="nil"/>
            </w:tcBorders>
            <w:noWrap w:val="0"/>
            <w:vAlign w:val="center"/>
          </w:tcPr>
          <w:p w14:paraId="27318E3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黄花蒿+</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b w:val="0"/>
                <w:bCs w:val="0"/>
                <w:i w:val="0"/>
                <w:iCs w:val="0"/>
                <w:color w:val="auto"/>
                <w:sz w:val="21"/>
                <w:szCs w:val="21"/>
                <w:lang w:val="en-US" w:eastAsia="zh-CN"/>
              </w:rPr>
              <w:t>苦豆子</w:t>
            </w:r>
            <w:r>
              <w:rPr>
                <w:rFonts w:hint="default" w:ascii="Times New Roman" w:hAnsi="Times New Roman" w:cs="Times New Roman" w:eastAsiaTheme="minorEastAsia"/>
                <w:i w:val="0"/>
                <w:iCs w:val="0"/>
                <w:color w:val="auto"/>
                <w:sz w:val="21"/>
                <w:szCs w:val="21"/>
                <w:highlight w:val="none"/>
                <w:vertAlign w:val="baseline"/>
                <w:lang w:val="en-US" w:eastAsia="zh-CN"/>
              </w:rPr>
              <w:t>+</w:t>
            </w:r>
            <w:r>
              <w:rPr>
                <w:rFonts w:hint="default" w:ascii="Times New Roman" w:hAnsi="Times New Roman" w:cs="Times New Roman" w:eastAsiaTheme="minorEastAsia"/>
                <w:i w:val="0"/>
                <w:iCs w:val="0"/>
                <w:color w:val="auto"/>
                <w:sz w:val="21"/>
                <w:szCs w:val="21"/>
                <w:highlight w:val="none"/>
                <w:lang w:val="en-US" w:eastAsia="zh-CN" w:bidi="ar-SA"/>
              </w:rPr>
              <w:t>冷蒿 </w:t>
            </w:r>
            <w:r>
              <w:rPr>
                <w:rFonts w:hint="default" w:ascii="Times New Roman" w:hAnsi="Times New Roman" w:cs="Times New Roman" w:eastAsiaTheme="minorEastAsia"/>
                <w:i w:val="0"/>
                <w:iCs w:val="0"/>
                <w:color w:val="auto"/>
                <w:sz w:val="21"/>
                <w:szCs w:val="21"/>
                <w:highlight w:val="none"/>
                <w:vertAlign w:val="baseline"/>
                <w:lang w:val="en-US" w:eastAsia="zh-CN"/>
              </w:rPr>
              <w:t>群从</w:t>
            </w:r>
          </w:p>
        </w:tc>
        <w:tc>
          <w:tcPr>
            <w:tcW w:w="688" w:type="dxa"/>
            <w:tcBorders>
              <w:tl2br w:val="nil"/>
              <w:tr2bl w:val="nil"/>
            </w:tcBorders>
            <w:noWrap w:val="0"/>
            <w:vAlign w:val="center"/>
          </w:tcPr>
          <w:p w14:paraId="7B0CA2D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4DBD7A6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480409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70723D6C">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34#</w:t>
            </w:r>
          </w:p>
        </w:tc>
        <w:tc>
          <w:tcPr>
            <w:tcW w:w="1562" w:type="dxa"/>
            <w:tcBorders>
              <w:tl2br w:val="nil"/>
              <w:tr2bl w:val="nil"/>
            </w:tcBorders>
            <w:noWrap w:val="0"/>
            <w:vAlign w:val="center"/>
          </w:tcPr>
          <w:p w14:paraId="7C4EDC41">
            <w:pPr>
              <w:adjustRightInd w:val="0"/>
              <w:snapToGrid w:val="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highlight w:val="none"/>
                <w:lang w:val="en-US" w:eastAsia="zh-CN"/>
              </w:rPr>
              <w:t>106.48485599</w:t>
            </w:r>
            <w:r>
              <w:rPr>
                <w:rFonts w:hint="default" w:ascii="Times New Roman" w:hAnsi="Times New Roman" w:cs="Times New Roman" w:eastAsiaTheme="minorEastAsia"/>
                <w:b w:val="0"/>
                <w:bCs w:val="0"/>
                <w:i w:val="0"/>
                <w:iCs w:val="0"/>
                <w:color w:val="auto"/>
                <w:sz w:val="21"/>
                <w:szCs w:val="21"/>
                <w:highlight w:val="none"/>
                <w:vertAlign w:val="superscript"/>
                <w:lang w:val="en-US" w:eastAsia="zh-CN"/>
              </w:rPr>
              <w:t>o</w:t>
            </w:r>
          </w:p>
        </w:tc>
        <w:tc>
          <w:tcPr>
            <w:tcW w:w="1462" w:type="dxa"/>
            <w:tcBorders>
              <w:tl2br w:val="nil"/>
              <w:tr2bl w:val="nil"/>
            </w:tcBorders>
            <w:noWrap w:val="0"/>
            <w:vAlign w:val="center"/>
          </w:tcPr>
          <w:p w14:paraId="0018FE5B">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highlight w:val="none"/>
                <w:lang w:val="en-US" w:eastAsia="zh-CN"/>
              </w:rPr>
              <w:t>36.05536848</w:t>
            </w:r>
            <w:r>
              <w:rPr>
                <w:rFonts w:hint="default" w:ascii="Times New Roman" w:hAnsi="Times New Roman" w:cs="Times New Roman" w:eastAsiaTheme="minorEastAsia"/>
                <w:b w:val="0"/>
                <w:bCs w:val="0"/>
                <w:i w:val="0"/>
                <w:iCs w:val="0"/>
                <w:color w:val="auto"/>
                <w:sz w:val="21"/>
                <w:szCs w:val="21"/>
                <w:highlight w:val="none"/>
                <w:vertAlign w:val="superscript"/>
                <w:lang w:val="en-US" w:eastAsia="zh-CN"/>
              </w:rPr>
              <w:t>o</w:t>
            </w:r>
          </w:p>
        </w:tc>
        <w:tc>
          <w:tcPr>
            <w:tcW w:w="858" w:type="dxa"/>
            <w:tcBorders>
              <w:tl2br w:val="nil"/>
              <w:tr2bl w:val="nil"/>
            </w:tcBorders>
            <w:noWrap w:val="0"/>
            <w:vAlign w:val="center"/>
          </w:tcPr>
          <w:p w14:paraId="2B3B7A46">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1753</w:t>
            </w:r>
          </w:p>
        </w:tc>
        <w:tc>
          <w:tcPr>
            <w:tcW w:w="1326" w:type="dxa"/>
            <w:tcBorders>
              <w:tl2br w:val="nil"/>
              <w:tr2bl w:val="nil"/>
            </w:tcBorders>
            <w:noWrap w:val="0"/>
            <w:vAlign w:val="center"/>
          </w:tcPr>
          <w:p w14:paraId="4906BD7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沙蒿群落</w:t>
            </w:r>
          </w:p>
        </w:tc>
        <w:tc>
          <w:tcPr>
            <w:tcW w:w="2003" w:type="dxa"/>
            <w:tcBorders>
              <w:tl2br w:val="nil"/>
              <w:tr2bl w:val="nil"/>
            </w:tcBorders>
            <w:noWrap w:val="0"/>
            <w:vAlign w:val="center"/>
          </w:tcPr>
          <w:p w14:paraId="236A154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沙蒿</w:t>
            </w:r>
            <w:r>
              <w:rPr>
                <w:rFonts w:hint="default" w:ascii="Times New Roman" w:hAnsi="Times New Roman" w:cs="Times New Roman" w:eastAsiaTheme="minorEastAsia"/>
                <w:i w:val="0"/>
                <w:iCs w:val="0"/>
                <w:color w:val="auto"/>
                <w:sz w:val="21"/>
                <w:szCs w:val="21"/>
                <w:highlight w:val="none"/>
                <w:vertAlign w:val="baseline"/>
                <w:lang w:val="en-US" w:eastAsia="zh-CN"/>
              </w:rPr>
              <w:t>+</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长芒草</w:t>
            </w:r>
            <w:r>
              <w:rPr>
                <w:rFonts w:hint="default" w:ascii="Times New Roman" w:hAnsi="Times New Roman" w:cs="Times New Roman" w:eastAsiaTheme="minorEastAsia"/>
                <w:i w:val="0"/>
                <w:iCs w:val="0"/>
                <w:color w:val="auto"/>
                <w:sz w:val="21"/>
                <w:szCs w:val="21"/>
                <w:highlight w:val="none"/>
                <w:vertAlign w:val="baseline"/>
                <w:lang w:val="en-US" w:eastAsia="zh-CN"/>
              </w:rPr>
              <w:t>群从</w:t>
            </w:r>
          </w:p>
        </w:tc>
        <w:tc>
          <w:tcPr>
            <w:tcW w:w="688" w:type="dxa"/>
            <w:tcBorders>
              <w:tl2br w:val="nil"/>
              <w:tr2bl w:val="nil"/>
            </w:tcBorders>
            <w:noWrap w:val="0"/>
            <w:vAlign w:val="center"/>
          </w:tcPr>
          <w:p w14:paraId="7709736E">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45D5296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44713A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29E0E15F">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35#</w:t>
            </w:r>
          </w:p>
        </w:tc>
        <w:tc>
          <w:tcPr>
            <w:tcW w:w="1562" w:type="dxa"/>
            <w:tcBorders>
              <w:tl2br w:val="nil"/>
              <w:tr2bl w:val="nil"/>
            </w:tcBorders>
            <w:noWrap w:val="0"/>
            <w:vAlign w:val="center"/>
          </w:tcPr>
          <w:p w14:paraId="548BDE48">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highlight w:val="none"/>
                <w:lang w:val="en-US" w:eastAsia="zh-CN"/>
              </w:rPr>
              <w:t>106.48482819</w:t>
            </w:r>
            <w:r>
              <w:rPr>
                <w:rFonts w:hint="default" w:ascii="Times New Roman" w:hAnsi="Times New Roman" w:cs="Times New Roman" w:eastAsiaTheme="minorEastAsia"/>
                <w:b w:val="0"/>
                <w:bCs w:val="0"/>
                <w:i w:val="0"/>
                <w:iCs w:val="0"/>
                <w:color w:val="auto"/>
                <w:sz w:val="21"/>
                <w:szCs w:val="21"/>
                <w:highlight w:val="none"/>
                <w:vertAlign w:val="superscript"/>
                <w:lang w:val="en-US" w:eastAsia="zh-CN"/>
              </w:rPr>
              <w:t>o</w:t>
            </w:r>
          </w:p>
        </w:tc>
        <w:tc>
          <w:tcPr>
            <w:tcW w:w="1462" w:type="dxa"/>
            <w:tcBorders>
              <w:tl2br w:val="nil"/>
              <w:tr2bl w:val="nil"/>
            </w:tcBorders>
            <w:noWrap w:val="0"/>
            <w:vAlign w:val="center"/>
          </w:tcPr>
          <w:p w14:paraId="7953F5FE">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highlight w:val="none"/>
                <w:lang w:val="en-US" w:eastAsia="zh-CN"/>
              </w:rPr>
              <w:t>36.05531296</w:t>
            </w:r>
            <w:r>
              <w:rPr>
                <w:rFonts w:hint="default" w:ascii="Times New Roman" w:hAnsi="Times New Roman" w:cs="Times New Roman" w:eastAsiaTheme="minorEastAsia"/>
                <w:b w:val="0"/>
                <w:bCs w:val="0"/>
                <w:i w:val="0"/>
                <w:iCs w:val="0"/>
                <w:color w:val="auto"/>
                <w:sz w:val="21"/>
                <w:szCs w:val="21"/>
                <w:highlight w:val="none"/>
                <w:vertAlign w:val="superscript"/>
                <w:lang w:val="en-US" w:eastAsia="zh-CN"/>
              </w:rPr>
              <w:t>o</w:t>
            </w:r>
          </w:p>
        </w:tc>
        <w:tc>
          <w:tcPr>
            <w:tcW w:w="858" w:type="dxa"/>
            <w:tcBorders>
              <w:tl2br w:val="nil"/>
              <w:tr2bl w:val="nil"/>
            </w:tcBorders>
            <w:noWrap w:val="0"/>
            <w:vAlign w:val="center"/>
          </w:tcPr>
          <w:p w14:paraId="74F2132C">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1753</w:t>
            </w:r>
          </w:p>
        </w:tc>
        <w:tc>
          <w:tcPr>
            <w:tcW w:w="1326" w:type="dxa"/>
            <w:tcBorders>
              <w:tl2br w:val="nil"/>
              <w:tr2bl w:val="nil"/>
            </w:tcBorders>
            <w:noWrap w:val="0"/>
            <w:vAlign w:val="center"/>
          </w:tcPr>
          <w:p w14:paraId="2026594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沙蒿群落</w:t>
            </w:r>
          </w:p>
        </w:tc>
        <w:tc>
          <w:tcPr>
            <w:tcW w:w="2003" w:type="dxa"/>
            <w:tcBorders>
              <w:tl2br w:val="nil"/>
              <w:tr2bl w:val="nil"/>
            </w:tcBorders>
            <w:noWrap w:val="0"/>
            <w:vAlign w:val="center"/>
          </w:tcPr>
          <w:p w14:paraId="38CBDCC6">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沙蒿</w:t>
            </w:r>
            <w:r>
              <w:rPr>
                <w:rFonts w:hint="default" w:ascii="Times New Roman" w:hAnsi="Times New Roman" w:cs="Times New Roman" w:eastAsiaTheme="minorEastAsia"/>
                <w:i w:val="0"/>
                <w:iCs w:val="0"/>
                <w:color w:val="auto"/>
                <w:sz w:val="21"/>
                <w:szCs w:val="21"/>
                <w:highlight w:val="none"/>
                <w:vertAlign w:val="baseline"/>
                <w:lang w:val="en-US" w:eastAsia="zh-CN"/>
              </w:rPr>
              <w:t>+京芒草群从</w:t>
            </w:r>
          </w:p>
        </w:tc>
        <w:tc>
          <w:tcPr>
            <w:tcW w:w="688" w:type="dxa"/>
            <w:tcBorders>
              <w:tl2br w:val="nil"/>
              <w:tr2bl w:val="nil"/>
            </w:tcBorders>
            <w:noWrap w:val="0"/>
            <w:vAlign w:val="center"/>
          </w:tcPr>
          <w:p w14:paraId="73C95A6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52119DA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38DE06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72171D63">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36#</w:t>
            </w:r>
          </w:p>
        </w:tc>
        <w:tc>
          <w:tcPr>
            <w:tcW w:w="1562" w:type="dxa"/>
            <w:tcBorders>
              <w:tl2br w:val="nil"/>
              <w:tr2bl w:val="nil"/>
            </w:tcBorders>
            <w:noWrap w:val="0"/>
            <w:vAlign w:val="center"/>
          </w:tcPr>
          <w:p w14:paraId="216E8541">
            <w:pPr>
              <w:adjustRightInd w:val="0"/>
              <w:snapToGrid w:val="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106.48486810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75B5DFC9">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36.05531558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1CBDB60C">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1753</w:t>
            </w:r>
          </w:p>
        </w:tc>
        <w:tc>
          <w:tcPr>
            <w:tcW w:w="1326" w:type="dxa"/>
            <w:tcBorders>
              <w:tl2br w:val="nil"/>
              <w:tr2bl w:val="nil"/>
            </w:tcBorders>
            <w:noWrap w:val="0"/>
            <w:vAlign w:val="center"/>
          </w:tcPr>
          <w:p w14:paraId="539BF89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沙蒿群落</w:t>
            </w:r>
          </w:p>
        </w:tc>
        <w:tc>
          <w:tcPr>
            <w:tcW w:w="2003" w:type="dxa"/>
            <w:tcBorders>
              <w:tl2br w:val="nil"/>
              <w:tr2bl w:val="nil"/>
            </w:tcBorders>
            <w:noWrap w:val="0"/>
            <w:vAlign w:val="center"/>
          </w:tcPr>
          <w:p w14:paraId="0DB56A3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lang w:val="en-US" w:eastAsia="zh-CN"/>
              </w:rPr>
              <w:t>沙蒿</w:t>
            </w:r>
            <w:r>
              <w:rPr>
                <w:rFonts w:hint="default" w:ascii="Times New Roman" w:hAnsi="Times New Roman" w:cs="Times New Roman" w:eastAsiaTheme="minorEastAsia"/>
                <w:i w:val="0"/>
                <w:iCs w:val="0"/>
                <w:color w:val="auto"/>
                <w:sz w:val="21"/>
                <w:szCs w:val="21"/>
                <w:highlight w:val="none"/>
                <w:vertAlign w:val="baseline"/>
                <w:lang w:val="en-US" w:eastAsia="zh-CN"/>
              </w:rPr>
              <w:t>+京芒草群从</w:t>
            </w:r>
          </w:p>
        </w:tc>
        <w:tc>
          <w:tcPr>
            <w:tcW w:w="688" w:type="dxa"/>
            <w:tcBorders>
              <w:tl2br w:val="nil"/>
              <w:tr2bl w:val="nil"/>
            </w:tcBorders>
            <w:noWrap w:val="0"/>
            <w:vAlign w:val="center"/>
          </w:tcPr>
          <w:p w14:paraId="163BFA16">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C73EE9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103FBA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6791166B">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37#</w:t>
            </w:r>
          </w:p>
        </w:tc>
        <w:tc>
          <w:tcPr>
            <w:tcW w:w="1562" w:type="dxa"/>
            <w:tcBorders>
              <w:tl2br w:val="nil"/>
              <w:tr2bl w:val="nil"/>
            </w:tcBorders>
            <w:noWrap w:val="0"/>
            <w:vAlign w:val="center"/>
          </w:tcPr>
          <w:p w14:paraId="0B45A30F">
            <w:pPr>
              <w:adjustRightInd w:val="0"/>
              <w:snapToGrid w:val="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106.53344366</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7164E9A4">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36.20191855</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15783920">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1864</w:t>
            </w:r>
          </w:p>
        </w:tc>
        <w:tc>
          <w:tcPr>
            <w:tcW w:w="1326" w:type="dxa"/>
            <w:tcBorders>
              <w:tl2br w:val="nil"/>
              <w:tr2bl w:val="nil"/>
            </w:tcBorders>
            <w:noWrap w:val="0"/>
            <w:vAlign w:val="center"/>
          </w:tcPr>
          <w:p w14:paraId="4ACB31B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山桃树群落</w:t>
            </w:r>
          </w:p>
        </w:tc>
        <w:tc>
          <w:tcPr>
            <w:tcW w:w="2003" w:type="dxa"/>
            <w:tcBorders>
              <w:tl2br w:val="nil"/>
              <w:tr2bl w:val="nil"/>
            </w:tcBorders>
            <w:noWrap w:val="0"/>
            <w:vAlign w:val="center"/>
          </w:tcPr>
          <w:p w14:paraId="1776AF0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lang w:val="en-US" w:eastAsia="zh-CN"/>
              </w:rPr>
              <w:t>山桃</w:t>
            </w:r>
            <w:r>
              <w:rPr>
                <w:rFonts w:hint="default" w:ascii="Times New Roman" w:hAnsi="Times New Roman" w:cs="Times New Roman" w:eastAsiaTheme="minorEastAsia"/>
                <w:i w:val="0"/>
                <w:iCs w:val="0"/>
                <w:color w:val="auto"/>
                <w:sz w:val="21"/>
                <w:szCs w:val="21"/>
                <w:highlight w:val="none"/>
                <w:lang w:val="en-US" w:eastAsia="zh-CN"/>
              </w:rPr>
              <w:t>+柠条锦鸡儿+</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195CC8CE">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7813F34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1C36E1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6D2AED93">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38#</w:t>
            </w:r>
          </w:p>
        </w:tc>
        <w:tc>
          <w:tcPr>
            <w:tcW w:w="1562" w:type="dxa"/>
            <w:tcBorders>
              <w:tl2br w:val="nil"/>
              <w:tr2bl w:val="nil"/>
            </w:tcBorders>
            <w:noWrap w:val="0"/>
            <w:vAlign w:val="center"/>
          </w:tcPr>
          <w:p w14:paraId="0DD29A62">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106.53368470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68959E37">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36.20190474</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42DBD1F3">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1867</w:t>
            </w:r>
          </w:p>
        </w:tc>
        <w:tc>
          <w:tcPr>
            <w:tcW w:w="1326" w:type="dxa"/>
            <w:tcBorders>
              <w:tl2br w:val="nil"/>
              <w:tr2bl w:val="nil"/>
            </w:tcBorders>
            <w:noWrap w:val="0"/>
            <w:vAlign w:val="center"/>
          </w:tcPr>
          <w:p w14:paraId="112D280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山桃树群落</w:t>
            </w:r>
          </w:p>
        </w:tc>
        <w:tc>
          <w:tcPr>
            <w:tcW w:w="2003" w:type="dxa"/>
            <w:tcBorders>
              <w:tl2br w:val="nil"/>
              <w:tr2bl w:val="nil"/>
            </w:tcBorders>
            <w:noWrap w:val="0"/>
            <w:vAlign w:val="center"/>
          </w:tcPr>
          <w:p w14:paraId="2045B8D6">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山桃</w:t>
            </w:r>
            <w:r>
              <w:rPr>
                <w:rFonts w:hint="default" w:ascii="Times New Roman" w:hAnsi="Times New Roman" w:cs="Times New Roman" w:eastAsiaTheme="minorEastAsia"/>
                <w:i w:val="0"/>
                <w:iCs w:val="0"/>
                <w:color w:val="auto"/>
                <w:sz w:val="21"/>
                <w:szCs w:val="21"/>
                <w:highlight w:val="none"/>
                <w:lang w:val="en-US" w:eastAsia="zh-CN"/>
              </w:rPr>
              <w:t>+柠条锦鸡儿+</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302612B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7B13042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2E5846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3E3227BB">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39#</w:t>
            </w:r>
          </w:p>
        </w:tc>
        <w:tc>
          <w:tcPr>
            <w:tcW w:w="1562" w:type="dxa"/>
            <w:tcBorders>
              <w:tl2br w:val="nil"/>
              <w:tr2bl w:val="nil"/>
            </w:tcBorders>
            <w:noWrap w:val="0"/>
            <w:vAlign w:val="center"/>
          </w:tcPr>
          <w:p w14:paraId="15D73736">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106.53378993</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612ADB11">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36.20193595</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248E66A6">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1869</w:t>
            </w:r>
          </w:p>
        </w:tc>
        <w:tc>
          <w:tcPr>
            <w:tcW w:w="1326" w:type="dxa"/>
            <w:tcBorders>
              <w:tl2br w:val="nil"/>
              <w:tr2bl w:val="nil"/>
            </w:tcBorders>
            <w:noWrap w:val="0"/>
            <w:vAlign w:val="center"/>
          </w:tcPr>
          <w:p w14:paraId="25D6BF0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山桃树群落</w:t>
            </w:r>
          </w:p>
        </w:tc>
        <w:tc>
          <w:tcPr>
            <w:tcW w:w="2003" w:type="dxa"/>
            <w:tcBorders>
              <w:tl2br w:val="nil"/>
              <w:tr2bl w:val="nil"/>
            </w:tcBorders>
            <w:noWrap w:val="0"/>
            <w:vAlign w:val="center"/>
          </w:tcPr>
          <w:p w14:paraId="5F9E183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山桃</w:t>
            </w:r>
            <w:r>
              <w:rPr>
                <w:rFonts w:hint="default" w:ascii="Times New Roman" w:hAnsi="Times New Roman" w:cs="Times New Roman" w:eastAsiaTheme="minorEastAsia"/>
                <w:i w:val="0"/>
                <w:iCs w:val="0"/>
                <w:color w:val="auto"/>
                <w:sz w:val="21"/>
                <w:szCs w:val="21"/>
                <w:highlight w:val="none"/>
                <w:lang w:val="en-US" w:eastAsia="zh-CN"/>
              </w:rPr>
              <w:t>+</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7EABAFA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2017CD6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054B78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7A975511">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40#</w:t>
            </w:r>
          </w:p>
        </w:tc>
        <w:tc>
          <w:tcPr>
            <w:tcW w:w="1562" w:type="dxa"/>
            <w:tcBorders>
              <w:tl2br w:val="nil"/>
              <w:tr2bl w:val="nil"/>
            </w:tcBorders>
            <w:noWrap w:val="0"/>
            <w:vAlign w:val="center"/>
          </w:tcPr>
          <w:p w14:paraId="49BD6EBE">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106.53327607</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5F8C03A9">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36.20198398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561AE031">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1863</w:t>
            </w:r>
          </w:p>
        </w:tc>
        <w:tc>
          <w:tcPr>
            <w:tcW w:w="1326" w:type="dxa"/>
            <w:tcBorders>
              <w:tl2br w:val="nil"/>
              <w:tr2bl w:val="nil"/>
            </w:tcBorders>
            <w:noWrap w:val="0"/>
            <w:vAlign w:val="center"/>
          </w:tcPr>
          <w:p w14:paraId="687A17E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杏树群落</w:t>
            </w:r>
          </w:p>
        </w:tc>
        <w:tc>
          <w:tcPr>
            <w:tcW w:w="2003" w:type="dxa"/>
            <w:tcBorders>
              <w:tl2br w:val="nil"/>
              <w:tr2bl w:val="nil"/>
            </w:tcBorders>
            <w:noWrap w:val="0"/>
            <w:vAlign w:val="center"/>
          </w:tcPr>
          <w:p w14:paraId="2CA5FE5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杏</w:t>
            </w:r>
            <w:r>
              <w:rPr>
                <w:rFonts w:hint="default" w:ascii="Times New Roman" w:hAnsi="Times New Roman" w:cs="Times New Roman" w:eastAsiaTheme="minorEastAsia"/>
                <w:i w:val="0"/>
                <w:iCs w:val="0"/>
                <w:color w:val="auto"/>
                <w:sz w:val="21"/>
                <w:szCs w:val="21"/>
                <w:highlight w:val="none"/>
                <w:lang w:val="en-US" w:eastAsia="zh-CN"/>
              </w:rPr>
              <w:t>+</w:t>
            </w:r>
            <w:r>
              <w:rPr>
                <w:rFonts w:hint="default" w:ascii="Times New Roman" w:hAnsi="Times New Roman" w:cs="Times New Roman" w:eastAsiaTheme="minorEastAsia"/>
                <w:b w:val="0"/>
                <w:bCs w:val="0"/>
                <w:i w:val="0"/>
                <w:iCs w:val="0"/>
                <w:color w:val="auto"/>
                <w:sz w:val="21"/>
                <w:szCs w:val="21"/>
                <w:lang w:val="en-US" w:eastAsia="zh-CN"/>
              </w:rPr>
              <w:t>山桃</w:t>
            </w:r>
            <w:r>
              <w:rPr>
                <w:rFonts w:hint="default" w:ascii="Times New Roman" w:hAnsi="Times New Roman" w:cs="Times New Roman" w:eastAsiaTheme="minorEastAsia"/>
                <w:i w:val="0"/>
                <w:iCs w:val="0"/>
                <w:color w:val="auto"/>
                <w:sz w:val="21"/>
                <w:szCs w:val="21"/>
                <w:highlight w:val="none"/>
                <w:lang w:val="en-US" w:eastAsia="zh-CN"/>
              </w:rPr>
              <w:t>+柠条锦鸡儿+</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0335D3EE">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6016984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79EFF2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27A12E0A">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41#</w:t>
            </w:r>
          </w:p>
        </w:tc>
        <w:tc>
          <w:tcPr>
            <w:tcW w:w="1562" w:type="dxa"/>
            <w:tcBorders>
              <w:tl2br w:val="nil"/>
              <w:tr2bl w:val="nil"/>
            </w:tcBorders>
            <w:noWrap w:val="0"/>
            <w:vAlign w:val="center"/>
          </w:tcPr>
          <w:p w14:paraId="7FB9E1EC">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106.53328460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12C18410">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36.20156991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0A704EFF">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1863</w:t>
            </w:r>
          </w:p>
        </w:tc>
        <w:tc>
          <w:tcPr>
            <w:tcW w:w="1326" w:type="dxa"/>
            <w:tcBorders>
              <w:tl2br w:val="nil"/>
              <w:tr2bl w:val="nil"/>
            </w:tcBorders>
            <w:noWrap w:val="0"/>
            <w:vAlign w:val="center"/>
          </w:tcPr>
          <w:p w14:paraId="44947AA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杏树群落</w:t>
            </w:r>
          </w:p>
        </w:tc>
        <w:tc>
          <w:tcPr>
            <w:tcW w:w="2003" w:type="dxa"/>
            <w:tcBorders>
              <w:tl2br w:val="nil"/>
              <w:tr2bl w:val="nil"/>
            </w:tcBorders>
            <w:noWrap w:val="0"/>
            <w:vAlign w:val="center"/>
          </w:tcPr>
          <w:p w14:paraId="1B51209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lang w:val="en-US" w:eastAsia="zh-CN"/>
              </w:rPr>
              <w:t>杏</w:t>
            </w:r>
            <w:r>
              <w:rPr>
                <w:rFonts w:hint="default" w:ascii="Times New Roman" w:hAnsi="Times New Roman" w:cs="Times New Roman" w:eastAsiaTheme="minorEastAsia"/>
                <w:i w:val="0"/>
                <w:iCs w:val="0"/>
                <w:color w:val="auto"/>
                <w:sz w:val="21"/>
                <w:szCs w:val="21"/>
                <w:highlight w:val="none"/>
                <w:lang w:val="en-US" w:eastAsia="zh-CN"/>
              </w:rPr>
              <w:t>+柠条锦鸡儿+</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5496CC7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76122A1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2C6664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6A83BFBC">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42#</w:t>
            </w:r>
          </w:p>
        </w:tc>
        <w:tc>
          <w:tcPr>
            <w:tcW w:w="1562" w:type="dxa"/>
            <w:tcBorders>
              <w:tl2br w:val="nil"/>
              <w:tr2bl w:val="nil"/>
            </w:tcBorders>
            <w:noWrap w:val="0"/>
            <w:vAlign w:val="center"/>
          </w:tcPr>
          <w:p w14:paraId="09B42505">
            <w:pPr>
              <w:adjustRightInd w:val="0"/>
              <w:snapToGrid w:val="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106.53327208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6ADA9D09">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36.20158483</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74513C72">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1862</w:t>
            </w:r>
          </w:p>
        </w:tc>
        <w:tc>
          <w:tcPr>
            <w:tcW w:w="1326" w:type="dxa"/>
            <w:tcBorders>
              <w:tl2br w:val="nil"/>
              <w:tr2bl w:val="nil"/>
            </w:tcBorders>
            <w:noWrap w:val="0"/>
            <w:vAlign w:val="center"/>
          </w:tcPr>
          <w:p w14:paraId="19E7449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杏树群落</w:t>
            </w:r>
          </w:p>
        </w:tc>
        <w:tc>
          <w:tcPr>
            <w:tcW w:w="2003" w:type="dxa"/>
            <w:tcBorders>
              <w:tl2br w:val="nil"/>
              <w:tr2bl w:val="nil"/>
            </w:tcBorders>
            <w:noWrap w:val="0"/>
            <w:vAlign w:val="center"/>
          </w:tcPr>
          <w:p w14:paraId="5ED96B1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杏</w:t>
            </w:r>
            <w:r>
              <w:rPr>
                <w:rFonts w:hint="default" w:ascii="Times New Roman" w:hAnsi="Times New Roman" w:cs="Times New Roman" w:eastAsiaTheme="minorEastAsia"/>
                <w:i w:val="0"/>
                <w:iCs w:val="0"/>
                <w:color w:val="auto"/>
                <w:sz w:val="21"/>
                <w:szCs w:val="21"/>
                <w:highlight w:val="none"/>
                <w:lang w:val="en-US" w:eastAsia="zh-CN"/>
              </w:rPr>
              <w:t>+柠条锦鸡儿+</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i w:val="0"/>
                <w:iCs w:val="0"/>
                <w:color w:val="auto"/>
                <w:sz w:val="21"/>
                <w:szCs w:val="21"/>
                <w:highlight w:val="none"/>
                <w:lang w:val="en-US" w:eastAsia="zh-CN"/>
              </w:rPr>
              <w:t>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60F23E0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4688076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7C8662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671" w:hRule="atLeast"/>
          <w:jc w:val="center"/>
        </w:trPr>
        <w:tc>
          <w:tcPr>
            <w:tcW w:w="474" w:type="dxa"/>
            <w:tcBorders>
              <w:tl2br w:val="nil"/>
              <w:tr2bl w:val="nil"/>
            </w:tcBorders>
            <w:noWrap w:val="0"/>
            <w:vAlign w:val="center"/>
          </w:tcPr>
          <w:p w14:paraId="402E0BA3">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43#</w:t>
            </w:r>
          </w:p>
        </w:tc>
        <w:tc>
          <w:tcPr>
            <w:tcW w:w="1562" w:type="dxa"/>
            <w:tcBorders>
              <w:tl2br w:val="nil"/>
              <w:tr2bl w:val="nil"/>
            </w:tcBorders>
            <w:noWrap w:val="0"/>
            <w:vAlign w:val="center"/>
          </w:tcPr>
          <w:p w14:paraId="091BD2ED">
            <w:pPr>
              <w:adjustRightInd w:val="0"/>
              <w:snapToGrid w:val="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106.53329492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192C801F">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36.20216501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21734A5A">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1863</w:t>
            </w:r>
          </w:p>
        </w:tc>
        <w:tc>
          <w:tcPr>
            <w:tcW w:w="1326" w:type="dxa"/>
            <w:tcBorders>
              <w:tl2br w:val="nil"/>
              <w:tr2bl w:val="nil"/>
            </w:tcBorders>
            <w:noWrap w:val="0"/>
            <w:vAlign w:val="center"/>
          </w:tcPr>
          <w:p w14:paraId="63E18BDE">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紫花野菊群落</w:t>
            </w:r>
          </w:p>
        </w:tc>
        <w:tc>
          <w:tcPr>
            <w:tcW w:w="2003" w:type="dxa"/>
            <w:tcBorders>
              <w:tl2br w:val="nil"/>
              <w:tr2bl w:val="nil"/>
            </w:tcBorders>
            <w:noWrap w:val="0"/>
            <w:vAlign w:val="center"/>
          </w:tcPr>
          <w:p w14:paraId="753EF6C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lang w:val="en-US" w:eastAsia="zh-CN"/>
              </w:rPr>
              <w:t>紫花野菊+</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b w:val="0"/>
                <w:bCs w:val="0"/>
                <w:i w:val="0"/>
                <w:iCs w:val="0"/>
                <w:color w:val="auto"/>
                <w:sz w:val="21"/>
                <w:szCs w:val="21"/>
                <w:lang w:val="en-US" w:eastAsia="zh-CN"/>
              </w:rPr>
              <w:t>+</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天蓝苜蓿+白莲蒿 +山马兰+</w:t>
            </w:r>
            <w:r>
              <w:rPr>
                <w:rFonts w:hint="default" w:ascii="Times New Roman" w:hAnsi="Times New Roman" w:cs="Times New Roman" w:eastAsiaTheme="minorEastAsia"/>
                <w:i w:val="0"/>
                <w:iCs w:val="0"/>
                <w:color w:val="auto"/>
                <w:sz w:val="21"/>
                <w:szCs w:val="21"/>
                <w:highlight w:val="none"/>
                <w:lang w:val="en-US" w:eastAsia="zh-CN" w:bidi="ar-SA"/>
              </w:rPr>
              <w:t>猪毛蒿</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79181B9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072A243E">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441291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3CD8BA82">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44#</w:t>
            </w:r>
          </w:p>
        </w:tc>
        <w:tc>
          <w:tcPr>
            <w:tcW w:w="1562" w:type="dxa"/>
            <w:tcBorders>
              <w:tl2br w:val="nil"/>
              <w:tr2bl w:val="nil"/>
            </w:tcBorders>
            <w:noWrap w:val="0"/>
            <w:vAlign w:val="center"/>
          </w:tcPr>
          <w:p w14:paraId="5EA75BC7">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106.53322198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73569681">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36.20219630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046718D3">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1863</w:t>
            </w:r>
          </w:p>
        </w:tc>
        <w:tc>
          <w:tcPr>
            <w:tcW w:w="1326" w:type="dxa"/>
            <w:tcBorders>
              <w:tl2br w:val="nil"/>
              <w:tr2bl w:val="nil"/>
            </w:tcBorders>
            <w:noWrap w:val="0"/>
            <w:vAlign w:val="center"/>
          </w:tcPr>
          <w:p w14:paraId="1519764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紫花野菊群落</w:t>
            </w:r>
          </w:p>
        </w:tc>
        <w:tc>
          <w:tcPr>
            <w:tcW w:w="2003" w:type="dxa"/>
            <w:tcBorders>
              <w:tl2br w:val="nil"/>
              <w:tr2bl w:val="nil"/>
            </w:tcBorders>
            <w:noWrap w:val="0"/>
            <w:vAlign w:val="center"/>
          </w:tcPr>
          <w:p w14:paraId="52CA964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紫花野菊+</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b w:val="0"/>
                <w:bCs w:val="0"/>
                <w:i w:val="0"/>
                <w:iCs w:val="0"/>
                <w:color w:val="auto"/>
                <w:sz w:val="21"/>
                <w:szCs w:val="21"/>
                <w:lang w:val="en-US" w:eastAsia="zh-CN"/>
              </w:rPr>
              <w:t>+</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天蓝苜蓿+白莲蒿 +</w:t>
            </w:r>
            <w:r>
              <w:rPr>
                <w:rFonts w:hint="default" w:ascii="Times New Roman" w:hAnsi="Times New Roman" w:cs="Times New Roman" w:eastAsiaTheme="minorEastAsia"/>
                <w:i w:val="0"/>
                <w:iCs w:val="0"/>
                <w:color w:val="auto"/>
                <w:sz w:val="21"/>
                <w:szCs w:val="21"/>
                <w:highlight w:val="none"/>
                <w:lang w:val="en-US" w:eastAsia="zh-CN" w:bidi="ar-SA"/>
              </w:rPr>
              <w:t>猪毛蒿</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+山马兰</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1F36C9A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5AEB2E6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238EE8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66B02A4D">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45#</w:t>
            </w:r>
          </w:p>
        </w:tc>
        <w:tc>
          <w:tcPr>
            <w:tcW w:w="1562" w:type="dxa"/>
            <w:tcBorders>
              <w:tl2br w:val="nil"/>
              <w:tr2bl w:val="nil"/>
            </w:tcBorders>
            <w:noWrap w:val="0"/>
            <w:vAlign w:val="center"/>
          </w:tcPr>
          <w:p w14:paraId="5026358D">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106.53325476</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07C7BC36">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36.20209115</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439FDE61">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1864</w:t>
            </w:r>
          </w:p>
        </w:tc>
        <w:tc>
          <w:tcPr>
            <w:tcW w:w="1326" w:type="dxa"/>
            <w:tcBorders>
              <w:tl2br w:val="nil"/>
              <w:tr2bl w:val="nil"/>
            </w:tcBorders>
            <w:noWrap w:val="0"/>
            <w:vAlign w:val="center"/>
          </w:tcPr>
          <w:p w14:paraId="2732682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紫花野菊群落</w:t>
            </w:r>
          </w:p>
        </w:tc>
        <w:tc>
          <w:tcPr>
            <w:tcW w:w="2003" w:type="dxa"/>
            <w:tcBorders>
              <w:tl2br w:val="nil"/>
              <w:tr2bl w:val="nil"/>
            </w:tcBorders>
            <w:noWrap w:val="0"/>
            <w:vAlign w:val="center"/>
          </w:tcPr>
          <w:p w14:paraId="3CDF9C0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紫花野菊+</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b w:val="0"/>
                <w:bCs w:val="0"/>
                <w:i w:val="0"/>
                <w:iCs w:val="0"/>
                <w:color w:val="auto"/>
                <w:sz w:val="21"/>
                <w:szCs w:val="21"/>
                <w:lang w:val="en-US" w:eastAsia="zh-CN"/>
              </w:rPr>
              <w:t>+</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天蓝苜蓿+白莲蒿 +</w:t>
            </w:r>
            <w:r>
              <w:rPr>
                <w:rFonts w:hint="default" w:ascii="Times New Roman" w:hAnsi="Times New Roman" w:cs="Times New Roman" w:eastAsiaTheme="minorEastAsia"/>
                <w:i w:val="0"/>
                <w:iCs w:val="0"/>
                <w:color w:val="auto"/>
                <w:sz w:val="21"/>
                <w:szCs w:val="21"/>
                <w:highlight w:val="none"/>
                <w:lang w:val="en-US" w:eastAsia="zh-CN" w:bidi="ar-SA"/>
              </w:rPr>
              <w:t>猪毛蒿</w:t>
            </w:r>
            <w:r>
              <w:rPr>
                <w:rFonts w:hint="default" w:ascii="Times New Roman" w:hAnsi="Times New Roman" w:cs="Times New Roman" w:eastAsiaTheme="minorEastAsia"/>
                <w:b w:val="0"/>
                <w:i w:val="0"/>
                <w:iCs w:val="0"/>
                <w:caps w:val="0"/>
                <w:color w:val="auto"/>
                <w:spacing w:val="0"/>
                <w:kern w:val="0"/>
                <w:sz w:val="21"/>
                <w:szCs w:val="21"/>
                <w:u w:val="none"/>
                <w:shd w:val="clear" w:fill="FFFFFF"/>
                <w:lang w:val="en-US" w:eastAsia="zh-CN" w:bidi="ar"/>
              </w:rPr>
              <w:t>+山马兰</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75515DC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0355C5B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2AD854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0B7D6BE0">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46#</w:t>
            </w:r>
          </w:p>
        </w:tc>
        <w:tc>
          <w:tcPr>
            <w:tcW w:w="1562" w:type="dxa"/>
            <w:tcBorders>
              <w:tl2br w:val="nil"/>
              <w:tr2bl w:val="nil"/>
            </w:tcBorders>
            <w:noWrap w:val="0"/>
            <w:vAlign w:val="center"/>
          </w:tcPr>
          <w:p w14:paraId="119E271F">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106.49130241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65DF8571">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36.02930142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20784846">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1742</w:t>
            </w:r>
          </w:p>
        </w:tc>
        <w:tc>
          <w:tcPr>
            <w:tcW w:w="1326" w:type="dxa"/>
            <w:tcBorders>
              <w:tl2br w:val="nil"/>
              <w:tr2bl w:val="nil"/>
            </w:tcBorders>
            <w:noWrap w:val="0"/>
            <w:vAlign w:val="center"/>
          </w:tcPr>
          <w:p w14:paraId="4365CCB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长芒草群落</w:t>
            </w:r>
          </w:p>
        </w:tc>
        <w:tc>
          <w:tcPr>
            <w:tcW w:w="2003" w:type="dxa"/>
            <w:tcBorders>
              <w:tl2br w:val="nil"/>
              <w:tr2bl w:val="nil"/>
            </w:tcBorders>
            <w:noWrap w:val="0"/>
            <w:vAlign w:val="center"/>
          </w:tcPr>
          <w:p w14:paraId="5D732BA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lang w:val="en-US" w:eastAsia="zh-CN"/>
              </w:rPr>
              <w:t>长芒草+</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714E7B7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7BD6BA7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5BBA3C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44F39DA5">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47#</w:t>
            </w:r>
          </w:p>
        </w:tc>
        <w:tc>
          <w:tcPr>
            <w:tcW w:w="1562" w:type="dxa"/>
            <w:tcBorders>
              <w:tl2br w:val="nil"/>
              <w:tr2bl w:val="nil"/>
            </w:tcBorders>
            <w:noWrap w:val="0"/>
            <w:vAlign w:val="center"/>
          </w:tcPr>
          <w:p w14:paraId="3CD7B0A2">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106.49062415</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2E5B9952">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36.03001540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156B020B">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highlight w:val="none"/>
                <w:lang w:val="en-US" w:eastAsia="zh-CN"/>
              </w:rPr>
              <w:t>1741</w:t>
            </w:r>
          </w:p>
        </w:tc>
        <w:tc>
          <w:tcPr>
            <w:tcW w:w="1326" w:type="dxa"/>
            <w:tcBorders>
              <w:tl2br w:val="nil"/>
              <w:tr2bl w:val="nil"/>
            </w:tcBorders>
            <w:noWrap w:val="0"/>
            <w:vAlign w:val="center"/>
          </w:tcPr>
          <w:p w14:paraId="43B1C68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长芒草群落</w:t>
            </w:r>
          </w:p>
        </w:tc>
        <w:tc>
          <w:tcPr>
            <w:tcW w:w="2003" w:type="dxa"/>
            <w:tcBorders>
              <w:tl2br w:val="nil"/>
              <w:tr2bl w:val="nil"/>
            </w:tcBorders>
            <w:noWrap w:val="0"/>
            <w:vAlign w:val="center"/>
          </w:tcPr>
          <w:p w14:paraId="4B5E309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长芒草+沙蒿+</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3748A49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0E200AA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3D1570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1736F76F">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48#</w:t>
            </w:r>
          </w:p>
        </w:tc>
        <w:tc>
          <w:tcPr>
            <w:tcW w:w="1562" w:type="dxa"/>
            <w:tcBorders>
              <w:tl2br w:val="nil"/>
              <w:tr2bl w:val="nil"/>
            </w:tcBorders>
            <w:noWrap w:val="0"/>
            <w:vAlign w:val="center"/>
          </w:tcPr>
          <w:p w14:paraId="10F713F3">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106.48940821</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64889A14">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36.02872150</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1D503C85">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1738</w:t>
            </w:r>
          </w:p>
        </w:tc>
        <w:tc>
          <w:tcPr>
            <w:tcW w:w="1326" w:type="dxa"/>
            <w:tcBorders>
              <w:tl2br w:val="nil"/>
              <w:tr2bl w:val="nil"/>
            </w:tcBorders>
            <w:noWrap w:val="0"/>
            <w:vAlign w:val="center"/>
          </w:tcPr>
          <w:p w14:paraId="58167E9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长芒草群落</w:t>
            </w:r>
          </w:p>
        </w:tc>
        <w:tc>
          <w:tcPr>
            <w:tcW w:w="2003" w:type="dxa"/>
            <w:tcBorders>
              <w:tl2br w:val="nil"/>
              <w:tr2bl w:val="nil"/>
            </w:tcBorders>
            <w:noWrap w:val="0"/>
            <w:vAlign w:val="center"/>
          </w:tcPr>
          <w:p w14:paraId="47A946F8">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kern w:val="2"/>
                <w:sz w:val="21"/>
                <w:szCs w:val="21"/>
                <w:highlight w:val="none"/>
                <w:lang w:val="en-US" w:eastAsia="zh-CN" w:bidi="ar-SA"/>
              </w:rPr>
            </w:pPr>
            <w:r>
              <w:rPr>
                <w:rFonts w:hint="default" w:ascii="Times New Roman" w:hAnsi="Times New Roman" w:cs="Times New Roman" w:eastAsiaTheme="minorEastAsia"/>
                <w:b w:val="0"/>
                <w:bCs w:val="0"/>
                <w:i w:val="0"/>
                <w:iCs w:val="0"/>
                <w:color w:val="auto"/>
                <w:sz w:val="21"/>
                <w:szCs w:val="21"/>
                <w:lang w:val="en-US" w:eastAsia="zh-CN"/>
              </w:rPr>
              <w:t>长芒草+</w:t>
            </w:r>
            <w:r>
              <w:rPr>
                <w:rFonts w:hint="default" w:ascii="Times New Roman" w:hAnsi="Times New Roman" w:cs="Times New Roman" w:eastAsiaTheme="minorEastAsia"/>
                <w:i w:val="0"/>
                <w:iCs w:val="0"/>
                <w:color w:val="auto"/>
                <w:sz w:val="21"/>
                <w:szCs w:val="21"/>
                <w:highlight w:val="none"/>
                <w:vertAlign w:val="baseline"/>
                <w:lang w:val="en-US" w:eastAsia="zh-CN"/>
              </w:rPr>
              <w:t>京芒草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2225B49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1AE1B4A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7F025E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3E9AD46D">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49#</w:t>
            </w:r>
          </w:p>
        </w:tc>
        <w:tc>
          <w:tcPr>
            <w:tcW w:w="1562" w:type="dxa"/>
            <w:tcBorders>
              <w:tl2br w:val="nil"/>
              <w:tr2bl w:val="nil"/>
            </w:tcBorders>
            <w:noWrap w:val="0"/>
            <w:vAlign w:val="center"/>
          </w:tcPr>
          <w:p w14:paraId="726D602E">
            <w:pPr>
              <w:widowControl/>
              <w:ind w:left="-105" w:leftChars="-50" w:right="-105" w:rightChars="-50"/>
              <w:jc w:val="center"/>
              <w:textAlignment w:val="center"/>
              <w:rPr>
                <w:rFonts w:hint="default" w:ascii="Times New Roman" w:hAnsi="Times New Roman" w:cs="Times New Roman" w:eastAsiaTheme="minorEastAsia"/>
                <w:i w:val="0"/>
                <w:iCs w:val="0"/>
                <w:color w:val="auto"/>
                <w:kern w:val="2"/>
                <w:sz w:val="21"/>
                <w:szCs w:val="21"/>
                <w:highlight w:val="none"/>
                <w:lang w:val="en-US" w:eastAsia="zh-CN" w:bidi="ar-SA"/>
              </w:rPr>
            </w:pPr>
            <w:r>
              <w:rPr>
                <w:rFonts w:hint="default" w:ascii="Times New Roman" w:hAnsi="Times New Roman" w:cs="Times New Roman" w:eastAsiaTheme="minorEastAsia"/>
                <w:b w:val="0"/>
                <w:bCs w:val="0"/>
                <w:i w:val="0"/>
                <w:iCs w:val="0"/>
                <w:color w:val="auto"/>
                <w:sz w:val="21"/>
                <w:szCs w:val="21"/>
                <w:lang w:val="en-US" w:eastAsia="zh-CN"/>
              </w:rPr>
              <w:t>106.48945215</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7FE8FE9F">
            <w:pPr>
              <w:widowControl/>
              <w:ind w:left="-105" w:leftChars="-50" w:right="-105" w:rightChars="-50"/>
              <w:jc w:val="center"/>
              <w:textAlignment w:val="center"/>
              <w:rPr>
                <w:rFonts w:hint="default" w:ascii="Times New Roman" w:hAnsi="Times New Roman" w:cs="Times New Roman" w:eastAsiaTheme="minorEastAsia"/>
                <w:i w:val="0"/>
                <w:iCs w:val="0"/>
                <w:color w:val="auto"/>
                <w:kern w:val="2"/>
                <w:sz w:val="21"/>
                <w:szCs w:val="21"/>
                <w:highlight w:val="none"/>
                <w:lang w:val="en-US" w:eastAsia="zh-CN" w:bidi="ar-SA"/>
              </w:rPr>
            </w:pPr>
            <w:r>
              <w:rPr>
                <w:rFonts w:hint="default" w:ascii="Times New Roman" w:hAnsi="Times New Roman" w:cs="Times New Roman" w:eastAsiaTheme="minorEastAsia"/>
                <w:b w:val="0"/>
                <w:bCs w:val="0"/>
                <w:i w:val="0"/>
                <w:iCs w:val="0"/>
                <w:color w:val="auto"/>
                <w:sz w:val="21"/>
                <w:szCs w:val="21"/>
                <w:lang w:val="en-US" w:eastAsia="zh-CN"/>
              </w:rPr>
              <w:t>36.029445158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3F9F3B9A">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1741</w:t>
            </w:r>
          </w:p>
        </w:tc>
        <w:tc>
          <w:tcPr>
            <w:tcW w:w="1326" w:type="dxa"/>
            <w:tcBorders>
              <w:tl2br w:val="nil"/>
              <w:tr2bl w:val="nil"/>
            </w:tcBorders>
            <w:noWrap w:val="0"/>
            <w:vAlign w:val="center"/>
          </w:tcPr>
          <w:p w14:paraId="7715A4E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油松群落</w:t>
            </w:r>
          </w:p>
        </w:tc>
        <w:tc>
          <w:tcPr>
            <w:tcW w:w="2003" w:type="dxa"/>
            <w:tcBorders>
              <w:tl2br w:val="nil"/>
              <w:tr2bl w:val="nil"/>
            </w:tcBorders>
            <w:noWrap w:val="0"/>
            <w:vAlign w:val="center"/>
          </w:tcPr>
          <w:p w14:paraId="733D111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油松+长芒草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6DD7EDDB">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6CD1007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176A99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7BA703EF">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50#</w:t>
            </w:r>
          </w:p>
        </w:tc>
        <w:tc>
          <w:tcPr>
            <w:tcW w:w="1562" w:type="dxa"/>
            <w:tcBorders>
              <w:tl2br w:val="nil"/>
              <w:tr2bl w:val="nil"/>
            </w:tcBorders>
            <w:noWrap w:val="0"/>
            <w:vAlign w:val="center"/>
          </w:tcPr>
          <w:p w14:paraId="678228E2">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106.48979802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0BACEDA6">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36.02953342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178B7BBF">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1744</w:t>
            </w:r>
          </w:p>
        </w:tc>
        <w:tc>
          <w:tcPr>
            <w:tcW w:w="1326" w:type="dxa"/>
            <w:tcBorders>
              <w:tl2br w:val="nil"/>
              <w:tr2bl w:val="nil"/>
            </w:tcBorders>
            <w:noWrap w:val="0"/>
            <w:vAlign w:val="center"/>
          </w:tcPr>
          <w:p w14:paraId="7C210756">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油松群落</w:t>
            </w:r>
          </w:p>
        </w:tc>
        <w:tc>
          <w:tcPr>
            <w:tcW w:w="2003" w:type="dxa"/>
            <w:tcBorders>
              <w:tl2br w:val="nil"/>
              <w:tr2bl w:val="nil"/>
            </w:tcBorders>
            <w:noWrap w:val="0"/>
            <w:vAlign w:val="center"/>
          </w:tcPr>
          <w:p w14:paraId="7A6F0419">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山桃+油松+</w:t>
            </w:r>
            <w:r>
              <w:rPr>
                <w:rFonts w:hint="default" w:ascii="Times New Roman" w:hAnsi="Times New Roman" w:cs="Times New Roman" w:eastAsiaTheme="minorEastAsia"/>
                <w:i w:val="0"/>
                <w:iCs w:val="0"/>
                <w:color w:val="auto"/>
                <w:sz w:val="21"/>
                <w:szCs w:val="21"/>
                <w:highlight w:val="none"/>
                <w:lang w:val="en-US" w:eastAsia="zh-CN" w:bidi="ar-SA"/>
              </w:rPr>
              <w:t>柠条锦鸡儿</w:t>
            </w:r>
            <w:r>
              <w:rPr>
                <w:rFonts w:hint="default" w:ascii="Times New Roman" w:hAnsi="Times New Roman" w:cs="Times New Roman" w:eastAsiaTheme="minorEastAsia"/>
                <w:b w:val="0"/>
                <w:bCs w:val="0"/>
                <w:i w:val="0"/>
                <w:iCs w:val="0"/>
                <w:color w:val="auto"/>
                <w:sz w:val="21"/>
                <w:szCs w:val="21"/>
                <w:lang w:val="en-US" w:eastAsia="zh-CN"/>
              </w:rPr>
              <w:t>+长芒草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01BA89D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93AAD0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6D4126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25DEAFA9">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51#</w:t>
            </w:r>
          </w:p>
        </w:tc>
        <w:tc>
          <w:tcPr>
            <w:tcW w:w="1562" w:type="dxa"/>
            <w:tcBorders>
              <w:tl2br w:val="nil"/>
              <w:tr2bl w:val="nil"/>
            </w:tcBorders>
            <w:noWrap w:val="0"/>
            <w:vAlign w:val="center"/>
          </w:tcPr>
          <w:p w14:paraId="23574CAE">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106.48975424</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12262B94">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36.02877824</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791BAFCB">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1750</w:t>
            </w:r>
          </w:p>
        </w:tc>
        <w:tc>
          <w:tcPr>
            <w:tcW w:w="1326" w:type="dxa"/>
            <w:tcBorders>
              <w:tl2br w:val="nil"/>
              <w:tr2bl w:val="nil"/>
            </w:tcBorders>
            <w:noWrap w:val="0"/>
            <w:vAlign w:val="center"/>
          </w:tcPr>
          <w:p w14:paraId="4DAD1D6C">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油松群落</w:t>
            </w:r>
          </w:p>
        </w:tc>
        <w:tc>
          <w:tcPr>
            <w:tcW w:w="2003" w:type="dxa"/>
            <w:tcBorders>
              <w:tl2br w:val="nil"/>
              <w:tr2bl w:val="nil"/>
            </w:tcBorders>
            <w:noWrap w:val="0"/>
            <w:vAlign w:val="center"/>
          </w:tcPr>
          <w:p w14:paraId="6D6591F2">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油松+</w:t>
            </w:r>
            <w:r>
              <w:rPr>
                <w:rFonts w:hint="default" w:ascii="Times New Roman" w:hAnsi="Times New Roman" w:cs="Times New Roman" w:eastAsiaTheme="minorEastAsia"/>
                <w:i w:val="0"/>
                <w:iCs w:val="0"/>
                <w:color w:val="auto"/>
                <w:sz w:val="21"/>
                <w:szCs w:val="21"/>
                <w:highlight w:val="none"/>
                <w:lang w:val="en-US" w:eastAsia="zh-CN" w:bidi="ar-SA"/>
              </w:rPr>
              <w:t>柠条锦鸡儿</w:t>
            </w:r>
            <w:r>
              <w:rPr>
                <w:rFonts w:hint="default" w:ascii="Times New Roman" w:hAnsi="Times New Roman" w:cs="Times New Roman" w:eastAsiaTheme="minorEastAsia"/>
                <w:b w:val="0"/>
                <w:bCs w:val="0"/>
                <w:i w:val="0"/>
                <w:iCs w:val="0"/>
                <w:color w:val="auto"/>
                <w:sz w:val="21"/>
                <w:szCs w:val="21"/>
                <w:lang w:val="en-US" w:eastAsia="zh-CN"/>
              </w:rPr>
              <w:t>+长芒草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2586062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680CF8C4">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07EB6C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6746A911">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52#</w:t>
            </w:r>
          </w:p>
        </w:tc>
        <w:tc>
          <w:tcPr>
            <w:tcW w:w="1562" w:type="dxa"/>
            <w:tcBorders>
              <w:tl2br w:val="nil"/>
              <w:tr2bl w:val="nil"/>
            </w:tcBorders>
            <w:noWrap w:val="0"/>
            <w:vAlign w:val="center"/>
          </w:tcPr>
          <w:p w14:paraId="2749327B">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lang w:val="en-US" w:eastAsia="zh-CN"/>
              </w:rPr>
              <w:t>106.49085912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501DAD55">
            <w:pPr>
              <w:widowControl/>
              <w:ind w:left="-105" w:leftChars="-50" w:right="-105" w:rightChars="-50"/>
              <w:jc w:val="center"/>
              <w:textAlignment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36.03133658</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107F8D8D">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1739</w:t>
            </w:r>
          </w:p>
        </w:tc>
        <w:tc>
          <w:tcPr>
            <w:tcW w:w="1326" w:type="dxa"/>
            <w:tcBorders>
              <w:tl2br w:val="nil"/>
              <w:tr2bl w:val="nil"/>
            </w:tcBorders>
            <w:noWrap w:val="0"/>
            <w:vAlign w:val="center"/>
          </w:tcPr>
          <w:p w14:paraId="074E100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沙棘群落</w:t>
            </w:r>
          </w:p>
        </w:tc>
        <w:tc>
          <w:tcPr>
            <w:tcW w:w="2003" w:type="dxa"/>
            <w:tcBorders>
              <w:tl2br w:val="nil"/>
              <w:tr2bl w:val="nil"/>
            </w:tcBorders>
            <w:noWrap w:val="0"/>
            <w:vAlign w:val="center"/>
          </w:tcPr>
          <w:p w14:paraId="235A6873">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rPr>
            </w:pPr>
            <w:r>
              <w:rPr>
                <w:rFonts w:hint="default" w:ascii="Times New Roman" w:hAnsi="Times New Roman" w:cs="Times New Roman" w:eastAsiaTheme="minorEastAsia"/>
                <w:b w:val="0"/>
                <w:bCs w:val="0"/>
                <w:i w:val="0"/>
                <w:iCs w:val="0"/>
                <w:color w:val="auto"/>
                <w:sz w:val="21"/>
                <w:szCs w:val="21"/>
                <w:lang w:val="en-US" w:eastAsia="zh-CN"/>
              </w:rPr>
              <w:t>沙棘+</w:t>
            </w:r>
            <w:r>
              <w:rPr>
                <w:rFonts w:hint="default" w:ascii="Times New Roman" w:hAnsi="Times New Roman" w:cs="Times New Roman" w:eastAsiaTheme="minorEastAsia"/>
                <w:i w:val="0"/>
                <w:iCs w:val="0"/>
                <w:color w:val="auto"/>
                <w:sz w:val="21"/>
                <w:szCs w:val="21"/>
                <w:highlight w:val="none"/>
                <w:lang w:val="en-US" w:eastAsia="zh-CN" w:bidi="ar-SA"/>
              </w:rPr>
              <w:t>柠条锦鸡儿+狗尾草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25D6DE95">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5DD1582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19972D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76AE221C">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53#</w:t>
            </w:r>
          </w:p>
        </w:tc>
        <w:tc>
          <w:tcPr>
            <w:tcW w:w="1562" w:type="dxa"/>
            <w:tcBorders>
              <w:tl2br w:val="nil"/>
              <w:tr2bl w:val="nil"/>
            </w:tcBorders>
            <w:noWrap w:val="0"/>
            <w:vAlign w:val="center"/>
          </w:tcPr>
          <w:p w14:paraId="22B2E2B4">
            <w:pPr>
              <w:adjustRightInd w:val="0"/>
              <w:snapToGrid w:val="0"/>
              <w:jc w:val="center"/>
              <w:rPr>
                <w:rFonts w:hint="default" w:ascii="Times New Roman" w:hAnsi="Times New Roman" w:cs="Times New Roman" w:eastAsiaTheme="minorEastAsia"/>
                <w:i w:val="0"/>
                <w:iCs w:val="0"/>
                <w:color w:val="auto"/>
                <w:kern w:val="2"/>
                <w:sz w:val="21"/>
                <w:szCs w:val="21"/>
                <w:highlight w:val="none"/>
                <w:lang w:val="en-US" w:eastAsia="zh-CN" w:bidi="ar-SA"/>
              </w:rPr>
            </w:pPr>
            <w:r>
              <w:rPr>
                <w:rFonts w:hint="default" w:ascii="Times New Roman" w:hAnsi="Times New Roman" w:cs="Times New Roman" w:eastAsiaTheme="minorEastAsia"/>
                <w:b w:val="0"/>
                <w:bCs w:val="0"/>
                <w:i w:val="0"/>
                <w:iCs w:val="0"/>
                <w:color w:val="auto"/>
                <w:sz w:val="21"/>
                <w:szCs w:val="21"/>
                <w:lang w:val="en-US" w:eastAsia="zh-CN"/>
              </w:rPr>
              <w:t>106.48386952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3663691F">
            <w:pPr>
              <w:widowControl/>
              <w:ind w:left="-105" w:leftChars="-50" w:right="-105" w:rightChars="-50"/>
              <w:jc w:val="center"/>
              <w:textAlignment w:val="center"/>
              <w:rPr>
                <w:rFonts w:hint="default" w:ascii="Times New Roman" w:hAnsi="Times New Roman" w:cs="Times New Roman" w:eastAsiaTheme="minorEastAsia"/>
                <w:i w:val="0"/>
                <w:iCs w:val="0"/>
                <w:color w:val="auto"/>
                <w:kern w:val="2"/>
                <w:sz w:val="21"/>
                <w:szCs w:val="21"/>
                <w:highlight w:val="none"/>
                <w:lang w:val="en-US" w:eastAsia="zh-CN" w:bidi="ar-SA"/>
              </w:rPr>
            </w:pPr>
            <w:r>
              <w:rPr>
                <w:rFonts w:hint="default" w:ascii="Times New Roman" w:hAnsi="Times New Roman" w:cs="Times New Roman" w:eastAsiaTheme="minorEastAsia"/>
                <w:b w:val="0"/>
                <w:bCs w:val="0"/>
                <w:i w:val="0"/>
                <w:iCs w:val="0"/>
                <w:color w:val="auto"/>
                <w:sz w:val="21"/>
                <w:szCs w:val="21"/>
                <w:lang w:val="en-US" w:eastAsia="zh-CN"/>
              </w:rPr>
              <w:t>36.05413842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730B16BF">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1753</w:t>
            </w:r>
          </w:p>
        </w:tc>
        <w:tc>
          <w:tcPr>
            <w:tcW w:w="1326" w:type="dxa"/>
            <w:tcBorders>
              <w:tl2br w:val="nil"/>
              <w:tr2bl w:val="nil"/>
            </w:tcBorders>
            <w:noWrap w:val="0"/>
            <w:vAlign w:val="center"/>
          </w:tcPr>
          <w:p w14:paraId="7F4246C6">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沙棘群落</w:t>
            </w:r>
          </w:p>
        </w:tc>
        <w:tc>
          <w:tcPr>
            <w:tcW w:w="2003" w:type="dxa"/>
            <w:tcBorders>
              <w:tl2br w:val="nil"/>
              <w:tr2bl w:val="nil"/>
            </w:tcBorders>
            <w:noWrap w:val="0"/>
            <w:vAlign w:val="center"/>
          </w:tcPr>
          <w:p w14:paraId="5ABCCEC7">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kern w:val="2"/>
                <w:sz w:val="21"/>
                <w:szCs w:val="21"/>
                <w:highlight w:val="none"/>
                <w:lang w:val="en-US" w:eastAsia="zh-CN" w:bidi="ar-SA"/>
              </w:rPr>
            </w:pPr>
            <w:r>
              <w:rPr>
                <w:rFonts w:hint="default" w:ascii="Times New Roman" w:hAnsi="Times New Roman" w:cs="Times New Roman" w:eastAsiaTheme="minorEastAsia"/>
                <w:b w:val="0"/>
                <w:bCs w:val="0"/>
                <w:i w:val="0"/>
                <w:iCs w:val="0"/>
                <w:color w:val="auto"/>
                <w:sz w:val="21"/>
                <w:szCs w:val="21"/>
                <w:lang w:val="en-US" w:eastAsia="zh-CN"/>
              </w:rPr>
              <w:t>沙棘+</w:t>
            </w:r>
            <w:r>
              <w:rPr>
                <w:rFonts w:hint="default" w:ascii="Times New Roman" w:hAnsi="Times New Roman" w:cs="Times New Roman" w:eastAsiaTheme="minorEastAsia"/>
                <w:i w:val="0"/>
                <w:iCs w:val="0"/>
                <w:color w:val="auto"/>
                <w:sz w:val="21"/>
                <w:szCs w:val="21"/>
                <w:highlight w:val="none"/>
                <w:lang w:val="en-US" w:eastAsia="zh-CN" w:bidi="ar-SA"/>
              </w:rPr>
              <w:t>柠条锦鸡儿+狗尾草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58E8348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3AA4EC0D">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r w14:paraId="673957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74" w:type="dxa"/>
            <w:tcBorders>
              <w:tl2br w:val="nil"/>
              <w:tr2bl w:val="nil"/>
            </w:tcBorders>
            <w:noWrap w:val="0"/>
            <w:vAlign w:val="center"/>
          </w:tcPr>
          <w:p w14:paraId="553CDF01">
            <w:pPr>
              <w:pStyle w:val="71"/>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54#</w:t>
            </w:r>
          </w:p>
        </w:tc>
        <w:tc>
          <w:tcPr>
            <w:tcW w:w="1562" w:type="dxa"/>
            <w:tcBorders>
              <w:tl2br w:val="nil"/>
              <w:tr2bl w:val="nil"/>
            </w:tcBorders>
            <w:noWrap w:val="0"/>
            <w:vAlign w:val="center"/>
          </w:tcPr>
          <w:p w14:paraId="152324C1">
            <w:pPr>
              <w:adjustRightInd w:val="0"/>
              <w:snapToGrid w:val="0"/>
              <w:jc w:val="center"/>
              <w:rPr>
                <w:rFonts w:hint="default" w:ascii="Times New Roman" w:hAnsi="Times New Roman" w:cs="Times New Roman" w:eastAsiaTheme="minorEastAsia"/>
                <w:i w:val="0"/>
                <w:iCs w:val="0"/>
                <w:color w:val="auto"/>
                <w:kern w:val="2"/>
                <w:sz w:val="21"/>
                <w:szCs w:val="21"/>
                <w:highlight w:val="none"/>
                <w:lang w:val="en-US" w:eastAsia="zh-CN" w:bidi="ar-SA"/>
              </w:rPr>
            </w:pPr>
            <w:r>
              <w:rPr>
                <w:rFonts w:hint="default" w:ascii="Times New Roman" w:hAnsi="Times New Roman" w:cs="Times New Roman" w:eastAsiaTheme="minorEastAsia"/>
                <w:b w:val="0"/>
                <w:bCs w:val="0"/>
                <w:i w:val="0"/>
                <w:iCs w:val="0"/>
                <w:color w:val="auto"/>
                <w:sz w:val="21"/>
                <w:szCs w:val="21"/>
                <w:lang w:val="en-US" w:eastAsia="zh-CN"/>
              </w:rPr>
              <w:t>106.48387752</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1462" w:type="dxa"/>
            <w:tcBorders>
              <w:tl2br w:val="nil"/>
              <w:tr2bl w:val="nil"/>
            </w:tcBorders>
            <w:noWrap w:val="0"/>
            <w:vAlign w:val="center"/>
          </w:tcPr>
          <w:p w14:paraId="58B228D1">
            <w:pPr>
              <w:widowControl/>
              <w:ind w:left="-105" w:leftChars="-50" w:right="-105" w:rightChars="-50"/>
              <w:jc w:val="center"/>
              <w:textAlignment w:val="center"/>
              <w:rPr>
                <w:rFonts w:hint="default" w:ascii="Times New Roman" w:hAnsi="Times New Roman" w:cs="Times New Roman" w:eastAsiaTheme="minorEastAsia"/>
                <w:i w:val="0"/>
                <w:iCs w:val="0"/>
                <w:color w:val="auto"/>
                <w:kern w:val="2"/>
                <w:sz w:val="21"/>
                <w:szCs w:val="21"/>
                <w:highlight w:val="none"/>
                <w:lang w:val="en-US" w:eastAsia="zh-CN" w:bidi="ar-SA"/>
              </w:rPr>
            </w:pPr>
            <w:r>
              <w:rPr>
                <w:rFonts w:hint="default" w:ascii="Times New Roman" w:hAnsi="Times New Roman" w:cs="Times New Roman" w:eastAsiaTheme="minorEastAsia"/>
                <w:b w:val="0"/>
                <w:bCs w:val="0"/>
                <w:i w:val="0"/>
                <w:iCs w:val="0"/>
                <w:color w:val="auto"/>
                <w:sz w:val="21"/>
                <w:szCs w:val="21"/>
                <w:lang w:val="en-US" w:eastAsia="zh-CN"/>
              </w:rPr>
              <w:t>36.05403157</w:t>
            </w:r>
            <w:r>
              <w:rPr>
                <w:rFonts w:hint="default" w:ascii="Times New Roman" w:hAnsi="Times New Roman" w:cs="Times New Roman" w:eastAsiaTheme="minorEastAsia"/>
                <w:b w:val="0"/>
                <w:bCs w:val="0"/>
                <w:i w:val="0"/>
                <w:iCs w:val="0"/>
                <w:color w:val="auto"/>
                <w:sz w:val="21"/>
                <w:szCs w:val="21"/>
                <w:vertAlign w:val="superscript"/>
                <w:lang w:val="en-US" w:eastAsia="zh-CN"/>
              </w:rPr>
              <w:t>o</w:t>
            </w:r>
          </w:p>
        </w:tc>
        <w:tc>
          <w:tcPr>
            <w:tcW w:w="858" w:type="dxa"/>
            <w:tcBorders>
              <w:tl2br w:val="nil"/>
              <w:tr2bl w:val="nil"/>
            </w:tcBorders>
            <w:noWrap w:val="0"/>
            <w:vAlign w:val="center"/>
          </w:tcPr>
          <w:p w14:paraId="4DC2A638">
            <w:pPr>
              <w:widowControl/>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1754</w:t>
            </w:r>
          </w:p>
        </w:tc>
        <w:tc>
          <w:tcPr>
            <w:tcW w:w="1326" w:type="dxa"/>
            <w:tcBorders>
              <w:tl2br w:val="nil"/>
              <w:tr2bl w:val="nil"/>
            </w:tcBorders>
            <w:noWrap w:val="0"/>
            <w:vAlign w:val="center"/>
          </w:tcPr>
          <w:p w14:paraId="700CF7AA">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沙棘群落</w:t>
            </w:r>
          </w:p>
        </w:tc>
        <w:tc>
          <w:tcPr>
            <w:tcW w:w="2003" w:type="dxa"/>
            <w:tcBorders>
              <w:tl2br w:val="nil"/>
              <w:tr2bl w:val="nil"/>
            </w:tcBorders>
            <w:noWrap w:val="0"/>
            <w:vAlign w:val="center"/>
          </w:tcPr>
          <w:p w14:paraId="6EC88681">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rPr>
            </w:pPr>
            <w:r>
              <w:rPr>
                <w:rFonts w:hint="default" w:ascii="Times New Roman" w:hAnsi="Times New Roman" w:cs="Times New Roman" w:eastAsiaTheme="minorEastAsia"/>
                <w:b w:val="0"/>
                <w:bCs w:val="0"/>
                <w:i w:val="0"/>
                <w:iCs w:val="0"/>
                <w:color w:val="auto"/>
                <w:sz w:val="21"/>
                <w:szCs w:val="21"/>
                <w:lang w:val="en-US" w:eastAsia="zh-CN"/>
              </w:rPr>
              <w:t>沙棘+</w:t>
            </w:r>
            <w:r>
              <w:rPr>
                <w:rFonts w:hint="default" w:ascii="Times New Roman" w:hAnsi="Times New Roman" w:cs="Times New Roman" w:eastAsiaTheme="minorEastAsia"/>
                <w:i w:val="0"/>
                <w:iCs w:val="0"/>
                <w:color w:val="auto"/>
                <w:sz w:val="21"/>
                <w:szCs w:val="21"/>
                <w:highlight w:val="none"/>
                <w:lang w:val="en-US" w:eastAsia="zh-CN" w:bidi="ar-SA"/>
              </w:rPr>
              <w:t>柠条锦鸡儿+狗尾草</w:t>
            </w:r>
            <w:r>
              <w:rPr>
                <w:rFonts w:hint="default" w:ascii="Times New Roman" w:hAnsi="Times New Roman" w:cs="Times New Roman" w:eastAsiaTheme="minorEastAsia"/>
                <w:i w:val="0"/>
                <w:iCs w:val="0"/>
                <w:color w:val="auto"/>
                <w:kern w:val="2"/>
                <w:sz w:val="21"/>
                <w:szCs w:val="21"/>
                <w:highlight w:val="none"/>
                <w:lang w:eastAsia="zh-CN"/>
              </w:rPr>
              <w:t>群从</w:t>
            </w:r>
          </w:p>
        </w:tc>
        <w:tc>
          <w:tcPr>
            <w:tcW w:w="688" w:type="dxa"/>
            <w:tcBorders>
              <w:tl2br w:val="nil"/>
              <w:tr2bl w:val="nil"/>
            </w:tcBorders>
            <w:noWrap w:val="0"/>
            <w:vAlign w:val="center"/>
          </w:tcPr>
          <w:p w14:paraId="41C06460">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丘陵</w:t>
            </w:r>
          </w:p>
        </w:tc>
        <w:tc>
          <w:tcPr>
            <w:tcW w:w="641" w:type="dxa"/>
            <w:tcBorders>
              <w:tl2br w:val="nil"/>
              <w:tr2bl w:val="nil"/>
            </w:tcBorders>
            <w:noWrap w:val="0"/>
            <w:vAlign w:val="center"/>
          </w:tcPr>
          <w:p w14:paraId="5FEF274F">
            <w:pPr>
              <w:kinsoku w:val="0"/>
              <w:overflowPunct w:val="0"/>
              <w:snapToGrid w:val="0"/>
              <w:ind w:left="-105" w:leftChars="-50" w:right="-105" w:rightChars="-50"/>
              <w:jc w:val="center"/>
              <w:rPr>
                <w:rFonts w:hint="default" w:ascii="Times New Roman" w:hAnsi="Times New Roman" w:cs="Times New Roman" w:eastAsiaTheme="minorEastAsia"/>
                <w:i w:val="0"/>
                <w:iCs w:val="0"/>
                <w:color w:val="auto"/>
                <w:sz w:val="21"/>
                <w:szCs w:val="21"/>
                <w:highlight w:val="none"/>
                <w:lang w:val="en-US" w:eastAsia="zh-CN"/>
              </w:rPr>
            </w:pPr>
            <w:r>
              <w:rPr>
                <w:rFonts w:hint="default" w:ascii="Times New Roman" w:hAnsi="Times New Roman" w:cs="Times New Roman" w:eastAsiaTheme="minorEastAsia"/>
                <w:i w:val="0"/>
                <w:iCs w:val="0"/>
                <w:color w:val="auto"/>
                <w:sz w:val="21"/>
                <w:szCs w:val="21"/>
                <w:highlight w:val="none"/>
                <w:lang w:val="en-US" w:eastAsia="zh-CN"/>
              </w:rPr>
              <w:t>二</w:t>
            </w:r>
            <w:r>
              <w:rPr>
                <w:rFonts w:hint="default" w:ascii="Times New Roman" w:hAnsi="Times New Roman" w:cs="Times New Roman" w:eastAsiaTheme="minorEastAsia"/>
                <w:i w:val="0"/>
                <w:iCs w:val="0"/>
                <w:color w:val="auto"/>
                <w:sz w:val="21"/>
                <w:szCs w:val="21"/>
                <w:highlight w:val="none"/>
              </w:rPr>
              <w:t>级</w:t>
            </w:r>
          </w:p>
        </w:tc>
      </w:tr>
    </w:tbl>
    <w:p w14:paraId="20467695">
      <w:pPr>
        <w:pStyle w:val="13"/>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cs="Times New Roman"/>
          <w:b/>
          <w:bCs/>
          <w:color w:val="auto"/>
          <w:sz w:val="24"/>
          <w:highlight w:val="none"/>
          <w:lang w:eastAsia="zh-CN"/>
        </w:rPr>
        <w:t>⑵</w:t>
      </w:r>
      <w:r>
        <w:rPr>
          <w:rFonts w:hint="default" w:ascii="Times New Roman" w:hAnsi="Times New Roman" w:eastAsia="宋体" w:cs="Times New Roman"/>
          <w:b/>
          <w:bCs/>
          <w:color w:val="auto"/>
          <w:sz w:val="24"/>
          <w:highlight w:val="none"/>
        </w:rPr>
        <w:t>陆生动物调查方法</w:t>
      </w:r>
    </w:p>
    <w:p w14:paraId="133D9C24">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首先广泛查阅相关文献，收集调查区域已做相关项目陆生动物资料，对调查区域的动物资源进行大致了解。根据两栖类、爬行类、鸟类和哺乳类分布的特点以及调查地点的环境特征，确定调查方法及路线。</w:t>
      </w:r>
    </w:p>
    <w:p w14:paraId="32919E74">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参照《生物多样性观测技术导则</w:t>
      </w:r>
      <w:r>
        <w:rPr>
          <w:rFonts w:hint="eastAsia"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陆生哺乳动物》（HJ710.3-2014）、《生物多样性观测技术导则</w:t>
      </w:r>
      <w:r>
        <w:rPr>
          <w:rFonts w:hint="eastAsia"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鸟类》（HJ710.4-2014）、《生物多样性观测技术导则</w:t>
      </w:r>
      <w:r>
        <w:rPr>
          <w:rFonts w:hint="eastAsia"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爬行动物》（HJ710.5-2014）、《生物多样性观测技术导则</w:t>
      </w:r>
      <w:r>
        <w:rPr>
          <w:rFonts w:hint="eastAsia"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两栖动物》（HJ710.6-2014）、《全国动物物种资源调查技术规定（试行）》等陆生动物调查方法主要采用样线、样点、样方法对评价范围陆生动物进行调查。</w:t>
      </w:r>
    </w:p>
    <w:p w14:paraId="351A810E">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本次收集202</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年</w:t>
      </w:r>
      <w:r>
        <w:rPr>
          <w:rFonts w:hint="eastAsia"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lang w:val="en-US" w:eastAsia="zh-CN"/>
        </w:rPr>
        <w:t>月</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lang w:val="en-US" w:eastAsia="zh-CN"/>
        </w:rPr>
        <w:t>日</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月</w:t>
      </w:r>
      <w:r>
        <w:rPr>
          <w:rFonts w:hint="eastAsia"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rPr>
        <w:t>日</w:t>
      </w:r>
      <w:r>
        <w:rPr>
          <w:rFonts w:hint="eastAsia" w:ascii="Times New Roman" w:hAnsi="Times New Roman" w:eastAsia="宋体" w:cs="Times New Roman"/>
          <w:color w:val="auto"/>
          <w:sz w:val="24"/>
          <w:szCs w:val="24"/>
          <w:highlight w:val="none"/>
          <w:lang w:val="en-US" w:eastAsia="zh-CN"/>
        </w:rPr>
        <w:t>对项目评价范围内进行动物样线调查。</w:t>
      </w:r>
    </w:p>
    <w:p w14:paraId="6F4BD8B8">
      <w:pPr>
        <w:pStyle w:val="13"/>
        <w:pageBreakBefore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两栖类与爬行类样线法调查：调查方法以样线法为主，具体操作为：3人一组，样线左右两侧各1人负责观察寻找，剩余1人负责记录，调查人员沿选定的路线匀速前进，一般行进速度为2km/h。在实地调查过程中，仔细搜寻样线两侧的两栖动物和爬行动物，并对物种进行定位，详细记录动物发现位点的地理坐标、海拔、生境及航迹等信息，对物种实体及其生境进行拍照。</w:t>
      </w:r>
    </w:p>
    <w:p w14:paraId="4D23E712">
      <w:pPr>
        <w:pStyle w:val="13"/>
        <w:pageBreakBefore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鸟类样线法查：查区内大部分地区的鸟类调查采用样线法。在每个调查点依据生境类型和地形布设样线，各样线互不重叠；样线长度以1~3km为宜。通过望远镜、数码摄像机、数码相机等观察样带两侧约200m以内的鸟类，辅以鸟类鸣叫声、飞行姿势、生态习性和羽毛等辨认。仔细记录发现鸟类的名称、数量、距离中线的距离，并记录鸟类物种发现点的经纬度、海拔、生境、样带长度及航迹等信息。如未观察到鸟类，但能听到鸟类鸣叫声的，借助录音笔记录其鸣声，以此作为识别物种的依据。</w:t>
      </w:r>
    </w:p>
    <w:p w14:paraId="58572172">
      <w:pPr>
        <w:pStyle w:val="13"/>
        <w:pageBreakBefore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哺乳类样线法调查：哺乳类调查与鸟类调查同时进行。调查时统计样线两边的哺乳类足迹、粪便、叫声及活体的活动情况等，并在发现动物实体或其痕迹时，利用奥维互动地图软件或轨迹记录仪记录动物名称、数量、痕迹种类及地理位置、航迹等信息。</w:t>
      </w:r>
    </w:p>
    <w:p w14:paraId="5704D555">
      <w:pPr>
        <w:pStyle w:val="3"/>
        <w:keepNext/>
        <w:keepLines/>
        <w:pageBreakBefore w:val="0"/>
        <w:widowControl w:val="0"/>
        <w:kinsoku/>
        <w:wordWrap/>
        <w:overflowPunct/>
        <w:topLinePunct w:val="0"/>
        <w:autoSpaceDE/>
        <w:autoSpaceDN/>
        <w:bidi w:val="0"/>
        <w:adjustRightInd w:val="0"/>
        <w:snapToGrid w:val="0"/>
        <w:spacing w:before="0" w:beforeAutospacing="0" w:after="0" w:afterAutospacing="0" w:line="360" w:lineRule="auto"/>
        <w:jc w:val="both"/>
        <w:textAlignment w:val="auto"/>
        <w:rPr>
          <w:rFonts w:hint="default" w:ascii="Times New Roman" w:hAnsi="Times New Roman" w:eastAsia="宋体" w:cs="Times New Roman"/>
          <w:bCs/>
          <w:color w:val="auto"/>
          <w:spacing w:val="0"/>
          <w:kern w:val="2"/>
          <w:sz w:val="24"/>
          <w:szCs w:val="24"/>
        </w:rPr>
      </w:pPr>
      <w:bookmarkStart w:id="469" w:name="_Toc18883"/>
      <w:bookmarkStart w:id="470" w:name="_Toc16136"/>
      <w:bookmarkStart w:id="471" w:name="_Toc17998"/>
      <w:bookmarkStart w:id="472" w:name="_Toc19900"/>
      <w:bookmarkStart w:id="473" w:name="_Toc18926"/>
      <w:bookmarkStart w:id="474" w:name="_Toc29133"/>
      <w:r>
        <w:rPr>
          <w:rFonts w:hint="eastAsia" w:ascii="Times New Roman" w:hAnsi="Times New Roman" w:cs="Times New Roman"/>
          <w:bCs/>
          <w:color w:val="auto"/>
          <w:spacing w:val="0"/>
          <w:kern w:val="2"/>
          <w:sz w:val="24"/>
          <w:szCs w:val="24"/>
          <w:lang w:val="en-US" w:eastAsia="zh-CN"/>
        </w:rPr>
        <w:t>2</w:t>
      </w:r>
      <w:r>
        <w:rPr>
          <w:rFonts w:hint="default" w:ascii="Times New Roman" w:hAnsi="Times New Roman" w:eastAsia="宋体" w:cs="Times New Roman"/>
          <w:bCs/>
          <w:color w:val="auto"/>
          <w:spacing w:val="0"/>
          <w:kern w:val="2"/>
          <w:sz w:val="24"/>
          <w:szCs w:val="24"/>
        </w:rPr>
        <w:t>.</w:t>
      </w:r>
      <w:r>
        <w:rPr>
          <w:rFonts w:hint="default" w:ascii="Times New Roman" w:hAnsi="Times New Roman" w:cs="Times New Roman"/>
          <w:bCs/>
          <w:color w:val="auto"/>
          <w:spacing w:val="0"/>
          <w:kern w:val="2"/>
          <w:sz w:val="24"/>
          <w:szCs w:val="24"/>
          <w:lang w:val="en-US" w:eastAsia="zh-CN"/>
        </w:rPr>
        <w:t>2</w:t>
      </w:r>
      <w:r>
        <w:rPr>
          <w:rFonts w:hint="default" w:ascii="Times New Roman" w:hAnsi="Times New Roman" w:eastAsia="宋体" w:cs="Times New Roman"/>
          <w:bCs/>
          <w:color w:val="auto"/>
          <w:spacing w:val="0"/>
          <w:kern w:val="2"/>
          <w:sz w:val="24"/>
          <w:szCs w:val="24"/>
        </w:rPr>
        <w:t>生态环境现状调查与评价</w:t>
      </w:r>
      <w:bookmarkEnd w:id="469"/>
      <w:bookmarkEnd w:id="470"/>
      <w:bookmarkEnd w:id="471"/>
      <w:bookmarkEnd w:id="472"/>
      <w:bookmarkEnd w:id="473"/>
      <w:bookmarkEnd w:id="474"/>
    </w:p>
    <w:p w14:paraId="5887E21D">
      <w:pPr>
        <w:pStyle w:val="4"/>
        <w:pageBreakBefore w:val="0"/>
        <w:widowControl w:val="0"/>
        <w:numPr>
          <w:ilvl w:val="0"/>
          <w:numId w:val="0"/>
        </w:numPr>
        <w:tabs>
          <w:tab w:val="clear" w:pos="709"/>
        </w:tabs>
        <w:kinsoku/>
        <w:wordWrap/>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宋体" w:cs="Times New Roman"/>
          <w:color w:val="auto"/>
          <w:sz w:val="24"/>
          <w:szCs w:val="24"/>
          <w:highlight w:val="none"/>
          <w:lang w:val="zh-CN"/>
        </w:rPr>
      </w:pPr>
      <w:bookmarkStart w:id="475" w:name="_Toc18055"/>
      <w:r>
        <w:rPr>
          <w:rFonts w:hint="eastAsia"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.1主要评价方法</w:t>
      </w:r>
      <w:bookmarkEnd w:id="475"/>
    </w:p>
    <w:p w14:paraId="5505A075">
      <w:pPr>
        <w:widowControl/>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kern w:val="0"/>
          <w:sz w:val="24"/>
          <w:highlight w:val="none"/>
          <w:lang w:eastAsia="zh-CN" w:bidi="ar"/>
        </w:rPr>
        <w:t>⑴</w:t>
      </w:r>
      <w:r>
        <w:rPr>
          <w:rFonts w:hint="default" w:ascii="Times New Roman" w:hAnsi="Times New Roman" w:cs="Times New Roman"/>
          <w:b/>
          <w:bCs/>
          <w:color w:val="auto"/>
          <w:kern w:val="0"/>
          <w:sz w:val="24"/>
          <w:highlight w:val="none"/>
          <w:lang w:bidi="ar"/>
        </w:rPr>
        <w:t>生态制图</w:t>
      </w:r>
    </w:p>
    <w:p w14:paraId="2171354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lang w:bidi="ar"/>
        </w:rPr>
        <w:t>采用GPS、RS和GIS相结合的空间信息技术，进行地面类型的数字化判读，完成数字化的植被类型图和土地利用类型图。</w:t>
      </w:r>
    </w:p>
    <w:p w14:paraId="36B780FE">
      <w:pPr>
        <w:widowControl/>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lang w:bidi="ar"/>
        </w:rPr>
        <w:t>从遥感信息获取的地面覆盖类型，在地面调查和历史植被基础上进行综合判读，采用监督分类的方法最终赋予生态学的含义。选用LandSet8的TM影像，30m分辨率多光谱遥感影像，以反映地面植被特征的6、5、4波段合成卫星遥感影像，其中植被影像主要反映为绿色。植被类型不同，色彩和色调发生相应变化，因此可区分出植被亚型以上的植被类型以及农田、居民地等地面类型。此外，植被类型的确定需结合不同植被类型分布的生态学特征，不单纯依靠色彩进行划分，对监督分类产生的植被初图，结合地面的GPS样点和等高线、坡度、坡向等信息，对植被图进行目视解译校正，得到符合精度要求的植被图。在植被图的基础上，进一步合并有关地面类型，得到土地利用类型图。</w:t>
      </w:r>
    </w:p>
    <w:p w14:paraId="31397B04">
      <w:pPr>
        <w:widowControl/>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lang w:bidi="ar"/>
        </w:rPr>
        <w:t>遥感处理分析的软件采用ERDASImagine9.1；制图、空间分析软件采用ArcGIS10.4、C</w:t>
      </w:r>
      <w:r>
        <w:rPr>
          <w:rFonts w:hint="default" w:ascii="Times New Roman" w:hAnsi="Times New Roman" w:cs="Times New Roman"/>
          <w:color w:val="auto"/>
          <w:kern w:val="0"/>
          <w:sz w:val="24"/>
          <w:highlight w:val="none"/>
          <w:lang w:eastAsia="zh-CN" w:bidi="ar"/>
        </w:rPr>
        <w:t>°</w:t>
      </w:r>
      <w:r>
        <w:rPr>
          <w:rFonts w:hint="default" w:ascii="Times New Roman" w:hAnsi="Times New Roman" w:cs="Times New Roman"/>
          <w:color w:val="auto"/>
          <w:kern w:val="0"/>
          <w:sz w:val="24"/>
          <w:highlight w:val="none"/>
          <w:lang w:bidi="ar"/>
        </w:rPr>
        <w:t>relDraWX4。</w:t>
      </w:r>
    </w:p>
    <w:p w14:paraId="580C34C6">
      <w:pPr>
        <w:widowControl/>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kern w:val="0"/>
          <w:sz w:val="24"/>
          <w:highlight w:val="none"/>
          <w:lang w:eastAsia="zh-CN" w:bidi="ar"/>
        </w:rPr>
        <w:t>⑵</w:t>
      </w:r>
      <w:r>
        <w:rPr>
          <w:rFonts w:hint="default" w:ascii="Times New Roman" w:hAnsi="Times New Roman" w:cs="Times New Roman"/>
          <w:b/>
          <w:bCs/>
          <w:color w:val="auto"/>
          <w:kern w:val="0"/>
          <w:sz w:val="24"/>
          <w:highlight w:val="none"/>
          <w:lang w:bidi="ar"/>
        </w:rPr>
        <w:t>植被生物量的测定与估算</w:t>
      </w:r>
    </w:p>
    <w:p w14:paraId="442F3B39">
      <w:pPr>
        <w:widowControl/>
        <w:spacing w:line="360" w:lineRule="auto"/>
        <w:ind w:firstLine="480" w:firstLineChars="200"/>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评价范围内植被生物量数据借用中国科学院生态环境研究中心专家建立的生物量的基本参数，并以其对宁夏回族自治区植被推算的平均生物量作为本次植被生物量估算的基础，参照植被生物量和净生产量估计模型，参考《中国不同植被类型净初级生产力变化特征》（陈雅敏等，2012年）、《我国草地生物量研究概述》（刘艾、刘德福，2005年）等资料，并根据当地的实际情况作适当调整，估算出评价范围内各植被类型的平均生物量。</w:t>
      </w:r>
    </w:p>
    <w:p w14:paraId="11997B37">
      <w:pPr>
        <w:widowControl/>
        <w:spacing w:line="360" w:lineRule="auto"/>
        <w:ind w:firstLine="482" w:firstLineChars="200"/>
        <w:rPr>
          <w:rFonts w:hint="default" w:ascii="Times New Roman" w:hAnsi="Times New Roman" w:cs="Times New Roman"/>
          <w:b/>
          <w:bCs/>
          <w:color w:val="auto"/>
          <w:kern w:val="0"/>
          <w:sz w:val="24"/>
          <w:highlight w:val="none"/>
          <w:lang w:bidi="ar"/>
        </w:rPr>
      </w:pPr>
      <w:r>
        <w:rPr>
          <w:rFonts w:hint="default" w:ascii="Times New Roman" w:hAnsi="Times New Roman" w:cs="Times New Roman"/>
          <w:b/>
          <w:bCs/>
          <w:color w:val="auto"/>
          <w:kern w:val="0"/>
          <w:sz w:val="24"/>
          <w:highlight w:val="none"/>
          <w:lang w:eastAsia="zh-CN" w:bidi="ar"/>
        </w:rPr>
        <w:t>⑶</w:t>
      </w:r>
      <w:r>
        <w:rPr>
          <w:rFonts w:hint="default" w:ascii="Times New Roman" w:hAnsi="Times New Roman" w:cs="Times New Roman"/>
          <w:b/>
          <w:bCs/>
          <w:color w:val="auto"/>
          <w:kern w:val="0"/>
          <w:sz w:val="24"/>
          <w:highlight w:val="none"/>
          <w:lang w:bidi="ar"/>
        </w:rPr>
        <w:t>生态影响预测</w:t>
      </w:r>
    </w:p>
    <w:p w14:paraId="1D1ECBAE">
      <w:pPr>
        <w:widowControl/>
        <w:spacing w:line="360" w:lineRule="auto"/>
        <w:ind w:firstLine="480" w:firstLineChars="200"/>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植物和动物影响的预测方法：在获得植物现状资料之后，根据项目规划分区和分时段进行</w:t>
      </w:r>
      <w:r>
        <w:rPr>
          <w:rFonts w:hint="eastAsia" w:cs="Times New Roman"/>
          <w:color w:val="auto"/>
          <w:kern w:val="0"/>
          <w:sz w:val="24"/>
          <w:highlight w:val="none"/>
          <w:lang w:val="en-US" w:eastAsia="zh-CN" w:bidi="ar"/>
        </w:rPr>
        <w:t>定性</w:t>
      </w:r>
      <w:r>
        <w:rPr>
          <w:rFonts w:hint="default" w:ascii="Times New Roman" w:hAnsi="Times New Roman" w:cs="Times New Roman"/>
          <w:color w:val="auto"/>
          <w:kern w:val="0"/>
          <w:sz w:val="24"/>
          <w:highlight w:val="none"/>
          <w:lang w:bidi="ar"/>
        </w:rPr>
        <w:t>分析。预测包括两个部分，即施工期对动、植物的影响和运营期对动、植物的影响。</w:t>
      </w:r>
    </w:p>
    <w:p w14:paraId="6C3E3F51">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cs="Times New Roman"/>
          <w:bCs/>
          <w:color w:val="auto"/>
          <w:highlight w:val="none"/>
        </w:rPr>
      </w:pPr>
      <w:r>
        <w:rPr>
          <w:rFonts w:hint="default" w:ascii="Times New Roman" w:hAnsi="Times New Roman" w:cs="Times New Roman"/>
          <w:color w:val="auto"/>
          <w:kern w:val="0"/>
          <w:sz w:val="24"/>
          <w:highlight w:val="none"/>
          <w:lang w:bidi="ar"/>
        </w:rPr>
        <w:t>施工期的影响主要为施工占地、施工活动等，运营期的影响主要为环境及植被变化对动物的影响。</w:t>
      </w:r>
    </w:p>
    <w:p w14:paraId="51D27119">
      <w:pPr>
        <w:pStyle w:val="4"/>
        <w:keepNext w:val="0"/>
        <w:keepLines w:val="0"/>
        <w:pageBreakBefore w:val="0"/>
        <w:widowControl w:val="0"/>
        <w:numPr>
          <w:ilvl w:val="0"/>
          <w:numId w:val="0"/>
        </w:numPr>
        <w:tabs>
          <w:tab w:val="clear" w:pos="709"/>
        </w:tabs>
        <w:kinsoku/>
        <w:wordWrap/>
        <w:overflowPunct/>
        <w:topLinePunct w:val="0"/>
        <w:autoSpaceDE/>
        <w:autoSpaceDN/>
        <w:bidi w:val="0"/>
        <w:adjustRightInd w:val="0"/>
        <w:snapToGrid w:val="0"/>
        <w:spacing w:beforeAutospacing="0" w:afterAutospacing="0" w:line="360" w:lineRule="auto"/>
        <w:ind w:right="0"/>
        <w:jc w:val="both"/>
        <w:textAlignment w:val="auto"/>
        <w:rPr>
          <w:rFonts w:hint="default" w:ascii="Times New Roman" w:hAnsi="Times New Roman" w:eastAsia="宋体" w:cs="Times New Roman"/>
          <w:color w:val="auto"/>
          <w:sz w:val="24"/>
          <w:szCs w:val="24"/>
          <w:highlight w:val="none"/>
        </w:rPr>
      </w:pPr>
      <w:bookmarkStart w:id="476" w:name="_Toc5440"/>
      <w:r>
        <w:rPr>
          <w:rFonts w:hint="eastAsia"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.2生态功能定位及主要生态问题</w:t>
      </w:r>
      <w:bookmarkEnd w:id="476"/>
    </w:p>
    <w:p w14:paraId="7812011B">
      <w:pPr>
        <w:pStyle w:val="5"/>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0" w:firstLineChars="0"/>
        <w:jc w:val="both"/>
        <w:textAlignment w:val="auto"/>
        <w:outlineLvl w:val="3"/>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.2.1全国生态功能区划</w:t>
      </w:r>
    </w:p>
    <w:p w14:paraId="1E6B507E">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根据《全国生态功能区划（修编版）》，</w:t>
      </w:r>
      <w:r>
        <w:rPr>
          <w:rFonts w:hint="eastAsia" w:cs="Times New Roman"/>
          <w:b w:val="0"/>
          <w:bCs w:val="0"/>
          <w:color w:val="auto"/>
          <w:kern w:val="0"/>
          <w:sz w:val="24"/>
          <w:lang w:val="en-US" w:eastAsia="zh-CN"/>
        </w:rPr>
        <w:t>拟建</w:t>
      </w:r>
      <w:r>
        <w:rPr>
          <w:rFonts w:hint="default" w:ascii="Times New Roman" w:hAnsi="Times New Roman" w:cs="Times New Roman"/>
          <w:b w:val="0"/>
          <w:bCs w:val="0"/>
          <w:color w:val="auto"/>
          <w:kern w:val="0"/>
          <w:sz w:val="24"/>
          <w:lang w:val="en-US" w:eastAsia="zh-CN"/>
        </w:rPr>
        <w:t>线路</w:t>
      </w:r>
      <w:r>
        <w:rPr>
          <w:rFonts w:hint="default" w:ascii="Times New Roman" w:hAnsi="Times New Roman" w:eastAsia="宋体" w:cs="Times New Roman"/>
          <w:color w:val="auto"/>
          <w:sz w:val="24"/>
          <w:highlight w:val="none"/>
        </w:rPr>
        <w:t>位于</w:t>
      </w:r>
      <w:r>
        <w:rPr>
          <w:rFonts w:hint="default" w:ascii="Times New Roman" w:hAnsi="Times New Roman" w:eastAsia="宋体" w:cs="Times New Roman"/>
          <w:color w:val="auto"/>
          <w:sz w:val="24"/>
          <w:highlight w:val="none"/>
          <w:lang w:val="en-US" w:eastAsia="zh-CN"/>
        </w:rPr>
        <w:t>宁夏</w:t>
      </w:r>
      <w:r>
        <w:rPr>
          <w:rFonts w:hint="eastAsia" w:cs="Times New Roman"/>
          <w:color w:val="auto"/>
          <w:sz w:val="24"/>
          <w:highlight w:val="none"/>
          <w:lang w:val="en-US" w:eastAsia="zh-CN"/>
        </w:rPr>
        <w:t>固原市原州区、彭阳县</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涉及黄土高原土壤保持重要区。</w:t>
      </w:r>
      <w:r>
        <w:rPr>
          <w:rFonts w:hint="default" w:ascii="Times New Roman" w:hAnsi="Times New Roman" w:eastAsia="宋体" w:cs="Times New Roman"/>
          <w:color w:val="auto"/>
          <w:sz w:val="24"/>
          <w:highlight w:val="none"/>
        </w:rPr>
        <w:t>拟建线路所涉及的生态功能区见</w:t>
      </w:r>
      <w:r>
        <w:rPr>
          <w:rFonts w:hint="default" w:ascii="Times New Roman" w:hAnsi="Times New Roman" w:cs="Times New Roman"/>
          <w:color w:val="auto"/>
          <w:sz w:val="24"/>
          <w:highlight w:val="none"/>
          <w:lang w:val="en-US" w:eastAsia="zh-CN"/>
        </w:rPr>
        <w:t>专题</w:t>
      </w:r>
      <w:r>
        <w:rPr>
          <w:rFonts w:hint="default" w:ascii="Times New Roman" w:hAnsi="Times New Roman" w:eastAsia="宋体" w:cs="Times New Roman"/>
          <w:color w:val="auto"/>
          <w:sz w:val="24"/>
          <w:highlight w:val="none"/>
        </w:rPr>
        <w:t>表</w:t>
      </w: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14:paraId="7540C3F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pacing w:val="-20"/>
          <w:kern w:val="0"/>
          <w:sz w:val="24"/>
          <w:highlight w:val="none"/>
          <w:lang w:bidi="ar"/>
        </w:rPr>
      </w:pPr>
      <w:r>
        <w:rPr>
          <w:rFonts w:hint="default" w:ascii="Times New Roman" w:hAnsi="Times New Roman" w:cs="Times New Roman"/>
          <w:b/>
          <w:bCs/>
          <w:color w:val="auto"/>
          <w:kern w:val="0"/>
          <w:sz w:val="24"/>
          <w:highlight w:val="none"/>
          <w:lang w:val="en-US" w:eastAsia="zh-CN" w:bidi="ar"/>
        </w:rPr>
        <w:t>专题</w:t>
      </w:r>
      <w:r>
        <w:rPr>
          <w:rFonts w:hint="default" w:ascii="Times New Roman" w:hAnsi="Times New Roman" w:eastAsia="宋体" w:cs="Times New Roman"/>
          <w:b/>
          <w:bCs/>
          <w:color w:val="auto"/>
          <w:kern w:val="0"/>
          <w:sz w:val="24"/>
          <w:highlight w:val="none"/>
          <w:lang w:bidi="ar"/>
        </w:rPr>
        <w:t>表</w:t>
      </w:r>
      <w:r>
        <w:rPr>
          <w:rFonts w:hint="eastAsia" w:cs="Times New Roman"/>
          <w:b/>
          <w:bCs/>
          <w:color w:val="auto"/>
          <w:kern w:val="0"/>
          <w:sz w:val="24"/>
          <w:highlight w:val="none"/>
          <w:lang w:val="en-US" w:eastAsia="zh-CN" w:bidi="ar"/>
        </w:rPr>
        <w:t>2</w:t>
      </w:r>
      <w:r>
        <w:rPr>
          <w:rFonts w:hint="default" w:ascii="Times New Roman" w:hAnsi="Times New Roman" w:eastAsia="宋体" w:cs="Times New Roman"/>
          <w:b/>
          <w:bCs/>
          <w:color w:val="auto"/>
          <w:kern w:val="0"/>
          <w:sz w:val="24"/>
          <w:highlight w:val="none"/>
          <w:lang w:bidi="ar"/>
        </w:rPr>
        <w:t>-</w:t>
      </w:r>
      <w:r>
        <w:rPr>
          <w:rFonts w:hint="eastAsia" w:cs="Times New Roman"/>
          <w:b/>
          <w:bCs/>
          <w:color w:val="auto"/>
          <w:kern w:val="0"/>
          <w:sz w:val="24"/>
          <w:highlight w:val="none"/>
          <w:lang w:val="en-US" w:eastAsia="zh-CN" w:bidi="ar"/>
        </w:rPr>
        <w:t>2</w:t>
      </w:r>
      <w:r>
        <w:rPr>
          <w:rFonts w:hint="default" w:ascii="Times New Roman" w:hAnsi="Times New Roman" w:eastAsia="宋体" w:cs="Times New Roman"/>
          <w:b/>
          <w:bCs/>
          <w:color w:val="auto"/>
          <w:kern w:val="0"/>
          <w:sz w:val="24"/>
          <w:highlight w:val="none"/>
          <w:lang w:bidi="ar"/>
        </w:rPr>
        <w:t xml:space="preserve"> </w:t>
      </w:r>
      <w:r>
        <w:rPr>
          <w:rFonts w:hint="default" w:ascii="Times New Roman" w:hAnsi="Times New Roman" w:cs="Times New Roman"/>
          <w:b/>
          <w:bCs/>
          <w:color w:val="auto"/>
          <w:kern w:val="0"/>
          <w:sz w:val="24"/>
          <w:highlight w:val="none"/>
          <w:lang w:val="en-US" w:eastAsia="zh-CN" w:bidi="ar"/>
        </w:rPr>
        <w:t xml:space="preserve">  </w:t>
      </w:r>
      <w:r>
        <w:rPr>
          <w:rFonts w:hint="default" w:ascii="Times New Roman" w:hAnsi="Times New Roman" w:eastAsia="宋体" w:cs="Times New Roman"/>
          <w:b/>
          <w:bCs/>
          <w:color w:val="auto"/>
          <w:kern w:val="0"/>
          <w:sz w:val="24"/>
          <w:highlight w:val="none"/>
          <w:lang w:val="en-US" w:eastAsia="zh-CN" w:bidi="ar"/>
        </w:rPr>
        <w:t xml:space="preserve"> 拟建线路涉及全国生态功能区划一览表</w:t>
      </w:r>
    </w:p>
    <w:tbl>
      <w:tblPr>
        <w:tblStyle w:val="32"/>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1"/>
        <w:gridCol w:w="931"/>
        <w:gridCol w:w="1113"/>
        <w:gridCol w:w="1065"/>
        <w:gridCol w:w="1869"/>
        <w:gridCol w:w="3065"/>
      </w:tblGrid>
      <w:tr w14:paraId="1ABA48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tblHeader/>
          <w:jc w:val="center"/>
        </w:trPr>
        <w:tc>
          <w:tcPr>
            <w:tcW w:w="971" w:type="dxa"/>
            <w:tcBorders>
              <w:tl2br w:val="nil"/>
              <w:tr2bl w:val="nil"/>
            </w:tcBorders>
            <w:noWrap w:val="0"/>
            <w:vAlign w:val="center"/>
          </w:tcPr>
          <w:p w14:paraId="2BDFFA66">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rPr>
              <w:t>生态功能一级区</w:t>
            </w:r>
          </w:p>
        </w:tc>
        <w:tc>
          <w:tcPr>
            <w:tcW w:w="931" w:type="dxa"/>
            <w:tcBorders>
              <w:tl2br w:val="nil"/>
              <w:tr2bl w:val="nil"/>
            </w:tcBorders>
            <w:noWrap w:val="0"/>
            <w:vAlign w:val="center"/>
          </w:tcPr>
          <w:p w14:paraId="236B693F">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rPr>
              <w:t>生态功能二级区</w:t>
            </w:r>
          </w:p>
        </w:tc>
        <w:tc>
          <w:tcPr>
            <w:tcW w:w="1113" w:type="dxa"/>
            <w:tcBorders>
              <w:tl2br w:val="nil"/>
              <w:tr2bl w:val="nil"/>
            </w:tcBorders>
            <w:noWrap w:val="0"/>
            <w:vAlign w:val="center"/>
          </w:tcPr>
          <w:p w14:paraId="4447924C">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rPr>
              <w:t>生态功能三级区</w:t>
            </w:r>
          </w:p>
        </w:tc>
        <w:tc>
          <w:tcPr>
            <w:tcW w:w="1065" w:type="dxa"/>
            <w:tcBorders>
              <w:tl2br w:val="nil"/>
              <w:tr2bl w:val="nil"/>
            </w:tcBorders>
            <w:noWrap w:val="0"/>
            <w:vAlign w:val="center"/>
          </w:tcPr>
          <w:p w14:paraId="6949285C">
            <w:pPr>
              <w:adjustRightInd w:val="0"/>
              <w:snapToGrid w:val="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功能区</w:t>
            </w:r>
          </w:p>
          <w:p w14:paraId="0CD37971">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rPr>
              <w:t>涉及市县</w:t>
            </w:r>
          </w:p>
        </w:tc>
        <w:tc>
          <w:tcPr>
            <w:tcW w:w="1869" w:type="dxa"/>
            <w:tcBorders>
              <w:tl2br w:val="nil"/>
              <w:tr2bl w:val="nil"/>
            </w:tcBorders>
            <w:noWrap w:val="0"/>
            <w:vAlign w:val="center"/>
          </w:tcPr>
          <w:p w14:paraId="4AFB4B26">
            <w:pPr>
              <w:adjustRightInd w:val="0"/>
              <w:snapToGrid w:val="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主要生态</w:t>
            </w:r>
          </w:p>
          <w:p w14:paraId="61DFAA4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rPr>
              <w:t>环境问题</w:t>
            </w:r>
          </w:p>
        </w:tc>
        <w:tc>
          <w:tcPr>
            <w:tcW w:w="3065" w:type="dxa"/>
            <w:tcBorders>
              <w:tl2br w:val="nil"/>
              <w:tr2bl w:val="nil"/>
            </w:tcBorders>
            <w:noWrap w:val="0"/>
            <w:vAlign w:val="center"/>
          </w:tcPr>
          <w:p w14:paraId="745301C6">
            <w:pPr>
              <w:keepNext w:val="0"/>
              <w:keepLines w:val="0"/>
              <w:widowControl/>
              <w:suppressLineNumbers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lang w:val="en-US" w:eastAsia="zh-CN"/>
              </w:rPr>
              <w:t>生态保护的主要方向</w:t>
            </w:r>
          </w:p>
        </w:tc>
      </w:tr>
      <w:tr w14:paraId="75925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0" w:hRule="atLeast"/>
          <w:jc w:val="center"/>
        </w:trPr>
        <w:tc>
          <w:tcPr>
            <w:tcW w:w="971" w:type="dxa"/>
            <w:tcBorders>
              <w:tl2br w:val="nil"/>
              <w:tr2bl w:val="nil"/>
            </w:tcBorders>
            <w:noWrap w:val="0"/>
            <w:vAlign w:val="center"/>
          </w:tcPr>
          <w:p w14:paraId="2D548251">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生态调节</w:t>
            </w:r>
            <w:r>
              <w:rPr>
                <w:rFonts w:hint="default" w:ascii="Times New Roman" w:hAnsi="Times New Roman" w:eastAsia="宋体" w:cs="Times New Roman"/>
                <w:color w:val="auto"/>
                <w:szCs w:val="21"/>
                <w:highlight w:val="none"/>
              </w:rPr>
              <w:t>区</w:t>
            </w:r>
          </w:p>
        </w:tc>
        <w:tc>
          <w:tcPr>
            <w:tcW w:w="931" w:type="dxa"/>
            <w:tcBorders>
              <w:tl2br w:val="nil"/>
              <w:tr2bl w:val="nil"/>
            </w:tcBorders>
            <w:noWrap w:val="0"/>
            <w:vAlign w:val="center"/>
          </w:tcPr>
          <w:p w14:paraId="227AF3A1">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 xml:space="preserve">土壤保 </w:t>
            </w:r>
          </w:p>
          <w:p w14:paraId="0F85070C">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 xml:space="preserve">持重要 </w:t>
            </w:r>
          </w:p>
          <w:p w14:paraId="014272C4">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区</w:t>
            </w:r>
          </w:p>
          <w:p w14:paraId="3005DE82">
            <w:pPr>
              <w:adjustRightInd w:val="0"/>
              <w:snapToGrid w:val="0"/>
              <w:jc w:val="center"/>
              <w:rPr>
                <w:rFonts w:hint="default" w:ascii="Times New Roman" w:hAnsi="Times New Roman" w:eastAsia="宋体" w:cs="Times New Roman"/>
                <w:color w:val="auto"/>
                <w:szCs w:val="21"/>
                <w:highlight w:val="none"/>
              </w:rPr>
            </w:pPr>
          </w:p>
        </w:tc>
        <w:tc>
          <w:tcPr>
            <w:tcW w:w="1113" w:type="dxa"/>
            <w:tcBorders>
              <w:tl2br w:val="nil"/>
              <w:tr2bl w:val="nil"/>
            </w:tcBorders>
            <w:noWrap w:val="0"/>
            <w:vAlign w:val="center"/>
          </w:tcPr>
          <w:p w14:paraId="4D052E2C">
            <w:pPr>
              <w:keepNext w:val="0"/>
              <w:keepLines w:val="0"/>
              <w:widowControl/>
              <w:suppressLineNumbers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 xml:space="preserve">黄土高 </w:t>
            </w:r>
          </w:p>
          <w:p w14:paraId="3254CCA8">
            <w:pPr>
              <w:keepNext w:val="0"/>
              <w:keepLines w:val="0"/>
              <w:widowControl/>
              <w:suppressLineNumbers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 xml:space="preserve">原土壤 </w:t>
            </w:r>
          </w:p>
          <w:p w14:paraId="47315B79">
            <w:pPr>
              <w:keepNext w:val="0"/>
              <w:keepLines w:val="0"/>
              <w:widowControl/>
              <w:suppressLineNumbers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 xml:space="preserve">保持重 </w:t>
            </w:r>
          </w:p>
          <w:p w14:paraId="1347AF1A">
            <w:pPr>
              <w:keepNext w:val="0"/>
              <w:keepLines w:val="0"/>
              <w:widowControl/>
              <w:suppressLineNumbers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要区</w:t>
            </w:r>
          </w:p>
          <w:p w14:paraId="22234B56">
            <w:pPr>
              <w:keepNext w:val="0"/>
              <w:keepLines w:val="0"/>
              <w:widowControl/>
              <w:suppressLineNumbers w:val="0"/>
              <w:jc w:val="center"/>
              <w:rPr>
                <w:rFonts w:hint="default" w:ascii="Times New Roman" w:hAnsi="Times New Roman" w:eastAsia="宋体" w:cs="Times New Roman"/>
                <w:color w:val="auto"/>
                <w:szCs w:val="21"/>
                <w:highlight w:val="none"/>
              </w:rPr>
            </w:pPr>
          </w:p>
        </w:tc>
        <w:tc>
          <w:tcPr>
            <w:tcW w:w="1065" w:type="dxa"/>
            <w:tcBorders>
              <w:tl2br w:val="nil"/>
              <w:tr2bl w:val="nil"/>
            </w:tcBorders>
            <w:noWrap w:val="0"/>
            <w:vAlign w:val="center"/>
          </w:tcPr>
          <w:p w14:paraId="10378FF9">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固原市</w:t>
            </w:r>
          </w:p>
          <w:p w14:paraId="7617D8AF">
            <w:pPr>
              <w:adjustRightInd w:val="0"/>
              <w:snapToGrid w:val="0"/>
              <w:rPr>
                <w:rFonts w:hint="default" w:ascii="Times New Roman" w:hAnsi="Times New Roman" w:eastAsia="宋体" w:cs="Times New Roman"/>
                <w:color w:val="auto"/>
                <w:szCs w:val="21"/>
                <w:highlight w:val="none"/>
              </w:rPr>
            </w:pPr>
          </w:p>
        </w:tc>
        <w:tc>
          <w:tcPr>
            <w:tcW w:w="1869" w:type="dxa"/>
            <w:tcBorders>
              <w:tl2br w:val="nil"/>
              <w:tr2bl w:val="nil"/>
            </w:tcBorders>
            <w:noWrap w:val="0"/>
            <w:vAlign w:val="center"/>
          </w:tcPr>
          <w:p w14:paraId="285DA5E4">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b w:val="0"/>
                <w:bCs w:val="0"/>
                <w:color w:val="auto"/>
                <w:szCs w:val="21"/>
                <w:highlight w:val="none"/>
                <w:lang w:val="en-US"/>
              </w:rPr>
            </w:pPr>
            <w:r>
              <w:rPr>
                <w:rFonts w:hint="default" w:ascii="Times New Roman" w:hAnsi="Times New Roman" w:eastAsia="宋体" w:cs="Times New Roman"/>
                <w:b w:val="0"/>
                <w:bCs w:val="0"/>
                <w:color w:val="auto"/>
                <w:szCs w:val="21"/>
                <w:highlight w:val="none"/>
                <w:lang w:val="en-US" w:eastAsia="zh-CN"/>
              </w:rPr>
              <w:t>生态脆弱以及过度开垦和油、气、煤资源开发导致生态系统质量低、水土保持功能低等生态问题，表现为坡面水土流失和沟蚀严重，河道与水库淤积严重，影响黄河中下游生态安全</w:t>
            </w:r>
            <w:r>
              <w:rPr>
                <w:rFonts w:hint="eastAsia" w:cs="Times New Roman"/>
                <w:b w:val="0"/>
                <w:bCs w:val="0"/>
                <w:color w:val="auto"/>
                <w:szCs w:val="21"/>
                <w:highlight w:val="none"/>
                <w:lang w:val="en-US" w:eastAsia="zh-CN"/>
              </w:rPr>
              <w:t>。</w:t>
            </w:r>
          </w:p>
        </w:tc>
        <w:tc>
          <w:tcPr>
            <w:tcW w:w="3065" w:type="dxa"/>
            <w:tcBorders>
              <w:tl2br w:val="nil"/>
              <w:tr2bl w:val="nil"/>
            </w:tcBorders>
            <w:noWrap w:val="0"/>
            <w:vAlign w:val="center"/>
          </w:tcPr>
          <w:p w14:paraId="3E4D9D52">
            <w:pPr>
              <w:adjustRightInd w:val="0"/>
              <w:snapToGrid w:val="0"/>
              <w:jc w:val="both"/>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lang w:val="en-US" w:eastAsia="zh-CN"/>
              </w:rPr>
              <w:t>⑴黄土高原丘陵沟壑区继续实施退耕还灌还草还林；⑵实施小流域综合治理；⑶推行节水灌溉新技术，发展林果业；⑷对退化严重草场实施禁牧轮牧，提高饲料种植比例和单位产量，实行舍饲养殖；⑸加大资源开发的监管，控制地下水过度利用，防止地下水污染；⑹在油、气、煤资源开发的收益中确定一定比例，用于促进城镇化和生态保护。</w:t>
            </w:r>
          </w:p>
        </w:tc>
      </w:tr>
    </w:tbl>
    <w:p w14:paraId="2AAA12C0">
      <w:pPr>
        <w:pStyle w:val="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right="0" w:firstLine="0" w:firstLineChars="0"/>
        <w:jc w:val="both"/>
        <w:textAlignment w:val="auto"/>
        <w:outlineLvl w:val="3"/>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.2.2宁夏生态功能区划</w:t>
      </w:r>
    </w:p>
    <w:p w14:paraId="3CED1781">
      <w:pPr>
        <w:spacing w:line="360" w:lineRule="auto"/>
        <w:ind w:firstLine="480" w:firstLineChars="200"/>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sz w:val="24"/>
          <w:szCs w:val="24"/>
          <w:highlight w:val="none"/>
          <w:shd w:val="clear" w:color="auto" w:fill="auto"/>
          <w:lang w:val="en-US" w:eastAsia="zh-CN" w:bidi="ar-SA"/>
        </w:rPr>
        <w:t>根据《宁夏</w:t>
      </w:r>
      <w:r>
        <w:rPr>
          <w:rFonts w:hint="default" w:ascii="Times New Roman" w:hAnsi="Times New Roman" w:eastAsia="宋体" w:cs="Times New Roman"/>
          <w:color w:val="auto"/>
          <w:sz w:val="24"/>
          <w:highlight w:val="none"/>
        </w:rPr>
        <w:t>回族自治区</w:t>
      </w:r>
      <w:r>
        <w:rPr>
          <w:rFonts w:hint="default" w:ascii="Times New Roman" w:hAnsi="Times New Roman" w:eastAsia="宋体" w:cs="Times New Roman"/>
          <w:color w:val="auto"/>
          <w:kern w:val="2"/>
          <w:sz w:val="24"/>
          <w:szCs w:val="24"/>
          <w:highlight w:val="none"/>
          <w:shd w:val="clear" w:color="auto" w:fill="auto"/>
          <w:lang w:val="en-US" w:eastAsia="zh-CN" w:bidi="ar-SA"/>
        </w:rPr>
        <w:t>生态功能区划》（2003.10），宁夏生态功能区划共划分3个一级区，10个二级区，37个三级区。对照宁夏生态功能区划图可知，本项目位于I3-1原东彭北梁峁丘陵强度水土流失治理生态功能区。</w:t>
      </w:r>
      <w:r>
        <w:rPr>
          <w:rFonts w:hint="default" w:ascii="Times New Roman" w:hAnsi="Times New Roman" w:cs="Times New Roman"/>
          <w:color w:val="auto"/>
          <w:kern w:val="0"/>
          <w:sz w:val="24"/>
          <w:highlight w:val="none"/>
        </w:rPr>
        <w:t>本</w:t>
      </w:r>
      <w:r>
        <w:rPr>
          <w:rFonts w:hint="default" w:ascii="Times New Roman" w:hAnsi="Times New Roman" w:eastAsia="宋体" w:cs="Times New Roman"/>
          <w:color w:val="auto"/>
          <w:kern w:val="2"/>
          <w:sz w:val="24"/>
          <w:szCs w:val="24"/>
          <w:highlight w:val="none"/>
          <w:shd w:val="clear" w:color="auto" w:fill="auto"/>
          <w:lang w:val="en-US" w:eastAsia="zh-CN" w:bidi="ar-SA"/>
        </w:rPr>
        <w:t>项目与宁夏生态功能区划位置关系</w:t>
      </w:r>
      <w:r>
        <w:rPr>
          <w:rFonts w:hint="default" w:ascii="Times New Roman" w:hAnsi="Times New Roman" w:cs="Times New Roman"/>
          <w:color w:val="auto"/>
          <w:kern w:val="0"/>
          <w:sz w:val="24"/>
          <w:highlight w:val="none"/>
          <w:lang w:val="en-US" w:eastAsia="zh-CN"/>
        </w:rPr>
        <w:t>详</w:t>
      </w:r>
      <w:r>
        <w:rPr>
          <w:rFonts w:hint="default" w:ascii="Times New Roman" w:hAnsi="Times New Roman" w:cs="Times New Roman"/>
          <w:color w:val="auto"/>
          <w:kern w:val="0"/>
          <w:sz w:val="24"/>
          <w:highlight w:val="none"/>
        </w:rPr>
        <w:t>见</w:t>
      </w:r>
      <w:r>
        <w:rPr>
          <w:rFonts w:hint="eastAsia" w:ascii="Times New Roman" w:hAnsi="Times New Roman" w:cs="Times New Roman"/>
          <w:b w:val="0"/>
          <w:bCs w:val="0"/>
          <w:color w:val="auto"/>
          <w:kern w:val="0"/>
          <w:sz w:val="24"/>
          <w:highlight w:val="none"/>
          <w:lang w:val="en-US" w:eastAsia="zh-CN"/>
        </w:rPr>
        <w:t>专题表</w:t>
      </w:r>
      <w:r>
        <w:rPr>
          <w:rFonts w:hint="eastAsia" w:ascii="Times New Roman" w:hAnsi="Times New Roman" w:eastAsia="宋体" w:cs="Times New Roman"/>
          <w:color w:val="auto"/>
          <w:kern w:val="2"/>
          <w:sz w:val="24"/>
          <w:szCs w:val="24"/>
          <w:highlight w:val="none"/>
          <w:shd w:val="clear" w:color="auto" w:fill="auto"/>
          <w:lang w:val="en-US" w:eastAsia="zh-CN" w:bidi="ar-SA"/>
        </w:rPr>
        <w:t>2</w:t>
      </w:r>
      <w:r>
        <w:rPr>
          <w:rFonts w:hint="default" w:ascii="Times New Roman" w:hAnsi="Times New Roman" w:eastAsia="宋体" w:cs="Times New Roman"/>
          <w:color w:val="auto"/>
          <w:kern w:val="2"/>
          <w:sz w:val="24"/>
          <w:szCs w:val="24"/>
          <w:highlight w:val="none"/>
          <w:shd w:val="clear" w:color="auto" w:fill="auto"/>
          <w:lang w:val="en-US" w:eastAsia="zh-CN" w:bidi="ar-SA"/>
        </w:rPr>
        <w:t>-</w:t>
      </w:r>
      <w:r>
        <w:rPr>
          <w:rFonts w:hint="eastAsia" w:cs="Times New Roman"/>
          <w:color w:val="auto"/>
          <w:kern w:val="2"/>
          <w:sz w:val="24"/>
          <w:szCs w:val="24"/>
          <w:highlight w:val="none"/>
          <w:shd w:val="clear" w:color="auto" w:fill="auto"/>
          <w:lang w:val="en-US" w:eastAsia="zh-CN" w:bidi="ar-SA"/>
        </w:rPr>
        <w:t>3</w:t>
      </w:r>
      <w:r>
        <w:rPr>
          <w:rFonts w:hint="default" w:ascii="Times New Roman" w:hAnsi="Times New Roman" w:eastAsia="宋体" w:cs="Times New Roman"/>
          <w:color w:val="auto"/>
          <w:kern w:val="2"/>
          <w:sz w:val="24"/>
          <w:szCs w:val="24"/>
          <w:highlight w:val="none"/>
          <w:shd w:val="clear" w:color="auto" w:fill="auto"/>
          <w:lang w:val="en-US" w:eastAsia="zh-CN" w:bidi="ar-SA"/>
        </w:rPr>
        <w:t>。</w:t>
      </w:r>
    </w:p>
    <w:p w14:paraId="2B5BD92B">
      <w:pPr>
        <w:jc w:val="center"/>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专题</w:t>
      </w:r>
      <w:r>
        <w:rPr>
          <w:rFonts w:hint="default" w:ascii="Times New Roman" w:hAnsi="Times New Roman" w:eastAsia="宋体" w:cs="Times New Roman"/>
          <w:b/>
          <w:bCs/>
          <w:color w:val="auto"/>
          <w:sz w:val="24"/>
          <w:highlight w:val="none"/>
        </w:rPr>
        <w:t>表</w:t>
      </w:r>
      <w:r>
        <w:rPr>
          <w:rFonts w:hint="eastAsia"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val="en-US" w:eastAsia="zh-CN"/>
        </w:rPr>
        <w:t>-</w:t>
      </w:r>
      <w:r>
        <w:rPr>
          <w:rFonts w:hint="eastAsia"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eastAsia="zh-CN"/>
        </w:rPr>
        <w:t>本项目所在区域主体功能区划</w:t>
      </w:r>
      <w:r>
        <w:rPr>
          <w:rFonts w:hint="default" w:ascii="Times New Roman" w:hAnsi="Times New Roman" w:eastAsia="宋体" w:cs="Times New Roman"/>
          <w:b/>
          <w:bCs/>
          <w:color w:val="auto"/>
          <w:sz w:val="24"/>
          <w:highlight w:val="none"/>
        </w:rPr>
        <w:t>表</w:t>
      </w:r>
    </w:p>
    <w:tbl>
      <w:tblPr>
        <w:tblStyle w:val="32"/>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1002"/>
        <w:gridCol w:w="1426"/>
        <w:gridCol w:w="5574"/>
      </w:tblGrid>
      <w:tr w14:paraId="34414F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23" w:type="dxa"/>
            <w:tcBorders>
              <w:tl2br w:val="nil"/>
              <w:tr2bl w:val="nil"/>
            </w:tcBorders>
            <w:noWrap w:val="0"/>
            <w:vAlign w:val="center"/>
          </w:tcPr>
          <w:p w14:paraId="3B7813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vertAlign w:val="baseline"/>
                <w:lang w:eastAsia="zh-CN"/>
              </w:rPr>
            </w:pPr>
            <w:r>
              <w:rPr>
                <w:rFonts w:hint="default" w:ascii="Times New Roman" w:hAnsi="Times New Roman" w:eastAsia="宋体" w:cs="Times New Roman"/>
                <w:b/>
                <w:bCs/>
                <w:color w:val="auto"/>
                <w:sz w:val="21"/>
                <w:szCs w:val="21"/>
                <w:highlight w:val="none"/>
                <w:shd w:val="clear" w:color="auto" w:fill="auto"/>
                <w:vertAlign w:val="baseline"/>
                <w:lang w:eastAsia="zh-CN"/>
              </w:rPr>
              <w:t>一级区</w:t>
            </w:r>
          </w:p>
        </w:tc>
        <w:tc>
          <w:tcPr>
            <w:tcW w:w="914" w:type="dxa"/>
            <w:tcBorders>
              <w:tl2br w:val="nil"/>
              <w:tr2bl w:val="nil"/>
            </w:tcBorders>
            <w:noWrap w:val="0"/>
            <w:vAlign w:val="center"/>
          </w:tcPr>
          <w:p w14:paraId="0A66B2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vertAlign w:val="baseline"/>
                <w:lang w:eastAsia="zh-CN"/>
              </w:rPr>
            </w:pPr>
            <w:r>
              <w:rPr>
                <w:rFonts w:hint="default" w:ascii="Times New Roman" w:hAnsi="Times New Roman" w:eastAsia="宋体" w:cs="Times New Roman"/>
                <w:b/>
                <w:bCs/>
                <w:color w:val="auto"/>
                <w:sz w:val="21"/>
                <w:szCs w:val="21"/>
                <w:highlight w:val="none"/>
                <w:shd w:val="clear" w:color="auto" w:fill="auto"/>
                <w:vertAlign w:val="baseline"/>
                <w:lang w:eastAsia="zh-CN"/>
              </w:rPr>
              <w:t>二级区</w:t>
            </w:r>
          </w:p>
        </w:tc>
        <w:tc>
          <w:tcPr>
            <w:tcW w:w="1300" w:type="dxa"/>
            <w:tcBorders>
              <w:tl2br w:val="nil"/>
              <w:tr2bl w:val="nil"/>
            </w:tcBorders>
            <w:noWrap w:val="0"/>
            <w:vAlign w:val="center"/>
          </w:tcPr>
          <w:p w14:paraId="2EAE4C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vertAlign w:val="baseline"/>
                <w:lang w:eastAsia="zh-CN"/>
              </w:rPr>
            </w:pPr>
            <w:r>
              <w:rPr>
                <w:rFonts w:hint="default" w:ascii="Times New Roman" w:hAnsi="Times New Roman" w:eastAsia="宋体" w:cs="Times New Roman"/>
                <w:b/>
                <w:bCs/>
                <w:color w:val="auto"/>
                <w:sz w:val="21"/>
                <w:szCs w:val="21"/>
                <w:highlight w:val="none"/>
                <w:shd w:val="clear" w:color="auto" w:fill="auto"/>
                <w:vertAlign w:val="baseline"/>
                <w:lang w:eastAsia="zh-CN"/>
              </w:rPr>
              <w:t>三级区</w:t>
            </w:r>
          </w:p>
        </w:tc>
        <w:tc>
          <w:tcPr>
            <w:tcW w:w="5083" w:type="dxa"/>
            <w:tcBorders>
              <w:tl2br w:val="nil"/>
              <w:tr2bl w:val="nil"/>
            </w:tcBorders>
            <w:noWrap w:val="0"/>
            <w:vAlign w:val="center"/>
          </w:tcPr>
          <w:p w14:paraId="2F26F2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vertAlign w:val="baseline"/>
                <w:lang w:eastAsia="zh-CN"/>
              </w:rPr>
            </w:pPr>
            <w:r>
              <w:rPr>
                <w:rFonts w:hint="default" w:ascii="Times New Roman" w:hAnsi="Times New Roman" w:eastAsia="宋体" w:cs="Times New Roman"/>
                <w:b/>
                <w:bCs/>
                <w:color w:val="auto"/>
                <w:sz w:val="21"/>
                <w:szCs w:val="21"/>
                <w:highlight w:val="none"/>
                <w:shd w:val="clear" w:color="auto" w:fill="auto"/>
                <w:vertAlign w:val="baseline"/>
                <w:lang w:eastAsia="zh-CN"/>
              </w:rPr>
              <w:t>主要生态特点、问题及措施</w:t>
            </w:r>
          </w:p>
        </w:tc>
      </w:tr>
      <w:tr w14:paraId="19BD7A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923" w:type="dxa"/>
            <w:tcBorders>
              <w:tl2br w:val="nil"/>
              <w:tr2bl w:val="nil"/>
            </w:tcBorders>
            <w:noWrap w:val="0"/>
            <w:vAlign w:val="center"/>
          </w:tcPr>
          <w:p w14:paraId="3D89E7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shd w:val="clear" w:color="auto" w:fill="auto"/>
                <w:vertAlign w:val="baseline"/>
                <w:lang w:val="en-US" w:eastAsia="zh-CN"/>
              </w:rPr>
            </w:pPr>
            <w:r>
              <w:rPr>
                <w:rFonts w:hint="default" w:ascii="Times New Roman" w:hAnsi="Times New Roman" w:eastAsia="宋体" w:cs="Times New Roman"/>
                <w:color w:val="auto"/>
                <w:kern w:val="0"/>
                <w:sz w:val="21"/>
                <w:szCs w:val="21"/>
                <w:highlight w:val="none"/>
                <w:shd w:val="clear" w:color="auto" w:fill="auto"/>
                <w:vertAlign w:val="baseline"/>
                <w:lang w:val="en-US" w:eastAsia="zh-CN"/>
              </w:rPr>
              <w:t>南部</w:t>
            </w:r>
            <w:r>
              <w:rPr>
                <w:rFonts w:hint="default" w:ascii="Times New Roman" w:hAnsi="Times New Roman" w:eastAsia="宋体" w:cs="Times New Roman"/>
                <w:color w:val="auto"/>
                <w:kern w:val="0"/>
                <w:sz w:val="21"/>
                <w:szCs w:val="21"/>
                <w:highlight w:val="none"/>
                <w:shd w:val="clear" w:color="auto" w:fill="auto"/>
                <w:lang w:val="en-US" w:eastAsia="zh-CN"/>
              </w:rPr>
              <w:t>黄土丘陵水土流失区</w:t>
            </w:r>
          </w:p>
        </w:tc>
        <w:tc>
          <w:tcPr>
            <w:tcW w:w="914" w:type="dxa"/>
            <w:tcBorders>
              <w:tl2br w:val="nil"/>
              <w:tr2bl w:val="nil"/>
            </w:tcBorders>
            <w:noWrap w:val="0"/>
            <w:vAlign w:val="center"/>
          </w:tcPr>
          <w:p w14:paraId="474445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shd w:val="clear" w:color="auto" w:fill="auto"/>
                <w:vertAlign w:val="baseline"/>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原彭黄土丘陵牧林农生态亚区</w:t>
            </w:r>
          </w:p>
        </w:tc>
        <w:tc>
          <w:tcPr>
            <w:tcW w:w="1300" w:type="dxa"/>
            <w:tcBorders>
              <w:tl2br w:val="nil"/>
              <w:tr2bl w:val="nil"/>
            </w:tcBorders>
            <w:noWrap w:val="0"/>
            <w:vAlign w:val="center"/>
          </w:tcPr>
          <w:p w14:paraId="4BEBC8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color w:val="auto"/>
                <w:kern w:val="0"/>
                <w:sz w:val="24"/>
                <w:szCs w:val="24"/>
                <w:highlight w:val="none"/>
                <w:shd w:val="clear" w:color="auto" w:fill="auto"/>
              </w:rPr>
            </w:pPr>
            <w:r>
              <w:rPr>
                <w:rFonts w:hint="default" w:ascii="Times New Roman" w:hAnsi="Times New Roman" w:eastAsia="宋体" w:cs="Times New Roman"/>
                <w:color w:val="auto"/>
                <w:kern w:val="0"/>
                <w:sz w:val="21"/>
                <w:szCs w:val="21"/>
                <w:highlight w:val="none"/>
                <w:shd w:val="clear" w:color="auto" w:fill="auto"/>
                <w:lang w:val="en-US" w:eastAsia="zh-CN"/>
              </w:rPr>
              <w:t>I 3-1原东彭北梁峁丘陵强度水土流失治理生态功能区</w:t>
            </w:r>
          </w:p>
        </w:tc>
        <w:tc>
          <w:tcPr>
            <w:tcW w:w="5083" w:type="dxa"/>
            <w:tcBorders>
              <w:tl2br w:val="nil"/>
              <w:tr2bl w:val="nil"/>
            </w:tcBorders>
            <w:noWrap w:val="0"/>
            <w:vAlign w:val="center"/>
          </w:tcPr>
          <w:p w14:paraId="3F6D48B7">
            <w:pPr>
              <w:jc w:val="both"/>
              <w:rPr>
                <w:rFonts w:hint="default" w:ascii="Times New Roman" w:hAnsi="Times New Roman" w:eastAsia="宋体" w:cs="Times New Roman"/>
                <w:color w:val="auto"/>
                <w:kern w:val="0"/>
                <w:sz w:val="21"/>
                <w:szCs w:val="21"/>
                <w:highlight w:val="none"/>
                <w:shd w:val="clear" w:color="auto" w:fill="auto"/>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本生态功能区属典型的黄土梁峁丘陵地貌，间有小型川、涧地和残塬，还有炭山等中低山地。地形切割较深，水土流失严重，水土流失是该区最敏感的生态问题之一，超载放牧，草场退化严重是问题之二。治理措施主要有；加强小流域综合治理，退耕还林还草。</w:t>
            </w:r>
          </w:p>
        </w:tc>
      </w:tr>
    </w:tbl>
    <w:p w14:paraId="2056247C">
      <w:pPr>
        <w:pStyle w:val="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right="0" w:firstLine="0" w:firstLineChars="0"/>
        <w:jc w:val="both"/>
        <w:textAlignment w:val="auto"/>
        <w:outlineLvl w:val="3"/>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.2.3项目区主要的生态问题</w:t>
      </w:r>
    </w:p>
    <w:p w14:paraId="08703917">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全国生态状况调查评估技术规范-生态问题评估》（HJ1174-2021），生态问题是由于人类活动和自然条件变化引起的自然生态系统退化及由此衍生的不良生态环境效应，包括水土流失、土地沙化、石漠化、生态系统退化等，其中生态系统退化包括森林退化、草地退化和湿地退化。根据对拟建</w:t>
      </w:r>
      <w:r>
        <w:rPr>
          <w:rFonts w:hint="eastAsia" w:cs="Times New Roman"/>
          <w:color w:val="auto"/>
          <w:sz w:val="24"/>
          <w:highlight w:val="none"/>
          <w:lang w:val="en-US" w:eastAsia="zh-CN"/>
        </w:rPr>
        <w:t>线路</w:t>
      </w:r>
      <w:r>
        <w:rPr>
          <w:rFonts w:hint="default" w:ascii="Times New Roman" w:hAnsi="Times New Roman" w:cs="Times New Roman"/>
          <w:color w:val="auto"/>
          <w:sz w:val="24"/>
          <w:highlight w:val="none"/>
          <w:lang w:val="en-US" w:eastAsia="zh-CN"/>
        </w:rPr>
        <w:t xml:space="preserve">沿线的现场考察和资料分析，项目区目前主要的生态问题为： </w:t>
      </w:r>
    </w:p>
    <w:p w14:paraId="09423B82">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b w:val="0"/>
          <w:bCs w:val="0"/>
          <w:color w:val="auto"/>
          <w:kern w:val="0"/>
          <w:sz w:val="24"/>
          <w:highlight w:val="none"/>
          <w:lang w:eastAsia="zh-CN"/>
        </w:rPr>
        <w:t>⑴</w:t>
      </w:r>
      <w:r>
        <w:rPr>
          <w:rFonts w:hint="default" w:ascii="Times New Roman" w:hAnsi="Times New Roman" w:cs="Times New Roman"/>
          <w:color w:val="auto"/>
          <w:sz w:val="24"/>
          <w:highlight w:val="none"/>
          <w:lang w:val="en-US" w:eastAsia="zh-CN"/>
        </w:rPr>
        <w:t xml:space="preserve">水土流失问题 </w:t>
      </w:r>
    </w:p>
    <w:p w14:paraId="153968D7">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全国水士保持规划国家级水士流失重点预防区和重点治理区复核划分成果》（办水保〔2013〕188号），本项目所在的固原市原州区和彭阳县属于“甘青宁黄土丘陵国家级水土流失重点治理区”。根据《宁夏回族自治区2023年水土保持公报》，项目区土壤侵蚀类型以中度水力侵蚀为主，黄土丘陵沟壑区2800t/k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·a。根据水土保持行业标准《土壤侵蚀分类分级标准》（SL190-2007），本项目所在区域属于水力侵蚀类型区的“西北黄土高原区”，该类型区容许的土壤流失量为1000t/(km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 xml:space="preserve">•a)。 </w:t>
      </w:r>
    </w:p>
    <w:p w14:paraId="34EBA2EE">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b w:val="0"/>
          <w:bCs w:val="0"/>
          <w:color w:val="auto"/>
          <w:kern w:val="0"/>
          <w:sz w:val="24"/>
          <w:highlight w:val="none"/>
          <w:lang w:eastAsia="zh-CN"/>
        </w:rPr>
        <w:t>⑵</w:t>
      </w:r>
      <w:r>
        <w:rPr>
          <w:rFonts w:hint="default" w:ascii="Times New Roman" w:hAnsi="Times New Roman" w:cs="Times New Roman"/>
          <w:color w:val="auto"/>
          <w:sz w:val="24"/>
          <w:highlight w:val="none"/>
          <w:lang w:val="en-US" w:eastAsia="zh-CN"/>
        </w:rPr>
        <w:t xml:space="preserve">生态系统退化问题 </w:t>
      </w:r>
    </w:p>
    <w:p w14:paraId="77C2AE4F">
      <w:pPr>
        <w:keepNext w:val="0"/>
        <w:keepLines w:val="0"/>
        <w:pageBreakBefore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依据《黄河流域六盘山生态功能区（宁夏段）山水林田湖草沙一体化保护和修复工程项目执行方案》（固政办发〔2023〕40 号），六盘山生态功能区的重点生态问题是：生态系统稳定性不强，存在较大生态退化风险；局部地区水土流失严重，威胁黄河安全；林草群落结构不合理，水源涵养功能不足；河流湿地生态功能退化，对下游供水保障能力降低；农业基础设施薄弱，乡村生态保障体系不完善；生态基础设施建设不足。</w:t>
      </w:r>
    </w:p>
    <w:p w14:paraId="172BAA95">
      <w:pPr>
        <w:pStyle w:val="5"/>
        <w:keepNext w:val="0"/>
        <w:keepLines w:val="0"/>
        <w:pageBreakBefore w:val="0"/>
        <w:kinsoku/>
        <w:wordWrap/>
        <w:overflowPunct/>
        <w:topLinePunct w:val="0"/>
        <w:autoSpaceDE/>
        <w:autoSpaceDN/>
        <w:bidi w:val="0"/>
        <w:adjustRightInd w:val="0"/>
        <w:snapToGrid w:val="0"/>
        <w:spacing w:before="0" w:after="0" w:line="360" w:lineRule="auto"/>
        <w:ind w:left="0" w:leftChars="0" w:right="0" w:firstLine="0" w:firstLineChars="0"/>
        <w:jc w:val="both"/>
        <w:textAlignment w:val="auto"/>
        <w:outlineLvl w:val="3"/>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.2.4项目与生态功能区划的协调性分析</w:t>
      </w:r>
    </w:p>
    <w:p w14:paraId="38B4F385">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firstLine="480" w:firstLineChars="200"/>
        <w:jc w:val="both"/>
        <w:textAlignment w:val="auto"/>
        <w:rPr>
          <w:color w:val="auto"/>
        </w:rPr>
      </w:pPr>
      <w:r>
        <w:rPr>
          <w:rFonts w:hint="eastAsia" w:ascii="宋体" w:hAnsi="宋体" w:eastAsia="宋体" w:cs="宋体"/>
          <w:color w:val="auto"/>
          <w:kern w:val="0"/>
          <w:sz w:val="24"/>
          <w:szCs w:val="24"/>
          <w:lang w:val="en-US" w:eastAsia="zh-CN" w:bidi="ar"/>
        </w:rPr>
        <w:t xml:space="preserve">本项目所涉及全国生态功能区主要为土壤保持重要区，涉及的宁夏生态功能区为黄土丘陵水土流失区，其主要生态环境问题是水土流失，导致泥沙淤积水库，库容减小，农田有效灌溉保障率下降等。 </w:t>
      </w:r>
    </w:p>
    <w:p w14:paraId="47765F9D">
      <w:pPr>
        <w:keepNext w:val="0"/>
        <w:keepLines w:val="0"/>
        <w:pageBreakBefore w:val="0"/>
        <w:widowControl w:val="0"/>
        <w:suppressLineNumbers w:val="0"/>
        <w:kinsoku/>
        <w:wordWrap/>
        <w:overflowPunct/>
        <w:topLinePunct w:val="0"/>
        <w:autoSpaceDE/>
        <w:autoSpaceDN/>
        <w:bidi w:val="0"/>
        <w:adjustRightInd w:val="0"/>
        <w:snapToGrid w:val="0"/>
        <w:spacing w:line="360" w:lineRule="auto"/>
        <w:ind w:right="0" w:firstLine="480" w:firstLineChars="200"/>
        <w:jc w:val="both"/>
        <w:textAlignment w:val="auto"/>
        <w:rPr>
          <w:color w:val="auto"/>
        </w:rPr>
      </w:pPr>
      <w:r>
        <w:rPr>
          <w:rFonts w:hint="eastAsia" w:ascii="宋体" w:hAnsi="宋体" w:eastAsia="宋体" w:cs="宋体"/>
          <w:color w:val="auto"/>
          <w:kern w:val="0"/>
          <w:sz w:val="24"/>
          <w:szCs w:val="24"/>
          <w:lang w:val="en-US" w:eastAsia="zh-CN" w:bidi="ar"/>
        </w:rPr>
        <w:t xml:space="preserve">本工程不属于高污染工业项目。根据输电工程的项目特点，本项目的影响范围主要为塔基开挖的间断式影响，此类影响相对较小。项目设计选线阶段，通过优化线路路径，减少穿越生态敏感区线路长度，从根本上降低对区域生态系统的影响，另外输电线路仅塔基为永久占地，且塔基全部采用挖孔桩基础，工程损毁植被面积较小，植被生物量损失较小，对动物生境占用影响较小，施工结束后对临时占地进行植被恢复。项目整体上对植被破坏、水源涵养、水土流失及生物多样性维护等生态功能的影响较小。 </w:t>
      </w:r>
    </w:p>
    <w:p w14:paraId="5EAF0641">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highlight w:val="none"/>
          <w:lang w:bidi="ar"/>
        </w:rPr>
      </w:pPr>
      <w:r>
        <w:rPr>
          <w:rFonts w:hint="eastAsia" w:ascii="宋体" w:hAnsi="宋体" w:eastAsia="宋体" w:cs="宋体"/>
          <w:color w:val="auto"/>
          <w:kern w:val="0"/>
          <w:sz w:val="24"/>
          <w:szCs w:val="24"/>
          <w:lang w:val="en-US" w:eastAsia="zh-CN" w:bidi="ar"/>
        </w:rPr>
        <w:t>因此，本项目在严格执行水土保持和生态恢复措施的前提下不会对所在生态功能区生态环境产生较大影响，本工程与生态功能区划整体协调。</w:t>
      </w:r>
    </w:p>
    <w:p w14:paraId="3FCBEE1C">
      <w:pPr>
        <w:pStyle w:val="4"/>
        <w:pageBreakBefore w:val="0"/>
        <w:widowControl w:val="0"/>
        <w:numPr>
          <w:ilvl w:val="0"/>
          <w:numId w:val="0"/>
        </w:numPr>
        <w:tabs>
          <w:tab w:val="clear" w:pos="709"/>
        </w:tabs>
        <w:kinsoku/>
        <w:wordWrap/>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宋体" w:cs="Times New Roman"/>
          <w:color w:val="auto"/>
          <w:sz w:val="24"/>
          <w:szCs w:val="24"/>
          <w:highlight w:val="none"/>
        </w:rPr>
      </w:pPr>
      <w:bookmarkStart w:id="477" w:name="_Toc28474"/>
      <w:r>
        <w:rPr>
          <w:rFonts w:hint="eastAsia"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.3陆生生态现状调查与评价</w:t>
      </w:r>
      <w:bookmarkEnd w:id="477"/>
    </w:p>
    <w:p w14:paraId="698C7B50">
      <w:pPr>
        <w:pStyle w:val="5"/>
        <w:spacing w:before="0" w:after="0" w:line="360" w:lineRule="auto"/>
        <w:ind w:left="0" w:leftChars="0" w:firstLine="0" w:firstLineChars="0"/>
        <w:jc w:val="both"/>
        <w:outlineLvl w:val="3"/>
        <w:rPr>
          <w:rFonts w:hint="default" w:ascii="Times New Roman" w:hAnsi="Times New Roman" w:eastAsia="宋体" w:cs="Times New Roman"/>
          <w:b/>
          <w:bCs/>
          <w:color w:val="auto"/>
          <w:sz w:val="24"/>
          <w:szCs w:val="24"/>
          <w:highlight w:val="none"/>
          <w:lang w:val="zh-CN"/>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.3.1</w:t>
      </w:r>
      <w:r>
        <w:rPr>
          <w:rFonts w:hint="default" w:ascii="Times New Roman" w:hAnsi="Times New Roman" w:eastAsia="宋体" w:cs="Times New Roman"/>
          <w:b/>
          <w:bCs/>
          <w:color w:val="auto"/>
          <w:sz w:val="24"/>
          <w:szCs w:val="24"/>
          <w:highlight w:val="none"/>
          <w:lang w:val="zh-CN"/>
        </w:rPr>
        <w:t>土地利用现状</w:t>
      </w:r>
      <w:bookmarkEnd w:id="465"/>
      <w:bookmarkEnd w:id="466"/>
    </w:p>
    <w:p w14:paraId="39595726">
      <w:pPr>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选用评价区202</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lang w:val="zh-CN"/>
        </w:rPr>
        <w:t>年</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lang w:val="zh-CN"/>
        </w:rPr>
        <w:t>月覆盖本区域的Landsat80LI卫星遥感影像（多光谱，对5、4、3波段进行融合，融合后空间分辨率为15m），轨道号：128-31；野外实地考察资料，主要为考察过程中用GPS定位并记录的样点，用于辅助专题的目视解译，并记录相关的植被信息。</w:t>
      </w:r>
    </w:p>
    <w:p w14:paraId="5DBFA290">
      <w:pPr>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遥感数字图像处理软件PCI8.2和ERDAS10.0，用于进行几何校正和图像增强，以及辅助目视解译；面向对象的eC°gniti°n软件，用于图像自动分类；地理信息系统软件为ArcGIS 9.3，用于矢量数据的编辑、分析和制图。</w:t>
      </w:r>
    </w:p>
    <w:p w14:paraId="756D9A3C">
      <w:pPr>
        <w:spacing w:line="360" w:lineRule="auto"/>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土地类型参照《土地利用现状分类》（GBT21010-2017）中的用地类型划分方法。根据实地调查和遥感卫星影像，将评价区土地利用情况划分为</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lang w:val="zh-CN"/>
        </w:rPr>
        <w:t>个一级类型和</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lang w:val="zh-CN"/>
        </w:rPr>
        <w:t>个二级类型。工程设计阶段已对工程占地类型进行优化，减少对生态保护红线内用地的占用。</w:t>
      </w:r>
      <w:r>
        <w:rPr>
          <w:rFonts w:hint="default" w:ascii="Times New Roman" w:hAnsi="Times New Roman" w:cs="Times New Roman"/>
          <w:color w:val="auto"/>
          <w:kern w:val="0"/>
          <w:sz w:val="24"/>
          <w:highlight w:val="none"/>
          <w:lang w:bidi="ar"/>
        </w:rPr>
        <w:t>评价区土地利用以</w:t>
      </w:r>
      <w:r>
        <w:rPr>
          <w:rFonts w:hint="eastAsia" w:cs="Times New Roman"/>
          <w:color w:val="auto"/>
          <w:kern w:val="0"/>
          <w:sz w:val="24"/>
          <w:highlight w:val="none"/>
          <w:lang w:val="en-US" w:eastAsia="zh-CN" w:bidi="ar"/>
        </w:rPr>
        <w:t>林</w:t>
      </w:r>
      <w:r>
        <w:rPr>
          <w:rFonts w:hint="default" w:ascii="Times New Roman" w:hAnsi="Times New Roman" w:cs="Times New Roman"/>
          <w:color w:val="auto"/>
          <w:kern w:val="0"/>
          <w:sz w:val="24"/>
          <w:highlight w:val="none"/>
          <w:lang w:bidi="ar"/>
        </w:rPr>
        <w:t>地为主，占评价区总面积的</w:t>
      </w:r>
      <w:r>
        <w:rPr>
          <w:rFonts w:hint="eastAsia" w:cs="Times New Roman"/>
          <w:color w:val="auto"/>
          <w:kern w:val="0"/>
          <w:sz w:val="24"/>
          <w:highlight w:val="none"/>
          <w:lang w:val="en-US" w:eastAsia="zh-CN" w:bidi="ar"/>
        </w:rPr>
        <w:t>59</w:t>
      </w:r>
      <w:r>
        <w:rPr>
          <w:rFonts w:hint="default" w:ascii="Times New Roman" w:hAnsi="Times New Roman" w:cs="Times New Roman"/>
          <w:color w:val="auto"/>
          <w:kern w:val="0"/>
          <w:sz w:val="24"/>
          <w:highlight w:val="none"/>
          <w:lang w:bidi="ar"/>
        </w:rPr>
        <w:t>%。</w:t>
      </w:r>
    </w:p>
    <w:p w14:paraId="010B0E59">
      <w:pPr>
        <w:pStyle w:val="10"/>
        <w:kinsoku w:val="0"/>
        <w:overflowPunct w:val="0"/>
        <w:snapToGrid/>
        <w:spacing w:before="0" w:after="0" w:line="360" w:lineRule="auto"/>
        <w:ind w:firstLine="36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"bookmark0"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szCs w:val="24"/>
          <w:highlight w:val="none"/>
        </w:rPr>
        <w:t>工程占地评价区土地利用情况详见</w:t>
      </w:r>
      <w:r>
        <w:rPr>
          <w:rFonts w:hint="default" w:ascii="Times New Roman" w:hAnsi="Times New Roman" w:cs="Times New Roman"/>
          <w:color w:val="auto"/>
          <w:sz w:val="24"/>
          <w:szCs w:val="24"/>
          <w:highlight w:val="none"/>
          <w:lang w:val="en-US" w:eastAsia="zh-CN"/>
        </w:rPr>
        <w:t>专题</w:t>
      </w:r>
      <w:r>
        <w:rPr>
          <w:rFonts w:hint="default" w:ascii="Times New Roman" w:hAnsi="Times New Roman" w:cs="Times New Roman"/>
          <w:color w:val="auto"/>
          <w:sz w:val="24"/>
          <w:szCs w:val="24"/>
          <w:highlight w:val="none"/>
        </w:rPr>
        <w:t>表</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评价区土地利用</w:t>
      </w:r>
      <w:r>
        <w:rPr>
          <w:rFonts w:hint="default" w:ascii="Times New Roman" w:hAnsi="Times New Roman" w:cs="Times New Roman"/>
          <w:color w:val="auto"/>
          <w:sz w:val="24"/>
          <w:szCs w:val="24"/>
          <w:highlight w:val="none"/>
          <w:lang w:val="en-US" w:eastAsia="zh-CN"/>
        </w:rPr>
        <w:t>现状图见专题</w:t>
      </w:r>
      <w:r>
        <w:rPr>
          <w:rFonts w:hint="default" w:ascii="Times New Roman" w:hAnsi="Times New Roman" w:cs="Times New Roman"/>
          <w:color w:val="auto"/>
          <w:sz w:val="24"/>
          <w:szCs w:val="24"/>
          <w:highlight w:val="none"/>
        </w:rPr>
        <w:t>图</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w:t>
      </w:r>
    </w:p>
    <w:p w14:paraId="1E7EB752">
      <w:pPr>
        <w:pStyle w:val="10"/>
        <w:keepNext w:val="0"/>
        <w:keepLines w:val="0"/>
        <w:pageBreakBefore w:val="0"/>
        <w:widowControl/>
        <w:kinsoku w:val="0"/>
        <w:wordWrap/>
        <w:overflowPunct w:val="0"/>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专题</w:t>
      </w:r>
      <w:r>
        <w:rPr>
          <w:rFonts w:hint="default" w:ascii="Times New Roman" w:hAnsi="Times New Roman" w:cs="Times New Roman"/>
          <w:b/>
          <w:bCs/>
          <w:color w:val="auto"/>
          <w:sz w:val="24"/>
          <w:szCs w:val="24"/>
          <w:highlight w:val="none"/>
        </w:rPr>
        <w:t>表</w:t>
      </w:r>
      <w:r>
        <w:rPr>
          <w:rFonts w:hint="eastAsia"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 xml:space="preserve">    评价区土地利用面积一览表</w:t>
      </w:r>
    </w:p>
    <w:tbl>
      <w:tblPr>
        <w:tblStyle w:val="31"/>
        <w:tblW w:w="852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02"/>
        <w:gridCol w:w="1634"/>
        <w:gridCol w:w="1395"/>
        <w:gridCol w:w="947"/>
        <w:gridCol w:w="1717"/>
        <w:gridCol w:w="1098"/>
        <w:gridCol w:w="1229"/>
      </w:tblGrid>
      <w:tr w14:paraId="30E82D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tblHeader/>
          <w:jc w:val="center"/>
        </w:trPr>
        <w:tc>
          <w:tcPr>
            <w:tcW w:w="502" w:type="dxa"/>
            <w:vMerge w:val="restart"/>
            <w:tcBorders>
              <w:tl2br w:val="nil"/>
              <w:tr2bl w:val="nil"/>
            </w:tcBorders>
            <w:noWrap w:val="0"/>
            <w:vAlign w:val="center"/>
          </w:tcPr>
          <w:p w14:paraId="29F1DA15">
            <w:pPr>
              <w:pStyle w:val="71"/>
              <w:kinsoku w:val="0"/>
              <w:overflowPunct w:val="0"/>
              <w:snapToGrid w:val="0"/>
              <w:jc w:val="center"/>
              <w:rPr>
                <w:rFonts w:hint="default" w:ascii="Times New Roman" w:hAnsi="Times New Roman" w:cs="Times New Roman"/>
                <w:b/>
                <w:color w:val="auto"/>
                <w:w w:val="99"/>
                <w:sz w:val="21"/>
                <w:szCs w:val="21"/>
                <w:highlight w:val="none"/>
              </w:rPr>
            </w:pPr>
            <w:r>
              <w:rPr>
                <w:rFonts w:hint="default" w:ascii="Times New Roman" w:hAnsi="Times New Roman" w:cs="Times New Roman"/>
                <w:b/>
                <w:color w:val="auto"/>
                <w:sz w:val="21"/>
                <w:szCs w:val="21"/>
                <w:highlight w:val="none"/>
              </w:rPr>
              <w:t>序号</w:t>
            </w:r>
          </w:p>
        </w:tc>
        <w:tc>
          <w:tcPr>
            <w:tcW w:w="3029" w:type="dxa"/>
            <w:gridSpan w:val="2"/>
            <w:tcBorders>
              <w:tl2br w:val="nil"/>
              <w:tr2bl w:val="nil"/>
            </w:tcBorders>
            <w:noWrap w:val="0"/>
            <w:vAlign w:val="center"/>
          </w:tcPr>
          <w:p w14:paraId="170D5244">
            <w:pPr>
              <w:pStyle w:val="71"/>
              <w:kinsoku w:val="0"/>
              <w:overflowPunct w:val="0"/>
              <w:snapToGrid w:val="0"/>
              <w:jc w:val="center"/>
              <w:rPr>
                <w:rFonts w:hint="default" w:ascii="Times New Roman" w:hAnsi="Times New Roman" w:cs="Times New Roman"/>
                <w:b/>
                <w:color w:val="auto"/>
                <w:w w:val="99"/>
                <w:sz w:val="21"/>
                <w:szCs w:val="21"/>
                <w:highlight w:val="none"/>
              </w:rPr>
            </w:pPr>
            <w:r>
              <w:rPr>
                <w:rFonts w:hint="default" w:ascii="Times New Roman" w:hAnsi="Times New Roman" w:cs="Times New Roman"/>
                <w:b/>
                <w:color w:val="auto"/>
                <w:sz w:val="21"/>
                <w:szCs w:val="21"/>
                <w:highlight w:val="none"/>
              </w:rPr>
              <w:t>土地利用类型</w:t>
            </w:r>
          </w:p>
        </w:tc>
        <w:tc>
          <w:tcPr>
            <w:tcW w:w="2664" w:type="dxa"/>
            <w:gridSpan w:val="2"/>
            <w:tcBorders>
              <w:tl2br w:val="nil"/>
              <w:tr2bl w:val="nil"/>
            </w:tcBorders>
            <w:noWrap w:val="0"/>
            <w:vAlign w:val="center"/>
          </w:tcPr>
          <w:p w14:paraId="7918BEE2">
            <w:pPr>
              <w:pStyle w:val="71"/>
              <w:kinsoku w:val="0"/>
              <w:overflowPunct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评价区</w:t>
            </w:r>
          </w:p>
        </w:tc>
        <w:tc>
          <w:tcPr>
            <w:tcW w:w="2327" w:type="dxa"/>
            <w:gridSpan w:val="2"/>
            <w:tcBorders>
              <w:tl2br w:val="nil"/>
              <w:tr2bl w:val="nil"/>
            </w:tcBorders>
            <w:noWrap w:val="0"/>
            <w:vAlign w:val="center"/>
          </w:tcPr>
          <w:p w14:paraId="49855F6E">
            <w:pPr>
              <w:pStyle w:val="71"/>
              <w:kinsoku w:val="0"/>
              <w:overflowPunct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工程占用土地情况</w:t>
            </w:r>
          </w:p>
        </w:tc>
      </w:tr>
      <w:tr w14:paraId="78BE26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blHeader/>
          <w:jc w:val="center"/>
        </w:trPr>
        <w:tc>
          <w:tcPr>
            <w:tcW w:w="502" w:type="dxa"/>
            <w:vMerge w:val="continue"/>
            <w:tcBorders>
              <w:tl2br w:val="nil"/>
              <w:tr2bl w:val="nil"/>
            </w:tcBorders>
            <w:noWrap w:val="0"/>
            <w:vAlign w:val="center"/>
          </w:tcPr>
          <w:p w14:paraId="0E27DDAA">
            <w:pPr>
              <w:pStyle w:val="10"/>
              <w:kinsoku w:val="0"/>
              <w:overflowPunct w:val="0"/>
              <w:spacing w:before="0" w:after="0" w:line="240" w:lineRule="auto"/>
              <w:ind w:right="0"/>
              <w:jc w:val="center"/>
              <w:rPr>
                <w:rFonts w:hint="default" w:ascii="Times New Roman" w:hAnsi="Times New Roman" w:cs="Times New Roman"/>
                <w:color w:val="auto"/>
                <w:sz w:val="21"/>
                <w:szCs w:val="21"/>
                <w:highlight w:val="none"/>
              </w:rPr>
            </w:pPr>
          </w:p>
        </w:tc>
        <w:tc>
          <w:tcPr>
            <w:tcW w:w="1634" w:type="dxa"/>
            <w:tcBorders>
              <w:tl2br w:val="nil"/>
              <w:tr2bl w:val="nil"/>
            </w:tcBorders>
            <w:noWrap w:val="0"/>
            <w:vAlign w:val="center"/>
          </w:tcPr>
          <w:p w14:paraId="44785486">
            <w:pPr>
              <w:pStyle w:val="71"/>
              <w:kinsoku w:val="0"/>
              <w:overflowPunct w:val="0"/>
              <w:snapToGrid w:val="0"/>
              <w:jc w:val="center"/>
              <w:rPr>
                <w:rFonts w:hint="default" w:ascii="Times New Roman" w:hAnsi="Times New Roman" w:cs="Times New Roman"/>
                <w:b/>
                <w:color w:val="auto"/>
                <w:w w:val="99"/>
                <w:sz w:val="21"/>
                <w:szCs w:val="21"/>
                <w:highlight w:val="none"/>
              </w:rPr>
            </w:pPr>
            <w:r>
              <w:rPr>
                <w:rFonts w:hint="default" w:ascii="Times New Roman" w:hAnsi="Times New Roman" w:cs="Times New Roman"/>
                <w:b/>
                <w:color w:val="auto"/>
                <w:sz w:val="21"/>
                <w:szCs w:val="21"/>
                <w:highlight w:val="none"/>
              </w:rPr>
              <w:t>一级</w:t>
            </w:r>
          </w:p>
        </w:tc>
        <w:tc>
          <w:tcPr>
            <w:tcW w:w="1395" w:type="dxa"/>
            <w:tcBorders>
              <w:tl2br w:val="nil"/>
              <w:tr2bl w:val="nil"/>
            </w:tcBorders>
            <w:noWrap w:val="0"/>
            <w:vAlign w:val="center"/>
          </w:tcPr>
          <w:p w14:paraId="5D00768E">
            <w:pPr>
              <w:pStyle w:val="71"/>
              <w:kinsoku w:val="0"/>
              <w:overflowPunct w:val="0"/>
              <w:snapToGrid w:val="0"/>
              <w:jc w:val="center"/>
              <w:rPr>
                <w:rFonts w:hint="default" w:ascii="Times New Roman" w:hAnsi="Times New Roman" w:cs="Times New Roman"/>
                <w:b/>
                <w:color w:val="auto"/>
                <w:w w:val="99"/>
                <w:sz w:val="21"/>
                <w:szCs w:val="21"/>
                <w:highlight w:val="none"/>
              </w:rPr>
            </w:pPr>
            <w:r>
              <w:rPr>
                <w:rFonts w:hint="default" w:ascii="Times New Roman" w:hAnsi="Times New Roman" w:cs="Times New Roman"/>
                <w:b/>
                <w:color w:val="auto"/>
                <w:sz w:val="21"/>
                <w:szCs w:val="21"/>
                <w:highlight w:val="none"/>
              </w:rPr>
              <w:t>二级</w:t>
            </w:r>
          </w:p>
        </w:tc>
        <w:tc>
          <w:tcPr>
            <w:tcW w:w="947" w:type="dxa"/>
            <w:tcBorders>
              <w:tl2br w:val="nil"/>
              <w:tr2bl w:val="nil"/>
            </w:tcBorders>
            <w:noWrap w:val="0"/>
            <w:vAlign w:val="center"/>
          </w:tcPr>
          <w:p w14:paraId="64A4E6B2">
            <w:pPr>
              <w:pStyle w:val="71"/>
              <w:kinsoku w:val="0"/>
              <w:overflowPunct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面积</w:t>
            </w:r>
          </w:p>
          <w:p w14:paraId="47539BA9">
            <w:pPr>
              <w:pStyle w:val="71"/>
              <w:kinsoku w:val="0"/>
              <w:overflowPunct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r>
              <w:rPr>
                <w:rFonts w:hint="default" w:ascii="Times New Roman" w:hAnsi="Times New Roman" w:cs="Times New Roman"/>
                <w:b/>
                <w:color w:val="auto"/>
                <w:sz w:val="21"/>
                <w:szCs w:val="21"/>
                <w:highlight w:val="none"/>
                <w:lang w:eastAsia="zh-CN"/>
              </w:rPr>
              <w:t>h</w:t>
            </w:r>
            <w:r>
              <w:rPr>
                <w:rFonts w:hint="default" w:ascii="Times New Roman" w:hAnsi="Times New Roman" w:cs="Times New Roman"/>
                <w:b/>
                <w:color w:val="auto"/>
                <w:sz w:val="21"/>
                <w:szCs w:val="21"/>
                <w:highlight w:val="none"/>
              </w:rPr>
              <w:t>m</w:t>
            </w:r>
            <w:r>
              <w:rPr>
                <w:rFonts w:hint="default" w:ascii="Times New Roman" w:hAnsi="Times New Roman" w:cs="Times New Roman"/>
                <w:b/>
                <w:color w:val="auto"/>
                <w:sz w:val="21"/>
                <w:szCs w:val="21"/>
                <w:highlight w:val="none"/>
                <w:vertAlign w:val="superscript"/>
              </w:rPr>
              <w:t>2</w:t>
            </w:r>
            <w:r>
              <w:rPr>
                <w:rFonts w:hint="default" w:ascii="Times New Roman" w:hAnsi="Times New Roman" w:cs="Times New Roman"/>
                <w:b/>
                <w:color w:val="auto"/>
                <w:sz w:val="21"/>
                <w:szCs w:val="21"/>
                <w:highlight w:val="none"/>
              </w:rPr>
              <w:t>）</w:t>
            </w:r>
          </w:p>
        </w:tc>
        <w:tc>
          <w:tcPr>
            <w:tcW w:w="1717" w:type="dxa"/>
            <w:tcBorders>
              <w:tl2br w:val="nil"/>
              <w:tr2bl w:val="nil"/>
            </w:tcBorders>
            <w:noWrap w:val="0"/>
            <w:vAlign w:val="center"/>
          </w:tcPr>
          <w:p w14:paraId="2B3631F4">
            <w:pPr>
              <w:pStyle w:val="71"/>
              <w:kinsoku w:val="0"/>
              <w:overflowPunct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占总面积比例</w:t>
            </w:r>
          </w:p>
          <w:p w14:paraId="22C3BC8D">
            <w:pPr>
              <w:pStyle w:val="71"/>
              <w:kinsoku w:val="0"/>
              <w:overflowPunct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c>
          <w:tcPr>
            <w:tcW w:w="1098" w:type="dxa"/>
            <w:tcBorders>
              <w:tl2br w:val="nil"/>
              <w:tr2bl w:val="nil"/>
            </w:tcBorders>
            <w:noWrap w:val="0"/>
            <w:vAlign w:val="center"/>
          </w:tcPr>
          <w:p w14:paraId="2F63E87C">
            <w:pPr>
              <w:pStyle w:val="10"/>
              <w:kinsoku w:val="0"/>
              <w:overflowPunct w:val="0"/>
              <w:spacing w:before="0" w:after="0" w:line="240" w:lineRule="auto"/>
              <w:ind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占用面积</w:t>
            </w:r>
          </w:p>
          <w:p w14:paraId="6B464AEC">
            <w:pPr>
              <w:pStyle w:val="10"/>
              <w:kinsoku w:val="0"/>
              <w:overflowPunct w:val="0"/>
              <w:spacing w:before="0" w:after="0" w:line="240" w:lineRule="auto"/>
              <w:ind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（hm</w:t>
            </w:r>
            <w:r>
              <w:rPr>
                <w:rFonts w:hint="default" w:ascii="Times New Roman" w:hAnsi="Times New Roman" w:cs="Times New Roman"/>
                <w:b/>
                <w:color w:val="auto"/>
                <w:sz w:val="21"/>
                <w:szCs w:val="21"/>
                <w:highlight w:val="none"/>
                <w:vertAlign w:val="superscript"/>
              </w:rPr>
              <w:t>2</w:t>
            </w:r>
            <w:r>
              <w:rPr>
                <w:rFonts w:hint="default" w:ascii="Times New Roman" w:hAnsi="Times New Roman" w:cs="Times New Roman"/>
                <w:b/>
                <w:color w:val="auto"/>
                <w:sz w:val="21"/>
                <w:szCs w:val="21"/>
                <w:highlight w:val="none"/>
              </w:rPr>
              <w:t>）</w:t>
            </w:r>
          </w:p>
        </w:tc>
        <w:tc>
          <w:tcPr>
            <w:tcW w:w="1229" w:type="dxa"/>
            <w:tcBorders>
              <w:tl2br w:val="nil"/>
              <w:tr2bl w:val="nil"/>
            </w:tcBorders>
            <w:noWrap w:val="0"/>
            <w:vAlign w:val="center"/>
          </w:tcPr>
          <w:p w14:paraId="7456F673">
            <w:pPr>
              <w:pStyle w:val="10"/>
              <w:kinsoku w:val="0"/>
              <w:overflowPunct w:val="0"/>
              <w:spacing w:before="0" w:after="0" w:line="240" w:lineRule="auto"/>
              <w:ind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占用比例</w:t>
            </w:r>
          </w:p>
          <w:p w14:paraId="536D73EA">
            <w:pPr>
              <w:pStyle w:val="10"/>
              <w:kinsoku w:val="0"/>
              <w:overflowPunct w:val="0"/>
              <w:spacing w:before="0" w:after="0" w:line="240" w:lineRule="auto"/>
              <w:ind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r>
      <w:tr w14:paraId="474041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2" w:type="dxa"/>
            <w:tcBorders>
              <w:tl2br w:val="nil"/>
              <w:tr2bl w:val="nil"/>
            </w:tcBorders>
            <w:noWrap w:val="0"/>
            <w:vAlign w:val="center"/>
          </w:tcPr>
          <w:p w14:paraId="7EDCDED0">
            <w:pPr>
              <w:pStyle w:val="71"/>
              <w:kinsoku w:val="0"/>
              <w:overflowPunct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1634" w:type="dxa"/>
            <w:tcBorders>
              <w:tl2br w:val="nil"/>
              <w:tr2bl w:val="nil"/>
            </w:tcBorders>
            <w:noWrap w:val="0"/>
            <w:vAlign w:val="center"/>
          </w:tcPr>
          <w:p w14:paraId="377F48EC">
            <w:pPr>
              <w:pStyle w:val="71"/>
              <w:kinsoku w:val="0"/>
              <w:overflowPunct w:val="0"/>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草地</w:t>
            </w:r>
          </w:p>
        </w:tc>
        <w:tc>
          <w:tcPr>
            <w:tcW w:w="1395" w:type="dxa"/>
            <w:tcBorders>
              <w:tl2br w:val="nil"/>
              <w:tr2bl w:val="nil"/>
            </w:tcBorders>
            <w:noWrap w:val="0"/>
            <w:vAlign w:val="center"/>
          </w:tcPr>
          <w:p w14:paraId="65162F5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2"/>
                <w:szCs w:val="22"/>
                <w:u w:val="none"/>
                <w:lang w:val="en-US" w:eastAsia="zh-CN" w:bidi="ar"/>
              </w:rPr>
              <w:t>天然牧草地</w:t>
            </w:r>
          </w:p>
        </w:tc>
        <w:tc>
          <w:tcPr>
            <w:tcW w:w="947" w:type="dxa"/>
            <w:tcBorders>
              <w:tl2br w:val="nil"/>
              <w:tr2bl w:val="nil"/>
            </w:tcBorders>
            <w:noWrap w:val="0"/>
            <w:vAlign w:val="center"/>
          </w:tcPr>
          <w:p w14:paraId="0A347C36">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401.94</w:t>
            </w:r>
          </w:p>
        </w:tc>
        <w:tc>
          <w:tcPr>
            <w:tcW w:w="1717" w:type="dxa"/>
            <w:tcBorders>
              <w:tl2br w:val="nil"/>
              <w:tr2bl w:val="nil"/>
            </w:tcBorders>
            <w:noWrap w:val="0"/>
            <w:vAlign w:val="center"/>
          </w:tcPr>
          <w:p w14:paraId="72C70E9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7.83</w:t>
            </w:r>
          </w:p>
        </w:tc>
        <w:tc>
          <w:tcPr>
            <w:tcW w:w="1098" w:type="dxa"/>
            <w:tcBorders>
              <w:tl2br w:val="nil"/>
              <w:tr2bl w:val="nil"/>
            </w:tcBorders>
            <w:noWrap w:val="0"/>
            <w:vAlign w:val="center"/>
          </w:tcPr>
          <w:p w14:paraId="7A206519">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0.5847</w:t>
            </w:r>
          </w:p>
        </w:tc>
        <w:tc>
          <w:tcPr>
            <w:tcW w:w="1229" w:type="dxa"/>
            <w:tcBorders>
              <w:tl2br w:val="nil"/>
              <w:tr2bl w:val="nil"/>
            </w:tcBorders>
            <w:noWrap w:val="0"/>
            <w:vAlign w:val="center"/>
          </w:tcPr>
          <w:p w14:paraId="79B61B52">
            <w:pPr>
              <w:keepNext w:val="0"/>
              <w:keepLines w:val="0"/>
              <w:pageBreakBefore w:val="0"/>
              <w:widowControl/>
              <w:suppressLineNumbers w:val="0"/>
              <w:kinsoku/>
              <w:wordWrap/>
              <w:overflowPunct/>
              <w:topLinePunct w:val="0"/>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9.20</w:t>
            </w:r>
          </w:p>
        </w:tc>
      </w:tr>
      <w:tr w14:paraId="76A216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2" w:type="dxa"/>
            <w:vMerge w:val="restart"/>
            <w:tcBorders>
              <w:tl2br w:val="nil"/>
              <w:tr2bl w:val="nil"/>
            </w:tcBorders>
            <w:noWrap w:val="0"/>
            <w:vAlign w:val="center"/>
          </w:tcPr>
          <w:p w14:paraId="23760FBD">
            <w:pPr>
              <w:pStyle w:val="71"/>
              <w:kinsoku w:val="0"/>
              <w:overflowPunct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p>
        </w:tc>
        <w:tc>
          <w:tcPr>
            <w:tcW w:w="1634" w:type="dxa"/>
            <w:vMerge w:val="restart"/>
            <w:tcBorders>
              <w:tl2br w:val="nil"/>
              <w:tr2bl w:val="nil"/>
            </w:tcBorders>
            <w:noWrap w:val="0"/>
            <w:vAlign w:val="center"/>
          </w:tcPr>
          <w:p w14:paraId="6FE48DED">
            <w:pPr>
              <w:pStyle w:val="71"/>
              <w:kinsoku w:val="0"/>
              <w:overflowPunct w:val="0"/>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林地</w:t>
            </w:r>
          </w:p>
        </w:tc>
        <w:tc>
          <w:tcPr>
            <w:tcW w:w="1395" w:type="dxa"/>
            <w:tcBorders>
              <w:tl2br w:val="nil"/>
              <w:tr2bl w:val="nil"/>
            </w:tcBorders>
            <w:noWrap w:val="0"/>
            <w:vAlign w:val="center"/>
          </w:tcPr>
          <w:p w14:paraId="71BE64BE">
            <w:pPr>
              <w:keepNext w:val="0"/>
              <w:keepLines w:val="0"/>
              <w:widowControl/>
              <w:suppressLineNumbers w:val="0"/>
              <w:jc w:val="center"/>
              <w:textAlignment w:val="center"/>
              <w:rPr>
                <w:rFonts w:hint="default" w:ascii="Times New Roman" w:hAnsi="Times New Roman" w:cs="Times New Roman"/>
                <w:color w:val="auto"/>
                <w:sz w:val="21"/>
                <w:szCs w:val="21"/>
                <w:highlight w:val="none"/>
                <w:lang w:eastAsia="zh-CN"/>
              </w:rPr>
            </w:pPr>
            <w:r>
              <w:rPr>
                <w:rFonts w:hint="eastAsia" w:ascii="宋体" w:hAnsi="宋体" w:eastAsia="宋体" w:cs="宋体"/>
                <w:i w:val="0"/>
                <w:iCs w:val="0"/>
                <w:color w:val="auto"/>
                <w:kern w:val="0"/>
                <w:sz w:val="22"/>
                <w:szCs w:val="22"/>
                <w:u w:val="none"/>
                <w:lang w:val="en-US" w:eastAsia="zh-CN" w:bidi="ar"/>
              </w:rPr>
              <w:t>灌木林地</w:t>
            </w:r>
          </w:p>
        </w:tc>
        <w:tc>
          <w:tcPr>
            <w:tcW w:w="947" w:type="dxa"/>
            <w:tcBorders>
              <w:tl2br w:val="nil"/>
              <w:tr2bl w:val="nil"/>
            </w:tcBorders>
            <w:noWrap w:val="0"/>
            <w:vAlign w:val="center"/>
          </w:tcPr>
          <w:p w14:paraId="1D5B9AF0">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1477.73</w:t>
            </w:r>
          </w:p>
        </w:tc>
        <w:tc>
          <w:tcPr>
            <w:tcW w:w="1717" w:type="dxa"/>
            <w:tcBorders>
              <w:tl2br w:val="nil"/>
              <w:tr2bl w:val="nil"/>
            </w:tcBorders>
            <w:noWrap w:val="0"/>
            <w:vAlign w:val="center"/>
          </w:tcPr>
          <w:p w14:paraId="69ED96C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28.79</w:t>
            </w:r>
          </w:p>
        </w:tc>
        <w:tc>
          <w:tcPr>
            <w:tcW w:w="1098" w:type="dxa"/>
            <w:tcBorders>
              <w:tl2br w:val="nil"/>
              <w:tr2bl w:val="nil"/>
            </w:tcBorders>
            <w:noWrap w:val="0"/>
            <w:vAlign w:val="center"/>
          </w:tcPr>
          <w:p w14:paraId="6B640930">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2.8561</w:t>
            </w:r>
          </w:p>
        </w:tc>
        <w:tc>
          <w:tcPr>
            <w:tcW w:w="1229" w:type="dxa"/>
            <w:tcBorders>
              <w:tl2br w:val="nil"/>
              <w:tr2bl w:val="nil"/>
            </w:tcBorders>
            <w:noWrap w:val="0"/>
            <w:vAlign w:val="center"/>
          </w:tcPr>
          <w:p w14:paraId="4E95FAD7">
            <w:pPr>
              <w:keepNext w:val="0"/>
              <w:keepLines w:val="0"/>
              <w:pageBreakBefore w:val="0"/>
              <w:widowControl/>
              <w:suppressLineNumbers w:val="0"/>
              <w:kinsoku/>
              <w:wordWrap/>
              <w:overflowPunct/>
              <w:topLinePunct w:val="0"/>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44.85</w:t>
            </w:r>
          </w:p>
        </w:tc>
      </w:tr>
      <w:tr w14:paraId="70A439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2" w:type="dxa"/>
            <w:vMerge w:val="continue"/>
            <w:tcBorders>
              <w:tl2br w:val="nil"/>
              <w:tr2bl w:val="nil"/>
            </w:tcBorders>
            <w:noWrap w:val="0"/>
            <w:vAlign w:val="center"/>
          </w:tcPr>
          <w:p w14:paraId="7A8967C4">
            <w:pPr>
              <w:pStyle w:val="71"/>
              <w:kinsoku w:val="0"/>
              <w:overflowPunct w:val="0"/>
              <w:snapToGrid w:val="0"/>
              <w:jc w:val="center"/>
              <w:rPr>
                <w:rFonts w:hint="default" w:ascii="Times New Roman" w:hAnsi="Times New Roman" w:cs="Times New Roman"/>
                <w:color w:val="auto"/>
                <w:sz w:val="21"/>
                <w:szCs w:val="21"/>
                <w:highlight w:val="none"/>
                <w:lang w:val="en-US" w:eastAsia="zh-CN"/>
              </w:rPr>
            </w:pPr>
          </w:p>
        </w:tc>
        <w:tc>
          <w:tcPr>
            <w:tcW w:w="1634" w:type="dxa"/>
            <w:vMerge w:val="continue"/>
            <w:tcBorders>
              <w:tl2br w:val="nil"/>
              <w:tr2bl w:val="nil"/>
            </w:tcBorders>
            <w:noWrap w:val="0"/>
            <w:vAlign w:val="center"/>
          </w:tcPr>
          <w:p w14:paraId="117D8540">
            <w:pPr>
              <w:pStyle w:val="71"/>
              <w:kinsoku w:val="0"/>
              <w:overflowPunct w:val="0"/>
              <w:snapToGrid w:val="0"/>
              <w:jc w:val="center"/>
              <w:rPr>
                <w:rFonts w:hint="default" w:ascii="Times New Roman" w:hAnsi="Times New Roman" w:cs="Times New Roman"/>
                <w:color w:val="auto"/>
                <w:sz w:val="21"/>
                <w:szCs w:val="21"/>
                <w:highlight w:val="none"/>
              </w:rPr>
            </w:pPr>
          </w:p>
        </w:tc>
        <w:tc>
          <w:tcPr>
            <w:tcW w:w="1395" w:type="dxa"/>
            <w:tcBorders>
              <w:tl2br w:val="nil"/>
              <w:tr2bl w:val="nil"/>
            </w:tcBorders>
            <w:noWrap w:val="0"/>
            <w:vAlign w:val="center"/>
          </w:tcPr>
          <w:p w14:paraId="4F1EBF8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宋体" w:hAnsi="宋体" w:eastAsia="宋体" w:cs="宋体"/>
                <w:i w:val="0"/>
                <w:iCs w:val="0"/>
                <w:color w:val="auto"/>
                <w:kern w:val="0"/>
                <w:sz w:val="22"/>
                <w:szCs w:val="22"/>
                <w:u w:val="none"/>
                <w:lang w:val="en-US" w:eastAsia="zh-CN" w:bidi="ar"/>
              </w:rPr>
              <w:t>乔木林地</w:t>
            </w:r>
          </w:p>
        </w:tc>
        <w:tc>
          <w:tcPr>
            <w:tcW w:w="947" w:type="dxa"/>
            <w:tcBorders>
              <w:tl2br w:val="nil"/>
              <w:tr2bl w:val="nil"/>
            </w:tcBorders>
            <w:noWrap w:val="0"/>
            <w:vAlign w:val="center"/>
          </w:tcPr>
          <w:p w14:paraId="5468CCB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1516.86</w:t>
            </w:r>
          </w:p>
        </w:tc>
        <w:tc>
          <w:tcPr>
            <w:tcW w:w="1717" w:type="dxa"/>
            <w:tcBorders>
              <w:tl2br w:val="nil"/>
              <w:tr2bl w:val="nil"/>
            </w:tcBorders>
            <w:noWrap w:val="0"/>
            <w:vAlign w:val="center"/>
          </w:tcPr>
          <w:p w14:paraId="3F31BC7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29.55</w:t>
            </w:r>
          </w:p>
        </w:tc>
        <w:tc>
          <w:tcPr>
            <w:tcW w:w="1098" w:type="dxa"/>
            <w:tcBorders>
              <w:tl2br w:val="nil"/>
              <w:tr2bl w:val="nil"/>
            </w:tcBorders>
            <w:noWrap w:val="0"/>
            <w:vAlign w:val="center"/>
          </w:tcPr>
          <w:p w14:paraId="1DAD3108">
            <w:pPr>
              <w:keepNext w:val="0"/>
              <w:keepLines w:val="0"/>
              <w:pageBreakBefore w:val="0"/>
              <w:widowControl/>
              <w:kinsoku/>
              <w:wordWrap/>
              <w:overflowPunct/>
              <w:topLinePunct w:val="0"/>
              <w:autoSpaceDE/>
              <w:autoSpaceDN/>
              <w:bidi w:val="0"/>
              <w:adjustRightInd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0.7432</w:t>
            </w:r>
          </w:p>
        </w:tc>
        <w:tc>
          <w:tcPr>
            <w:tcW w:w="1229" w:type="dxa"/>
            <w:tcBorders>
              <w:tl2br w:val="nil"/>
              <w:tr2bl w:val="nil"/>
            </w:tcBorders>
            <w:noWrap w:val="0"/>
            <w:vAlign w:val="center"/>
          </w:tcPr>
          <w:p w14:paraId="486CA738">
            <w:pPr>
              <w:keepNext w:val="0"/>
              <w:keepLines w:val="0"/>
              <w:pageBreakBefore w:val="0"/>
              <w:widowControl/>
              <w:suppressLineNumbers w:val="0"/>
              <w:kinsoku/>
              <w:wordWrap/>
              <w:overflowPunct/>
              <w:topLinePunct w:val="0"/>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11.80</w:t>
            </w:r>
          </w:p>
        </w:tc>
      </w:tr>
      <w:tr w14:paraId="241326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2" w:type="dxa"/>
            <w:tcBorders>
              <w:tl2br w:val="nil"/>
              <w:tr2bl w:val="nil"/>
            </w:tcBorders>
            <w:noWrap w:val="0"/>
            <w:vAlign w:val="center"/>
          </w:tcPr>
          <w:p w14:paraId="5F7E4E8F">
            <w:pPr>
              <w:pStyle w:val="71"/>
              <w:kinsoku w:val="0"/>
              <w:overflowPunct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p>
        </w:tc>
        <w:tc>
          <w:tcPr>
            <w:tcW w:w="1634" w:type="dxa"/>
            <w:tcBorders>
              <w:tl2br w:val="nil"/>
              <w:tr2bl w:val="nil"/>
            </w:tcBorders>
            <w:noWrap w:val="0"/>
            <w:vAlign w:val="center"/>
          </w:tcPr>
          <w:p w14:paraId="1F837863">
            <w:pPr>
              <w:pStyle w:val="71"/>
              <w:kinsoku w:val="0"/>
              <w:overflowPunct w:val="0"/>
              <w:snapToGrid w:val="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耕地</w:t>
            </w:r>
          </w:p>
        </w:tc>
        <w:tc>
          <w:tcPr>
            <w:tcW w:w="1395" w:type="dxa"/>
            <w:tcBorders>
              <w:tl2br w:val="nil"/>
              <w:tr2bl w:val="nil"/>
            </w:tcBorders>
            <w:noWrap w:val="0"/>
            <w:vAlign w:val="center"/>
          </w:tcPr>
          <w:p w14:paraId="7AC2277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2"/>
                <w:szCs w:val="22"/>
                <w:u w:val="none"/>
                <w:lang w:val="en-US" w:eastAsia="zh-CN" w:bidi="ar"/>
              </w:rPr>
              <w:t>旱地</w:t>
            </w:r>
          </w:p>
        </w:tc>
        <w:tc>
          <w:tcPr>
            <w:tcW w:w="947" w:type="dxa"/>
            <w:tcBorders>
              <w:tl2br w:val="nil"/>
              <w:tr2bl w:val="nil"/>
            </w:tcBorders>
            <w:noWrap w:val="0"/>
            <w:vAlign w:val="center"/>
          </w:tcPr>
          <w:p w14:paraId="1F20FAD9">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1484.28</w:t>
            </w:r>
          </w:p>
        </w:tc>
        <w:tc>
          <w:tcPr>
            <w:tcW w:w="1717" w:type="dxa"/>
            <w:tcBorders>
              <w:tl2br w:val="nil"/>
              <w:tr2bl w:val="nil"/>
            </w:tcBorders>
            <w:noWrap w:val="0"/>
            <w:vAlign w:val="center"/>
          </w:tcPr>
          <w:p w14:paraId="464CFCE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28.92</w:t>
            </w:r>
          </w:p>
        </w:tc>
        <w:tc>
          <w:tcPr>
            <w:tcW w:w="1098" w:type="dxa"/>
            <w:tcBorders>
              <w:tl2br w:val="nil"/>
              <w:tr2bl w:val="nil"/>
            </w:tcBorders>
            <w:noWrap w:val="0"/>
            <w:vAlign w:val="center"/>
          </w:tcPr>
          <w:p w14:paraId="0E5E97E2">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2.1703</w:t>
            </w:r>
          </w:p>
        </w:tc>
        <w:tc>
          <w:tcPr>
            <w:tcW w:w="1229" w:type="dxa"/>
            <w:tcBorders>
              <w:tl2br w:val="nil"/>
              <w:tr2bl w:val="nil"/>
            </w:tcBorders>
            <w:noWrap w:val="0"/>
            <w:vAlign w:val="center"/>
          </w:tcPr>
          <w:p w14:paraId="2B42A2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34.15</w:t>
            </w:r>
          </w:p>
        </w:tc>
      </w:tr>
      <w:tr w14:paraId="141C87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2" w:type="dxa"/>
            <w:tcBorders>
              <w:tl2br w:val="nil"/>
              <w:tr2bl w:val="nil"/>
            </w:tcBorders>
            <w:noWrap w:val="0"/>
            <w:vAlign w:val="center"/>
          </w:tcPr>
          <w:p w14:paraId="37372946">
            <w:pPr>
              <w:pStyle w:val="71"/>
              <w:kinsoku w:val="0"/>
              <w:overflowPunct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w:t>
            </w:r>
          </w:p>
        </w:tc>
        <w:tc>
          <w:tcPr>
            <w:tcW w:w="1634" w:type="dxa"/>
            <w:tcBorders>
              <w:tl2br w:val="nil"/>
              <w:tr2bl w:val="nil"/>
            </w:tcBorders>
            <w:noWrap w:val="0"/>
            <w:vAlign w:val="center"/>
          </w:tcPr>
          <w:p w14:paraId="5743F516">
            <w:pPr>
              <w:pStyle w:val="71"/>
              <w:kinsoku w:val="0"/>
              <w:overflowPunct w:val="0"/>
              <w:snapToGrid w:val="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住宅用地</w:t>
            </w:r>
          </w:p>
        </w:tc>
        <w:tc>
          <w:tcPr>
            <w:tcW w:w="1395" w:type="dxa"/>
            <w:tcBorders>
              <w:tl2br w:val="nil"/>
              <w:tr2bl w:val="nil"/>
            </w:tcBorders>
            <w:noWrap w:val="0"/>
            <w:vAlign w:val="center"/>
          </w:tcPr>
          <w:p w14:paraId="75049B81">
            <w:pPr>
              <w:keepNext w:val="0"/>
              <w:keepLines w:val="0"/>
              <w:widowControl/>
              <w:suppressLineNumbers w:val="0"/>
              <w:jc w:val="center"/>
              <w:textAlignment w:val="center"/>
              <w:rPr>
                <w:rFonts w:hint="default" w:ascii="Times New Roman" w:hAnsi="Times New Roman" w:cs="Times New Roman"/>
                <w:color w:val="auto"/>
                <w:sz w:val="21"/>
                <w:szCs w:val="21"/>
                <w:highlight w:val="none"/>
                <w:lang w:eastAsia="zh-CN"/>
              </w:rPr>
            </w:pPr>
            <w:r>
              <w:rPr>
                <w:rFonts w:hint="eastAsia" w:ascii="宋体" w:hAnsi="宋体" w:eastAsia="宋体" w:cs="宋体"/>
                <w:i w:val="0"/>
                <w:iCs w:val="0"/>
                <w:color w:val="auto"/>
                <w:kern w:val="0"/>
                <w:sz w:val="22"/>
                <w:szCs w:val="22"/>
                <w:u w:val="none"/>
                <w:lang w:val="en-US" w:eastAsia="zh-CN" w:bidi="ar"/>
              </w:rPr>
              <w:t>农村宅基地</w:t>
            </w:r>
          </w:p>
        </w:tc>
        <w:tc>
          <w:tcPr>
            <w:tcW w:w="947" w:type="dxa"/>
            <w:tcBorders>
              <w:tl2br w:val="nil"/>
              <w:tr2bl w:val="nil"/>
            </w:tcBorders>
            <w:noWrap w:val="0"/>
            <w:vAlign w:val="center"/>
          </w:tcPr>
          <w:p w14:paraId="46BBE05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194.72</w:t>
            </w:r>
          </w:p>
        </w:tc>
        <w:tc>
          <w:tcPr>
            <w:tcW w:w="1717" w:type="dxa"/>
            <w:tcBorders>
              <w:tl2br w:val="nil"/>
              <w:tr2bl w:val="nil"/>
            </w:tcBorders>
            <w:noWrap w:val="0"/>
            <w:vAlign w:val="center"/>
          </w:tcPr>
          <w:p w14:paraId="0A99188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3.79</w:t>
            </w:r>
          </w:p>
        </w:tc>
        <w:tc>
          <w:tcPr>
            <w:tcW w:w="1098" w:type="dxa"/>
            <w:tcBorders>
              <w:tl2br w:val="nil"/>
              <w:tr2bl w:val="nil"/>
            </w:tcBorders>
            <w:noWrap w:val="0"/>
            <w:vAlign w:val="center"/>
          </w:tcPr>
          <w:p w14:paraId="13DE356E">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1229" w:type="dxa"/>
            <w:tcBorders>
              <w:tl2br w:val="nil"/>
              <w:tr2bl w:val="nil"/>
            </w:tcBorders>
            <w:noWrap w:val="0"/>
            <w:vAlign w:val="center"/>
          </w:tcPr>
          <w:p w14:paraId="30941616">
            <w:pPr>
              <w:keepNext w:val="0"/>
              <w:keepLines w:val="0"/>
              <w:pageBreakBefore w:val="0"/>
              <w:widowControl/>
              <w:suppressLineNumbers w:val="0"/>
              <w:kinsoku/>
              <w:wordWrap/>
              <w:overflowPunct/>
              <w:topLinePunct w:val="0"/>
              <w:bidi w:val="0"/>
              <w:adjustRightInd w:val="0"/>
              <w:snapToGrid w:val="0"/>
              <w:spacing w:line="240" w:lineRule="auto"/>
              <w:ind w:left="0" w:leftChars="0" w:right="0" w:rightChars="0"/>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54544F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2" w:type="dxa"/>
            <w:vMerge w:val="restart"/>
            <w:tcBorders>
              <w:tl2br w:val="nil"/>
              <w:tr2bl w:val="nil"/>
            </w:tcBorders>
            <w:noWrap w:val="0"/>
            <w:vAlign w:val="center"/>
          </w:tcPr>
          <w:p w14:paraId="7B3BE8A7">
            <w:pPr>
              <w:pStyle w:val="71"/>
              <w:kinsoku w:val="0"/>
              <w:overflowPunct w:val="0"/>
              <w:snapToGrid w:val="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w:t>
            </w:r>
          </w:p>
        </w:tc>
        <w:tc>
          <w:tcPr>
            <w:tcW w:w="1634" w:type="dxa"/>
            <w:vMerge w:val="restart"/>
            <w:tcBorders>
              <w:tl2br w:val="nil"/>
              <w:tr2bl w:val="nil"/>
            </w:tcBorders>
            <w:noWrap w:val="0"/>
            <w:vAlign w:val="center"/>
          </w:tcPr>
          <w:p w14:paraId="4138BE1C">
            <w:pPr>
              <w:pStyle w:val="71"/>
              <w:kinsoku w:val="0"/>
              <w:overflowPunct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水域及水利</w:t>
            </w:r>
          </w:p>
          <w:p w14:paraId="4D72EEC1">
            <w:pPr>
              <w:pStyle w:val="71"/>
              <w:kinsoku w:val="0"/>
              <w:overflowPunct w:val="0"/>
              <w:snapToGrid w:val="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设施用地</w:t>
            </w:r>
          </w:p>
        </w:tc>
        <w:tc>
          <w:tcPr>
            <w:tcW w:w="1395" w:type="dxa"/>
            <w:tcBorders>
              <w:tl2br w:val="nil"/>
              <w:tr2bl w:val="nil"/>
            </w:tcBorders>
            <w:noWrap w:val="0"/>
            <w:vAlign w:val="center"/>
          </w:tcPr>
          <w:p w14:paraId="271FCE3F">
            <w:pPr>
              <w:keepNext w:val="0"/>
              <w:keepLines w:val="0"/>
              <w:widowControl/>
              <w:suppressLineNumbers w:val="0"/>
              <w:jc w:val="center"/>
              <w:textAlignment w:val="center"/>
              <w:rPr>
                <w:rFonts w:hint="default" w:ascii="Times New Roman" w:hAnsi="Times New Roman" w:cs="Times New Roman"/>
                <w:color w:val="auto"/>
                <w:sz w:val="21"/>
                <w:szCs w:val="21"/>
                <w:highlight w:val="none"/>
                <w:lang w:eastAsia="zh-CN"/>
              </w:rPr>
            </w:pPr>
            <w:r>
              <w:rPr>
                <w:rFonts w:hint="eastAsia" w:ascii="宋体" w:hAnsi="宋体" w:eastAsia="宋体" w:cs="宋体"/>
                <w:i w:val="0"/>
                <w:iCs w:val="0"/>
                <w:color w:val="auto"/>
                <w:kern w:val="0"/>
                <w:sz w:val="22"/>
                <w:szCs w:val="22"/>
                <w:u w:val="none"/>
                <w:lang w:val="en-US" w:eastAsia="zh-CN" w:bidi="ar"/>
              </w:rPr>
              <w:t>河流水面</w:t>
            </w:r>
          </w:p>
        </w:tc>
        <w:tc>
          <w:tcPr>
            <w:tcW w:w="947" w:type="dxa"/>
            <w:tcBorders>
              <w:tl2br w:val="nil"/>
              <w:tr2bl w:val="nil"/>
            </w:tcBorders>
            <w:noWrap w:val="0"/>
            <w:vAlign w:val="center"/>
          </w:tcPr>
          <w:p w14:paraId="55A5EDC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8.28</w:t>
            </w:r>
          </w:p>
        </w:tc>
        <w:tc>
          <w:tcPr>
            <w:tcW w:w="1717" w:type="dxa"/>
            <w:tcBorders>
              <w:tl2br w:val="nil"/>
              <w:tr2bl w:val="nil"/>
            </w:tcBorders>
            <w:noWrap w:val="0"/>
            <w:vAlign w:val="center"/>
          </w:tcPr>
          <w:p w14:paraId="54ED140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0.16</w:t>
            </w:r>
          </w:p>
        </w:tc>
        <w:tc>
          <w:tcPr>
            <w:tcW w:w="1098" w:type="dxa"/>
            <w:tcBorders>
              <w:tl2br w:val="nil"/>
              <w:tr2bl w:val="nil"/>
            </w:tcBorders>
            <w:noWrap w:val="0"/>
            <w:vAlign w:val="center"/>
          </w:tcPr>
          <w:p w14:paraId="0B847632">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1229" w:type="dxa"/>
            <w:tcBorders>
              <w:tl2br w:val="nil"/>
              <w:tr2bl w:val="nil"/>
            </w:tcBorders>
            <w:noWrap w:val="0"/>
            <w:vAlign w:val="center"/>
          </w:tcPr>
          <w:p w14:paraId="246C1CC3">
            <w:pPr>
              <w:keepNext w:val="0"/>
              <w:keepLines w:val="0"/>
              <w:pageBreakBefore w:val="0"/>
              <w:widowControl/>
              <w:suppressLineNumbers w:val="0"/>
              <w:kinsoku/>
              <w:wordWrap/>
              <w:overflowPunct/>
              <w:topLinePunct w:val="0"/>
              <w:bidi w:val="0"/>
              <w:adjustRightInd w:val="0"/>
              <w:snapToGrid w:val="0"/>
              <w:spacing w:line="240" w:lineRule="auto"/>
              <w:ind w:left="0" w:leftChars="0" w:right="0" w:rightChars="0"/>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11FF59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2" w:type="dxa"/>
            <w:vMerge w:val="continue"/>
            <w:tcBorders>
              <w:tl2br w:val="nil"/>
              <w:tr2bl w:val="nil"/>
            </w:tcBorders>
            <w:noWrap w:val="0"/>
            <w:vAlign w:val="center"/>
          </w:tcPr>
          <w:p w14:paraId="259389BF">
            <w:pPr>
              <w:pStyle w:val="71"/>
              <w:kinsoku w:val="0"/>
              <w:overflowPunct w:val="0"/>
              <w:snapToGrid w:val="0"/>
              <w:jc w:val="center"/>
              <w:rPr>
                <w:rFonts w:hint="default" w:ascii="Times New Roman" w:hAnsi="Times New Roman" w:eastAsia="宋体" w:cs="Times New Roman"/>
                <w:color w:val="auto"/>
                <w:kern w:val="0"/>
                <w:sz w:val="21"/>
                <w:szCs w:val="21"/>
                <w:highlight w:val="none"/>
                <w:lang w:val="en-US" w:eastAsia="zh-CN" w:bidi="ar-SA"/>
              </w:rPr>
            </w:pPr>
          </w:p>
        </w:tc>
        <w:tc>
          <w:tcPr>
            <w:tcW w:w="1634" w:type="dxa"/>
            <w:vMerge w:val="continue"/>
            <w:tcBorders>
              <w:tl2br w:val="nil"/>
              <w:tr2bl w:val="nil"/>
            </w:tcBorders>
            <w:noWrap w:val="0"/>
            <w:vAlign w:val="center"/>
          </w:tcPr>
          <w:p w14:paraId="24A3D009">
            <w:pPr>
              <w:pStyle w:val="71"/>
              <w:kinsoku w:val="0"/>
              <w:overflowPunct w:val="0"/>
              <w:snapToGrid w:val="0"/>
              <w:jc w:val="center"/>
              <w:rPr>
                <w:rFonts w:hint="default" w:ascii="Times New Roman" w:hAnsi="Times New Roman" w:cs="Times New Roman"/>
                <w:color w:val="auto"/>
                <w:sz w:val="21"/>
                <w:szCs w:val="21"/>
                <w:highlight w:val="none"/>
              </w:rPr>
            </w:pPr>
          </w:p>
        </w:tc>
        <w:tc>
          <w:tcPr>
            <w:tcW w:w="1395" w:type="dxa"/>
            <w:tcBorders>
              <w:tl2br w:val="nil"/>
              <w:tr2bl w:val="nil"/>
            </w:tcBorders>
            <w:noWrap w:val="0"/>
            <w:vAlign w:val="center"/>
          </w:tcPr>
          <w:p w14:paraId="2AF529E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2"/>
                <w:szCs w:val="22"/>
                <w:u w:val="none"/>
                <w:lang w:val="en-US" w:eastAsia="zh-CN" w:bidi="ar"/>
              </w:rPr>
              <w:t>沟渠</w:t>
            </w:r>
          </w:p>
        </w:tc>
        <w:tc>
          <w:tcPr>
            <w:tcW w:w="947" w:type="dxa"/>
            <w:tcBorders>
              <w:tl2br w:val="nil"/>
              <w:tr2bl w:val="nil"/>
            </w:tcBorders>
            <w:noWrap w:val="0"/>
            <w:vAlign w:val="center"/>
          </w:tcPr>
          <w:p w14:paraId="7A24642D">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12.42</w:t>
            </w:r>
          </w:p>
        </w:tc>
        <w:tc>
          <w:tcPr>
            <w:tcW w:w="1717" w:type="dxa"/>
            <w:tcBorders>
              <w:tl2br w:val="nil"/>
              <w:tr2bl w:val="nil"/>
            </w:tcBorders>
            <w:noWrap w:val="0"/>
            <w:vAlign w:val="center"/>
          </w:tcPr>
          <w:p w14:paraId="4412207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0.24</w:t>
            </w:r>
          </w:p>
        </w:tc>
        <w:tc>
          <w:tcPr>
            <w:tcW w:w="1098" w:type="dxa"/>
            <w:tcBorders>
              <w:tl2br w:val="nil"/>
              <w:tr2bl w:val="nil"/>
            </w:tcBorders>
            <w:noWrap w:val="0"/>
            <w:vAlign w:val="center"/>
          </w:tcPr>
          <w:p w14:paraId="3BC0FEA2">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w:t>
            </w:r>
          </w:p>
        </w:tc>
        <w:tc>
          <w:tcPr>
            <w:tcW w:w="1229" w:type="dxa"/>
            <w:tcBorders>
              <w:tl2br w:val="nil"/>
              <w:tr2bl w:val="nil"/>
            </w:tcBorders>
            <w:noWrap w:val="0"/>
            <w:vAlign w:val="center"/>
          </w:tcPr>
          <w:p w14:paraId="459EA11C">
            <w:pPr>
              <w:keepNext w:val="0"/>
              <w:keepLines w:val="0"/>
              <w:pageBreakBefore w:val="0"/>
              <w:widowControl/>
              <w:suppressLineNumbers w:val="0"/>
              <w:kinsoku/>
              <w:wordWrap/>
              <w:overflowPunct/>
              <w:topLinePunct w:val="0"/>
              <w:bidi w:val="0"/>
              <w:adjustRightInd w:val="0"/>
              <w:snapToGrid w:val="0"/>
              <w:spacing w:line="240" w:lineRule="auto"/>
              <w:ind w:left="0" w:leftChars="0" w:right="0" w:right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328D51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2" w:type="dxa"/>
            <w:tcBorders>
              <w:tl2br w:val="nil"/>
              <w:tr2bl w:val="nil"/>
            </w:tcBorders>
            <w:noWrap w:val="0"/>
            <w:vAlign w:val="center"/>
          </w:tcPr>
          <w:p w14:paraId="511DBDEE">
            <w:pPr>
              <w:pStyle w:val="71"/>
              <w:kinsoku w:val="0"/>
              <w:overflowPunct w:val="0"/>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1634" w:type="dxa"/>
            <w:tcBorders>
              <w:tl2br w:val="nil"/>
              <w:tr2bl w:val="nil"/>
            </w:tcBorders>
            <w:noWrap w:val="0"/>
            <w:vAlign w:val="center"/>
          </w:tcPr>
          <w:p w14:paraId="3D75B211">
            <w:pPr>
              <w:widowControl/>
              <w:snapToGrid w:val="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交通运输用地</w:t>
            </w:r>
          </w:p>
        </w:tc>
        <w:tc>
          <w:tcPr>
            <w:tcW w:w="1395" w:type="dxa"/>
            <w:tcBorders>
              <w:tl2br w:val="nil"/>
              <w:tr2bl w:val="nil"/>
            </w:tcBorders>
            <w:noWrap w:val="0"/>
            <w:vAlign w:val="center"/>
          </w:tcPr>
          <w:p w14:paraId="506DED9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2"/>
                <w:szCs w:val="22"/>
                <w:u w:val="none"/>
                <w:lang w:val="en-US" w:eastAsia="zh-CN" w:bidi="ar"/>
              </w:rPr>
              <w:t>公路用地</w:t>
            </w:r>
          </w:p>
        </w:tc>
        <w:tc>
          <w:tcPr>
            <w:tcW w:w="947" w:type="dxa"/>
            <w:tcBorders>
              <w:tl2br w:val="nil"/>
              <w:tr2bl w:val="nil"/>
            </w:tcBorders>
            <w:noWrap w:val="0"/>
            <w:vAlign w:val="center"/>
          </w:tcPr>
          <w:p w14:paraId="5687130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36.38</w:t>
            </w:r>
          </w:p>
        </w:tc>
        <w:tc>
          <w:tcPr>
            <w:tcW w:w="1717" w:type="dxa"/>
            <w:tcBorders>
              <w:tl2br w:val="nil"/>
              <w:tr2bl w:val="nil"/>
            </w:tcBorders>
            <w:noWrap w:val="0"/>
            <w:vAlign w:val="center"/>
          </w:tcPr>
          <w:p w14:paraId="1E84F8B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0.71</w:t>
            </w:r>
          </w:p>
        </w:tc>
        <w:tc>
          <w:tcPr>
            <w:tcW w:w="1098" w:type="dxa"/>
            <w:tcBorders>
              <w:tl2br w:val="nil"/>
              <w:tr2bl w:val="nil"/>
            </w:tcBorders>
            <w:noWrap w:val="0"/>
            <w:vAlign w:val="center"/>
          </w:tcPr>
          <w:p w14:paraId="460EF35E">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w:t>
            </w:r>
          </w:p>
        </w:tc>
        <w:tc>
          <w:tcPr>
            <w:tcW w:w="1229" w:type="dxa"/>
            <w:tcBorders>
              <w:tl2br w:val="nil"/>
              <w:tr2bl w:val="nil"/>
            </w:tcBorders>
            <w:noWrap w:val="0"/>
            <w:vAlign w:val="center"/>
          </w:tcPr>
          <w:p w14:paraId="4AA3376D">
            <w:pPr>
              <w:keepNext w:val="0"/>
              <w:keepLines w:val="0"/>
              <w:pageBreakBefore w:val="0"/>
              <w:widowControl/>
              <w:suppressLineNumbers w:val="0"/>
              <w:kinsoku/>
              <w:wordWrap/>
              <w:overflowPunct/>
              <w:topLinePunct w:val="0"/>
              <w:bidi w:val="0"/>
              <w:adjustRightInd w:val="0"/>
              <w:snapToGrid w:val="0"/>
              <w:spacing w:line="240" w:lineRule="auto"/>
              <w:ind w:left="0" w:leftChars="0" w:right="0" w:right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62B716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3531" w:type="dxa"/>
            <w:gridSpan w:val="3"/>
            <w:tcBorders>
              <w:tl2br w:val="nil"/>
              <w:tr2bl w:val="nil"/>
            </w:tcBorders>
            <w:noWrap w:val="0"/>
            <w:vAlign w:val="center"/>
          </w:tcPr>
          <w:p w14:paraId="4A68AA32">
            <w:pPr>
              <w:pStyle w:val="71"/>
              <w:kinsoku w:val="0"/>
              <w:overflowPunct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合计</w:t>
            </w:r>
          </w:p>
        </w:tc>
        <w:tc>
          <w:tcPr>
            <w:tcW w:w="947" w:type="dxa"/>
            <w:tcBorders>
              <w:tl2br w:val="nil"/>
              <w:tr2bl w:val="nil"/>
            </w:tcBorders>
            <w:noWrap w:val="0"/>
            <w:vAlign w:val="center"/>
          </w:tcPr>
          <w:p w14:paraId="5FD66ABD">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kern w:val="0"/>
                <w:szCs w:val="21"/>
                <w:highlight w:val="none"/>
                <w:lang w:val="en-US" w:eastAsia="zh-CN" w:bidi="ar"/>
              </w:rPr>
              <w:t>5132.6</w:t>
            </w:r>
          </w:p>
        </w:tc>
        <w:tc>
          <w:tcPr>
            <w:tcW w:w="1717" w:type="dxa"/>
            <w:tcBorders>
              <w:tl2br w:val="nil"/>
              <w:tr2bl w:val="nil"/>
            </w:tcBorders>
            <w:noWrap w:val="0"/>
            <w:vAlign w:val="center"/>
          </w:tcPr>
          <w:p w14:paraId="017AEC39">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100</w:t>
            </w:r>
          </w:p>
        </w:tc>
        <w:tc>
          <w:tcPr>
            <w:tcW w:w="1098" w:type="dxa"/>
            <w:tcBorders>
              <w:tl2br w:val="nil"/>
              <w:tr2bl w:val="nil"/>
            </w:tcBorders>
            <w:noWrap w:val="0"/>
            <w:vAlign w:val="center"/>
          </w:tcPr>
          <w:p w14:paraId="3BFC2581">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6.3543</w:t>
            </w:r>
          </w:p>
        </w:tc>
        <w:tc>
          <w:tcPr>
            <w:tcW w:w="1229" w:type="dxa"/>
            <w:tcBorders>
              <w:tl2br w:val="nil"/>
              <w:tr2bl w:val="nil"/>
            </w:tcBorders>
            <w:noWrap w:val="0"/>
            <w:vAlign w:val="center"/>
          </w:tcPr>
          <w:p w14:paraId="7D9F87E7">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100</w:t>
            </w:r>
          </w:p>
        </w:tc>
      </w:tr>
    </w:tbl>
    <w:p w14:paraId="2F3D9774">
      <w:pPr>
        <w:pStyle w:val="13"/>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根据上表可知，评价区用地类型面积最大的是</w:t>
      </w:r>
      <w:r>
        <w:rPr>
          <w:rFonts w:hint="default" w:ascii="Times New Roman" w:hAnsi="Times New Roman" w:cs="Times New Roman"/>
          <w:color w:val="auto"/>
          <w:sz w:val="24"/>
          <w:highlight w:val="none"/>
          <w:lang w:val="en-US" w:eastAsia="zh-CN"/>
        </w:rPr>
        <w:t>乔木林地</w:t>
      </w:r>
      <w:r>
        <w:rPr>
          <w:rFonts w:hint="default" w:ascii="Times New Roman" w:hAnsi="Times New Roman" w:cs="Times New Roman"/>
          <w:color w:val="auto"/>
          <w:sz w:val="24"/>
          <w:highlight w:val="none"/>
        </w:rPr>
        <w:t>，总面积为</w:t>
      </w:r>
      <w:r>
        <w:rPr>
          <w:rFonts w:hint="eastAsia" w:cs="Times New Roman"/>
          <w:color w:val="auto"/>
          <w:sz w:val="24"/>
          <w:highlight w:val="none"/>
          <w:lang w:val="en-US" w:eastAsia="zh-CN"/>
        </w:rPr>
        <w:t>1516.86</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，占评价区总面积的比例</w:t>
      </w:r>
      <w:r>
        <w:rPr>
          <w:rFonts w:hint="default" w:ascii="Times New Roman" w:hAnsi="Times New Roman" w:cs="Times New Roman"/>
          <w:color w:val="auto"/>
          <w:sz w:val="24"/>
          <w:highlight w:val="none"/>
          <w:lang w:val="en-US" w:eastAsia="zh-CN"/>
        </w:rPr>
        <w:t>为</w:t>
      </w:r>
      <w:r>
        <w:rPr>
          <w:rFonts w:hint="eastAsia" w:cs="Times New Roman"/>
          <w:color w:val="auto"/>
          <w:sz w:val="24"/>
          <w:highlight w:val="none"/>
          <w:lang w:val="en-US" w:eastAsia="zh-CN"/>
        </w:rPr>
        <w:t>29.55</w:t>
      </w:r>
      <w:r>
        <w:rPr>
          <w:rFonts w:hint="default" w:ascii="Times New Roman" w:hAnsi="Times New Roman" w:cs="Times New Roman"/>
          <w:color w:val="auto"/>
          <w:sz w:val="24"/>
          <w:highlight w:val="none"/>
        </w:rPr>
        <w:t>%，其次为</w:t>
      </w:r>
      <w:r>
        <w:rPr>
          <w:rFonts w:hint="default" w:ascii="Times New Roman" w:hAnsi="Times New Roman" w:cs="Times New Roman"/>
          <w:color w:val="auto"/>
          <w:sz w:val="24"/>
          <w:highlight w:val="none"/>
          <w:lang w:val="en-US" w:eastAsia="zh-CN"/>
        </w:rPr>
        <w:t>旱地</w:t>
      </w:r>
      <w:r>
        <w:rPr>
          <w:rFonts w:hint="default" w:ascii="Times New Roman" w:hAnsi="Times New Roman" w:cs="Times New Roman"/>
          <w:color w:val="auto"/>
          <w:sz w:val="24"/>
          <w:highlight w:val="none"/>
        </w:rPr>
        <w:t>，总面积为</w:t>
      </w:r>
      <w:r>
        <w:rPr>
          <w:rFonts w:hint="eastAsia" w:cs="Times New Roman"/>
          <w:color w:val="auto"/>
          <w:sz w:val="24"/>
          <w:highlight w:val="none"/>
          <w:lang w:val="en-US" w:eastAsia="zh-CN"/>
        </w:rPr>
        <w:t>1484.28</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，占评价区总面积比例的</w:t>
      </w:r>
      <w:r>
        <w:rPr>
          <w:rFonts w:hint="eastAsia" w:cs="Times New Roman"/>
          <w:color w:val="auto"/>
          <w:sz w:val="24"/>
          <w:highlight w:val="none"/>
          <w:lang w:val="en-US" w:eastAsia="zh-CN"/>
        </w:rPr>
        <w:t>28.92</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w:t>
      </w:r>
      <w:r>
        <w:rPr>
          <w:rFonts w:hint="eastAsia" w:cs="Times New Roman"/>
          <w:b w:val="0"/>
          <w:bCs w:val="0"/>
          <w:color w:val="auto"/>
          <w:kern w:val="0"/>
          <w:sz w:val="24"/>
          <w:lang w:val="en-US" w:eastAsia="zh-CN"/>
        </w:rPr>
        <w:t>拟建输电线路</w:t>
      </w:r>
      <w:r>
        <w:rPr>
          <w:rFonts w:hint="default" w:ascii="Times New Roman" w:hAnsi="Times New Roman" w:cs="Times New Roman"/>
          <w:color w:val="auto"/>
          <w:sz w:val="24"/>
          <w:highlight w:val="none"/>
        </w:rPr>
        <w:t>永久和临时占用土地类型分别是草地、林地、</w:t>
      </w:r>
      <w:r>
        <w:rPr>
          <w:rFonts w:hint="default" w:ascii="Times New Roman" w:hAnsi="Times New Roman" w:cs="Times New Roman"/>
          <w:color w:val="auto"/>
          <w:sz w:val="24"/>
          <w:highlight w:val="none"/>
          <w:lang w:val="en-US" w:eastAsia="zh-CN"/>
        </w:rPr>
        <w:t>耕地</w:t>
      </w:r>
      <w:r>
        <w:rPr>
          <w:rFonts w:hint="default" w:ascii="Times New Roman" w:hAnsi="Times New Roman" w:cs="Times New Roman"/>
          <w:color w:val="auto"/>
          <w:sz w:val="24"/>
          <w:highlight w:val="none"/>
        </w:rPr>
        <w:t>，面积分别为</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5847</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3.5993</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2.1703</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，占用比例分别为</w:t>
      </w:r>
      <w:r>
        <w:rPr>
          <w:rFonts w:hint="eastAsia" w:cs="Times New Roman"/>
          <w:color w:val="auto"/>
          <w:sz w:val="24"/>
          <w:highlight w:val="none"/>
          <w:lang w:val="en-US" w:eastAsia="zh-CN"/>
        </w:rPr>
        <w:t>9.2</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56.65</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34.15</w:t>
      </w:r>
      <w:r>
        <w:rPr>
          <w:rFonts w:hint="default" w:ascii="Times New Roman" w:hAnsi="Times New Roman" w:cs="Times New Roman"/>
          <w:color w:val="auto"/>
          <w:sz w:val="24"/>
          <w:highlight w:val="none"/>
        </w:rPr>
        <w:t>%。综上，工程永久及临时占地面积较小。</w:t>
      </w:r>
    </w:p>
    <w:bookmarkEnd w:id="455"/>
    <w:bookmarkEnd w:id="456"/>
    <w:bookmarkEnd w:id="457"/>
    <w:bookmarkEnd w:id="458"/>
    <w:bookmarkEnd w:id="459"/>
    <w:bookmarkEnd w:id="460"/>
    <w:p w14:paraId="4A369384">
      <w:pPr>
        <w:pStyle w:val="5"/>
        <w:spacing w:before="0" w:after="0" w:line="360" w:lineRule="auto"/>
        <w:ind w:left="0" w:leftChars="0" w:firstLine="0" w:firstLineChars="0"/>
        <w:jc w:val="both"/>
        <w:outlineLvl w:val="3"/>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bookmarkEnd w:id="461"/>
      <w:bookmarkEnd w:id="462"/>
      <w:bookmarkEnd w:id="463"/>
      <w:bookmarkEnd w:id="464"/>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.3.2植被和植物多样性现状调查与评价</w:t>
      </w:r>
    </w:p>
    <w:p w14:paraId="09F0F583">
      <w:pPr>
        <w:spacing w:line="360" w:lineRule="auto"/>
        <w:ind w:firstLine="480" w:firstLineChars="200"/>
        <w:rPr>
          <w:rFonts w:hint="default" w:ascii="Times New Roman" w:hAnsi="Times New Roman" w:cs="Times New Roman"/>
          <w:bCs/>
          <w:color w:val="auto"/>
          <w:highlight w:val="none"/>
        </w:rPr>
      </w:pPr>
      <w:bookmarkStart w:id="478" w:name="_Toc109767239"/>
      <w:r>
        <w:rPr>
          <w:rFonts w:hint="default" w:ascii="Times New Roman" w:hAnsi="Times New Roman" w:cs="Times New Roman"/>
          <w:color w:val="auto"/>
          <w:kern w:val="0"/>
          <w:sz w:val="24"/>
          <w:highlight w:val="none"/>
          <w:lang w:bidi="ar"/>
        </w:rPr>
        <w:t>为客观评价</w:t>
      </w:r>
      <w:r>
        <w:rPr>
          <w:rFonts w:hint="default" w:ascii="Times New Roman" w:hAnsi="Times New Roman" w:cs="Times New Roman"/>
          <w:color w:val="auto"/>
          <w:sz w:val="24"/>
          <w:highlight w:val="none"/>
          <w:lang w:eastAsia="zh-CN"/>
        </w:rPr>
        <w:t>宁夏固原华电彭阳200兆瓦风电项目110千伏送出工程</w:t>
      </w:r>
      <w:r>
        <w:rPr>
          <w:rFonts w:hint="default" w:ascii="Times New Roman" w:hAnsi="Times New Roman" w:cs="Times New Roman"/>
          <w:color w:val="auto"/>
          <w:kern w:val="0"/>
          <w:sz w:val="24"/>
          <w:highlight w:val="none"/>
          <w:lang w:bidi="ar"/>
        </w:rPr>
        <w:t>评价范围内植物现状，</w:t>
      </w:r>
      <w:r>
        <w:rPr>
          <w:rFonts w:hint="eastAsia"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年</w:t>
      </w:r>
      <w:r>
        <w:rPr>
          <w:rFonts w:hint="eastAsia"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lang w:val="en-US" w:eastAsia="zh-CN"/>
        </w:rPr>
        <w:t>月</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lang w:val="en-US" w:eastAsia="zh-CN"/>
        </w:rPr>
        <w:t>日</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月</w:t>
      </w:r>
      <w:r>
        <w:rPr>
          <w:rFonts w:hint="eastAsia"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rPr>
        <w:t>日</w:t>
      </w:r>
      <w:r>
        <w:rPr>
          <w:rFonts w:hint="default" w:ascii="Times New Roman" w:hAnsi="Times New Roman" w:cs="Times New Roman"/>
          <w:color w:val="auto"/>
          <w:kern w:val="0"/>
          <w:sz w:val="24"/>
          <w:highlight w:val="none"/>
          <w:lang w:bidi="ar"/>
        </w:rPr>
        <w:t>评价组相关专业技术人员对区域植物多样性及植被等进行了现场调查，重点调查了线路</w:t>
      </w:r>
      <w:r>
        <w:rPr>
          <w:rFonts w:hint="default" w:ascii="Times New Roman" w:hAnsi="Times New Roman" w:cs="Times New Roman"/>
          <w:color w:val="auto"/>
          <w:kern w:val="0"/>
          <w:sz w:val="24"/>
          <w:highlight w:val="none"/>
          <w:lang w:val="en-US" w:eastAsia="zh-CN" w:bidi="ar"/>
        </w:rPr>
        <w:t>穿</w:t>
      </w:r>
      <w:r>
        <w:rPr>
          <w:rFonts w:hint="default" w:ascii="Times New Roman" w:hAnsi="Times New Roman" w:cs="Times New Roman"/>
          <w:color w:val="auto"/>
          <w:kern w:val="0"/>
          <w:sz w:val="24"/>
          <w:highlight w:val="none"/>
          <w:lang w:bidi="ar"/>
        </w:rPr>
        <w:t>跨越生态红线区域、输电线路及周边区域等。</w:t>
      </w:r>
    </w:p>
    <w:p w14:paraId="366BD4ED">
      <w:pPr>
        <w:spacing w:line="360" w:lineRule="auto"/>
        <w:ind w:firstLine="482" w:firstLineChars="200"/>
        <w:rPr>
          <w:rFonts w:hint="default" w:ascii="Times New Roman" w:hAnsi="Times New Roman" w:cs="Times New Roman"/>
          <w:b/>
          <w:bCs/>
          <w:color w:val="auto"/>
          <w:kern w:val="0"/>
          <w:sz w:val="24"/>
          <w:highlight w:val="none"/>
          <w:lang w:bidi="ar"/>
        </w:rPr>
      </w:pPr>
      <w:r>
        <w:rPr>
          <w:rFonts w:hint="default" w:ascii="Times New Roman" w:hAnsi="Times New Roman" w:cs="Times New Roman"/>
          <w:b/>
          <w:bCs/>
          <w:color w:val="auto"/>
          <w:kern w:val="0"/>
          <w:sz w:val="24"/>
          <w:highlight w:val="none"/>
          <w:lang w:eastAsia="zh-CN" w:bidi="ar"/>
        </w:rPr>
        <w:t>⑴</w:t>
      </w:r>
      <w:r>
        <w:rPr>
          <w:rFonts w:hint="default" w:ascii="Times New Roman" w:hAnsi="Times New Roman" w:cs="Times New Roman"/>
          <w:b/>
          <w:bCs/>
          <w:color w:val="auto"/>
          <w:kern w:val="0"/>
          <w:sz w:val="24"/>
          <w:highlight w:val="none"/>
          <w:lang w:bidi="ar"/>
        </w:rPr>
        <w:t>植物区系</w:t>
      </w:r>
    </w:p>
    <w:p w14:paraId="38906524">
      <w:pPr>
        <w:spacing w:line="360" w:lineRule="auto"/>
        <w:ind w:firstLine="480" w:firstLineChars="200"/>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根据项目特点，评价范围为线性区域，线路所经区域为</w:t>
      </w:r>
      <w:r>
        <w:rPr>
          <w:rFonts w:hint="default" w:ascii="Times New Roman" w:hAnsi="Times New Roman" w:cs="Times New Roman"/>
          <w:color w:val="auto"/>
          <w:kern w:val="0"/>
          <w:sz w:val="24"/>
          <w:highlight w:val="none"/>
          <w:lang w:val="en-US" w:eastAsia="zh-CN" w:bidi="ar"/>
        </w:rPr>
        <w:t>固原市原州区和彭阳县</w:t>
      </w:r>
      <w:r>
        <w:rPr>
          <w:rFonts w:hint="default" w:ascii="Times New Roman" w:hAnsi="Times New Roman" w:cs="Times New Roman"/>
          <w:color w:val="auto"/>
          <w:kern w:val="0"/>
          <w:sz w:val="24"/>
          <w:highlight w:val="none"/>
          <w:lang w:bidi="ar"/>
        </w:rPr>
        <w:t>，根据《中国种子植物区系地理》（吴征镒等，2011年），评价范围内所属植物分区见</w:t>
      </w:r>
      <w:r>
        <w:rPr>
          <w:rFonts w:hint="default" w:ascii="Times New Roman" w:hAnsi="Times New Roman" w:cs="Times New Roman"/>
          <w:color w:val="auto"/>
          <w:kern w:val="0"/>
          <w:sz w:val="24"/>
          <w:highlight w:val="none"/>
          <w:lang w:val="en-US" w:eastAsia="zh-CN" w:bidi="ar"/>
        </w:rPr>
        <w:t>专题</w:t>
      </w:r>
      <w:r>
        <w:rPr>
          <w:rFonts w:hint="default" w:ascii="Times New Roman" w:hAnsi="Times New Roman" w:cs="Times New Roman"/>
          <w:color w:val="auto"/>
          <w:kern w:val="0"/>
          <w:sz w:val="24"/>
          <w:highlight w:val="none"/>
          <w:lang w:bidi="ar"/>
        </w:rPr>
        <w:t>表</w:t>
      </w:r>
      <w:r>
        <w:rPr>
          <w:rFonts w:hint="eastAsia" w:cs="Times New Roman"/>
          <w:color w:val="auto"/>
          <w:kern w:val="0"/>
          <w:sz w:val="24"/>
          <w:highlight w:val="none"/>
          <w:lang w:val="en-US" w:eastAsia="zh-CN" w:bidi="ar"/>
        </w:rPr>
        <w:t>2</w:t>
      </w:r>
      <w:r>
        <w:rPr>
          <w:rFonts w:hint="default" w:ascii="Times New Roman" w:hAnsi="Times New Roman" w:cs="Times New Roman"/>
          <w:color w:val="auto"/>
          <w:kern w:val="0"/>
          <w:sz w:val="24"/>
          <w:highlight w:val="none"/>
          <w:lang w:bidi="ar"/>
        </w:rPr>
        <w:t>-</w:t>
      </w:r>
      <w:r>
        <w:rPr>
          <w:rFonts w:hint="default" w:ascii="Times New Roman" w:hAnsi="Times New Roman" w:cs="Times New Roman"/>
          <w:color w:val="auto"/>
          <w:kern w:val="0"/>
          <w:sz w:val="24"/>
          <w:highlight w:val="none"/>
          <w:lang w:val="en-US" w:eastAsia="zh-CN" w:bidi="ar"/>
        </w:rPr>
        <w:t>6</w:t>
      </w:r>
      <w:r>
        <w:rPr>
          <w:rFonts w:hint="default" w:ascii="Times New Roman" w:hAnsi="Times New Roman" w:cs="Times New Roman"/>
          <w:color w:val="auto"/>
          <w:kern w:val="0"/>
          <w:sz w:val="24"/>
          <w:highlight w:val="none"/>
          <w:lang w:bidi="ar"/>
        </w:rPr>
        <w:t>。</w:t>
      </w:r>
      <w:r>
        <w:rPr>
          <w:rFonts w:hint="default" w:ascii="Times New Roman" w:hAnsi="Times New Roman" w:cs="Times New Roman"/>
          <w:color w:val="auto"/>
          <w:kern w:val="0"/>
          <w:sz w:val="24"/>
          <w:highlight w:val="none"/>
          <w:lang w:val="en-US" w:eastAsia="zh-CN" w:bidi="ar"/>
        </w:rPr>
        <w:t>评价范围地处黄土高原温暖半干旱气候区，属于典型的大陆性季风气候，项目区水土流失严重，自然植被受破坏较严重，植物种类较为丰富。植物区系中有针叶林、落叶阔叶林、耐旱灌丛、典型草原、针茅草原等。大多属于草原、森林植被的建群种和优势种，如针茅、百里香、冰草等。</w:t>
      </w:r>
    </w:p>
    <w:p w14:paraId="12C8CF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24"/>
          <w:highlight w:val="none"/>
          <w:lang w:bidi="ar"/>
        </w:rPr>
      </w:pPr>
      <w:r>
        <w:rPr>
          <w:rFonts w:hint="default" w:ascii="Times New Roman" w:hAnsi="Times New Roman" w:cs="Times New Roman"/>
          <w:b/>
          <w:bCs/>
          <w:color w:val="auto"/>
          <w:kern w:val="0"/>
          <w:sz w:val="24"/>
          <w:highlight w:val="none"/>
          <w:lang w:val="en-US" w:eastAsia="zh-CN" w:bidi="ar"/>
        </w:rPr>
        <w:t>专题</w:t>
      </w:r>
      <w:r>
        <w:rPr>
          <w:rFonts w:hint="default" w:ascii="Times New Roman" w:hAnsi="Times New Roman" w:cs="Times New Roman"/>
          <w:b/>
          <w:bCs/>
          <w:color w:val="auto"/>
          <w:kern w:val="0"/>
          <w:sz w:val="24"/>
          <w:highlight w:val="none"/>
          <w:lang w:bidi="ar"/>
        </w:rPr>
        <w:t>表</w:t>
      </w:r>
      <w:r>
        <w:rPr>
          <w:rFonts w:hint="eastAsia" w:cs="Times New Roman"/>
          <w:b/>
          <w:bCs/>
          <w:color w:val="auto"/>
          <w:kern w:val="0"/>
          <w:sz w:val="24"/>
          <w:highlight w:val="none"/>
          <w:lang w:val="en-US" w:eastAsia="zh-CN" w:bidi="ar"/>
        </w:rPr>
        <w:t>2</w:t>
      </w:r>
      <w:r>
        <w:rPr>
          <w:rFonts w:hint="default" w:ascii="Times New Roman" w:hAnsi="Times New Roman" w:cs="Times New Roman"/>
          <w:b/>
          <w:bCs/>
          <w:color w:val="auto"/>
          <w:kern w:val="0"/>
          <w:sz w:val="24"/>
          <w:highlight w:val="none"/>
          <w:lang w:bidi="ar"/>
        </w:rPr>
        <w:t>-</w:t>
      </w:r>
      <w:r>
        <w:rPr>
          <w:rFonts w:hint="eastAsia" w:cs="Times New Roman"/>
          <w:b/>
          <w:bCs/>
          <w:color w:val="auto"/>
          <w:kern w:val="0"/>
          <w:sz w:val="24"/>
          <w:highlight w:val="none"/>
          <w:lang w:val="en-US" w:eastAsia="zh-CN" w:bidi="ar"/>
        </w:rPr>
        <w:t>5</w:t>
      </w:r>
      <w:r>
        <w:rPr>
          <w:rFonts w:hint="default" w:ascii="Times New Roman" w:hAnsi="Times New Roman" w:cs="Times New Roman"/>
          <w:b/>
          <w:bCs/>
          <w:color w:val="auto"/>
          <w:kern w:val="0"/>
          <w:sz w:val="24"/>
          <w:highlight w:val="none"/>
          <w:lang w:bidi="ar"/>
        </w:rPr>
        <w:t xml:space="preserve">   </w:t>
      </w:r>
      <w:r>
        <w:rPr>
          <w:rFonts w:hint="default" w:ascii="Times New Roman" w:hAnsi="Times New Roman" w:cs="Times New Roman"/>
          <w:b/>
          <w:bCs/>
          <w:color w:val="auto"/>
          <w:kern w:val="0"/>
          <w:sz w:val="24"/>
          <w:highlight w:val="none"/>
          <w:lang w:val="en-US" w:eastAsia="zh-CN" w:bidi="ar"/>
        </w:rPr>
        <w:t xml:space="preserve"> </w:t>
      </w:r>
      <w:r>
        <w:rPr>
          <w:rFonts w:hint="default" w:ascii="Times New Roman" w:hAnsi="Times New Roman" w:cs="Times New Roman"/>
          <w:b/>
          <w:bCs/>
          <w:color w:val="auto"/>
          <w:kern w:val="0"/>
          <w:sz w:val="24"/>
          <w:highlight w:val="none"/>
          <w:lang w:bidi="ar"/>
        </w:rPr>
        <w:t>评价范围内植物区系分区</w:t>
      </w:r>
    </w:p>
    <w:tbl>
      <w:tblPr>
        <w:tblStyle w:val="31"/>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3"/>
        <w:gridCol w:w="1282"/>
        <w:gridCol w:w="1214"/>
        <w:gridCol w:w="1087"/>
        <w:gridCol w:w="4468"/>
      </w:tblGrid>
      <w:tr w14:paraId="76A604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0" w:type="dxa"/>
            <w:noWrap w:val="0"/>
            <w:vAlign w:val="center"/>
          </w:tcPr>
          <w:p w14:paraId="78881815">
            <w:pPr>
              <w:jc w:val="center"/>
              <w:rPr>
                <w:rFonts w:hint="default" w:ascii="Times New Roman" w:hAnsi="Times New Roman" w:eastAsia="Times New Roman" w:cs="Times New Roman"/>
                <w:b/>
                <w:bCs/>
                <w:color w:val="auto"/>
                <w:sz w:val="22"/>
                <w:szCs w:val="22"/>
                <w:highlight w:val="none"/>
              </w:rPr>
            </w:pPr>
            <w:r>
              <w:rPr>
                <w:rFonts w:hint="default" w:ascii="Times New Roman" w:hAnsi="Times New Roman" w:eastAsia="Times New Roman" w:cs="Times New Roman"/>
                <w:b/>
                <w:bCs/>
                <w:color w:val="auto"/>
                <w:sz w:val="22"/>
                <w:szCs w:val="22"/>
                <w:highlight w:val="none"/>
              </w:rPr>
              <w:t>区域</w:t>
            </w:r>
          </w:p>
        </w:tc>
        <w:tc>
          <w:tcPr>
            <w:tcW w:w="1212" w:type="dxa"/>
            <w:noWrap w:val="0"/>
            <w:vAlign w:val="center"/>
          </w:tcPr>
          <w:p w14:paraId="054F552E">
            <w:pPr>
              <w:jc w:val="center"/>
              <w:rPr>
                <w:rFonts w:hint="default" w:ascii="Times New Roman" w:hAnsi="Times New Roman" w:eastAsia="Times New Roman" w:cs="Times New Roman"/>
                <w:b/>
                <w:bCs/>
                <w:color w:val="auto"/>
                <w:sz w:val="22"/>
                <w:szCs w:val="22"/>
                <w:highlight w:val="none"/>
              </w:rPr>
            </w:pPr>
            <w:r>
              <w:rPr>
                <w:rFonts w:hint="default" w:ascii="Times New Roman" w:hAnsi="Times New Roman" w:eastAsia="Times New Roman" w:cs="Times New Roman"/>
                <w:b/>
                <w:bCs/>
                <w:color w:val="auto"/>
                <w:sz w:val="22"/>
                <w:szCs w:val="22"/>
                <w:highlight w:val="none"/>
              </w:rPr>
              <w:t>亚区</w:t>
            </w:r>
          </w:p>
        </w:tc>
        <w:tc>
          <w:tcPr>
            <w:tcW w:w="1147" w:type="dxa"/>
            <w:noWrap w:val="0"/>
            <w:vAlign w:val="center"/>
          </w:tcPr>
          <w:p w14:paraId="5CDAAB41">
            <w:pPr>
              <w:jc w:val="center"/>
              <w:rPr>
                <w:rFonts w:hint="default" w:ascii="Times New Roman" w:hAnsi="Times New Roman" w:eastAsia="Times New Roman" w:cs="Times New Roman"/>
                <w:b/>
                <w:bCs/>
                <w:color w:val="auto"/>
                <w:sz w:val="22"/>
                <w:szCs w:val="22"/>
                <w:highlight w:val="none"/>
              </w:rPr>
            </w:pPr>
            <w:r>
              <w:rPr>
                <w:rFonts w:hint="default" w:ascii="Times New Roman" w:hAnsi="Times New Roman" w:eastAsia="Times New Roman" w:cs="Times New Roman"/>
                <w:b/>
                <w:bCs/>
                <w:color w:val="auto"/>
                <w:sz w:val="22"/>
                <w:szCs w:val="22"/>
                <w:highlight w:val="none"/>
              </w:rPr>
              <w:t>地区</w:t>
            </w:r>
          </w:p>
        </w:tc>
        <w:tc>
          <w:tcPr>
            <w:tcW w:w="1027" w:type="dxa"/>
            <w:noWrap w:val="0"/>
            <w:vAlign w:val="center"/>
          </w:tcPr>
          <w:p w14:paraId="5264C279">
            <w:pPr>
              <w:jc w:val="center"/>
              <w:rPr>
                <w:rFonts w:hint="default" w:ascii="Times New Roman" w:hAnsi="Times New Roman" w:eastAsia="Times New Roman" w:cs="Times New Roman"/>
                <w:b/>
                <w:bCs/>
                <w:color w:val="auto"/>
                <w:sz w:val="22"/>
                <w:szCs w:val="22"/>
                <w:highlight w:val="none"/>
              </w:rPr>
            </w:pPr>
            <w:r>
              <w:rPr>
                <w:rFonts w:hint="default" w:ascii="Times New Roman" w:hAnsi="Times New Roman" w:eastAsia="Times New Roman" w:cs="Times New Roman"/>
                <w:b/>
                <w:bCs/>
                <w:color w:val="auto"/>
                <w:sz w:val="22"/>
                <w:szCs w:val="22"/>
                <w:highlight w:val="none"/>
              </w:rPr>
              <w:t>亚地区</w:t>
            </w:r>
          </w:p>
        </w:tc>
        <w:tc>
          <w:tcPr>
            <w:tcW w:w="4223" w:type="dxa"/>
            <w:noWrap w:val="0"/>
            <w:vAlign w:val="center"/>
          </w:tcPr>
          <w:p w14:paraId="2D284283">
            <w:pPr>
              <w:jc w:val="center"/>
              <w:rPr>
                <w:rFonts w:hint="default" w:ascii="Times New Roman" w:hAnsi="Times New Roman" w:eastAsia="Times New Roman" w:cs="Times New Roman"/>
                <w:b/>
                <w:bCs/>
                <w:color w:val="auto"/>
                <w:sz w:val="22"/>
                <w:szCs w:val="22"/>
                <w:highlight w:val="none"/>
              </w:rPr>
            </w:pPr>
            <w:r>
              <w:rPr>
                <w:rFonts w:hint="default" w:ascii="Times New Roman" w:hAnsi="Times New Roman" w:eastAsia="Times New Roman" w:cs="Times New Roman"/>
                <w:b/>
                <w:bCs/>
                <w:color w:val="auto"/>
                <w:sz w:val="22"/>
                <w:szCs w:val="22"/>
                <w:highlight w:val="none"/>
              </w:rPr>
              <w:t>相关情况</w:t>
            </w:r>
          </w:p>
        </w:tc>
      </w:tr>
      <w:tr w14:paraId="3DA99E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0" w:type="dxa"/>
            <w:noWrap w:val="0"/>
            <w:vAlign w:val="center"/>
          </w:tcPr>
          <w:p w14:paraId="2C026298">
            <w:pPr>
              <w:jc w:val="center"/>
              <w:rPr>
                <w:rFonts w:hint="default" w:ascii="Times New Roman" w:hAnsi="Times New Roman" w:eastAsia="Times New Roman" w:cs="Times New Roman"/>
                <w:color w:val="auto"/>
                <w:szCs w:val="21"/>
                <w:highlight w:val="none"/>
              </w:rPr>
            </w:pPr>
            <w:r>
              <w:rPr>
                <w:rFonts w:hint="default" w:ascii="Times New Roman" w:hAnsi="Times New Roman" w:eastAsia="Times New Roman" w:cs="Times New Roman"/>
                <w:color w:val="auto"/>
                <w:szCs w:val="21"/>
                <w:highlight w:val="none"/>
              </w:rPr>
              <w:t>泛北极植物区</w:t>
            </w:r>
          </w:p>
        </w:tc>
        <w:tc>
          <w:tcPr>
            <w:tcW w:w="1212" w:type="dxa"/>
            <w:noWrap w:val="0"/>
            <w:vAlign w:val="center"/>
          </w:tcPr>
          <w:p w14:paraId="12D2B2B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 xml:space="preserve">中国 </w:t>
            </w:r>
          </w:p>
          <w:p w14:paraId="102105B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 xml:space="preserve">—日 </w:t>
            </w:r>
          </w:p>
          <w:p w14:paraId="70ACB2C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 xml:space="preserve">本森 </w:t>
            </w:r>
          </w:p>
          <w:p w14:paraId="5AAC60B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 xml:space="preserve">林植 </w:t>
            </w:r>
          </w:p>
          <w:p w14:paraId="6C6AD6A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 xml:space="preserve">物亚 </w:t>
            </w:r>
          </w:p>
          <w:p w14:paraId="5DEE6D4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区</w:t>
            </w:r>
          </w:p>
          <w:p w14:paraId="7412D244">
            <w:pPr>
              <w:jc w:val="center"/>
              <w:rPr>
                <w:rFonts w:hint="default" w:ascii="Times New Roman" w:hAnsi="Times New Roman" w:eastAsia="宋体" w:cs="Times New Roman"/>
                <w:color w:val="auto"/>
                <w:szCs w:val="21"/>
                <w:highlight w:val="none"/>
                <w:lang w:val="en-US" w:eastAsia="zh-CN"/>
              </w:rPr>
            </w:pPr>
          </w:p>
        </w:tc>
        <w:tc>
          <w:tcPr>
            <w:tcW w:w="1147" w:type="dxa"/>
            <w:noWrap w:val="0"/>
            <w:vAlign w:val="center"/>
          </w:tcPr>
          <w:p w14:paraId="507F2961">
            <w:pPr>
              <w:jc w:val="center"/>
              <w:rPr>
                <w:rFonts w:hint="default" w:ascii="Times New Roman" w:hAnsi="Times New Roman" w:eastAsia="Times New Roman" w:cs="Times New Roman"/>
                <w:color w:val="auto"/>
                <w:szCs w:val="21"/>
                <w:highlight w:val="none"/>
              </w:rPr>
            </w:pPr>
            <w:r>
              <w:rPr>
                <w:rFonts w:hint="default" w:ascii="Times New Roman" w:hAnsi="Times New Roman" w:eastAsia="Times New Roman" w:cs="Times New Roman"/>
                <w:color w:val="auto"/>
                <w:szCs w:val="21"/>
                <w:highlight w:val="none"/>
                <w:lang w:val="en-US" w:eastAsia="zh-CN"/>
              </w:rPr>
              <w:t xml:space="preserve">华北植 </w:t>
            </w:r>
          </w:p>
          <w:p w14:paraId="5A5B99B7">
            <w:pPr>
              <w:jc w:val="center"/>
              <w:rPr>
                <w:rFonts w:hint="default" w:ascii="Times New Roman" w:hAnsi="Times New Roman" w:eastAsia="Times New Roman" w:cs="Times New Roman"/>
                <w:color w:val="auto"/>
                <w:szCs w:val="21"/>
                <w:highlight w:val="none"/>
              </w:rPr>
            </w:pPr>
            <w:r>
              <w:rPr>
                <w:rFonts w:hint="default" w:ascii="Times New Roman" w:hAnsi="Times New Roman" w:eastAsia="Times New Roman" w:cs="Times New Roman"/>
                <w:color w:val="auto"/>
                <w:szCs w:val="21"/>
                <w:highlight w:val="none"/>
                <w:lang w:val="en-US" w:eastAsia="zh-CN"/>
              </w:rPr>
              <w:t>物区</w:t>
            </w:r>
          </w:p>
          <w:p w14:paraId="7ABF7E12">
            <w:pPr>
              <w:jc w:val="center"/>
              <w:rPr>
                <w:rFonts w:hint="default" w:ascii="Times New Roman" w:hAnsi="Times New Roman" w:eastAsia="Times New Roman" w:cs="Times New Roman"/>
                <w:color w:val="auto"/>
                <w:szCs w:val="21"/>
                <w:highlight w:val="none"/>
              </w:rPr>
            </w:pPr>
          </w:p>
        </w:tc>
        <w:tc>
          <w:tcPr>
            <w:tcW w:w="1027" w:type="dxa"/>
            <w:noWrap w:val="0"/>
            <w:vAlign w:val="center"/>
          </w:tcPr>
          <w:p w14:paraId="6350E707">
            <w:pPr>
              <w:jc w:val="center"/>
              <w:rPr>
                <w:rFonts w:hint="default" w:ascii="Times New Roman" w:hAnsi="Times New Roman" w:eastAsia="Times New Roman" w:cs="Times New Roman"/>
                <w:color w:val="auto"/>
                <w:szCs w:val="21"/>
                <w:highlight w:val="none"/>
              </w:rPr>
            </w:pPr>
            <w:r>
              <w:rPr>
                <w:rFonts w:hint="default" w:ascii="Times New Roman" w:hAnsi="Times New Roman" w:eastAsia="Times New Roman" w:cs="Times New Roman"/>
                <w:color w:val="auto"/>
                <w:szCs w:val="21"/>
                <w:highlight w:val="none"/>
                <w:lang w:val="en-US" w:eastAsia="zh-CN"/>
              </w:rPr>
              <w:t xml:space="preserve">黄土高 </w:t>
            </w:r>
          </w:p>
          <w:p w14:paraId="462BAAD3">
            <w:pPr>
              <w:jc w:val="center"/>
              <w:rPr>
                <w:rFonts w:hint="default" w:ascii="Times New Roman" w:hAnsi="Times New Roman" w:eastAsia="Times New Roman" w:cs="Times New Roman"/>
                <w:color w:val="auto"/>
                <w:szCs w:val="21"/>
                <w:highlight w:val="none"/>
              </w:rPr>
            </w:pPr>
            <w:r>
              <w:rPr>
                <w:rFonts w:hint="default" w:ascii="Times New Roman" w:hAnsi="Times New Roman" w:eastAsia="Times New Roman" w:cs="Times New Roman"/>
                <w:color w:val="auto"/>
                <w:szCs w:val="21"/>
                <w:highlight w:val="none"/>
                <w:lang w:val="en-US" w:eastAsia="zh-CN"/>
              </w:rPr>
              <w:t xml:space="preserve">原植物 </w:t>
            </w:r>
          </w:p>
          <w:p w14:paraId="48A8673C">
            <w:pPr>
              <w:jc w:val="center"/>
              <w:rPr>
                <w:rFonts w:hint="default" w:ascii="Times New Roman" w:hAnsi="Times New Roman" w:eastAsia="Times New Roman" w:cs="Times New Roman"/>
                <w:color w:val="auto"/>
                <w:szCs w:val="21"/>
                <w:highlight w:val="none"/>
              </w:rPr>
            </w:pPr>
            <w:r>
              <w:rPr>
                <w:rFonts w:hint="default" w:ascii="Times New Roman" w:hAnsi="Times New Roman" w:eastAsia="Times New Roman" w:cs="Times New Roman"/>
                <w:color w:val="auto"/>
                <w:szCs w:val="21"/>
                <w:highlight w:val="none"/>
                <w:lang w:val="en-US" w:eastAsia="zh-CN"/>
              </w:rPr>
              <w:t>亚地区</w:t>
            </w:r>
          </w:p>
        </w:tc>
        <w:tc>
          <w:tcPr>
            <w:tcW w:w="4223" w:type="dxa"/>
            <w:noWrap w:val="0"/>
            <w:vAlign w:val="center"/>
          </w:tcPr>
          <w:p w14:paraId="43B2B7DE">
            <w:pPr>
              <w:jc w:val="both"/>
              <w:rPr>
                <w:rFonts w:hint="default" w:ascii="Times New Roman" w:hAnsi="Times New Roman" w:eastAsia="Times New Roman" w:cs="Times New Roman"/>
                <w:color w:val="auto"/>
                <w:szCs w:val="21"/>
                <w:highlight w:val="none"/>
              </w:rPr>
            </w:pPr>
            <w:r>
              <w:rPr>
                <w:rFonts w:hint="default" w:ascii="Times New Roman" w:hAnsi="Times New Roman" w:eastAsia="Times New Roman" w:cs="Times New Roman"/>
                <w:color w:val="auto"/>
                <w:szCs w:val="21"/>
                <w:highlight w:val="none"/>
                <w:lang w:val="en-US" w:eastAsia="zh-CN"/>
              </w:rPr>
              <w:t>黄土高原的森林植被主要分布在山地和丘陵地区。由于黄土高原地区的降水量较少，因此该地区的森林植被以干旱适应性强的针叶林为主。黄土高原的森林植被类型有松树林、柏树林和桦树林等。松树林分布广泛，是黄土高原最常见的森林植被类型，该地区的松树林可以起到固土保水的作用。黄土高原的草原植被主要分布在丘陵和山地区域。这些地区地势较为平坦，土壤肥沃，适合草类植物的生长。黄土高原的草原植被类型有草甸草原、针茅草原和羊草草原等。草甸草原主要分布在高原地区，草木葱郁，绿意盎然；针茅草原则主要分布在河谷地区，植被矮小，以针茅居多；羊草草原则分布在高寒山地，植被稀疏，以羊草为主。这些草原植被为当地的畜牧业提供了丰富的饲料资源，同时也保持了该地区的生态平衡。</w:t>
            </w:r>
          </w:p>
        </w:tc>
      </w:tr>
    </w:tbl>
    <w:p w14:paraId="49AB6FB9">
      <w:pPr>
        <w:widowControl/>
        <w:adjustRightInd w:val="0"/>
        <w:snapToGrid w:val="0"/>
        <w:jc w:val="center"/>
        <w:rPr>
          <w:rFonts w:hint="default" w:ascii="Times New Roman" w:hAnsi="Times New Roman" w:cs="Times New Roman"/>
          <w:b/>
          <w:color w:val="auto"/>
          <w:kern w:val="0"/>
          <w:highlight w:val="none"/>
        </w:rPr>
      </w:pPr>
      <w:r>
        <w:rPr>
          <w:rFonts w:hint="default" w:ascii="Times New Roman" w:hAnsi="Times New Roman" w:cs="Times New Roman"/>
          <w:b/>
          <w:color w:val="auto"/>
          <w:kern w:val="0"/>
          <w:highlight w:val="none"/>
        </w:rPr>
        <w:drawing>
          <wp:inline distT="0" distB="0" distL="114300" distR="114300">
            <wp:extent cx="4286250" cy="3191510"/>
            <wp:effectExtent l="0" t="0" r="6350" b="8890"/>
            <wp:docPr id="231"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78"/>
                    <pic:cNvPicPr>
                      <a:picLocks noChangeAspect="1"/>
                    </pic:cNvPicPr>
                  </pic:nvPicPr>
                  <pic:blipFill>
                    <a:blip r:embed="rId123"/>
                    <a:stretch>
                      <a:fillRect/>
                    </a:stretch>
                  </pic:blipFill>
                  <pic:spPr>
                    <a:xfrm>
                      <a:off x="0" y="0"/>
                      <a:ext cx="4286250" cy="3191510"/>
                    </a:xfrm>
                    <a:prstGeom prst="rect">
                      <a:avLst/>
                    </a:prstGeom>
                    <a:noFill/>
                    <a:ln>
                      <a:noFill/>
                    </a:ln>
                  </pic:spPr>
                </pic:pic>
              </a:graphicData>
            </a:graphic>
          </wp:inline>
        </w:drawing>
      </w:r>
    </w:p>
    <w:p w14:paraId="3567958D">
      <w:pPr>
        <w:pStyle w:val="13"/>
        <w:adjustRightInd w:val="0"/>
        <w:snapToGrid w:val="0"/>
        <w:spacing w:after="0" w:line="360" w:lineRule="auto"/>
        <w:ind w:left="0" w:leftChars="0" w:firstLine="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图</w:t>
      </w:r>
      <w:r>
        <w:rPr>
          <w:rFonts w:hint="eastAsia" w:cs="Times New Roman"/>
          <w:b/>
          <w:bCs/>
          <w:color w:val="auto"/>
          <w:sz w:val="24"/>
          <w:highlight w:val="none"/>
          <w:lang w:val="en-US" w:eastAsia="zh-CN"/>
        </w:rPr>
        <w:t>2</w:t>
      </w:r>
      <w:r>
        <w:rPr>
          <w:rFonts w:hint="default" w:ascii="Times New Roman" w:hAnsi="Times New Roman" w:cs="Times New Roman"/>
          <w:b/>
          <w:bCs/>
          <w:color w:val="auto"/>
          <w:sz w:val="24"/>
          <w:highlight w:val="none"/>
        </w:rPr>
        <w:t>-1 中国植物区系分区</w:t>
      </w:r>
    </w:p>
    <w:p w14:paraId="204021A6">
      <w:pPr>
        <w:spacing w:line="360" w:lineRule="auto"/>
        <w:ind w:firstLine="482" w:firstLineChars="200"/>
        <w:rPr>
          <w:rFonts w:hint="default" w:ascii="Times New Roman" w:hAnsi="Times New Roman" w:cs="Times New Roman"/>
          <w:b/>
          <w:bCs/>
          <w:color w:val="auto"/>
          <w:kern w:val="0"/>
          <w:sz w:val="24"/>
          <w:highlight w:val="none"/>
          <w:lang w:bidi="ar"/>
        </w:rPr>
      </w:pPr>
      <w:r>
        <w:rPr>
          <w:rFonts w:hint="default" w:ascii="Times New Roman" w:hAnsi="Times New Roman" w:cs="Times New Roman"/>
          <w:b/>
          <w:bCs/>
          <w:color w:val="auto"/>
          <w:kern w:val="0"/>
          <w:sz w:val="24"/>
          <w:highlight w:val="none"/>
          <w:lang w:eastAsia="zh-CN" w:bidi="ar"/>
        </w:rPr>
        <w:t>⑵</w:t>
      </w:r>
      <w:r>
        <w:rPr>
          <w:rFonts w:hint="default" w:ascii="Times New Roman" w:hAnsi="Times New Roman" w:cs="Times New Roman"/>
          <w:b/>
          <w:bCs/>
          <w:color w:val="auto"/>
          <w:kern w:val="0"/>
          <w:sz w:val="24"/>
          <w:highlight w:val="none"/>
          <w:lang w:bidi="ar"/>
        </w:rPr>
        <w:t>植被区划</w:t>
      </w:r>
    </w:p>
    <w:p w14:paraId="47708C34">
      <w:pPr>
        <w:widowControl/>
        <w:spacing w:line="360" w:lineRule="auto"/>
        <w:ind w:firstLine="480" w:firstLineChars="200"/>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根据《中国植被》（1995年）中的植被区划图与本工程的评价范围叠图分析可知，本工程评价范围属1个植被区域，1个植被地带，1个植被亚地区带，1个植被区。具体情况详见</w:t>
      </w:r>
      <w:r>
        <w:rPr>
          <w:rFonts w:hint="default" w:ascii="Times New Roman" w:hAnsi="Times New Roman" w:cs="Times New Roman"/>
          <w:color w:val="auto"/>
          <w:kern w:val="0"/>
          <w:sz w:val="24"/>
          <w:highlight w:val="none"/>
          <w:lang w:val="en-US" w:eastAsia="zh-CN" w:bidi="ar"/>
        </w:rPr>
        <w:t>专题</w:t>
      </w:r>
      <w:r>
        <w:rPr>
          <w:rFonts w:hint="default" w:ascii="Times New Roman" w:hAnsi="Times New Roman" w:cs="Times New Roman"/>
          <w:color w:val="auto"/>
          <w:kern w:val="0"/>
          <w:sz w:val="24"/>
          <w:highlight w:val="none"/>
          <w:lang w:bidi="ar"/>
        </w:rPr>
        <w:t>表</w:t>
      </w:r>
      <w:r>
        <w:rPr>
          <w:rFonts w:hint="eastAsia" w:cs="Times New Roman"/>
          <w:color w:val="auto"/>
          <w:kern w:val="0"/>
          <w:sz w:val="24"/>
          <w:highlight w:val="none"/>
          <w:lang w:val="en-US" w:eastAsia="zh-CN" w:bidi="ar"/>
        </w:rPr>
        <w:t>2</w:t>
      </w:r>
      <w:r>
        <w:rPr>
          <w:rFonts w:hint="default" w:ascii="Times New Roman" w:hAnsi="Times New Roman" w:cs="Times New Roman"/>
          <w:color w:val="auto"/>
          <w:kern w:val="0"/>
          <w:sz w:val="24"/>
          <w:highlight w:val="none"/>
          <w:lang w:bidi="ar"/>
        </w:rPr>
        <w:t>-</w:t>
      </w:r>
      <w:r>
        <w:rPr>
          <w:rFonts w:hint="eastAsia" w:cs="Times New Roman"/>
          <w:color w:val="auto"/>
          <w:kern w:val="0"/>
          <w:sz w:val="24"/>
          <w:highlight w:val="none"/>
          <w:lang w:val="en-US" w:eastAsia="zh-CN" w:bidi="ar"/>
        </w:rPr>
        <w:t>6</w:t>
      </w:r>
      <w:r>
        <w:rPr>
          <w:rFonts w:hint="default" w:ascii="Times New Roman" w:hAnsi="Times New Roman" w:cs="Times New Roman"/>
          <w:color w:val="auto"/>
          <w:kern w:val="0"/>
          <w:sz w:val="24"/>
          <w:highlight w:val="none"/>
          <w:lang w:bidi="ar"/>
        </w:rPr>
        <w:t>。</w:t>
      </w:r>
    </w:p>
    <w:p w14:paraId="7B315B6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cs="Times New Roman"/>
          <w:b/>
          <w:bCs/>
          <w:color w:val="auto"/>
          <w:kern w:val="0"/>
          <w:sz w:val="24"/>
          <w:highlight w:val="none"/>
          <w:lang w:val="en-US" w:eastAsia="zh-CN" w:bidi="ar"/>
        </w:rPr>
        <w:t>专题</w:t>
      </w:r>
      <w:r>
        <w:rPr>
          <w:rFonts w:hint="default" w:ascii="Times New Roman" w:hAnsi="Times New Roman" w:cs="Times New Roman"/>
          <w:b/>
          <w:bCs/>
          <w:color w:val="auto"/>
          <w:kern w:val="0"/>
          <w:sz w:val="24"/>
          <w:highlight w:val="none"/>
          <w:lang w:bidi="ar"/>
        </w:rPr>
        <w:t>表</w:t>
      </w:r>
      <w:r>
        <w:rPr>
          <w:rFonts w:hint="eastAsia" w:cs="Times New Roman"/>
          <w:b/>
          <w:bCs/>
          <w:color w:val="auto"/>
          <w:kern w:val="0"/>
          <w:sz w:val="24"/>
          <w:highlight w:val="none"/>
          <w:lang w:val="en-US" w:eastAsia="zh-CN" w:bidi="ar"/>
        </w:rPr>
        <w:t>2</w:t>
      </w:r>
      <w:r>
        <w:rPr>
          <w:rFonts w:hint="default" w:ascii="Times New Roman" w:hAnsi="Times New Roman" w:cs="Times New Roman"/>
          <w:b/>
          <w:bCs/>
          <w:color w:val="auto"/>
          <w:kern w:val="0"/>
          <w:sz w:val="24"/>
          <w:highlight w:val="none"/>
          <w:lang w:bidi="ar"/>
        </w:rPr>
        <w:t>-</w:t>
      </w:r>
      <w:r>
        <w:rPr>
          <w:rFonts w:hint="eastAsia" w:cs="Times New Roman"/>
          <w:b/>
          <w:bCs/>
          <w:color w:val="auto"/>
          <w:kern w:val="0"/>
          <w:sz w:val="24"/>
          <w:highlight w:val="none"/>
          <w:lang w:val="en-US" w:eastAsia="zh-CN" w:bidi="ar"/>
        </w:rPr>
        <w:t>6</w:t>
      </w:r>
      <w:r>
        <w:rPr>
          <w:rFonts w:hint="default" w:ascii="Times New Roman" w:hAnsi="Times New Roman" w:eastAsia="宋体" w:cs="Times New Roman"/>
          <w:b/>
          <w:bCs/>
          <w:color w:val="auto"/>
          <w:sz w:val="24"/>
          <w:highlight w:val="none"/>
        </w:rPr>
        <w:t xml:space="preserve">    评价范围内植物区划</w:t>
      </w:r>
    </w:p>
    <w:tbl>
      <w:tblPr>
        <w:tblStyle w:val="32"/>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2"/>
        <w:gridCol w:w="975"/>
        <w:gridCol w:w="1470"/>
        <w:gridCol w:w="900"/>
        <w:gridCol w:w="3917"/>
      </w:tblGrid>
      <w:tr w14:paraId="3A0401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52" w:type="dxa"/>
            <w:tcBorders>
              <w:tl2br w:val="nil"/>
              <w:tr2bl w:val="nil"/>
            </w:tcBorders>
            <w:noWrap w:val="0"/>
            <w:vAlign w:val="center"/>
          </w:tcPr>
          <w:p w14:paraId="0BA5A955">
            <w:pPr>
              <w:ind w:left="-105" w:leftChars="-50" w:right="-105" w:rightChars="-5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区域</w:t>
            </w:r>
          </w:p>
        </w:tc>
        <w:tc>
          <w:tcPr>
            <w:tcW w:w="975" w:type="dxa"/>
            <w:tcBorders>
              <w:tl2br w:val="nil"/>
              <w:tr2bl w:val="nil"/>
            </w:tcBorders>
            <w:noWrap w:val="0"/>
            <w:vAlign w:val="center"/>
          </w:tcPr>
          <w:p w14:paraId="20CDB7E9">
            <w:pPr>
              <w:ind w:left="-105" w:leftChars="-50" w:right="-105" w:rightChars="-5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地带</w:t>
            </w:r>
          </w:p>
        </w:tc>
        <w:tc>
          <w:tcPr>
            <w:tcW w:w="1470" w:type="dxa"/>
            <w:tcBorders>
              <w:tl2br w:val="nil"/>
              <w:tr2bl w:val="nil"/>
            </w:tcBorders>
            <w:noWrap w:val="0"/>
            <w:vAlign w:val="center"/>
          </w:tcPr>
          <w:p w14:paraId="67C73913">
            <w:pPr>
              <w:ind w:left="-105" w:leftChars="-50" w:right="-105" w:rightChars="-5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亚地区带</w:t>
            </w:r>
          </w:p>
        </w:tc>
        <w:tc>
          <w:tcPr>
            <w:tcW w:w="900" w:type="dxa"/>
            <w:tcBorders>
              <w:tl2br w:val="nil"/>
              <w:tr2bl w:val="nil"/>
            </w:tcBorders>
            <w:noWrap w:val="0"/>
            <w:vAlign w:val="center"/>
          </w:tcPr>
          <w:p w14:paraId="1A7CA9B1">
            <w:pPr>
              <w:ind w:left="-105" w:leftChars="-50" w:right="-105" w:rightChars="-5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植被区</w:t>
            </w:r>
          </w:p>
        </w:tc>
        <w:tc>
          <w:tcPr>
            <w:tcW w:w="3917" w:type="dxa"/>
            <w:tcBorders>
              <w:tl2br w:val="nil"/>
              <w:tr2bl w:val="nil"/>
            </w:tcBorders>
            <w:noWrap w:val="0"/>
            <w:vAlign w:val="center"/>
          </w:tcPr>
          <w:p w14:paraId="077A5769">
            <w:pPr>
              <w:ind w:left="-105" w:leftChars="-50" w:right="-105" w:rightChars="-5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简要描述</w:t>
            </w:r>
          </w:p>
        </w:tc>
      </w:tr>
      <w:tr w14:paraId="79C8C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752" w:type="dxa"/>
            <w:tcBorders>
              <w:tl2br w:val="nil"/>
              <w:tr2bl w:val="nil"/>
            </w:tcBorders>
            <w:noWrap w:val="0"/>
            <w:vAlign w:val="center"/>
          </w:tcPr>
          <w:p w14:paraId="4C4D809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I.</w:t>
            </w:r>
            <w:r>
              <w:rPr>
                <w:rFonts w:hint="default" w:ascii="Times New Roman" w:hAnsi="Times New Roman" w:cs="Times New Roman"/>
                <w:color w:val="auto"/>
                <w:szCs w:val="21"/>
                <w:highlight w:val="none"/>
                <w:lang w:val="en-US" w:eastAsia="zh-CN"/>
              </w:rPr>
              <w:t>宁南黄土高原南 森林草原及栽培植被区</w:t>
            </w:r>
          </w:p>
        </w:tc>
        <w:tc>
          <w:tcPr>
            <w:tcW w:w="975" w:type="dxa"/>
            <w:tcBorders>
              <w:tl2br w:val="nil"/>
              <w:tr2bl w:val="nil"/>
            </w:tcBorders>
            <w:noWrap w:val="0"/>
            <w:vAlign w:val="center"/>
          </w:tcPr>
          <w:p w14:paraId="1FFA5CD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一、带草原地带</w:t>
            </w:r>
          </w:p>
        </w:tc>
        <w:tc>
          <w:tcPr>
            <w:tcW w:w="1470" w:type="dxa"/>
            <w:tcBorders>
              <w:tl2br w:val="nil"/>
              <w:tr2bl w:val="nil"/>
            </w:tcBorders>
            <w:noWrap w:val="0"/>
            <w:vAlign w:val="center"/>
          </w:tcPr>
          <w:p w14:paraId="2AD2A6E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（一）</w:t>
            </w:r>
            <w:r>
              <w:rPr>
                <w:rFonts w:hint="eastAsia" w:cs="Times New Roman"/>
                <w:color w:val="auto"/>
                <w:szCs w:val="21"/>
                <w:highlight w:val="none"/>
                <w:lang w:val="en-US" w:eastAsia="zh-CN"/>
              </w:rPr>
              <w:t>温</w:t>
            </w:r>
            <w:r>
              <w:rPr>
                <w:rFonts w:hint="default" w:ascii="Times New Roman" w:hAnsi="Times New Roman" w:cs="Times New Roman"/>
                <w:color w:val="auto"/>
                <w:szCs w:val="21"/>
                <w:highlight w:val="none"/>
              </w:rPr>
              <w:t>带</w:t>
            </w:r>
            <w:r>
              <w:rPr>
                <w:rFonts w:hint="eastAsia" w:cs="Times New Roman"/>
                <w:color w:val="auto"/>
                <w:szCs w:val="21"/>
                <w:highlight w:val="none"/>
                <w:lang w:val="en-US" w:eastAsia="zh-CN"/>
              </w:rPr>
              <w:t>东</w:t>
            </w:r>
            <w:r>
              <w:rPr>
                <w:rFonts w:hint="default" w:ascii="Times New Roman" w:hAnsi="Times New Roman" w:cs="Times New Roman"/>
                <w:color w:val="auto"/>
                <w:szCs w:val="21"/>
                <w:highlight w:val="none"/>
              </w:rPr>
              <w:t>部草原亚地区</w:t>
            </w:r>
          </w:p>
        </w:tc>
        <w:tc>
          <w:tcPr>
            <w:tcW w:w="900" w:type="dxa"/>
            <w:tcBorders>
              <w:tl2br w:val="nil"/>
              <w:tr2bl w:val="nil"/>
            </w:tcBorders>
            <w:noWrap w:val="0"/>
            <w:vAlign w:val="center"/>
          </w:tcPr>
          <w:p w14:paraId="6837BC67">
            <w:pPr>
              <w:jc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1.</w:t>
            </w:r>
            <w:r>
              <w:rPr>
                <w:rFonts w:hint="eastAsia" w:cs="Times New Roman"/>
                <w:color w:val="auto"/>
                <w:szCs w:val="21"/>
                <w:highlight w:val="none"/>
                <w:lang w:val="en-US" w:eastAsia="zh-CN"/>
              </w:rPr>
              <w:t>温带草原</w:t>
            </w:r>
            <w:r>
              <w:rPr>
                <w:rFonts w:hint="default" w:ascii="Times New Roman" w:hAnsi="Times New Roman" w:cs="Times New Roman"/>
                <w:color w:val="auto"/>
                <w:szCs w:val="21"/>
                <w:highlight w:val="none"/>
              </w:rPr>
              <w:t>区</w:t>
            </w:r>
            <w:r>
              <w:rPr>
                <w:rFonts w:hint="eastAsia" w:cs="Times New Roman"/>
                <w:color w:val="auto"/>
                <w:szCs w:val="21"/>
                <w:highlight w:val="none"/>
                <w:lang w:val="en-US" w:eastAsia="zh-CN"/>
              </w:rPr>
              <w:t>域</w:t>
            </w:r>
          </w:p>
        </w:tc>
        <w:tc>
          <w:tcPr>
            <w:tcW w:w="3917" w:type="dxa"/>
            <w:tcBorders>
              <w:tl2br w:val="nil"/>
              <w:tr2bl w:val="nil"/>
            </w:tcBorders>
            <w:noWrap w:val="0"/>
            <w:vAlign w:val="center"/>
          </w:tcPr>
          <w:p w14:paraId="1B82C09F">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本区植被类型多样，既有水平地带性的森林、草原，又有山地植被垂直带谱，如低山草甸草原、阔叶混交林、针阔混交林等。</w:t>
            </w:r>
          </w:p>
        </w:tc>
      </w:tr>
    </w:tbl>
    <w:p w14:paraId="10A03F5C">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
          <w:bCs/>
          <w:color w:val="auto"/>
          <w:kern w:val="0"/>
          <w:sz w:val="24"/>
          <w:highlight w:val="none"/>
          <w:lang w:bidi="ar"/>
        </w:rPr>
      </w:pPr>
      <w:r>
        <w:rPr>
          <w:rFonts w:hint="default" w:ascii="Times New Roman" w:hAnsi="Times New Roman" w:cs="Times New Roman"/>
          <w:b/>
          <w:bCs/>
          <w:color w:val="auto"/>
          <w:kern w:val="0"/>
          <w:sz w:val="24"/>
          <w:highlight w:val="none"/>
          <w:lang w:eastAsia="zh-CN" w:bidi="ar"/>
        </w:rPr>
        <w:t>⑶</w:t>
      </w:r>
      <w:r>
        <w:rPr>
          <w:rFonts w:hint="default" w:ascii="Times New Roman" w:hAnsi="Times New Roman" w:cs="Times New Roman"/>
          <w:b/>
          <w:bCs/>
          <w:color w:val="auto"/>
          <w:kern w:val="0"/>
          <w:sz w:val="24"/>
          <w:highlight w:val="none"/>
          <w:lang w:bidi="ar"/>
        </w:rPr>
        <w:t>主要植被类型现状及分布特征</w:t>
      </w:r>
    </w:p>
    <w:p w14:paraId="3D7A07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①植被分布特征</w:t>
      </w:r>
    </w:p>
    <w:p w14:paraId="11817D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sz w:val="24"/>
          <w:highlight w:val="none"/>
          <w:lang w:val="zh-CN"/>
        </w:rPr>
        <w:t>根据《宁夏回族自治区植被区划图》，区域植被主要类型为</w:t>
      </w:r>
      <w:r>
        <w:rPr>
          <w:rFonts w:hint="default" w:ascii="Times New Roman" w:hAnsi="Times New Roman" w:cs="Times New Roman"/>
          <w:color w:val="auto"/>
          <w:kern w:val="0"/>
          <w:sz w:val="24"/>
          <w:highlight w:val="none"/>
        </w:rPr>
        <w:t>温带</w:t>
      </w:r>
      <w:r>
        <w:rPr>
          <w:rFonts w:hint="default" w:ascii="Times New Roman" w:hAnsi="Times New Roman" w:cs="Times New Roman"/>
          <w:color w:val="auto"/>
          <w:kern w:val="0"/>
          <w:sz w:val="24"/>
          <w:highlight w:val="none"/>
          <w:lang w:val="en-US" w:eastAsia="zh-CN"/>
        </w:rPr>
        <w:t>草原</w:t>
      </w:r>
      <w:r>
        <w:rPr>
          <w:rFonts w:hint="default" w:ascii="Times New Roman" w:hAnsi="Times New Roman" w:cs="Times New Roman"/>
          <w:color w:val="auto"/>
          <w:kern w:val="0"/>
          <w:sz w:val="24"/>
          <w:highlight w:val="none"/>
        </w:rPr>
        <w:t>区域的固原中部灌丛草原小区</w:t>
      </w:r>
      <w:r>
        <w:rPr>
          <w:rFonts w:hint="default" w:ascii="Times New Roman" w:hAnsi="Times New Roman" w:eastAsia="宋体" w:cs="Times New Roman"/>
          <w:color w:val="auto"/>
          <w:sz w:val="24"/>
          <w:highlight w:val="none"/>
          <w:lang w:val="zh-CN"/>
        </w:rPr>
        <w:t>，根据《宁夏植被图》，</w:t>
      </w:r>
      <w:r>
        <w:rPr>
          <w:rFonts w:hint="default" w:ascii="Times New Roman" w:hAnsi="Times New Roman" w:eastAsia="宋体" w:cs="Times New Roman"/>
          <w:color w:val="auto"/>
          <w:kern w:val="0"/>
          <w:sz w:val="24"/>
          <w:szCs w:val="24"/>
          <w:lang w:val="en-US" w:eastAsia="zh-CN" w:bidi="ar"/>
        </w:rPr>
        <w:t>自然植被属于V草原</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highlight w:val="none"/>
          <w:lang w:val="en-US" w:eastAsia="zh-CN" w:bidi="ar"/>
        </w:rPr>
        <w:t>具体为百里香、星毛委陵菜、长茅草草原。</w:t>
      </w:r>
    </w:p>
    <w:p w14:paraId="2C3F2EA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②主要植被现状</w:t>
      </w:r>
    </w:p>
    <w:p w14:paraId="70A3F2F0">
      <w:pPr>
        <w:pStyle w:val="10"/>
        <w:keepNext w:val="0"/>
        <w:keepLines w:val="0"/>
        <w:pageBreakBefore w:val="0"/>
        <w:widowControl w:val="0"/>
        <w:kinsoku w:val="0"/>
        <w:wordWrap/>
        <w:overflowPunct w:val="0"/>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中国植被》确定的植物群系学—生态学分类原则，采用植被型组、植被型、群系等基本单位，以《中国植被》（1980年）的分类系统为主，参照《宁夏植被》（1988年），在对现存植被进行考察的基础上，结合区域内现有植被中群系组成的建群种与优势种的外貌，以及群系的环境生态与地理分布特征等分析，项目评价范围植物类型及所占比例</w:t>
      </w:r>
      <w:r>
        <w:rPr>
          <w:rFonts w:hint="default" w:ascii="Times New Roman" w:hAnsi="Times New Roman" w:eastAsia="宋体" w:cs="Times New Roman"/>
          <w:color w:val="auto"/>
          <w:sz w:val="24"/>
          <w:highlight w:val="none"/>
          <w:lang w:val="en-US" w:eastAsia="zh-CN"/>
        </w:rPr>
        <w:t>具体见专题表</w:t>
      </w: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7</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szCs w:val="24"/>
          <w:highlight w:val="none"/>
        </w:rPr>
        <w:t>评价区</w:t>
      </w:r>
      <w:r>
        <w:rPr>
          <w:rFonts w:hint="default" w:ascii="Times New Roman" w:hAnsi="Times New Roman" w:eastAsia="宋体" w:cs="Times New Roman"/>
          <w:color w:val="auto"/>
          <w:sz w:val="24"/>
          <w:szCs w:val="24"/>
          <w:highlight w:val="none"/>
          <w:lang w:val="en-US" w:eastAsia="zh-CN"/>
        </w:rPr>
        <w:t>植被类型图见专题</w:t>
      </w:r>
      <w:r>
        <w:rPr>
          <w:rFonts w:hint="default" w:ascii="Times New Roman" w:hAnsi="Times New Roman" w:eastAsia="宋体" w:cs="Times New Roman"/>
          <w:color w:val="auto"/>
          <w:sz w:val="24"/>
          <w:szCs w:val="24"/>
          <w:highlight w:val="none"/>
        </w:rPr>
        <w:t>图</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p>
    <w:p w14:paraId="6A5B28B2">
      <w:pPr>
        <w:widowControl/>
        <w:jc w:val="center"/>
        <w:rPr>
          <w:rFonts w:hint="default" w:ascii="Times New Roman" w:hAnsi="Times New Roman" w:cs="Times New Roman"/>
          <w:b/>
          <w:bCs/>
          <w:color w:val="auto"/>
          <w:kern w:val="0"/>
          <w:sz w:val="24"/>
          <w:highlight w:val="none"/>
          <w:lang w:eastAsia="zh-CN" w:bidi="ar"/>
        </w:rPr>
      </w:pPr>
      <w:r>
        <w:rPr>
          <w:rFonts w:hint="default" w:ascii="Times New Roman" w:hAnsi="Times New Roman" w:cs="Times New Roman"/>
          <w:b/>
          <w:bCs/>
          <w:color w:val="auto"/>
          <w:kern w:val="0"/>
          <w:sz w:val="24"/>
          <w:highlight w:val="none"/>
          <w:lang w:val="en-US" w:eastAsia="zh-CN" w:bidi="ar"/>
        </w:rPr>
        <w:t>专题表</w:t>
      </w:r>
      <w:r>
        <w:rPr>
          <w:rFonts w:hint="eastAsia" w:cs="Times New Roman"/>
          <w:b/>
          <w:bCs/>
          <w:color w:val="auto"/>
          <w:kern w:val="0"/>
          <w:sz w:val="24"/>
          <w:highlight w:val="none"/>
          <w:lang w:val="en-US" w:eastAsia="zh-CN" w:bidi="ar"/>
        </w:rPr>
        <w:t>2</w:t>
      </w:r>
      <w:r>
        <w:rPr>
          <w:rFonts w:hint="default" w:ascii="Times New Roman" w:hAnsi="Times New Roman" w:cs="Times New Roman"/>
          <w:b/>
          <w:bCs/>
          <w:color w:val="auto"/>
          <w:kern w:val="0"/>
          <w:sz w:val="24"/>
          <w:highlight w:val="none"/>
          <w:lang w:val="en-US" w:eastAsia="zh-CN" w:bidi="ar"/>
        </w:rPr>
        <w:t>-</w:t>
      </w:r>
      <w:r>
        <w:rPr>
          <w:rFonts w:hint="eastAsia" w:cs="Times New Roman"/>
          <w:b/>
          <w:bCs/>
          <w:color w:val="auto"/>
          <w:kern w:val="0"/>
          <w:sz w:val="24"/>
          <w:highlight w:val="none"/>
          <w:lang w:val="en-US" w:eastAsia="zh-CN" w:bidi="ar"/>
        </w:rPr>
        <w:t>7</w:t>
      </w:r>
      <w:r>
        <w:rPr>
          <w:rFonts w:hint="default" w:ascii="Times New Roman" w:hAnsi="Times New Roman" w:cs="Times New Roman"/>
          <w:b/>
          <w:bCs/>
          <w:color w:val="auto"/>
          <w:kern w:val="0"/>
          <w:sz w:val="24"/>
          <w:highlight w:val="none"/>
          <w:lang w:bidi="ar"/>
        </w:rPr>
        <w:t xml:space="preserve">    项目评价范围植物类型及所占比例汇总</w:t>
      </w:r>
      <w:r>
        <w:rPr>
          <w:rFonts w:hint="default" w:ascii="Times New Roman" w:hAnsi="Times New Roman" w:cs="Times New Roman"/>
          <w:b/>
          <w:bCs/>
          <w:color w:val="auto"/>
          <w:kern w:val="0"/>
          <w:sz w:val="24"/>
          <w:highlight w:val="none"/>
          <w:lang w:eastAsia="zh-CN" w:bidi="ar"/>
        </w:rPr>
        <w:t>表</w:t>
      </w:r>
    </w:p>
    <w:tbl>
      <w:tblPr>
        <w:tblStyle w:val="31"/>
        <w:tblW w:w="908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247"/>
        <w:gridCol w:w="1700"/>
        <w:gridCol w:w="859"/>
        <w:gridCol w:w="1775"/>
        <w:gridCol w:w="1590"/>
        <w:gridCol w:w="1909"/>
      </w:tblGrid>
      <w:tr w14:paraId="3A054C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2" w:hRule="atLeast"/>
          <w:jc w:val="center"/>
        </w:trPr>
        <w:tc>
          <w:tcPr>
            <w:tcW w:w="2947" w:type="dxa"/>
            <w:gridSpan w:val="2"/>
            <w:tcBorders>
              <w:tl2br w:val="nil"/>
              <w:tr2bl w:val="nil"/>
            </w:tcBorders>
            <w:shd w:val="clear" w:color="auto" w:fill="auto"/>
            <w:vAlign w:val="center"/>
          </w:tcPr>
          <w:p w14:paraId="631820B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none"/>
              </w:rPr>
            </w:pPr>
            <w:r>
              <w:rPr>
                <w:rStyle w:val="110"/>
                <w:b/>
                <w:bCs/>
                <w:color w:val="auto"/>
                <w:lang w:val="en-US" w:eastAsia="zh-CN" w:bidi="ar"/>
              </w:rPr>
              <w:t>植被类型</w:t>
            </w:r>
          </w:p>
        </w:tc>
        <w:tc>
          <w:tcPr>
            <w:tcW w:w="859" w:type="dxa"/>
            <w:tcBorders>
              <w:tl2br w:val="nil"/>
              <w:tr2bl w:val="nil"/>
            </w:tcBorders>
            <w:shd w:val="clear" w:color="auto" w:fill="auto"/>
            <w:noWrap/>
            <w:vAlign w:val="center"/>
          </w:tcPr>
          <w:p w14:paraId="7ECB1F9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none"/>
              </w:rPr>
            </w:pPr>
            <w:r>
              <w:rPr>
                <w:rStyle w:val="110"/>
                <w:b/>
                <w:bCs/>
                <w:color w:val="auto"/>
                <w:lang w:val="en-US" w:eastAsia="zh-CN" w:bidi="ar"/>
              </w:rPr>
              <w:t>斑块数</w:t>
            </w:r>
          </w:p>
        </w:tc>
        <w:tc>
          <w:tcPr>
            <w:tcW w:w="1775" w:type="dxa"/>
            <w:tcBorders>
              <w:tl2br w:val="nil"/>
              <w:tr2bl w:val="nil"/>
            </w:tcBorders>
            <w:shd w:val="clear" w:color="auto" w:fill="auto"/>
            <w:noWrap/>
            <w:vAlign w:val="center"/>
          </w:tcPr>
          <w:p w14:paraId="4C7FBBE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none"/>
              </w:rPr>
            </w:pPr>
            <w:r>
              <w:rPr>
                <w:rStyle w:val="110"/>
                <w:b/>
                <w:bCs/>
                <w:color w:val="auto"/>
                <w:lang w:val="en-US" w:eastAsia="zh-CN" w:bidi="ar"/>
              </w:rPr>
              <w:t>面积（平方米）</w:t>
            </w:r>
          </w:p>
        </w:tc>
        <w:tc>
          <w:tcPr>
            <w:tcW w:w="1590" w:type="dxa"/>
            <w:tcBorders>
              <w:tl2br w:val="nil"/>
              <w:tr2bl w:val="nil"/>
            </w:tcBorders>
            <w:shd w:val="clear" w:color="auto" w:fill="auto"/>
            <w:noWrap/>
            <w:vAlign w:val="center"/>
          </w:tcPr>
          <w:p w14:paraId="6711AA5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none"/>
              </w:rPr>
            </w:pPr>
            <w:r>
              <w:rPr>
                <w:rStyle w:val="110"/>
                <w:b/>
                <w:bCs/>
                <w:color w:val="auto"/>
                <w:lang w:val="en-US" w:eastAsia="zh-CN" w:bidi="ar"/>
              </w:rPr>
              <w:t>面积（公顷）</w:t>
            </w:r>
          </w:p>
        </w:tc>
        <w:tc>
          <w:tcPr>
            <w:tcW w:w="1909" w:type="dxa"/>
            <w:tcBorders>
              <w:tl2br w:val="nil"/>
              <w:tr2bl w:val="nil"/>
            </w:tcBorders>
            <w:shd w:val="clear" w:color="auto" w:fill="auto"/>
            <w:noWrap/>
            <w:vAlign w:val="center"/>
          </w:tcPr>
          <w:p w14:paraId="444B26BB">
            <w:pPr>
              <w:pStyle w:val="10"/>
              <w:kinsoku w:val="0"/>
              <w:overflowPunct w:val="0"/>
              <w:spacing w:before="0" w:after="0" w:line="240" w:lineRule="auto"/>
              <w:ind w:right="0"/>
              <w:jc w:val="center"/>
              <w:rPr>
                <w:rStyle w:val="110"/>
                <w:b/>
                <w:bCs/>
                <w:color w:val="auto"/>
                <w:lang w:val="en-US" w:eastAsia="zh-CN" w:bidi="ar"/>
              </w:rPr>
            </w:pPr>
            <w:r>
              <w:rPr>
                <w:rFonts w:hint="default" w:ascii="Times New Roman" w:hAnsi="Times New Roman" w:cs="Times New Roman"/>
                <w:b/>
                <w:color w:val="auto"/>
                <w:sz w:val="21"/>
                <w:szCs w:val="21"/>
                <w:highlight w:val="none"/>
              </w:rPr>
              <w:t>占用比例（%）</w:t>
            </w:r>
          </w:p>
        </w:tc>
      </w:tr>
      <w:tr w14:paraId="536EB8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247" w:type="dxa"/>
            <w:vMerge w:val="restart"/>
            <w:tcBorders>
              <w:tl2br w:val="nil"/>
              <w:tr2bl w:val="nil"/>
            </w:tcBorders>
            <w:shd w:val="clear" w:color="auto" w:fill="auto"/>
            <w:vAlign w:val="center"/>
          </w:tcPr>
          <w:p w14:paraId="3FC1426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草原植被</w:t>
            </w:r>
          </w:p>
        </w:tc>
        <w:tc>
          <w:tcPr>
            <w:tcW w:w="1700" w:type="dxa"/>
            <w:tcBorders>
              <w:tl2br w:val="nil"/>
              <w:tr2bl w:val="nil"/>
            </w:tcBorders>
            <w:shd w:val="clear" w:color="auto" w:fill="auto"/>
            <w:noWrap/>
            <w:vAlign w:val="center"/>
          </w:tcPr>
          <w:p w14:paraId="580ACF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骆驼蓬群落</w:t>
            </w:r>
          </w:p>
        </w:tc>
        <w:tc>
          <w:tcPr>
            <w:tcW w:w="859" w:type="dxa"/>
            <w:tcBorders>
              <w:tl2br w:val="nil"/>
              <w:tr2bl w:val="nil"/>
            </w:tcBorders>
            <w:shd w:val="clear" w:color="auto" w:fill="auto"/>
            <w:noWrap/>
            <w:vAlign w:val="center"/>
          </w:tcPr>
          <w:p w14:paraId="72C0505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1775" w:type="dxa"/>
            <w:tcBorders>
              <w:tl2br w:val="nil"/>
              <w:tr2bl w:val="nil"/>
            </w:tcBorders>
            <w:shd w:val="clear" w:color="auto" w:fill="auto"/>
            <w:noWrap/>
            <w:vAlign w:val="center"/>
          </w:tcPr>
          <w:p w14:paraId="0B159A5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2075668.56</w:t>
            </w:r>
          </w:p>
        </w:tc>
        <w:tc>
          <w:tcPr>
            <w:tcW w:w="1590" w:type="dxa"/>
            <w:tcBorders>
              <w:tl2br w:val="nil"/>
              <w:tr2bl w:val="nil"/>
            </w:tcBorders>
            <w:shd w:val="clear" w:color="auto" w:fill="auto"/>
            <w:noWrap/>
            <w:vAlign w:val="center"/>
          </w:tcPr>
          <w:p w14:paraId="09932AE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207.57</w:t>
            </w:r>
          </w:p>
        </w:tc>
        <w:tc>
          <w:tcPr>
            <w:tcW w:w="1909" w:type="dxa"/>
            <w:tcBorders>
              <w:tl2br w:val="nil"/>
              <w:tr2bl w:val="nil"/>
            </w:tcBorders>
            <w:shd w:val="clear" w:color="auto" w:fill="auto"/>
            <w:noWrap/>
            <w:vAlign w:val="center"/>
          </w:tcPr>
          <w:p w14:paraId="739BD86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4.04</w:t>
            </w:r>
          </w:p>
        </w:tc>
      </w:tr>
      <w:tr w14:paraId="0D9567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247" w:type="dxa"/>
            <w:vMerge w:val="continue"/>
            <w:tcBorders>
              <w:tl2br w:val="nil"/>
              <w:tr2bl w:val="nil"/>
            </w:tcBorders>
            <w:shd w:val="clear" w:color="auto" w:fill="auto"/>
            <w:vAlign w:val="center"/>
          </w:tcPr>
          <w:p w14:paraId="2A3E2D94">
            <w:pPr>
              <w:keepNext w:val="0"/>
              <w:keepLines w:val="0"/>
              <w:pageBreakBefore w:val="0"/>
              <w:widowControl w:val="0"/>
              <w:kinsoku/>
              <w:wordWrap/>
              <w:overflowPunct/>
              <w:topLinePunct w:val="0"/>
              <w:autoSpaceDE/>
              <w:autoSpaceDN/>
              <w:bidi w:val="0"/>
              <w:adjustRightInd w:val="0"/>
              <w:snapToGrid w:val="0"/>
              <w:jc w:val="center"/>
              <w:rPr>
                <w:rFonts w:hint="eastAsia" w:ascii="宋体" w:hAnsi="宋体" w:eastAsia="宋体" w:cs="宋体"/>
                <w:i w:val="0"/>
                <w:iCs w:val="0"/>
                <w:color w:val="auto"/>
                <w:sz w:val="21"/>
                <w:szCs w:val="21"/>
                <w:u w:val="none"/>
              </w:rPr>
            </w:pPr>
          </w:p>
        </w:tc>
        <w:tc>
          <w:tcPr>
            <w:tcW w:w="1700" w:type="dxa"/>
            <w:tcBorders>
              <w:tl2br w:val="nil"/>
              <w:tr2bl w:val="nil"/>
            </w:tcBorders>
            <w:shd w:val="clear" w:color="auto" w:fill="auto"/>
            <w:noWrap/>
            <w:vAlign w:val="center"/>
          </w:tcPr>
          <w:p w14:paraId="5AD1CEC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冰草群落</w:t>
            </w:r>
          </w:p>
        </w:tc>
        <w:tc>
          <w:tcPr>
            <w:tcW w:w="859" w:type="dxa"/>
            <w:tcBorders>
              <w:tl2br w:val="nil"/>
              <w:tr2bl w:val="nil"/>
            </w:tcBorders>
            <w:shd w:val="clear" w:color="auto" w:fill="auto"/>
            <w:noWrap/>
            <w:vAlign w:val="center"/>
          </w:tcPr>
          <w:p w14:paraId="5AA464E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775" w:type="dxa"/>
            <w:tcBorders>
              <w:tl2br w:val="nil"/>
              <w:tr2bl w:val="nil"/>
            </w:tcBorders>
            <w:shd w:val="clear" w:color="auto" w:fill="auto"/>
            <w:noWrap/>
            <w:vAlign w:val="center"/>
          </w:tcPr>
          <w:p w14:paraId="688ACA4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1943742.58</w:t>
            </w:r>
          </w:p>
        </w:tc>
        <w:tc>
          <w:tcPr>
            <w:tcW w:w="1590" w:type="dxa"/>
            <w:tcBorders>
              <w:tl2br w:val="nil"/>
              <w:tr2bl w:val="nil"/>
            </w:tcBorders>
            <w:shd w:val="clear" w:color="auto" w:fill="auto"/>
            <w:noWrap/>
            <w:vAlign w:val="center"/>
          </w:tcPr>
          <w:p w14:paraId="07D0F3C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194.37</w:t>
            </w:r>
          </w:p>
        </w:tc>
        <w:tc>
          <w:tcPr>
            <w:tcW w:w="1909" w:type="dxa"/>
            <w:tcBorders>
              <w:tl2br w:val="nil"/>
              <w:tr2bl w:val="nil"/>
            </w:tcBorders>
            <w:shd w:val="clear" w:color="auto" w:fill="auto"/>
            <w:noWrap/>
            <w:vAlign w:val="center"/>
          </w:tcPr>
          <w:p w14:paraId="79C2978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3.80</w:t>
            </w:r>
          </w:p>
        </w:tc>
      </w:tr>
      <w:tr w14:paraId="605D63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0" w:hRule="atLeast"/>
          <w:jc w:val="center"/>
        </w:trPr>
        <w:tc>
          <w:tcPr>
            <w:tcW w:w="1247" w:type="dxa"/>
            <w:vMerge w:val="restart"/>
            <w:tcBorders>
              <w:tl2br w:val="nil"/>
              <w:tr2bl w:val="nil"/>
            </w:tcBorders>
            <w:shd w:val="clear" w:color="auto" w:fill="auto"/>
            <w:vAlign w:val="center"/>
          </w:tcPr>
          <w:p w14:paraId="0791F76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森林植被</w:t>
            </w:r>
          </w:p>
        </w:tc>
        <w:tc>
          <w:tcPr>
            <w:tcW w:w="1700" w:type="dxa"/>
            <w:tcBorders>
              <w:tl2br w:val="nil"/>
              <w:tr2bl w:val="nil"/>
            </w:tcBorders>
            <w:shd w:val="clear" w:color="auto" w:fill="auto"/>
            <w:noWrap/>
            <w:vAlign w:val="center"/>
          </w:tcPr>
          <w:p w14:paraId="176DF0E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柠条锦鸡儿</w:t>
            </w:r>
          </w:p>
        </w:tc>
        <w:tc>
          <w:tcPr>
            <w:tcW w:w="859" w:type="dxa"/>
            <w:tcBorders>
              <w:tl2br w:val="nil"/>
              <w:tr2bl w:val="nil"/>
            </w:tcBorders>
            <w:shd w:val="clear" w:color="auto" w:fill="auto"/>
            <w:noWrap/>
            <w:vAlign w:val="center"/>
          </w:tcPr>
          <w:p w14:paraId="457A1DD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77</w:t>
            </w:r>
          </w:p>
        </w:tc>
        <w:tc>
          <w:tcPr>
            <w:tcW w:w="1775" w:type="dxa"/>
            <w:tcBorders>
              <w:tl2br w:val="nil"/>
              <w:tr2bl w:val="nil"/>
            </w:tcBorders>
            <w:shd w:val="clear" w:color="auto" w:fill="auto"/>
            <w:noWrap/>
            <w:vAlign w:val="center"/>
          </w:tcPr>
          <w:p w14:paraId="4C791DD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7072870.76</w:t>
            </w:r>
          </w:p>
        </w:tc>
        <w:tc>
          <w:tcPr>
            <w:tcW w:w="1590" w:type="dxa"/>
            <w:tcBorders>
              <w:tl2br w:val="nil"/>
              <w:tr2bl w:val="nil"/>
            </w:tcBorders>
            <w:shd w:val="clear" w:color="auto" w:fill="auto"/>
            <w:noWrap/>
            <w:vAlign w:val="center"/>
          </w:tcPr>
          <w:p w14:paraId="4F4CA0B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707.29</w:t>
            </w:r>
          </w:p>
        </w:tc>
        <w:tc>
          <w:tcPr>
            <w:tcW w:w="1909" w:type="dxa"/>
            <w:tcBorders>
              <w:tl2br w:val="nil"/>
              <w:tr2bl w:val="nil"/>
            </w:tcBorders>
            <w:shd w:val="clear" w:color="auto" w:fill="auto"/>
            <w:noWrap/>
            <w:vAlign w:val="center"/>
          </w:tcPr>
          <w:p w14:paraId="392BDB8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13.78</w:t>
            </w:r>
          </w:p>
        </w:tc>
      </w:tr>
      <w:tr w14:paraId="765872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247" w:type="dxa"/>
            <w:vMerge w:val="continue"/>
            <w:tcBorders>
              <w:tl2br w:val="nil"/>
              <w:tr2bl w:val="nil"/>
            </w:tcBorders>
            <w:shd w:val="clear" w:color="auto" w:fill="auto"/>
            <w:vAlign w:val="center"/>
          </w:tcPr>
          <w:p w14:paraId="78AD4967">
            <w:pPr>
              <w:keepNext w:val="0"/>
              <w:keepLines w:val="0"/>
              <w:pageBreakBefore w:val="0"/>
              <w:widowControl w:val="0"/>
              <w:kinsoku/>
              <w:wordWrap/>
              <w:overflowPunct/>
              <w:topLinePunct w:val="0"/>
              <w:autoSpaceDE/>
              <w:autoSpaceDN/>
              <w:bidi w:val="0"/>
              <w:adjustRightInd w:val="0"/>
              <w:snapToGrid w:val="0"/>
              <w:jc w:val="center"/>
              <w:rPr>
                <w:rFonts w:hint="eastAsia" w:ascii="宋体" w:hAnsi="宋体" w:eastAsia="宋体" w:cs="宋体"/>
                <w:i w:val="0"/>
                <w:iCs w:val="0"/>
                <w:color w:val="auto"/>
                <w:sz w:val="21"/>
                <w:szCs w:val="21"/>
                <w:u w:val="none"/>
              </w:rPr>
            </w:pPr>
          </w:p>
        </w:tc>
        <w:tc>
          <w:tcPr>
            <w:tcW w:w="1700" w:type="dxa"/>
            <w:tcBorders>
              <w:tl2br w:val="nil"/>
              <w:tr2bl w:val="nil"/>
            </w:tcBorders>
            <w:shd w:val="clear" w:color="auto" w:fill="auto"/>
            <w:noWrap/>
            <w:vAlign w:val="center"/>
          </w:tcPr>
          <w:p w14:paraId="3E3F131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沙棘</w:t>
            </w:r>
          </w:p>
        </w:tc>
        <w:tc>
          <w:tcPr>
            <w:tcW w:w="859" w:type="dxa"/>
            <w:tcBorders>
              <w:tl2br w:val="nil"/>
              <w:tr2bl w:val="nil"/>
            </w:tcBorders>
            <w:shd w:val="clear" w:color="auto" w:fill="auto"/>
            <w:noWrap/>
            <w:vAlign w:val="center"/>
          </w:tcPr>
          <w:p w14:paraId="727EFE2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76</w:t>
            </w:r>
          </w:p>
        </w:tc>
        <w:tc>
          <w:tcPr>
            <w:tcW w:w="1775" w:type="dxa"/>
            <w:tcBorders>
              <w:tl2br w:val="nil"/>
              <w:tr2bl w:val="nil"/>
            </w:tcBorders>
            <w:shd w:val="clear" w:color="auto" w:fill="auto"/>
            <w:noWrap/>
            <w:vAlign w:val="center"/>
          </w:tcPr>
          <w:p w14:paraId="15CCE5F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7704465.75</w:t>
            </w:r>
          </w:p>
        </w:tc>
        <w:tc>
          <w:tcPr>
            <w:tcW w:w="1590" w:type="dxa"/>
            <w:tcBorders>
              <w:tl2br w:val="nil"/>
              <w:tr2bl w:val="nil"/>
            </w:tcBorders>
            <w:shd w:val="clear" w:color="auto" w:fill="auto"/>
            <w:noWrap/>
            <w:vAlign w:val="center"/>
          </w:tcPr>
          <w:p w14:paraId="0F7DD71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770.45</w:t>
            </w:r>
          </w:p>
        </w:tc>
        <w:tc>
          <w:tcPr>
            <w:tcW w:w="1909" w:type="dxa"/>
            <w:tcBorders>
              <w:tl2br w:val="nil"/>
              <w:tr2bl w:val="nil"/>
            </w:tcBorders>
            <w:shd w:val="clear" w:color="auto" w:fill="auto"/>
            <w:noWrap/>
            <w:vAlign w:val="center"/>
          </w:tcPr>
          <w:p w14:paraId="7C7779A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15.01</w:t>
            </w:r>
          </w:p>
        </w:tc>
      </w:tr>
      <w:tr w14:paraId="35F7B0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247" w:type="dxa"/>
            <w:vMerge w:val="continue"/>
            <w:tcBorders>
              <w:tl2br w:val="nil"/>
              <w:tr2bl w:val="nil"/>
            </w:tcBorders>
            <w:shd w:val="clear" w:color="auto" w:fill="auto"/>
            <w:vAlign w:val="center"/>
          </w:tcPr>
          <w:p w14:paraId="41ACFBE1">
            <w:pPr>
              <w:keepNext w:val="0"/>
              <w:keepLines w:val="0"/>
              <w:pageBreakBefore w:val="0"/>
              <w:widowControl w:val="0"/>
              <w:kinsoku/>
              <w:wordWrap/>
              <w:overflowPunct/>
              <w:topLinePunct w:val="0"/>
              <w:autoSpaceDE/>
              <w:autoSpaceDN/>
              <w:bidi w:val="0"/>
              <w:adjustRightInd w:val="0"/>
              <w:snapToGrid w:val="0"/>
              <w:jc w:val="center"/>
              <w:rPr>
                <w:rFonts w:hint="eastAsia" w:ascii="宋体" w:hAnsi="宋体" w:eastAsia="宋体" w:cs="宋体"/>
                <w:i w:val="0"/>
                <w:iCs w:val="0"/>
                <w:color w:val="auto"/>
                <w:sz w:val="21"/>
                <w:szCs w:val="21"/>
                <w:u w:val="none"/>
              </w:rPr>
            </w:pPr>
          </w:p>
        </w:tc>
        <w:tc>
          <w:tcPr>
            <w:tcW w:w="1700" w:type="dxa"/>
            <w:tcBorders>
              <w:tl2br w:val="nil"/>
              <w:tr2bl w:val="nil"/>
            </w:tcBorders>
            <w:shd w:val="clear" w:color="auto" w:fill="auto"/>
            <w:noWrap/>
            <w:vAlign w:val="center"/>
          </w:tcPr>
          <w:p w14:paraId="5FD04E1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油松</w:t>
            </w:r>
          </w:p>
        </w:tc>
        <w:tc>
          <w:tcPr>
            <w:tcW w:w="859" w:type="dxa"/>
            <w:tcBorders>
              <w:tl2br w:val="nil"/>
              <w:tr2bl w:val="nil"/>
            </w:tcBorders>
            <w:shd w:val="clear" w:color="auto" w:fill="auto"/>
            <w:noWrap/>
            <w:vAlign w:val="center"/>
          </w:tcPr>
          <w:p w14:paraId="74B6030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83</w:t>
            </w:r>
          </w:p>
        </w:tc>
        <w:tc>
          <w:tcPr>
            <w:tcW w:w="1775" w:type="dxa"/>
            <w:tcBorders>
              <w:tl2br w:val="nil"/>
              <w:tr2bl w:val="nil"/>
            </w:tcBorders>
            <w:shd w:val="clear" w:color="auto" w:fill="auto"/>
            <w:noWrap/>
            <w:vAlign w:val="center"/>
          </w:tcPr>
          <w:p w14:paraId="79B8735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15168619.11</w:t>
            </w:r>
          </w:p>
        </w:tc>
        <w:tc>
          <w:tcPr>
            <w:tcW w:w="1590" w:type="dxa"/>
            <w:tcBorders>
              <w:tl2br w:val="nil"/>
              <w:tr2bl w:val="nil"/>
            </w:tcBorders>
            <w:shd w:val="clear" w:color="auto" w:fill="auto"/>
            <w:noWrap/>
            <w:vAlign w:val="center"/>
          </w:tcPr>
          <w:p w14:paraId="2B5326B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1516.86</w:t>
            </w:r>
          </w:p>
        </w:tc>
        <w:tc>
          <w:tcPr>
            <w:tcW w:w="1909" w:type="dxa"/>
            <w:tcBorders>
              <w:tl2br w:val="nil"/>
              <w:tr2bl w:val="nil"/>
            </w:tcBorders>
            <w:shd w:val="clear" w:color="auto" w:fill="auto"/>
            <w:noWrap/>
            <w:vAlign w:val="center"/>
          </w:tcPr>
          <w:p w14:paraId="08BFE3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29.55</w:t>
            </w:r>
          </w:p>
        </w:tc>
      </w:tr>
      <w:tr w14:paraId="70CD9A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0" w:hRule="atLeast"/>
          <w:jc w:val="center"/>
        </w:trPr>
        <w:tc>
          <w:tcPr>
            <w:tcW w:w="1247" w:type="dxa"/>
            <w:vMerge w:val="restart"/>
            <w:tcBorders>
              <w:tl2br w:val="nil"/>
              <w:tr2bl w:val="nil"/>
            </w:tcBorders>
            <w:shd w:val="clear" w:color="auto" w:fill="auto"/>
            <w:vAlign w:val="center"/>
          </w:tcPr>
          <w:p w14:paraId="28681E3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其他</w:t>
            </w:r>
          </w:p>
        </w:tc>
        <w:tc>
          <w:tcPr>
            <w:tcW w:w="1700" w:type="dxa"/>
            <w:tcBorders>
              <w:tl2br w:val="nil"/>
              <w:tr2bl w:val="nil"/>
            </w:tcBorders>
            <w:shd w:val="clear" w:color="auto" w:fill="auto"/>
            <w:noWrap/>
            <w:vAlign w:val="center"/>
          </w:tcPr>
          <w:p w14:paraId="11DEA0F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耕地</w:t>
            </w:r>
          </w:p>
        </w:tc>
        <w:tc>
          <w:tcPr>
            <w:tcW w:w="859" w:type="dxa"/>
            <w:tcBorders>
              <w:tl2br w:val="nil"/>
              <w:tr2bl w:val="nil"/>
            </w:tcBorders>
            <w:shd w:val="clear" w:color="auto" w:fill="auto"/>
            <w:noWrap/>
            <w:vAlign w:val="center"/>
          </w:tcPr>
          <w:p w14:paraId="5F4835B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263</w:t>
            </w:r>
          </w:p>
        </w:tc>
        <w:tc>
          <w:tcPr>
            <w:tcW w:w="1775" w:type="dxa"/>
            <w:tcBorders>
              <w:tl2br w:val="nil"/>
              <w:tr2bl w:val="nil"/>
            </w:tcBorders>
            <w:shd w:val="clear" w:color="auto" w:fill="auto"/>
            <w:noWrap/>
            <w:vAlign w:val="center"/>
          </w:tcPr>
          <w:p w14:paraId="7C3791B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14842783.13</w:t>
            </w:r>
          </w:p>
        </w:tc>
        <w:tc>
          <w:tcPr>
            <w:tcW w:w="1590" w:type="dxa"/>
            <w:tcBorders>
              <w:tl2br w:val="nil"/>
              <w:tr2bl w:val="nil"/>
            </w:tcBorders>
            <w:shd w:val="clear" w:color="auto" w:fill="auto"/>
            <w:noWrap/>
            <w:vAlign w:val="center"/>
          </w:tcPr>
          <w:p w14:paraId="612E810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1484.28</w:t>
            </w:r>
          </w:p>
        </w:tc>
        <w:tc>
          <w:tcPr>
            <w:tcW w:w="1909" w:type="dxa"/>
            <w:tcBorders>
              <w:tl2br w:val="nil"/>
              <w:tr2bl w:val="nil"/>
            </w:tcBorders>
            <w:shd w:val="clear" w:color="auto" w:fill="auto"/>
            <w:noWrap/>
            <w:vAlign w:val="center"/>
          </w:tcPr>
          <w:p w14:paraId="75BE9F8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28.92</w:t>
            </w:r>
          </w:p>
        </w:tc>
      </w:tr>
      <w:tr w14:paraId="2611C0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0" w:hRule="atLeast"/>
          <w:jc w:val="center"/>
        </w:trPr>
        <w:tc>
          <w:tcPr>
            <w:tcW w:w="1247" w:type="dxa"/>
            <w:vMerge w:val="continue"/>
            <w:tcBorders>
              <w:tl2br w:val="nil"/>
              <w:tr2bl w:val="nil"/>
            </w:tcBorders>
            <w:shd w:val="clear" w:color="auto" w:fill="auto"/>
            <w:vAlign w:val="center"/>
          </w:tcPr>
          <w:p w14:paraId="39D484F9">
            <w:pPr>
              <w:keepNext w:val="0"/>
              <w:keepLines w:val="0"/>
              <w:pageBreakBefore w:val="0"/>
              <w:widowControl w:val="0"/>
              <w:kinsoku/>
              <w:wordWrap/>
              <w:overflowPunct/>
              <w:topLinePunct w:val="0"/>
              <w:autoSpaceDE/>
              <w:autoSpaceDN/>
              <w:bidi w:val="0"/>
              <w:adjustRightInd w:val="0"/>
              <w:snapToGrid w:val="0"/>
              <w:jc w:val="center"/>
              <w:rPr>
                <w:rFonts w:hint="eastAsia" w:ascii="宋体" w:hAnsi="宋体" w:eastAsia="宋体" w:cs="宋体"/>
                <w:i w:val="0"/>
                <w:iCs w:val="0"/>
                <w:color w:val="auto"/>
                <w:sz w:val="21"/>
                <w:szCs w:val="21"/>
                <w:u w:val="none"/>
              </w:rPr>
            </w:pPr>
          </w:p>
        </w:tc>
        <w:tc>
          <w:tcPr>
            <w:tcW w:w="1700" w:type="dxa"/>
            <w:tcBorders>
              <w:tl2br w:val="nil"/>
              <w:tr2bl w:val="nil"/>
            </w:tcBorders>
            <w:shd w:val="clear" w:color="auto" w:fill="auto"/>
            <w:noWrap/>
            <w:vAlign w:val="center"/>
          </w:tcPr>
          <w:p w14:paraId="1F9984D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住宅用地</w:t>
            </w:r>
          </w:p>
        </w:tc>
        <w:tc>
          <w:tcPr>
            <w:tcW w:w="859" w:type="dxa"/>
            <w:tcBorders>
              <w:tl2br w:val="nil"/>
              <w:tr2bl w:val="nil"/>
            </w:tcBorders>
            <w:shd w:val="clear" w:color="auto" w:fill="auto"/>
            <w:noWrap/>
            <w:vAlign w:val="center"/>
          </w:tcPr>
          <w:p w14:paraId="7EF8FD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211</w:t>
            </w:r>
          </w:p>
        </w:tc>
        <w:tc>
          <w:tcPr>
            <w:tcW w:w="1775" w:type="dxa"/>
            <w:tcBorders>
              <w:tl2br w:val="nil"/>
              <w:tr2bl w:val="nil"/>
            </w:tcBorders>
            <w:shd w:val="clear" w:color="auto" w:fill="auto"/>
            <w:noWrap/>
            <w:vAlign w:val="center"/>
          </w:tcPr>
          <w:p w14:paraId="174F69B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1947155.68</w:t>
            </w:r>
          </w:p>
        </w:tc>
        <w:tc>
          <w:tcPr>
            <w:tcW w:w="1590" w:type="dxa"/>
            <w:tcBorders>
              <w:tl2br w:val="nil"/>
              <w:tr2bl w:val="nil"/>
            </w:tcBorders>
            <w:shd w:val="clear" w:color="auto" w:fill="auto"/>
            <w:noWrap/>
            <w:vAlign w:val="center"/>
          </w:tcPr>
          <w:p w14:paraId="5972F3D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194.72</w:t>
            </w:r>
          </w:p>
        </w:tc>
        <w:tc>
          <w:tcPr>
            <w:tcW w:w="1909" w:type="dxa"/>
            <w:tcBorders>
              <w:tl2br w:val="nil"/>
              <w:tr2bl w:val="nil"/>
            </w:tcBorders>
            <w:shd w:val="clear" w:color="auto" w:fill="auto"/>
            <w:noWrap/>
            <w:vAlign w:val="center"/>
          </w:tcPr>
          <w:p w14:paraId="354BEB7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3.79</w:t>
            </w:r>
          </w:p>
        </w:tc>
      </w:tr>
      <w:tr w14:paraId="177115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0" w:hRule="atLeast"/>
          <w:jc w:val="center"/>
        </w:trPr>
        <w:tc>
          <w:tcPr>
            <w:tcW w:w="1247" w:type="dxa"/>
            <w:vMerge w:val="continue"/>
            <w:tcBorders>
              <w:tl2br w:val="nil"/>
              <w:tr2bl w:val="nil"/>
            </w:tcBorders>
            <w:shd w:val="clear" w:color="auto" w:fill="auto"/>
            <w:vAlign w:val="center"/>
          </w:tcPr>
          <w:p w14:paraId="1B3666B7">
            <w:pPr>
              <w:keepNext w:val="0"/>
              <w:keepLines w:val="0"/>
              <w:pageBreakBefore w:val="0"/>
              <w:widowControl w:val="0"/>
              <w:kinsoku/>
              <w:wordWrap/>
              <w:overflowPunct/>
              <w:topLinePunct w:val="0"/>
              <w:autoSpaceDE/>
              <w:autoSpaceDN/>
              <w:bidi w:val="0"/>
              <w:adjustRightInd w:val="0"/>
              <w:snapToGrid w:val="0"/>
              <w:jc w:val="center"/>
              <w:rPr>
                <w:rFonts w:hint="eastAsia" w:ascii="宋体" w:hAnsi="宋体" w:eastAsia="宋体" w:cs="宋体"/>
                <w:i w:val="0"/>
                <w:iCs w:val="0"/>
                <w:color w:val="auto"/>
                <w:sz w:val="21"/>
                <w:szCs w:val="21"/>
                <w:u w:val="none"/>
              </w:rPr>
            </w:pPr>
          </w:p>
        </w:tc>
        <w:tc>
          <w:tcPr>
            <w:tcW w:w="1700" w:type="dxa"/>
            <w:tcBorders>
              <w:tl2br w:val="nil"/>
              <w:tr2bl w:val="nil"/>
            </w:tcBorders>
            <w:shd w:val="clear" w:color="auto" w:fill="auto"/>
            <w:noWrap/>
            <w:vAlign w:val="center"/>
          </w:tcPr>
          <w:p w14:paraId="3AC225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河流</w:t>
            </w:r>
          </w:p>
        </w:tc>
        <w:tc>
          <w:tcPr>
            <w:tcW w:w="859" w:type="dxa"/>
            <w:tcBorders>
              <w:tl2br w:val="nil"/>
              <w:tr2bl w:val="nil"/>
            </w:tcBorders>
            <w:shd w:val="clear" w:color="auto" w:fill="auto"/>
            <w:noWrap/>
            <w:vAlign w:val="center"/>
          </w:tcPr>
          <w:p w14:paraId="5A5427E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775" w:type="dxa"/>
            <w:tcBorders>
              <w:tl2br w:val="nil"/>
              <w:tr2bl w:val="nil"/>
            </w:tcBorders>
            <w:shd w:val="clear" w:color="auto" w:fill="auto"/>
            <w:noWrap/>
            <w:vAlign w:val="center"/>
          </w:tcPr>
          <w:p w14:paraId="6532D3A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82798.99</w:t>
            </w:r>
          </w:p>
        </w:tc>
        <w:tc>
          <w:tcPr>
            <w:tcW w:w="1590" w:type="dxa"/>
            <w:tcBorders>
              <w:tl2br w:val="nil"/>
              <w:tr2bl w:val="nil"/>
            </w:tcBorders>
            <w:shd w:val="clear" w:color="auto" w:fill="auto"/>
            <w:noWrap/>
            <w:vAlign w:val="center"/>
          </w:tcPr>
          <w:p w14:paraId="32D3D86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8.28</w:t>
            </w:r>
          </w:p>
        </w:tc>
        <w:tc>
          <w:tcPr>
            <w:tcW w:w="1909" w:type="dxa"/>
            <w:tcBorders>
              <w:tl2br w:val="nil"/>
              <w:tr2bl w:val="nil"/>
            </w:tcBorders>
            <w:shd w:val="clear" w:color="auto" w:fill="auto"/>
            <w:noWrap/>
            <w:vAlign w:val="center"/>
          </w:tcPr>
          <w:p w14:paraId="491578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0.16</w:t>
            </w:r>
          </w:p>
        </w:tc>
      </w:tr>
      <w:tr w14:paraId="239699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247" w:type="dxa"/>
            <w:vMerge w:val="continue"/>
            <w:tcBorders>
              <w:tl2br w:val="nil"/>
              <w:tr2bl w:val="nil"/>
            </w:tcBorders>
            <w:shd w:val="clear" w:color="auto" w:fill="auto"/>
            <w:vAlign w:val="center"/>
          </w:tcPr>
          <w:p w14:paraId="218F7CF5">
            <w:pPr>
              <w:keepNext w:val="0"/>
              <w:keepLines w:val="0"/>
              <w:pageBreakBefore w:val="0"/>
              <w:widowControl w:val="0"/>
              <w:kinsoku/>
              <w:wordWrap/>
              <w:overflowPunct/>
              <w:topLinePunct w:val="0"/>
              <w:autoSpaceDE/>
              <w:autoSpaceDN/>
              <w:bidi w:val="0"/>
              <w:adjustRightInd w:val="0"/>
              <w:snapToGrid w:val="0"/>
              <w:jc w:val="center"/>
              <w:rPr>
                <w:rFonts w:hint="eastAsia" w:ascii="宋体" w:hAnsi="宋体" w:eastAsia="宋体" w:cs="宋体"/>
                <w:i w:val="0"/>
                <w:iCs w:val="0"/>
                <w:color w:val="auto"/>
                <w:sz w:val="21"/>
                <w:szCs w:val="21"/>
                <w:u w:val="none"/>
              </w:rPr>
            </w:pPr>
          </w:p>
        </w:tc>
        <w:tc>
          <w:tcPr>
            <w:tcW w:w="1700" w:type="dxa"/>
            <w:tcBorders>
              <w:tl2br w:val="nil"/>
              <w:tr2bl w:val="nil"/>
            </w:tcBorders>
            <w:shd w:val="clear" w:color="auto" w:fill="auto"/>
            <w:noWrap/>
            <w:vAlign w:val="center"/>
          </w:tcPr>
          <w:p w14:paraId="2025CD2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沟渠</w:t>
            </w:r>
          </w:p>
        </w:tc>
        <w:tc>
          <w:tcPr>
            <w:tcW w:w="859" w:type="dxa"/>
            <w:tcBorders>
              <w:tl2br w:val="nil"/>
              <w:tr2bl w:val="nil"/>
            </w:tcBorders>
            <w:shd w:val="clear" w:color="auto" w:fill="auto"/>
            <w:noWrap/>
            <w:vAlign w:val="center"/>
          </w:tcPr>
          <w:p w14:paraId="3A089D2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775" w:type="dxa"/>
            <w:tcBorders>
              <w:tl2br w:val="nil"/>
              <w:tr2bl w:val="nil"/>
            </w:tcBorders>
            <w:shd w:val="clear" w:color="auto" w:fill="auto"/>
            <w:noWrap/>
            <w:vAlign w:val="center"/>
          </w:tcPr>
          <w:p w14:paraId="1107506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124153.47</w:t>
            </w:r>
          </w:p>
        </w:tc>
        <w:tc>
          <w:tcPr>
            <w:tcW w:w="1590" w:type="dxa"/>
            <w:tcBorders>
              <w:tl2br w:val="nil"/>
              <w:tr2bl w:val="nil"/>
            </w:tcBorders>
            <w:shd w:val="clear" w:color="auto" w:fill="auto"/>
            <w:noWrap/>
            <w:vAlign w:val="center"/>
          </w:tcPr>
          <w:p w14:paraId="0F310A5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12.42</w:t>
            </w:r>
          </w:p>
        </w:tc>
        <w:tc>
          <w:tcPr>
            <w:tcW w:w="1909" w:type="dxa"/>
            <w:tcBorders>
              <w:tl2br w:val="nil"/>
              <w:tr2bl w:val="nil"/>
            </w:tcBorders>
            <w:shd w:val="clear" w:color="auto" w:fill="auto"/>
            <w:noWrap/>
            <w:vAlign w:val="center"/>
          </w:tcPr>
          <w:p w14:paraId="75DEF66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0.24</w:t>
            </w:r>
          </w:p>
        </w:tc>
      </w:tr>
      <w:tr w14:paraId="565019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0" w:hRule="atLeast"/>
          <w:jc w:val="center"/>
        </w:trPr>
        <w:tc>
          <w:tcPr>
            <w:tcW w:w="1247" w:type="dxa"/>
            <w:vMerge w:val="continue"/>
            <w:tcBorders>
              <w:tl2br w:val="nil"/>
              <w:tr2bl w:val="nil"/>
            </w:tcBorders>
            <w:shd w:val="clear" w:color="auto" w:fill="auto"/>
            <w:vAlign w:val="center"/>
          </w:tcPr>
          <w:p w14:paraId="02F75567">
            <w:pPr>
              <w:keepNext w:val="0"/>
              <w:keepLines w:val="0"/>
              <w:pageBreakBefore w:val="0"/>
              <w:widowControl w:val="0"/>
              <w:kinsoku/>
              <w:wordWrap/>
              <w:overflowPunct/>
              <w:topLinePunct w:val="0"/>
              <w:autoSpaceDE/>
              <w:autoSpaceDN/>
              <w:bidi w:val="0"/>
              <w:adjustRightInd w:val="0"/>
              <w:snapToGrid w:val="0"/>
              <w:jc w:val="center"/>
              <w:rPr>
                <w:rFonts w:hint="eastAsia" w:ascii="宋体" w:hAnsi="宋体" w:eastAsia="宋体" w:cs="宋体"/>
                <w:i w:val="0"/>
                <w:iCs w:val="0"/>
                <w:color w:val="auto"/>
                <w:sz w:val="21"/>
                <w:szCs w:val="21"/>
                <w:u w:val="none"/>
              </w:rPr>
            </w:pPr>
          </w:p>
        </w:tc>
        <w:tc>
          <w:tcPr>
            <w:tcW w:w="1700" w:type="dxa"/>
            <w:tcBorders>
              <w:tl2br w:val="nil"/>
              <w:tr2bl w:val="nil"/>
            </w:tcBorders>
            <w:shd w:val="clear" w:color="auto" w:fill="auto"/>
            <w:noWrap/>
            <w:vAlign w:val="center"/>
          </w:tcPr>
          <w:p w14:paraId="5CF7547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道路</w:t>
            </w:r>
          </w:p>
        </w:tc>
        <w:tc>
          <w:tcPr>
            <w:tcW w:w="859" w:type="dxa"/>
            <w:tcBorders>
              <w:tl2br w:val="nil"/>
              <w:tr2bl w:val="nil"/>
            </w:tcBorders>
            <w:shd w:val="clear" w:color="auto" w:fill="auto"/>
            <w:noWrap/>
            <w:vAlign w:val="center"/>
          </w:tcPr>
          <w:p w14:paraId="5B112B1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775" w:type="dxa"/>
            <w:tcBorders>
              <w:tl2br w:val="nil"/>
              <w:tr2bl w:val="nil"/>
            </w:tcBorders>
            <w:shd w:val="clear" w:color="auto" w:fill="auto"/>
            <w:noWrap/>
            <w:vAlign w:val="center"/>
          </w:tcPr>
          <w:p w14:paraId="56662C8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363753.58</w:t>
            </w:r>
          </w:p>
        </w:tc>
        <w:tc>
          <w:tcPr>
            <w:tcW w:w="1590" w:type="dxa"/>
            <w:tcBorders>
              <w:tl2br w:val="nil"/>
              <w:tr2bl w:val="nil"/>
            </w:tcBorders>
            <w:shd w:val="clear" w:color="auto" w:fill="auto"/>
            <w:noWrap/>
            <w:vAlign w:val="center"/>
          </w:tcPr>
          <w:p w14:paraId="3711CF1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36.38</w:t>
            </w:r>
          </w:p>
        </w:tc>
        <w:tc>
          <w:tcPr>
            <w:tcW w:w="1909" w:type="dxa"/>
            <w:tcBorders>
              <w:tl2br w:val="nil"/>
              <w:tr2bl w:val="nil"/>
            </w:tcBorders>
            <w:shd w:val="clear" w:color="auto" w:fill="auto"/>
            <w:noWrap/>
            <w:vAlign w:val="center"/>
          </w:tcPr>
          <w:p w14:paraId="6F290E3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0.71</w:t>
            </w:r>
          </w:p>
        </w:tc>
      </w:tr>
      <w:tr w14:paraId="60F019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2947" w:type="dxa"/>
            <w:gridSpan w:val="2"/>
            <w:tcBorders>
              <w:tl2br w:val="nil"/>
              <w:tr2bl w:val="nil"/>
            </w:tcBorders>
            <w:shd w:val="clear" w:color="auto" w:fill="auto"/>
            <w:noWrap/>
            <w:vAlign w:val="center"/>
          </w:tcPr>
          <w:p w14:paraId="1B50A48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合计</w:t>
            </w:r>
          </w:p>
        </w:tc>
        <w:tc>
          <w:tcPr>
            <w:tcW w:w="859" w:type="dxa"/>
            <w:tcBorders>
              <w:tl2br w:val="nil"/>
              <w:tr2bl w:val="nil"/>
            </w:tcBorders>
            <w:shd w:val="clear" w:color="auto" w:fill="auto"/>
            <w:noWrap/>
            <w:vAlign w:val="center"/>
          </w:tcPr>
          <w:p w14:paraId="5F86F7A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785</w:t>
            </w:r>
          </w:p>
        </w:tc>
        <w:tc>
          <w:tcPr>
            <w:tcW w:w="1775" w:type="dxa"/>
            <w:tcBorders>
              <w:tl2br w:val="nil"/>
              <w:tr2bl w:val="nil"/>
            </w:tcBorders>
            <w:shd w:val="clear" w:color="auto" w:fill="auto"/>
            <w:noWrap/>
            <w:vAlign w:val="center"/>
          </w:tcPr>
          <w:p w14:paraId="364C011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51326011.61</w:t>
            </w:r>
          </w:p>
        </w:tc>
        <w:tc>
          <w:tcPr>
            <w:tcW w:w="1590" w:type="dxa"/>
            <w:tcBorders>
              <w:tl2br w:val="nil"/>
              <w:tr2bl w:val="nil"/>
            </w:tcBorders>
            <w:shd w:val="clear" w:color="auto" w:fill="auto"/>
            <w:noWrap/>
            <w:vAlign w:val="center"/>
          </w:tcPr>
          <w:p w14:paraId="036862E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5132.60</w:t>
            </w:r>
          </w:p>
        </w:tc>
        <w:tc>
          <w:tcPr>
            <w:tcW w:w="1909" w:type="dxa"/>
            <w:tcBorders>
              <w:tl2br w:val="nil"/>
              <w:tr2bl w:val="nil"/>
            </w:tcBorders>
            <w:shd w:val="clear" w:color="auto" w:fill="auto"/>
            <w:noWrap/>
            <w:vAlign w:val="center"/>
          </w:tcPr>
          <w:p w14:paraId="51C6FBE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100.00</w:t>
            </w:r>
          </w:p>
        </w:tc>
      </w:tr>
    </w:tbl>
    <w:p w14:paraId="52EC112A">
      <w:pPr>
        <w:adjustRightInd w:val="0"/>
        <w:spacing w:before="120" w:beforeLines="50" w:line="360" w:lineRule="auto"/>
        <w:ind w:firstLine="460" w:firstLineChars="192"/>
        <w:rPr>
          <w:rFonts w:hint="default" w:ascii="Times New Roman" w:hAnsi="Times New Roman" w:eastAsia="宋体" w:cs="Times New Roman"/>
          <w:bCs/>
          <w:color w:val="auto"/>
          <w:sz w:val="24"/>
          <w:szCs w:val="24"/>
          <w:highlight w:val="yellow"/>
          <w:lang w:val="en-US" w:eastAsia="zh-CN"/>
        </w:rPr>
      </w:pPr>
      <w:r>
        <w:rPr>
          <w:rFonts w:hint="default" w:ascii="Times New Roman" w:hAnsi="Times New Roman" w:eastAsia="宋体" w:cs="Times New Roman"/>
          <w:color w:val="auto"/>
          <w:sz w:val="24"/>
          <w:szCs w:val="24"/>
          <w:lang w:val="zh-CN"/>
        </w:rPr>
        <w:t>由</w:t>
      </w:r>
      <w:r>
        <w:rPr>
          <w:rFonts w:hint="eastAsia" w:cs="Times New Roman"/>
          <w:color w:val="auto"/>
          <w:sz w:val="24"/>
          <w:szCs w:val="24"/>
          <w:lang w:val="en-US" w:eastAsia="zh-CN"/>
        </w:rPr>
        <w:t>专题</w:t>
      </w:r>
      <w:r>
        <w:rPr>
          <w:rFonts w:hint="default" w:ascii="Times New Roman" w:hAnsi="Times New Roman" w:eastAsia="宋体" w:cs="Times New Roman"/>
          <w:color w:val="auto"/>
          <w:sz w:val="24"/>
          <w:szCs w:val="24"/>
          <w:lang w:val="zh-CN"/>
        </w:rPr>
        <w:t>表</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lang w:val="zh-CN"/>
        </w:rPr>
        <w:t>-</w:t>
      </w:r>
      <w:r>
        <w:rPr>
          <w:rFonts w:hint="eastAsia" w:cs="Times New Roman"/>
          <w:color w:val="auto"/>
          <w:sz w:val="24"/>
          <w:szCs w:val="24"/>
          <w:lang w:val="en-US" w:eastAsia="zh-CN"/>
        </w:rPr>
        <w:t>7</w:t>
      </w:r>
      <w:r>
        <w:rPr>
          <w:rFonts w:hint="default" w:ascii="Times New Roman" w:hAnsi="Times New Roman" w:eastAsia="宋体" w:cs="Times New Roman"/>
          <w:color w:val="auto"/>
          <w:sz w:val="24"/>
          <w:szCs w:val="24"/>
          <w:lang w:val="zh-CN"/>
        </w:rPr>
        <w:t>可</w:t>
      </w:r>
      <w:r>
        <w:rPr>
          <w:rFonts w:hint="default" w:ascii="Times New Roman" w:hAnsi="Times New Roman" w:eastAsia="宋体" w:cs="Times New Roman"/>
          <w:color w:val="auto"/>
          <w:sz w:val="24"/>
          <w:szCs w:val="24"/>
          <w:lang w:val="en-US" w:eastAsia="zh-CN"/>
        </w:rPr>
        <w:t>知</w:t>
      </w:r>
      <w:r>
        <w:rPr>
          <w:rFonts w:hint="default" w:ascii="Times New Roman" w:hAnsi="Times New Roman" w:eastAsia="宋体" w:cs="Times New Roman"/>
          <w:color w:val="auto"/>
          <w:sz w:val="24"/>
          <w:szCs w:val="24"/>
          <w:lang w:val="zh-CN"/>
        </w:rPr>
        <w:t>，评价区范围内</w:t>
      </w:r>
      <w:r>
        <w:rPr>
          <w:rFonts w:hint="default" w:ascii="Times New Roman" w:hAnsi="Times New Roman" w:eastAsia="宋体" w:cs="Times New Roman"/>
          <w:color w:val="auto"/>
          <w:sz w:val="24"/>
          <w:szCs w:val="24"/>
          <w:lang w:val="en-US" w:eastAsia="zh-CN"/>
        </w:rPr>
        <w:t>草原</w:t>
      </w:r>
      <w:r>
        <w:rPr>
          <w:rFonts w:hint="default" w:ascii="Times New Roman" w:hAnsi="Times New Roman" w:eastAsia="宋体" w:cs="Times New Roman"/>
          <w:color w:val="auto"/>
          <w:sz w:val="24"/>
          <w:szCs w:val="24"/>
        </w:rPr>
        <w:t>植被主要以</w:t>
      </w:r>
      <w:r>
        <w:rPr>
          <w:rFonts w:hint="eastAsia" w:ascii="宋体" w:hAnsi="宋体" w:eastAsia="宋体" w:cs="宋体"/>
          <w:i w:val="0"/>
          <w:iCs w:val="0"/>
          <w:color w:val="auto"/>
          <w:kern w:val="0"/>
          <w:sz w:val="24"/>
          <w:szCs w:val="24"/>
          <w:u w:val="none"/>
          <w:lang w:val="en-US" w:eastAsia="zh-CN" w:bidi="ar"/>
        </w:rPr>
        <w:t>骆驼蓬群落</w:t>
      </w:r>
      <w:r>
        <w:rPr>
          <w:rFonts w:hint="default" w:ascii="Times New Roman" w:hAnsi="Times New Roman" w:eastAsia="宋体" w:cs="Times New Roman"/>
          <w:color w:val="auto"/>
          <w:sz w:val="32"/>
          <w:szCs w:val="32"/>
          <w:lang w:eastAsia="zh-CN"/>
        </w:rPr>
        <w:t>、</w:t>
      </w:r>
      <w:r>
        <w:rPr>
          <w:rFonts w:hint="eastAsia" w:cs="Times New Roman"/>
          <w:color w:val="auto"/>
          <w:sz w:val="24"/>
          <w:szCs w:val="24"/>
          <w:lang w:val="en-US" w:eastAsia="zh-CN"/>
        </w:rPr>
        <w:t>冰草群落</w:t>
      </w:r>
      <w:r>
        <w:rPr>
          <w:rFonts w:hint="default" w:ascii="Times New Roman" w:hAnsi="Times New Roman" w:eastAsia="宋体" w:cs="Times New Roman"/>
          <w:color w:val="auto"/>
          <w:sz w:val="24"/>
          <w:szCs w:val="24"/>
          <w:lang w:val="zh-CN"/>
        </w:rPr>
        <w:t>为主，</w:t>
      </w:r>
      <w:r>
        <w:rPr>
          <w:rFonts w:hint="default" w:ascii="Times New Roman" w:hAnsi="Times New Roman" w:eastAsia="宋体" w:cs="Times New Roman"/>
          <w:color w:val="auto"/>
          <w:sz w:val="24"/>
          <w:szCs w:val="24"/>
          <w:lang w:val="zh-CN" w:eastAsia="zh-CN"/>
        </w:rPr>
        <w:t>骆驼蓬群落</w:t>
      </w:r>
      <w:r>
        <w:rPr>
          <w:rFonts w:hint="default" w:ascii="Times New Roman" w:hAnsi="Times New Roman" w:eastAsia="宋体" w:cs="Times New Roman"/>
          <w:color w:val="auto"/>
          <w:sz w:val="24"/>
          <w:szCs w:val="24"/>
          <w:lang w:val="en-US" w:eastAsia="zh-CN"/>
        </w:rPr>
        <w:t>面积为</w:t>
      </w:r>
      <w:r>
        <w:rPr>
          <w:rFonts w:hint="eastAsia" w:cs="Times New Roman"/>
          <w:color w:val="auto"/>
          <w:sz w:val="24"/>
          <w:szCs w:val="24"/>
          <w:lang w:val="en-US" w:eastAsia="zh-CN"/>
        </w:rPr>
        <w:t>207.57</w:t>
      </w:r>
      <w:r>
        <w:rPr>
          <w:rFonts w:hint="default" w:ascii="Times New Roman" w:hAnsi="Times New Roman" w:eastAsia="宋体" w:cs="Times New Roman"/>
          <w:color w:val="auto"/>
          <w:sz w:val="24"/>
          <w:szCs w:val="24"/>
        </w:rPr>
        <w:t>hm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rPr>
        <w:t>占评价区面积的</w:t>
      </w:r>
      <w:r>
        <w:rPr>
          <w:rFonts w:hint="eastAsia" w:cs="Times New Roman"/>
          <w:color w:val="auto"/>
          <w:sz w:val="24"/>
          <w:szCs w:val="24"/>
          <w:lang w:val="en-US" w:eastAsia="zh-CN"/>
        </w:rPr>
        <w:t>4.04</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zh-CN" w:eastAsia="zh-CN"/>
        </w:rPr>
        <w:t>冰草群落</w:t>
      </w:r>
      <w:r>
        <w:rPr>
          <w:rFonts w:hint="default" w:ascii="Times New Roman" w:hAnsi="Times New Roman" w:eastAsia="宋体" w:cs="Times New Roman"/>
          <w:color w:val="auto"/>
          <w:sz w:val="24"/>
          <w:szCs w:val="24"/>
          <w:lang w:val="en-US" w:eastAsia="zh-CN"/>
        </w:rPr>
        <w:t>面积为</w:t>
      </w:r>
      <w:r>
        <w:rPr>
          <w:rFonts w:hint="eastAsia" w:cs="Times New Roman"/>
          <w:color w:val="auto"/>
          <w:sz w:val="24"/>
          <w:szCs w:val="24"/>
          <w:lang w:val="en-US" w:eastAsia="zh-CN"/>
        </w:rPr>
        <w:t>194.37</w:t>
      </w:r>
      <w:r>
        <w:rPr>
          <w:rFonts w:hint="default" w:ascii="Times New Roman" w:hAnsi="Times New Roman" w:eastAsia="宋体" w:cs="Times New Roman"/>
          <w:color w:val="auto"/>
          <w:sz w:val="24"/>
          <w:szCs w:val="24"/>
        </w:rPr>
        <w:t>hm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rPr>
        <w:t>占评价区面积的</w:t>
      </w:r>
      <w:r>
        <w:rPr>
          <w:rFonts w:hint="eastAsia" w:cs="Times New Roman"/>
          <w:color w:val="auto"/>
          <w:sz w:val="24"/>
          <w:szCs w:val="24"/>
          <w:lang w:val="en-US" w:eastAsia="zh-CN"/>
        </w:rPr>
        <w:t>3.80</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rPr>
        <w:t>森林植被以</w:t>
      </w:r>
      <w:r>
        <w:rPr>
          <w:rFonts w:hint="default" w:ascii="Times New Roman" w:hAnsi="Times New Roman" w:eastAsia="宋体" w:cs="Times New Roman"/>
          <w:color w:val="auto"/>
          <w:sz w:val="24"/>
          <w:szCs w:val="24"/>
          <w:lang w:val="en-US" w:eastAsia="zh-CN"/>
        </w:rPr>
        <w:t>柠条锦鸡儿</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沙棘</w:t>
      </w:r>
      <w:r>
        <w:rPr>
          <w:rFonts w:hint="eastAsia" w:cs="Times New Roman"/>
          <w:color w:val="auto"/>
          <w:sz w:val="24"/>
          <w:szCs w:val="24"/>
          <w:lang w:val="en-US" w:eastAsia="zh-CN"/>
        </w:rPr>
        <w:t>、油松</w:t>
      </w:r>
      <w:r>
        <w:rPr>
          <w:rFonts w:hint="default" w:ascii="Times New Roman" w:hAnsi="Times New Roman" w:eastAsia="宋体" w:cs="Times New Roman"/>
          <w:color w:val="auto"/>
          <w:sz w:val="24"/>
          <w:szCs w:val="24"/>
          <w:lang w:val="en-US" w:eastAsia="zh-CN"/>
        </w:rPr>
        <w:t>为主</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柠条锦鸡儿</w:t>
      </w:r>
      <w:r>
        <w:rPr>
          <w:rFonts w:hint="default" w:ascii="Times New Roman" w:hAnsi="Times New Roman" w:eastAsia="宋体" w:cs="Times New Roman"/>
          <w:color w:val="auto"/>
          <w:sz w:val="24"/>
          <w:szCs w:val="24"/>
        </w:rPr>
        <w:t>面积为</w:t>
      </w:r>
      <w:r>
        <w:rPr>
          <w:rFonts w:hint="eastAsia" w:cs="Times New Roman"/>
          <w:color w:val="auto"/>
          <w:sz w:val="24"/>
          <w:szCs w:val="24"/>
          <w:lang w:val="en-US" w:eastAsia="zh-CN"/>
        </w:rPr>
        <w:t>707.29</w:t>
      </w:r>
      <w:r>
        <w:rPr>
          <w:rFonts w:hint="default" w:ascii="Times New Roman" w:hAnsi="Times New Roman" w:eastAsia="宋体" w:cs="Times New Roman"/>
          <w:color w:val="auto"/>
          <w:sz w:val="24"/>
          <w:szCs w:val="24"/>
        </w:rPr>
        <w:t>hm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，占评价区面积的</w:t>
      </w:r>
      <w:r>
        <w:rPr>
          <w:rFonts w:hint="default" w:ascii="Times New Roman" w:hAnsi="Times New Roman" w:eastAsia="宋体" w:cs="Times New Roman"/>
          <w:color w:val="auto"/>
          <w:sz w:val="24"/>
          <w:szCs w:val="24"/>
          <w:lang w:val="en-US" w:eastAsia="zh-CN"/>
        </w:rPr>
        <w:t>1</w:t>
      </w:r>
      <w:r>
        <w:rPr>
          <w:rFonts w:hint="eastAsia" w:cs="Times New Roman"/>
          <w:color w:val="auto"/>
          <w:sz w:val="24"/>
          <w:szCs w:val="24"/>
          <w:lang w:val="en-US" w:eastAsia="zh-CN"/>
        </w:rPr>
        <w:t>3.78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沙棘</w:t>
      </w:r>
      <w:r>
        <w:rPr>
          <w:rFonts w:hint="default" w:ascii="Times New Roman" w:hAnsi="Times New Roman" w:eastAsia="宋体" w:cs="Times New Roman"/>
          <w:color w:val="auto"/>
          <w:sz w:val="24"/>
          <w:szCs w:val="24"/>
        </w:rPr>
        <w:t>面积为</w:t>
      </w:r>
      <w:r>
        <w:rPr>
          <w:rFonts w:hint="eastAsia" w:cs="Times New Roman"/>
          <w:color w:val="auto"/>
          <w:sz w:val="24"/>
          <w:szCs w:val="24"/>
          <w:lang w:val="en-US" w:eastAsia="zh-CN"/>
        </w:rPr>
        <w:t>770.45</w:t>
      </w:r>
      <w:r>
        <w:rPr>
          <w:rFonts w:hint="default" w:ascii="Times New Roman" w:hAnsi="Times New Roman" w:eastAsia="宋体" w:cs="Times New Roman"/>
          <w:color w:val="auto"/>
          <w:sz w:val="24"/>
          <w:szCs w:val="24"/>
        </w:rPr>
        <w:t>hm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，占评价区面积的</w:t>
      </w:r>
      <w:r>
        <w:rPr>
          <w:rFonts w:hint="eastAsia" w:cs="Times New Roman"/>
          <w:color w:val="auto"/>
          <w:sz w:val="24"/>
          <w:szCs w:val="24"/>
          <w:lang w:val="en-US" w:eastAsia="zh-CN"/>
        </w:rPr>
        <w:t>15.01</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zh-CN"/>
        </w:rPr>
        <w:t>。</w:t>
      </w:r>
      <w:r>
        <w:rPr>
          <w:rFonts w:hint="default" w:ascii="Times New Roman" w:hAnsi="Times New Roman" w:cs="Times New Roman"/>
          <w:color w:val="auto"/>
          <w:sz w:val="24"/>
        </w:rPr>
        <w:t>评价区域内主要的人工植被为农田植被，其中玉米为主要的农田植被，总面积为</w:t>
      </w:r>
      <w:r>
        <w:rPr>
          <w:rFonts w:hint="eastAsia" w:cs="Times New Roman"/>
          <w:color w:val="auto"/>
          <w:sz w:val="24"/>
          <w:lang w:val="en-US" w:eastAsia="zh-CN"/>
        </w:rPr>
        <w:t>1484.28</w:t>
      </w:r>
      <w:r>
        <w:rPr>
          <w:rFonts w:hint="default" w:ascii="Times New Roman" w:hAnsi="Times New Roman" w:cs="Times New Roman"/>
          <w:color w:val="auto"/>
          <w:sz w:val="24"/>
        </w:rPr>
        <w:t>hm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，占评价区总面积的</w:t>
      </w:r>
      <w:r>
        <w:rPr>
          <w:rFonts w:hint="eastAsia" w:cs="Times New Roman"/>
          <w:color w:val="auto"/>
          <w:sz w:val="24"/>
          <w:lang w:val="en-US" w:eastAsia="zh-CN"/>
        </w:rPr>
        <w:t>28.92</w:t>
      </w:r>
      <w:r>
        <w:rPr>
          <w:rFonts w:hint="default" w:ascii="Times New Roman" w:hAnsi="Times New Roman" w:cs="Times New Roman"/>
          <w:color w:val="auto"/>
          <w:sz w:val="24"/>
        </w:rPr>
        <w:t>%，沿输变电线路两侧分布。</w:t>
      </w:r>
    </w:p>
    <w:p w14:paraId="062B53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专题</w:t>
      </w:r>
      <w:r>
        <w:rPr>
          <w:rFonts w:hint="default" w:ascii="Times New Roman" w:hAnsi="Times New Roman" w:cs="Times New Roman"/>
          <w:b/>
          <w:bCs/>
          <w:color w:val="auto"/>
          <w:sz w:val="24"/>
          <w:highlight w:val="none"/>
        </w:rPr>
        <w:t>表</w:t>
      </w:r>
      <w:r>
        <w:rPr>
          <w:rFonts w:hint="eastAsia" w:cs="Times New Roman"/>
          <w:b/>
          <w:bCs/>
          <w:color w:val="auto"/>
          <w:sz w:val="24"/>
          <w:highlight w:val="none"/>
          <w:lang w:val="en-US" w:eastAsia="zh-CN"/>
        </w:rPr>
        <w:t>2</w:t>
      </w:r>
      <w:r>
        <w:rPr>
          <w:rFonts w:hint="default" w:ascii="Times New Roman" w:hAnsi="Times New Roman" w:cs="Times New Roman"/>
          <w:b/>
          <w:bCs/>
          <w:color w:val="auto"/>
          <w:sz w:val="24"/>
          <w:highlight w:val="none"/>
        </w:rPr>
        <w:t>-</w:t>
      </w:r>
      <w:r>
        <w:rPr>
          <w:rFonts w:hint="eastAsia" w:cs="Times New Roman"/>
          <w:b/>
          <w:bCs/>
          <w:color w:val="auto"/>
          <w:sz w:val="24"/>
          <w:highlight w:val="none"/>
          <w:lang w:val="en-US" w:eastAsia="zh-CN"/>
        </w:rPr>
        <w:t>8</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bCs/>
          <w:color w:val="auto"/>
          <w:sz w:val="24"/>
          <w:highlight w:val="none"/>
          <w:lang w:val="en-US" w:eastAsia="zh-CN"/>
        </w:rPr>
        <w:t xml:space="preserve"> </w:t>
      </w:r>
      <w:r>
        <w:rPr>
          <w:rFonts w:hint="default" w:ascii="Times New Roman" w:hAnsi="Times New Roman" w:cs="Times New Roman"/>
          <w:b/>
          <w:bCs/>
          <w:color w:val="auto"/>
          <w:sz w:val="24"/>
          <w:highlight w:val="none"/>
        </w:rPr>
        <w:t>评价区主要分布植物种类</w:t>
      </w:r>
    </w:p>
    <w:tbl>
      <w:tblPr>
        <w:tblStyle w:val="83"/>
        <w:tblW w:w="901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320"/>
        <w:gridCol w:w="1417"/>
        <w:gridCol w:w="1400"/>
        <w:gridCol w:w="4877"/>
      </w:tblGrid>
      <w:tr w14:paraId="7B5A49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tcBorders>
              <w:tl2br w:val="nil"/>
              <w:tr2bl w:val="nil"/>
            </w:tcBorders>
            <w:vAlign w:val="center"/>
          </w:tcPr>
          <w:p w14:paraId="33826CA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snapToGrid w:val="0"/>
                <w:color w:val="auto"/>
                <w:kern w:val="0"/>
                <w:sz w:val="21"/>
                <w:szCs w:val="21"/>
                <w:lang w:val="en-US" w:eastAsia="en-US" w:bidi="ar-SA"/>
              </w:rPr>
              <w:t>科</w:t>
            </w:r>
          </w:p>
        </w:tc>
        <w:tc>
          <w:tcPr>
            <w:tcW w:w="1417" w:type="dxa"/>
            <w:tcBorders>
              <w:tl2br w:val="nil"/>
              <w:tr2bl w:val="nil"/>
            </w:tcBorders>
            <w:vAlign w:val="center"/>
          </w:tcPr>
          <w:p w14:paraId="1CDF9AA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snapToGrid w:val="0"/>
                <w:color w:val="auto"/>
                <w:kern w:val="0"/>
                <w:sz w:val="21"/>
                <w:szCs w:val="21"/>
                <w:lang w:val="en-US" w:eastAsia="en-US" w:bidi="ar-SA"/>
              </w:rPr>
              <w:t>属</w:t>
            </w:r>
          </w:p>
        </w:tc>
        <w:tc>
          <w:tcPr>
            <w:tcW w:w="1400" w:type="dxa"/>
            <w:tcBorders>
              <w:tl2br w:val="nil"/>
              <w:tr2bl w:val="nil"/>
            </w:tcBorders>
            <w:vAlign w:val="center"/>
          </w:tcPr>
          <w:p w14:paraId="3324C9C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snapToGrid w:val="0"/>
                <w:color w:val="auto"/>
                <w:spacing w:val="7"/>
                <w:kern w:val="0"/>
                <w:sz w:val="21"/>
                <w:szCs w:val="21"/>
                <w:lang w:val="en-US" w:eastAsia="en-US" w:bidi="ar-SA"/>
              </w:rPr>
              <w:t>植物名称</w:t>
            </w:r>
          </w:p>
        </w:tc>
        <w:tc>
          <w:tcPr>
            <w:tcW w:w="4877" w:type="dxa"/>
            <w:tcBorders>
              <w:tl2br w:val="nil"/>
              <w:tr2bl w:val="nil"/>
            </w:tcBorders>
            <w:vAlign w:val="center"/>
          </w:tcPr>
          <w:p w14:paraId="317BAC5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snapToGrid w:val="0"/>
                <w:color w:val="auto"/>
                <w:spacing w:val="6"/>
                <w:kern w:val="0"/>
                <w:sz w:val="21"/>
                <w:szCs w:val="21"/>
                <w:lang w:val="en-US" w:eastAsia="en-US" w:bidi="ar-SA"/>
              </w:rPr>
              <w:t>拉丁学名</w:t>
            </w:r>
          </w:p>
        </w:tc>
      </w:tr>
      <w:tr w14:paraId="07658F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tcBorders>
              <w:tl2br w:val="nil"/>
              <w:tr2bl w:val="nil"/>
            </w:tcBorders>
            <w:vAlign w:val="center"/>
          </w:tcPr>
          <w:p w14:paraId="4119695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松科</w:t>
            </w:r>
          </w:p>
        </w:tc>
        <w:tc>
          <w:tcPr>
            <w:tcW w:w="1417" w:type="dxa"/>
            <w:tcBorders>
              <w:tl2br w:val="nil"/>
              <w:tr2bl w:val="nil"/>
            </w:tcBorders>
            <w:shd w:val="clear" w:color="auto" w:fill="auto"/>
            <w:vAlign w:val="center"/>
          </w:tcPr>
          <w:p w14:paraId="6A29C34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松属</w:t>
            </w:r>
          </w:p>
        </w:tc>
        <w:tc>
          <w:tcPr>
            <w:tcW w:w="1400" w:type="dxa"/>
            <w:tcBorders>
              <w:tl2br w:val="nil"/>
              <w:tr2bl w:val="nil"/>
            </w:tcBorders>
            <w:shd w:val="clear" w:color="auto" w:fill="auto"/>
            <w:vAlign w:val="center"/>
          </w:tcPr>
          <w:p w14:paraId="0E826B0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zh-CN" w:bidi="ar-SA"/>
              </w:rPr>
              <w:t>油</w:t>
            </w:r>
            <w:r>
              <w:rPr>
                <w:rFonts w:hint="default" w:ascii="Times New Roman" w:hAnsi="Times New Roman" w:eastAsia="宋体" w:cs="Times New Roman"/>
                <w:snapToGrid w:val="0"/>
                <w:color w:val="auto"/>
                <w:spacing w:val="6"/>
                <w:kern w:val="0"/>
                <w:sz w:val="21"/>
                <w:szCs w:val="21"/>
                <w:lang w:val="en-US" w:eastAsia="en-US" w:bidi="ar-SA"/>
              </w:rPr>
              <w:t>松</w:t>
            </w:r>
          </w:p>
        </w:tc>
        <w:tc>
          <w:tcPr>
            <w:tcW w:w="4877" w:type="dxa"/>
            <w:tcBorders>
              <w:tl2br w:val="nil"/>
              <w:tr2bl w:val="nil"/>
            </w:tcBorders>
            <w:shd w:val="clear" w:color="auto" w:fill="auto"/>
            <w:vAlign w:val="center"/>
          </w:tcPr>
          <w:p w14:paraId="585BD1C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b w:val="0"/>
                <w:bCs w:val="0"/>
                <w:i/>
                <w:iCs/>
                <w:caps w:val="0"/>
                <w:color w:val="auto"/>
                <w:spacing w:val="0"/>
                <w:kern w:val="0"/>
                <w:sz w:val="21"/>
                <w:szCs w:val="21"/>
                <w:u w:val="none"/>
                <w:shd w:val="clear" w:fill="FFFFFF"/>
                <w:lang w:val="en-US" w:eastAsia="zh-CN" w:bidi="ar"/>
              </w:rPr>
              <w:t>Pinus tabuliformis Carrière</w:t>
            </w:r>
          </w:p>
        </w:tc>
      </w:tr>
      <w:tr w14:paraId="6AAD6C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restart"/>
            <w:tcBorders>
              <w:tl2br w:val="nil"/>
              <w:tr2bl w:val="nil"/>
            </w:tcBorders>
            <w:vAlign w:val="center"/>
          </w:tcPr>
          <w:p w14:paraId="2B49A5B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蔷薇科</w:t>
            </w:r>
          </w:p>
        </w:tc>
        <w:tc>
          <w:tcPr>
            <w:tcW w:w="1417" w:type="dxa"/>
            <w:tcBorders>
              <w:tl2br w:val="nil"/>
              <w:tr2bl w:val="nil"/>
            </w:tcBorders>
            <w:vAlign w:val="center"/>
          </w:tcPr>
          <w:p w14:paraId="156A288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杏属</w:t>
            </w:r>
          </w:p>
        </w:tc>
        <w:tc>
          <w:tcPr>
            <w:tcW w:w="1400" w:type="dxa"/>
            <w:tcBorders>
              <w:tl2br w:val="nil"/>
              <w:tr2bl w:val="nil"/>
            </w:tcBorders>
            <w:vAlign w:val="center"/>
          </w:tcPr>
          <w:p w14:paraId="2E96648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5"/>
                <w:kern w:val="0"/>
                <w:sz w:val="21"/>
                <w:szCs w:val="21"/>
                <w:lang w:val="en-US" w:eastAsia="en-US" w:bidi="ar-SA"/>
              </w:rPr>
              <w:t>山杏</w:t>
            </w:r>
          </w:p>
        </w:tc>
        <w:tc>
          <w:tcPr>
            <w:tcW w:w="4877" w:type="dxa"/>
            <w:tcBorders>
              <w:tl2br w:val="nil"/>
              <w:tr2bl w:val="nil"/>
            </w:tcBorders>
            <w:vAlign w:val="center"/>
          </w:tcPr>
          <w:p w14:paraId="3B90AFD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t>Armeniaca vulgaris Lam.</w:t>
            </w:r>
          </w:p>
        </w:tc>
      </w:tr>
      <w:tr w14:paraId="1B2A90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02F2154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43E3038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李属</w:t>
            </w:r>
          </w:p>
        </w:tc>
        <w:tc>
          <w:tcPr>
            <w:tcW w:w="1400" w:type="dxa"/>
            <w:tcBorders>
              <w:tl2br w:val="nil"/>
              <w:tr2bl w:val="nil"/>
            </w:tcBorders>
            <w:vAlign w:val="center"/>
          </w:tcPr>
          <w:p w14:paraId="3235E33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5"/>
                <w:kern w:val="0"/>
                <w:sz w:val="21"/>
                <w:szCs w:val="21"/>
                <w:lang w:val="en-US" w:eastAsia="en-US" w:bidi="ar-SA"/>
              </w:rPr>
              <w:t>山桃</w:t>
            </w:r>
          </w:p>
        </w:tc>
        <w:tc>
          <w:tcPr>
            <w:tcW w:w="4877" w:type="dxa"/>
            <w:tcBorders>
              <w:tl2br w:val="nil"/>
              <w:tr2bl w:val="nil"/>
            </w:tcBorders>
            <w:vAlign w:val="center"/>
          </w:tcPr>
          <w:p w14:paraId="18AF639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t>Amygdalus davidiana (Carr.) C. de Vos ex Henry</w:t>
            </w:r>
          </w:p>
        </w:tc>
      </w:tr>
      <w:tr w14:paraId="297251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restart"/>
            <w:tcBorders>
              <w:tl2br w:val="nil"/>
              <w:tr2bl w:val="nil"/>
            </w:tcBorders>
            <w:vAlign w:val="center"/>
          </w:tcPr>
          <w:p w14:paraId="23F2476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禾本科</w:t>
            </w:r>
          </w:p>
        </w:tc>
        <w:tc>
          <w:tcPr>
            <w:tcW w:w="1417" w:type="dxa"/>
            <w:tcBorders>
              <w:tl2br w:val="nil"/>
              <w:tr2bl w:val="nil"/>
            </w:tcBorders>
            <w:shd w:val="clear" w:color="auto" w:fill="auto"/>
            <w:vAlign w:val="center"/>
          </w:tcPr>
          <w:p w14:paraId="0F496CF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en-US" w:bidi="ar-SA"/>
              </w:rPr>
              <w:fldChar w:fldCharType="begin"/>
            </w:r>
            <w:r>
              <w:rPr>
                <w:rFonts w:hint="default" w:ascii="Times New Roman" w:hAnsi="Times New Roman" w:eastAsia="宋体" w:cs="Times New Roman"/>
                <w:snapToGrid w:val="0"/>
                <w:color w:val="auto"/>
                <w:kern w:val="0"/>
                <w:sz w:val="21"/>
                <w:szCs w:val="21"/>
                <w:lang w:val="en-US" w:eastAsia="en-US" w:bidi="ar-SA"/>
              </w:rPr>
              <w:instrText xml:space="preserve"> HYPERLINK "https://baike.so.com/doc/8158516-8475503.html" \t "https://baike.so.com/doc/_blank" </w:instrText>
            </w:r>
            <w:r>
              <w:rPr>
                <w:rFonts w:hint="default" w:ascii="Times New Roman" w:hAnsi="Times New Roman" w:eastAsia="宋体" w:cs="Times New Roman"/>
                <w:snapToGrid w:val="0"/>
                <w:color w:val="auto"/>
                <w:kern w:val="0"/>
                <w:sz w:val="21"/>
                <w:szCs w:val="21"/>
                <w:lang w:val="en-US" w:eastAsia="en-US" w:bidi="ar-SA"/>
              </w:rPr>
              <w:fldChar w:fldCharType="separate"/>
            </w:r>
            <w:r>
              <w:rPr>
                <w:rFonts w:hint="default" w:ascii="Times New Roman" w:hAnsi="Times New Roman" w:eastAsia="宋体" w:cs="Times New Roman"/>
                <w:snapToGrid w:val="0"/>
                <w:color w:val="auto"/>
                <w:kern w:val="0"/>
                <w:sz w:val="21"/>
                <w:szCs w:val="21"/>
                <w:lang w:val="en-US" w:eastAsia="en-US" w:bidi="ar-SA"/>
              </w:rPr>
              <w:t>孔颖草属</w:t>
            </w:r>
            <w:r>
              <w:rPr>
                <w:rFonts w:hint="default" w:ascii="Times New Roman" w:hAnsi="Times New Roman" w:eastAsia="宋体" w:cs="Times New Roman"/>
                <w:snapToGrid w:val="0"/>
                <w:color w:val="auto"/>
                <w:kern w:val="0"/>
                <w:sz w:val="21"/>
                <w:szCs w:val="21"/>
                <w:lang w:val="en-US" w:eastAsia="en-US" w:bidi="ar-SA"/>
              </w:rPr>
              <w:fldChar w:fldCharType="end"/>
            </w:r>
          </w:p>
        </w:tc>
        <w:tc>
          <w:tcPr>
            <w:tcW w:w="1400" w:type="dxa"/>
            <w:tcBorders>
              <w:tl2br w:val="nil"/>
              <w:tr2bl w:val="nil"/>
            </w:tcBorders>
            <w:shd w:val="clear" w:color="auto" w:fill="auto"/>
            <w:vAlign w:val="center"/>
          </w:tcPr>
          <w:p w14:paraId="5762148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en-US" w:bidi="ar-SA"/>
              </w:rPr>
              <w:t>白羊草</w:t>
            </w:r>
          </w:p>
        </w:tc>
        <w:tc>
          <w:tcPr>
            <w:tcW w:w="4877" w:type="dxa"/>
            <w:tcBorders>
              <w:tl2br w:val="nil"/>
              <w:tr2bl w:val="nil"/>
            </w:tcBorders>
            <w:shd w:val="clear" w:color="auto" w:fill="auto"/>
            <w:vAlign w:val="center"/>
          </w:tcPr>
          <w:p w14:paraId="4A0B078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iCs/>
                <w:color w:val="auto"/>
                <w:sz w:val="21"/>
                <w:szCs w:val="21"/>
                <w:highlight w:val="none"/>
                <w:lang w:val="en-US" w:eastAsia="zh-CN" w:bidi="ar-SA"/>
              </w:rPr>
              <w:t>Bothriochloa ischaemum</w:t>
            </w:r>
            <w:r>
              <w:rPr>
                <w:rFonts w:hint="default" w:ascii="Times New Roman" w:hAnsi="Times New Roman" w:eastAsia="宋体" w:cs="Times New Roman"/>
                <w:snapToGrid w:val="0"/>
                <w:color w:val="auto"/>
                <w:spacing w:val="15"/>
                <w:kern w:val="0"/>
                <w:sz w:val="21"/>
                <w:szCs w:val="21"/>
                <w:lang w:eastAsia="en-US"/>
              </w:rPr>
              <w:t>.</w:t>
            </w:r>
          </w:p>
        </w:tc>
      </w:tr>
      <w:tr w14:paraId="33DF1B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0AEB231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3ABBDF7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en-US" w:bidi="ar-SA"/>
              </w:rPr>
              <w:t>京羽</w:t>
            </w:r>
            <w:r>
              <w:rPr>
                <w:rFonts w:hint="default" w:ascii="Times New Roman" w:hAnsi="Times New Roman" w:eastAsia="宋体" w:cs="Times New Roman"/>
                <w:snapToGrid w:val="0"/>
                <w:color w:val="auto"/>
                <w:kern w:val="0"/>
                <w:sz w:val="21"/>
                <w:szCs w:val="21"/>
                <w:lang w:val="en-US" w:eastAsia="zh-CN" w:bidi="ar-SA"/>
              </w:rPr>
              <w:t>茅</w:t>
            </w:r>
          </w:p>
        </w:tc>
        <w:tc>
          <w:tcPr>
            <w:tcW w:w="1400" w:type="dxa"/>
            <w:tcBorders>
              <w:tl2br w:val="nil"/>
              <w:tr2bl w:val="nil"/>
            </w:tcBorders>
            <w:vAlign w:val="center"/>
          </w:tcPr>
          <w:p w14:paraId="419C16B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sz w:val="21"/>
                <w:szCs w:val="21"/>
                <w:highlight w:val="none"/>
                <w:lang w:val="en-US" w:eastAsia="zh-CN" w:bidi="ar-SA"/>
              </w:rPr>
              <w:t>京芒草</w:t>
            </w:r>
          </w:p>
        </w:tc>
        <w:tc>
          <w:tcPr>
            <w:tcW w:w="4877" w:type="dxa"/>
            <w:tcBorders>
              <w:tl2br w:val="nil"/>
              <w:tr2bl w:val="nil"/>
            </w:tcBorders>
            <w:vAlign w:val="center"/>
          </w:tcPr>
          <w:p w14:paraId="786C69C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Achnatherum pekinense (Hance) Ohwi</w:t>
            </w:r>
          </w:p>
        </w:tc>
      </w:tr>
      <w:tr w14:paraId="4D23F2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7F243B2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5AC6F04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en-US" w:bidi="ar-SA"/>
              </w:rPr>
              <w:t>拂子茅属</w:t>
            </w:r>
          </w:p>
        </w:tc>
        <w:tc>
          <w:tcPr>
            <w:tcW w:w="1400" w:type="dxa"/>
            <w:tcBorders>
              <w:tl2br w:val="nil"/>
              <w:tr2bl w:val="nil"/>
            </w:tcBorders>
            <w:vAlign w:val="center"/>
          </w:tcPr>
          <w:p w14:paraId="1CAF4FD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b w:val="0"/>
                <w:i w:val="0"/>
                <w:iCs w:val="0"/>
                <w:caps w:val="0"/>
                <w:color w:val="auto"/>
                <w:spacing w:val="0"/>
                <w:kern w:val="0"/>
                <w:sz w:val="21"/>
                <w:szCs w:val="21"/>
                <w:u w:val="none"/>
                <w:shd w:val="clear" w:fill="FFFFFF"/>
                <w:lang w:val="en-US" w:eastAsia="zh-CN" w:bidi="ar"/>
              </w:rPr>
            </w:pPr>
            <w:r>
              <w:rPr>
                <w:rFonts w:hint="default" w:ascii="Times New Roman" w:hAnsi="Times New Roman" w:eastAsia="宋体" w:cs="Times New Roman"/>
                <w:i w:val="0"/>
                <w:iCs w:val="0"/>
                <w:color w:val="auto"/>
                <w:sz w:val="21"/>
                <w:szCs w:val="21"/>
                <w:highlight w:val="none"/>
                <w:vertAlign w:val="baseline"/>
                <w:lang w:val="en-US" w:eastAsia="zh-CN"/>
              </w:rPr>
              <w:t>拂子茅</w:t>
            </w:r>
          </w:p>
        </w:tc>
        <w:tc>
          <w:tcPr>
            <w:tcW w:w="4877" w:type="dxa"/>
            <w:tcBorders>
              <w:tl2br w:val="nil"/>
              <w:tr2bl w:val="nil"/>
            </w:tcBorders>
            <w:vAlign w:val="center"/>
          </w:tcPr>
          <w:p w14:paraId="78AB729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pPr>
            <w:r>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t>Calamagrostis epigeios(L.) Roth</w:t>
            </w:r>
          </w:p>
        </w:tc>
      </w:tr>
      <w:tr w14:paraId="5DCA0C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60BA242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1F3A187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sz w:val="21"/>
                <w:szCs w:val="21"/>
                <w:highlight w:val="none"/>
                <w:lang w:val="en-US" w:eastAsia="zh-CN"/>
              </w:rPr>
              <w:t>狗尾草</w:t>
            </w:r>
            <w:r>
              <w:rPr>
                <w:rFonts w:hint="default" w:ascii="Times New Roman" w:hAnsi="Times New Roman" w:eastAsia="宋体" w:cs="Times New Roman"/>
                <w:snapToGrid w:val="0"/>
                <w:color w:val="auto"/>
                <w:kern w:val="0"/>
                <w:sz w:val="21"/>
                <w:szCs w:val="21"/>
                <w:lang w:val="en-US" w:eastAsia="en-US" w:bidi="ar-SA"/>
              </w:rPr>
              <w:t>属</w:t>
            </w:r>
          </w:p>
        </w:tc>
        <w:tc>
          <w:tcPr>
            <w:tcW w:w="1400" w:type="dxa"/>
            <w:tcBorders>
              <w:tl2br w:val="nil"/>
              <w:tr2bl w:val="nil"/>
            </w:tcBorders>
            <w:vAlign w:val="center"/>
          </w:tcPr>
          <w:p w14:paraId="78DFF77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b w:val="0"/>
                <w:i w:val="0"/>
                <w:iCs w:val="0"/>
                <w:caps w:val="0"/>
                <w:color w:val="auto"/>
                <w:spacing w:val="0"/>
                <w:kern w:val="0"/>
                <w:sz w:val="21"/>
                <w:szCs w:val="21"/>
                <w:u w:val="none"/>
                <w:shd w:val="clear" w:fill="FFFFFF"/>
                <w:lang w:val="en-US" w:eastAsia="zh-CN" w:bidi="ar"/>
              </w:rPr>
            </w:pPr>
            <w:r>
              <w:rPr>
                <w:rFonts w:hint="default" w:ascii="Times New Roman" w:hAnsi="Times New Roman" w:eastAsia="宋体" w:cs="Times New Roman"/>
                <w:i w:val="0"/>
                <w:iCs w:val="0"/>
                <w:color w:val="auto"/>
                <w:sz w:val="21"/>
                <w:szCs w:val="21"/>
                <w:highlight w:val="none"/>
                <w:lang w:val="en-US" w:eastAsia="zh-CN"/>
              </w:rPr>
              <w:t>狗尾草</w:t>
            </w:r>
          </w:p>
        </w:tc>
        <w:tc>
          <w:tcPr>
            <w:tcW w:w="4877" w:type="dxa"/>
            <w:tcBorders>
              <w:tl2br w:val="nil"/>
              <w:tr2bl w:val="nil"/>
            </w:tcBorders>
            <w:vAlign w:val="center"/>
          </w:tcPr>
          <w:p w14:paraId="7BDF980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pPr>
            <w:r>
              <w:rPr>
                <w:rFonts w:hint="default" w:ascii="Times New Roman" w:hAnsi="Times New Roman" w:eastAsia="宋体" w:cs="Times New Roman"/>
                <w:i/>
                <w:iCs/>
                <w:caps w:val="0"/>
                <w:color w:val="auto"/>
                <w:spacing w:val="0"/>
                <w:sz w:val="21"/>
                <w:szCs w:val="21"/>
                <w:shd w:val="clear" w:fill="FFFFFF"/>
                <w:lang w:val="en-US" w:eastAsia="zh-CN"/>
              </w:rPr>
              <w:t>Setaria viridis (Linn.) Beauv.</w:t>
            </w:r>
          </w:p>
        </w:tc>
      </w:tr>
      <w:tr w14:paraId="39CB2A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5630634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4706E48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en-US" w:bidi="ar-SA"/>
              </w:rPr>
              <w:t>羊茅属</w:t>
            </w:r>
          </w:p>
        </w:tc>
        <w:tc>
          <w:tcPr>
            <w:tcW w:w="1400" w:type="dxa"/>
            <w:tcBorders>
              <w:tl2br w:val="nil"/>
              <w:tr2bl w:val="nil"/>
            </w:tcBorders>
            <w:vAlign w:val="center"/>
          </w:tcPr>
          <w:p w14:paraId="799A7B0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b w:val="0"/>
                <w:i w:val="0"/>
                <w:iCs w:val="0"/>
                <w:caps w:val="0"/>
                <w:color w:val="auto"/>
                <w:spacing w:val="0"/>
                <w:kern w:val="0"/>
                <w:sz w:val="21"/>
                <w:szCs w:val="21"/>
                <w:u w:val="none"/>
                <w:shd w:val="clear" w:fill="FFFFFF"/>
                <w:lang w:val="en-US" w:eastAsia="zh-CN" w:bidi="ar"/>
              </w:rPr>
              <w:t>长芒草</w:t>
            </w:r>
          </w:p>
        </w:tc>
        <w:tc>
          <w:tcPr>
            <w:tcW w:w="4877" w:type="dxa"/>
            <w:tcBorders>
              <w:tl2br w:val="nil"/>
              <w:tr2bl w:val="nil"/>
            </w:tcBorders>
            <w:vAlign w:val="center"/>
          </w:tcPr>
          <w:p w14:paraId="6374A23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t>Stipa bungeana Trin.</w:t>
            </w:r>
          </w:p>
        </w:tc>
      </w:tr>
      <w:tr w14:paraId="3E123F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3CC4FD8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4947550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sz w:val="21"/>
                <w:szCs w:val="21"/>
                <w:highlight w:val="none"/>
                <w:vertAlign w:val="baseline"/>
                <w:lang w:val="en-US" w:eastAsia="zh-CN"/>
              </w:rPr>
              <w:t>芨芨草</w:t>
            </w:r>
            <w:r>
              <w:rPr>
                <w:rFonts w:hint="default" w:ascii="Times New Roman" w:hAnsi="Times New Roman" w:eastAsia="宋体" w:cs="Times New Roman"/>
                <w:snapToGrid w:val="0"/>
                <w:color w:val="auto"/>
                <w:kern w:val="0"/>
                <w:sz w:val="21"/>
                <w:szCs w:val="21"/>
                <w:lang w:val="en-US" w:eastAsia="en-US" w:bidi="ar-SA"/>
              </w:rPr>
              <w:t>属</w:t>
            </w:r>
          </w:p>
        </w:tc>
        <w:tc>
          <w:tcPr>
            <w:tcW w:w="1400" w:type="dxa"/>
            <w:tcBorders>
              <w:tl2br w:val="nil"/>
              <w:tr2bl w:val="nil"/>
            </w:tcBorders>
            <w:vAlign w:val="center"/>
          </w:tcPr>
          <w:p w14:paraId="20E7A5A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sz w:val="21"/>
                <w:szCs w:val="21"/>
                <w:highlight w:val="none"/>
                <w:vertAlign w:val="baseline"/>
                <w:lang w:val="en-US" w:eastAsia="zh-CN"/>
              </w:rPr>
              <w:t>芨芨草</w:t>
            </w:r>
          </w:p>
        </w:tc>
        <w:tc>
          <w:tcPr>
            <w:tcW w:w="4877" w:type="dxa"/>
            <w:tcBorders>
              <w:tl2br w:val="nil"/>
              <w:tr2bl w:val="nil"/>
            </w:tcBorders>
            <w:vAlign w:val="center"/>
          </w:tcPr>
          <w:p w14:paraId="1B48A9E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val="en-US" w:eastAsia="en-US"/>
              </w:rPr>
              <w:t>Neotrinia splendens (Trin.) M. Nobis, P. D. Gudkova &amp; A. Nowak</w:t>
            </w:r>
          </w:p>
        </w:tc>
      </w:tr>
      <w:tr w14:paraId="4D7EE6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tcBorders>
              <w:tl2br w:val="nil"/>
              <w:tr2bl w:val="nil"/>
            </w:tcBorders>
            <w:vAlign w:val="center"/>
          </w:tcPr>
          <w:p w14:paraId="4C37657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4"/>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fldChar w:fldCharType="begin"/>
            </w:r>
            <w:r>
              <w:rPr>
                <w:rFonts w:hint="default" w:ascii="Times New Roman" w:hAnsi="Times New Roman" w:eastAsia="宋体" w:cs="Times New Roman"/>
                <w:snapToGrid w:val="0"/>
                <w:color w:val="auto"/>
                <w:spacing w:val="4"/>
                <w:kern w:val="0"/>
                <w:sz w:val="21"/>
                <w:szCs w:val="21"/>
                <w:lang w:val="en-US" w:eastAsia="en-US" w:bidi="ar-SA"/>
              </w:rPr>
              <w:instrText xml:space="preserve"> HYPERLINK "https://baike.so.com/doc/5538918-5755566.html" \t "https://baike.so.com/doc/_blank" </w:instrText>
            </w:r>
            <w:r>
              <w:rPr>
                <w:rFonts w:hint="default" w:ascii="Times New Roman" w:hAnsi="Times New Roman" w:eastAsia="宋体" w:cs="Times New Roman"/>
                <w:snapToGrid w:val="0"/>
                <w:color w:val="auto"/>
                <w:spacing w:val="4"/>
                <w:kern w:val="0"/>
                <w:sz w:val="21"/>
                <w:szCs w:val="21"/>
                <w:lang w:val="en-US" w:eastAsia="en-US" w:bidi="ar-SA"/>
              </w:rPr>
              <w:fldChar w:fldCharType="separate"/>
            </w:r>
            <w:r>
              <w:rPr>
                <w:rFonts w:hint="default" w:ascii="Times New Roman" w:hAnsi="Times New Roman" w:eastAsia="宋体" w:cs="Times New Roman"/>
                <w:snapToGrid w:val="0"/>
                <w:color w:val="auto"/>
                <w:spacing w:val="4"/>
                <w:kern w:val="0"/>
                <w:sz w:val="21"/>
                <w:szCs w:val="21"/>
                <w:lang w:val="en-US" w:eastAsia="en-US" w:bidi="ar-SA"/>
              </w:rPr>
              <w:t>唇形科</w:t>
            </w:r>
            <w:r>
              <w:rPr>
                <w:rFonts w:hint="default" w:ascii="Times New Roman" w:hAnsi="Times New Roman" w:eastAsia="宋体" w:cs="Times New Roman"/>
                <w:snapToGrid w:val="0"/>
                <w:color w:val="auto"/>
                <w:spacing w:val="4"/>
                <w:kern w:val="0"/>
                <w:sz w:val="21"/>
                <w:szCs w:val="21"/>
                <w:lang w:val="en-US" w:eastAsia="en-US" w:bidi="ar-SA"/>
              </w:rPr>
              <w:fldChar w:fldCharType="end"/>
            </w:r>
          </w:p>
        </w:tc>
        <w:tc>
          <w:tcPr>
            <w:tcW w:w="1417" w:type="dxa"/>
            <w:tcBorders>
              <w:tl2br w:val="nil"/>
              <w:tr2bl w:val="nil"/>
            </w:tcBorders>
            <w:vAlign w:val="center"/>
          </w:tcPr>
          <w:p w14:paraId="6EEC098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6"/>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fldChar w:fldCharType="begin"/>
            </w:r>
            <w:r>
              <w:rPr>
                <w:rFonts w:hint="default" w:ascii="Times New Roman" w:hAnsi="Times New Roman" w:eastAsia="宋体" w:cs="Times New Roman"/>
                <w:snapToGrid w:val="0"/>
                <w:color w:val="auto"/>
                <w:spacing w:val="6"/>
                <w:kern w:val="0"/>
                <w:sz w:val="21"/>
                <w:szCs w:val="21"/>
                <w:lang w:val="en-US" w:eastAsia="en-US" w:bidi="ar-SA"/>
              </w:rPr>
              <w:instrText xml:space="preserve"> HYPERLINK "https://baike.so.com/doc/8447956-8767920.html" \t "https://baike.so.com/doc/_blank" </w:instrText>
            </w:r>
            <w:r>
              <w:rPr>
                <w:rFonts w:hint="default" w:ascii="Times New Roman" w:hAnsi="Times New Roman" w:eastAsia="宋体" w:cs="Times New Roman"/>
                <w:snapToGrid w:val="0"/>
                <w:color w:val="auto"/>
                <w:spacing w:val="6"/>
                <w:kern w:val="0"/>
                <w:sz w:val="21"/>
                <w:szCs w:val="21"/>
                <w:lang w:val="en-US" w:eastAsia="en-US" w:bidi="ar-SA"/>
              </w:rPr>
              <w:fldChar w:fldCharType="separate"/>
            </w:r>
            <w:r>
              <w:rPr>
                <w:rFonts w:hint="default" w:ascii="Times New Roman" w:hAnsi="Times New Roman" w:eastAsia="宋体" w:cs="Times New Roman"/>
                <w:snapToGrid w:val="0"/>
                <w:color w:val="auto"/>
                <w:spacing w:val="6"/>
                <w:kern w:val="0"/>
                <w:sz w:val="21"/>
                <w:szCs w:val="21"/>
                <w:lang w:val="en-US" w:eastAsia="en-US" w:bidi="ar-SA"/>
              </w:rPr>
              <w:t>百里香属</w:t>
            </w:r>
            <w:r>
              <w:rPr>
                <w:rFonts w:hint="default" w:ascii="Times New Roman" w:hAnsi="Times New Roman" w:eastAsia="宋体" w:cs="Times New Roman"/>
                <w:snapToGrid w:val="0"/>
                <w:color w:val="auto"/>
                <w:spacing w:val="6"/>
                <w:kern w:val="0"/>
                <w:sz w:val="21"/>
                <w:szCs w:val="21"/>
                <w:lang w:val="en-US" w:eastAsia="en-US" w:bidi="ar-SA"/>
              </w:rPr>
              <w:fldChar w:fldCharType="end"/>
            </w:r>
          </w:p>
        </w:tc>
        <w:tc>
          <w:tcPr>
            <w:tcW w:w="1400" w:type="dxa"/>
            <w:tcBorders>
              <w:tl2br w:val="nil"/>
              <w:tr2bl w:val="nil"/>
            </w:tcBorders>
            <w:vAlign w:val="center"/>
          </w:tcPr>
          <w:p w14:paraId="557AA49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6"/>
                <w:kern w:val="0"/>
                <w:sz w:val="21"/>
                <w:szCs w:val="21"/>
                <w:lang w:val="en-US" w:eastAsia="en-US" w:bidi="ar-SA"/>
              </w:rPr>
            </w:pPr>
            <w:r>
              <w:rPr>
                <w:rFonts w:hint="default" w:ascii="Times New Roman" w:hAnsi="Times New Roman" w:eastAsia="宋体" w:cs="Times New Roman"/>
                <w:i w:val="0"/>
                <w:iCs w:val="0"/>
                <w:color w:val="auto"/>
                <w:sz w:val="21"/>
                <w:szCs w:val="21"/>
                <w:highlight w:val="none"/>
                <w:vertAlign w:val="baseline"/>
                <w:lang w:val="en-US" w:eastAsia="zh-CN"/>
              </w:rPr>
              <w:t>展毛地椒</w:t>
            </w:r>
          </w:p>
        </w:tc>
        <w:tc>
          <w:tcPr>
            <w:tcW w:w="4877" w:type="dxa"/>
            <w:tcBorders>
              <w:tl2br w:val="nil"/>
              <w:tr2bl w:val="nil"/>
            </w:tcBorders>
            <w:vAlign w:val="center"/>
          </w:tcPr>
          <w:p w14:paraId="611D1D2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i/>
                <w:iCs/>
                <w:snapToGrid w:val="0"/>
                <w:color w:val="auto"/>
                <w:spacing w:val="4"/>
                <w:kern w:val="0"/>
                <w:sz w:val="21"/>
                <w:szCs w:val="21"/>
                <w:lang w:eastAsia="en-US"/>
              </w:rPr>
            </w:pPr>
            <w:r>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t>Thymus quinquecostatus var. przewalskii (Kom.) Ronn.</w:t>
            </w:r>
          </w:p>
        </w:tc>
      </w:tr>
      <w:tr w14:paraId="6F3C4B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tcBorders>
              <w:tl2br w:val="nil"/>
              <w:tr2bl w:val="nil"/>
            </w:tcBorders>
            <w:vAlign w:val="center"/>
          </w:tcPr>
          <w:p w14:paraId="6152F96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4"/>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蝶形花科</w:t>
            </w:r>
          </w:p>
        </w:tc>
        <w:tc>
          <w:tcPr>
            <w:tcW w:w="1417" w:type="dxa"/>
            <w:tcBorders>
              <w:tl2br w:val="nil"/>
              <w:tr2bl w:val="nil"/>
            </w:tcBorders>
            <w:vAlign w:val="center"/>
          </w:tcPr>
          <w:p w14:paraId="331E8F2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6"/>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胡枝子属</w:t>
            </w:r>
          </w:p>
        </w:tc>
        <w:tc>
          <w:tcPr>
            <w:tcW w:w="1400" w:type="dxa"/>
            <w:tcBorders>
              <w:tl2br w:val="nil"/>
              <w:tr2bl w:val="nil"/>
            </w:tcBorders>
            <w:vAlign w:val="center"/>
          </w:tcPr>
          <w:p w14:paraId="6D6AB9B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i w:val="0"/>
                <w:iCs w:val="0"/>
                <w:color w:val="auto"/>
                <w:sz w:val="21"/>
                <w:szCs w:val="21"/>
                <w:highlight w:val="none"/>
                <w:vertAlign w:val="baseline"/>
                <w:lang w:val="en-US" w:eastAsia="zh-CN"/>
              </w:rPr>
            </w:pPr>
            <w:r>
              <w:rPr>
                <w:rFonts w:hint="default" w:ascii="Times New Roman" w:hAnsi="Times New Roman" w:eastAsia="宋体" w:cs="Times New Roman"/>
                <w:i w:val="0"/>
                <w:iCs w:val="0"/>
                <w:color w:val="auto"/>
                <w:sz w:val="21"/>
                <w:szCs w:val="21"/>
                <w:highlight w:val="none"/>
                <w:vertAlign w:val="baseline"/>
                <w:lang w:val="en-US" w:eastAsia="zh-CN"/>
              </w:rPr>
              <w:t>胡枝子</w:t>
            </w:r>
          </w:p>
        </w:tc>
        <w:tc>
          <w:tcPr>
            <w:tcW w:w="4877" w:type="dxa"/>
            <w:tcBorders>
              <w:tl2br w:val="nil"/>
              <w:tr2bl w:val="nil"/>
            </w:tcBorders>
            <w:vAlign w:val="center"/>
          </w:tcPr>
          <w:p w14:paraId="7C0DD9F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i/>
                <w:iCs/>
                <w:snapToGrid w:val="0"/>
                <w:color w:val="auto"/>
                <w:spacing w:val="4"/>
                <w:kern w:val="0"/>
                <w:sz w:val="21"/>
                <w:szCs w:val="21"/>
                <w:lang w:eastAsia="en-US"/>
              </w:rPr>
            </w:pPr>
            <w:r>
              <w:rPr>
                <w:rFonts w:hint="default" w:ascii="Times New Roman" w:hAnsi="Times New Roman" w:eastAsia="宋体" w:cs="Times New Roman"/>
                <w:i/>
                <w:iCs/>
                <w:snapToGrid w:val="0"/>
                <w:color w:val="auto"/>
                <w:spacing w:val="4"/>
                <w:kern w:val="0"/>
                <w:sz w:val="21"/>
                <w:szCs w:val="21"/>
                <w:lang w:val="en-US" w:eastAsia="en-US"/>
              </w:rPr>
              <w:t>Lespedeza bicolor Turcz.</w:t>
            </w:r>
          </w:p>
        </w:tc>
      </w:tr>
      <w:tr w14:paraId="73F332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restart"/>
            <w:tcBorders>
              <w:tl2br w:val="nil"/>
              <w:tr2bl w:val="nil"/>
            </w:tcBorders>
            <w:vAlign w:val="center"/>
          </w:tcPr>
          <w:p w14:paraId="0F44AD4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豆科</w:t>
            </w:r>
          </w:p>
        </w:tc>
        <w:tc>
          <w:tcPr>
            <w:tcW w:w="1417" w:type="dxa"/>
            <w:tcBorders>
              <w:tl2br w:val="nil"/>
              <w:tr2bl w:val="nil"/>
            </w:tcBorders>
            <w:vAlign w:val="center"/>
          </w:tcPr>
          <w:p w14:paraId="73F72F1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苜蓿属</w:t>
            </w:r>
          </w:p>
        </w:tc>
        <w:tc>
          <w:tcPr>
            <w:tcW w:w="1400" w:type="dxa"/>
            <w:tcBorders>
              <w:tl2br w:val="nil"/>
              <w:tr2bl w:val="nil"/>
            </w:tcBorders>
            <w:vAlign w:val="center"/>
          </w:tcPr>
          <w:p w14:paraId="346AB6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天蓝苜蓿</w:t>
            </w:r>
          </w:p>
        </w:tc>
        <w:tc>
          <w:tcPr>
            <w:tcW w:w="4877" w:type="dxa"/>
            <w:tcBorders>
              <w:tl2br w:val="nil"/>
              <w:tr2bl w:val="nil"/>
            </w:tcBorders>
            <w:vAlign w:val="center"/>
          </w:tcPr>
          <w:p w14:paraId="324B105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i/>
                <w:iCs/>
                <w:snapToGrid w:val="0"/>
                <w:color w:val="auto"/>
                <w:spacing w:val="4"/>
                <w:kern w:val="0"/>
                <w:sz w:val="21"/>
                <w:szCs w:val="21"/>
                <w:lang w:eastAsia="en-US"/>
              </w:rPr>
              <w:t>Medicago lupulina</w:t>
            </w:r>
            <w:r>
              <w:rPr>
                <w:rFonts w:hint="default" w:ascii="Times New Roman" w:hAnsi="Times New Roman" w:eastAsia="宋体" w:cs="Times New Roman"/>
                <w:snapToGrid w:val="0"/>
                <w:color w:val="auto"/>
                <w:spacing w:val="4"/>
                <w:kern w:val="0"/>
                <w:sz w:val="21"/>
                <w:szCs w:val="21"/>
                <w:lang w:eastAsia="en-US"/>
              </w:rPr>
              <w:t>L.</w:t>
            </w:r>
          </w:p>
        </w:tc>
      </w:tr>
      <w:tr w14:paraId="7A5022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5" w:hRule="atLeast"/>
          <w:jc w:val="center"/>
        </w:trPr>
        <w:tc>
          <w:tcPr>
            <w:tcW w:w="1320" w:type="dxa"/>
            <w:vMerge w:val="continue"/>
            <w:tcBorders>
              <w:tl2br w:val="nil"/>
              <w:tr2bl w:val="nil"/>
            </w:tcBorders>
            <w:vAlign w:val="center"/>
          </w:tcPr>
          <w:p w14:paraId="3B77777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4"/>
                <w:kern w:val="0"/>
                <w:sz w:val="21"/>
                <w:szCs w:val="21"/>
                <w:lang w:val="en-US" w:eastAsia="en-US" w:bidi="ar-SA"/>
              </w:rPr>
            </w:pPr>
          </w:p>
        </w:tc>
        <w:tc>
          <w:tcPr>
            <w:tcW w:w="1417" w:type="dxa"/>
            <w:tcBorders>
              <w:tl2br w:val="nil"/>
              <w:tr2bl w:val="nil"/>
            </w:tcBorders>
            <w:vAlign w:val="center"/>
          </w:tcPr>
          <w:p w14:paraId="10C9AC6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6"/>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槐属</w:t>
            </w:r>
          </w:p>
        </w:tc>
        <w:tc>
          <w:tcPr>
            <w:tcW w:w="1400" w:type="dxa"/>
            <w:tcBorders>
              <w:tl2br w:val="nil"/>
              <w:tr2bl w:val="nil"/>
            </w:tcBorders>
            <w:vAlign w:val="center"/>
          </w:tcPr>
          <w:p w14:paraId="0B0EA47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6"/>
                <w:kern w:val="0"/>
                <w:sz w:val="21"/>
                <w:szCs w:val="21"/>
                <w:lang w:val="en-US" w:eastAsia="en-US" w:bidi="ar-SA"/>
              </w:rPr>
            </w:pPr>
            <w:r>
              <w:rPr>
                <w:rFonts w:hint="default" w:ascii="Times New Roman" w:hAnsi="Times New Roman" w:eastAsia="宋体" w:cs="Times New Roman"/>
                <w:b w:val="0"/>
                <w:bCs w:val="0"/>
                <w:i w:val="0"/>
                <w:iCs w:val="0"/>
                <w:color w:val="auto"/>
                <w:sz w:val="21"/>
                <w:szCs w:val="21"/>
                <w:lang w:val="en-US" w:eastAsia="zh-CN"/>
              </w:rPr>
              <w:t>苦豆子</w:t>
            </w:r>
          </w:p>
        </w:tc>
        <w:tc>
          <w:tcPr>
            <w:tcW w:w="4877" w:type="dxa"/>
            <w:tcBorders>
              <w:tl2br w:val="nil"/>
              <w:tr2bl w:val="nil"/>
            </w:tcBorders>
            <w:vAlign w:val="center"/>
          </w:tcPr>
          <w:p w14:paraId="509F434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i/>
                <w:iCs/>
                <w:snapToGrid w:val="0"/>
                <w:color w:val="auto"/>
                <w:spacing w:val="4"/>
                <w:kern w:val="0"/>
                <w:sz w:val="21"/>
                <w:szCs w:val="21"/>
                <w:lang w:eastAsia="en-US"/>
              </w:rPr>
            </w:pPr>
            <w:r>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t>Sophora alopecuroides Linn.</w:t>
            </w:r>
          </w:p>
        </w:tc>
      </w:tr>
      <w:tr w14:paraId="4227C8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6C5DF45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6F6891B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锦鸡儿属</w:t>
            </w:r>
          </w:p>
        </w:tc>
        <w:tc>
          <w:tcPr>
            <w:tcW w:w="1400" w:type="dxa"/>
            <w:tcBorders>
              <w:tl2br w:val="nil"/>
              <w:tr2bl w:val="nil"/>
            </w:tcBorders>
            <w:vAlign w:val="center"/>
          </w:tcPr>
          <w:p w14:paraId="35F2F5B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8"/>
                <w:kern w:val="0"/>
                <w:sz w:val="21"/>
                <w:szCs w:val="21"/>
                <w:lang w:val="en-US" w:eastAsia="en-US" w:bidi="ar-SA"/>
              </w:rPr>
              <w:t>柠条锦鸡儿</w:t>
            </w:r>
          </w:p>
        </w:tc>
        <w:tc>
          <w:tcPr>
            <w:tcW w:w="4877" w:type="dxa"/>
            <w:tcBorders>
              <w:tl2br w:val="nil"/>
              <w:tr2bl w:val="nil"/>
            </w:tcBorders>
            <w:vAlign w:val="center"/>
          </w:tcPr>
          <w:p w14:paraId="397D134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i/>
                <w:iCs/>
                <w:snapToGrid w:val="0"/>
                <w:color w:val="auto"/>
                <w:spacing w:val="3"/>
                <w:kern w:val="0"/>
                <w:sz w:val="21"/>
                <w:szCs w:val="21"/>
                <w:lang w:eastAsia="en-US"/>
              </w:rPr>
              <w:t xml:space="preserve">Caragana korshinskii </w:t>
            </w:r>
            <w:r>
              <w:rPr>
                <w:rFonts w:hint="default" w:ascii="Times New Roman" w:hAnsi="Times New Roman" w:eastAsia="宋体" w:cs="Times New Roman"/>
                <w:snapToGrid w:val="0"/>
                <w:color w:val="auto"/>
                <w:spacing w:val="3"/>
                <w:kern w:val="0"/>
                <w:sz w:val="21"/>
                <w:szCs w:val="21"/>
                <w:lang w:eastAsia="en-US"/>
              </w:rPr>
              <w:t>Kom.</w:t>
            </w:r>
          </w:p>
        </w:tc>
      </w:tr>
      <w:tr w14:paraId="3B6460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tcBorders>
              <w:tl2br w:val="nil"/>
              <w:tr2bl w:val="nil"/>
            </w:tcBorders>
            <w:vAlign w:val="center"/>
          </w:tcPr>
          <w:p w14:paraId="65A2756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苋科</w:t>
            </w:r>
          </w:p>
        </w:tc>
        <w:tc>
          <w:tcPr>
            <w:tcW w:w="1417" w:type="dxa"/>
            <w:tcBorders>
              <w:tl2br w:val="nil"/>
              <w:tr2bl w:val="nil"/>
            </w:tcBorders>
            <w:vAlign w:val="center"/>
          </w:tcPr>
          <w:p w14:paraId="7A50C4A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苋</w:t>
            </w:r>
            <w:r>
              <w:rPr>
                <w:rFonts w:hint="default" w:ascii="Times New Roman" w:hAnsi="Times New Roman" w:eastAsia="宋体" w:cs="Times New Roman"/>
                <w:snapToGrid w:val="0"/>
                <w:color w:val="auto"/>
                <w:spacing w:val="7"/>
                <w:kern w:val="0"/>
                <w:sz w:val="21"/>
                <w:szCs w:val="21"/>
                <w:lang w:val="en-US" w:eastAsia="en-US" w:bidi="ar-SA"/>
              </w:rPr>
              <w:t>属</w:t>
            </w:r>
          </w:p>
        </w:tc>
        <w:tc>
          <w:tcPr>
            <w:tcW w:w="1400" w:type="dxa"/>
            <w:tcBorders>
              <w:tl2br w:val="nil"/>
              <w:tr2bl w:val="nil"/>
            </w:tcBorders>
            <w:vAlign w:val="center"/>
          </w:tcPr>
          <w:p w14:paraId="2DDDB23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2"/>
                <w:sz w:val="21"/>
                <w:szCs w:val="21"/>
                <w:highlight w:val="none"/>
                <w:lang w:val="en-US" w:eastAsia="zh-CN"/>
              </w:rPr>
              <w:t>腋花苋</w:t>
            </w:r>
          </w:p>
        </w:tc>
        <w:tc>
          <w:tcPr>
            <w:tcW w:w="4877" w:type="dxa"/>
            <w:tcBorders>
              <w:tl2br w:val="nil"/>
              <w:tr2bl w:val="nil"/>
            </w:tcBorders>
            <w:vAlign w:val="center"/>
          </w:tcPr>
          <w:p w14:paraId="4B74A22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i/>
                <w:iCs/>
                <w:snapToGrid w:val="0"/>
                <w:color w:val="auto"/>
                <w:kern w:val="0"/>
                <w:sz w:val="21"/>
                <w:szCs w:val="21"/>
                <w:lang w:eastAsia="en-US"/>
              </w:rPr>
              <w:t>Amaranthus roxburghianus Kung</w:t>
            </w:r>
          </w:p>
        </w:tc>
      </w:tr>
      <w:tr w14:paraId="6B5D8C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320" w:type="dxa"/>
            <w:tcBorders>
              <w:tl2br w:val="nil"/>
              <w:tr2bl w:val="nil"/>
            </w:tcBorders>
            <w:vAlign w:val="center"/>
          </w:tcPr>
          <w:p w14:paraId="3F50890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4"/>
                <w:kern w:val="0"/>
                <w:sz w:val="21"/>
                <w:szCs w:val="21"/>
                <w:lang w:val="en-US" w:eastAsia="en-US" w:bidi="ar-SA"/>
              </w:rPr>
            </w:pPr>
            <w:r>
              <w:rPr>
                <w:rFonts w:hint="default" w:ascii="Times New Roman" w:hAnsi="Times New Roman" w:eastAsia="宋体" w:cs="Times New Roman"/>
                <w:i w:val="0"/>
                <w:iCs w:val="0"/>
                <w:caps w:val="0"/>
                <w:color w:val="auto"/>
                <w:spacing w:val="0"/>
                <w:sz w:val="21"/>
                <w:szCs w:val="21"/>
                <w:shd w:val="clear" w:fill="FFFFFF"/>
              </w:rPr>
              <w:t>紫葳科</w:t>
            </w:r>
          </w:p>
        </w:tc>
        <w:tc>
          <w:tcPr>
            <w:tcW w:w="1417" w:type="dxa"/>
            <w:tcBorders>
              <w:tl2br w:val="nil"/>
              <w:tr2bl w:val="nil"/>
            </w:tcBorders>
            <w:vAlign w:val="center"/>
          </w:tcPr>
          <w:p w14:paraId="1ADDD52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7"/>
                <w:kern w:val="0"/>
                <w:sz w:val="21"/>
                <w:szCs w:val="21"/>
                <w:lang w:val="en-US" w:eastAsia="en-US" w:bidi="ar-SA"/>
              </w:rPr>
            </w:pPr>
            <w:r>
              <w:rPr>
                <w:rFonts w:hint="default" w:ascii="Times New Roman" w:hAnsi="Times New Roman" w:eastAsia="宋体" w:cs="Times New Roman"/>
                <w:i w:val="0"/>
                <w:iCs w:val="0"/>
                <w:caps w:val="0"/>
                <w:color w:val="auto"/>
                <w:spacing w:val="0"/>
                <w:sz w:val="21"/>
                <w:szCs w:val="21"/>
                <w:shd w:val="clear" w:fill="FFFFFF"/>
              </w:rPr>
              <w:t>角蒿属</w:t>
            </w:r>
          </w:p>
        </w:tc>
        <w:tc>
          <w:tcPr>
            <w:tcW w:w="1400" w:type="dxa"/>
            <w:tcBorders>
              <w:tl2br w:val="nil"/>
              <w:tr2bl w:val="nil"/>
            </w:tcBorders>
            <w:vAlign w:val="center"/>
          </w:tcPr>
          <w:p w14:paraId="05834F6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sz w:val="21"/>
                <w:szCs w:val="21"/>
                <w:highlight w:val="none"/>
                <w:vertAlign w:val="baseline"/>
                <w:lang w:val="en-US" w:eastAsia="zh-CN"/>
              </w:rPr>
              <w:t>角蒿</w:t>
            </w:r>
          </w:p>
        </w:tc>
        <w:tc>
          <w:tcPr>
            <w:tcW w:w="4877" w:type="dxa"/>
            <w:tcBorders>
              <w:tl2br w:val="nil"/>
              <w:tr2bl w:val="nil"/>
            </w:tcBorders>
            <w:vAlign w:val="center"/>
          </w:tcPr>
          <w:p w14:paraId="1CB4DAB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i/>
                <w:iCs/>
                <w:snapToGrid w:val="0"/>
                <w:color w:val="auto"/>
                <w:spacing w:val="3"/>
                <w:kern w:val="0"/>
                <w:sz w:val="21"/>
                <w:szCs w:val="21"/>
                <w:lang w:eastAsia="en-US"/>
              </w:rPr>
            </w:pPr>
            <w:r>
              <w:rPr>
                <w:rFonts w:hint="default" w:ascii="Times New Roman" w:hAnsi="Times New Roman" w:eastAsia="宋体" w:cs="Times New Roman"/>
                <w:b w:val="0"/>
                <w:i/>
                <w:iCs/>
                <w:color w:val="auto"/>
                <w:sz w:val="21"/>
                <w:szCs w:val="21"/>
                <w:highlight w:val="none"/>
                <w:lang w:val="en-US" w:eastAsia="zh-CN" w:bidi="ar-SA"/>
              </w:rPr>
              <w:t>Incarvillea sinensis Lam.</w:t>
            </w:r>
          </w:p>
        </w:tc>
      </w:tr>
      <w:tr w14:paraId="664C27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320" w:type="dxa"/>
            <w:vMerge w:val="restart"/>
            <w:tcBorders>
              <w:tl2br w:val="nil"/>
              <w:tr2bl w:val="nil"/>
            </w:tcBorders>
            <w:vAlign w:val="center"/>
          </w:tcPr>
          <w:p w14:paraId="1440E44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p w14:paraId="42F4110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菊科</w:t>
            </w:r>
          </w:p>
        </w:tc>
        <w:tc>
          <w:tcPr>
            <w:tcW w:w="1417" w:type="dxa"/>
            <w:tcBorders>
              <w:tl2br w:val="nil"/>
              <w:tr2bl w:val="nil"/>
            </w:tcBorders>
            <w:vAlign w:val="center"/>
          </w:tcPr>
          <w:p w14:paraId="7B52A28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en-US" w:bidi="ar-SA"/>
              </w:rPr>
              <w:t>菊</w:t>
            </w:r>
            <w:r>
              <w:rPr>
                <w:rFonts w:hint="default" w:ascii="Times New Roman" w:hAnsi="Times New Roman" w:eastAsia="宋体" w:cs="Times New Roman"/>
                <w:snapToGrid w:val="0"/>
                <w:color w:val="auto"/>
                <w:spacing w:val="7"/>
                <w:kern w:val="0"/>
                <w:sz w:val="21"/>
                <w:szCs w:val="21"/>
                <w:lang w:val="en-US" w:eastAsia="en-US" w:bidi="ar-SA"/>
              </w:rPr>
              <w:t>属</w:t>
            </w:r>
          </w:p>
        </w:tc>
        <w:tc>
          <w:tcPr>
            <w:tcW w:w="1400" w:type="dxa"/>
            <w:tcBorders>
              <w:tl2br w:val="nil"/>
              <w:tr2bl w:val="nil"/>
            </w:tcBorders>
            <w:vAlign w:val="center"/>
          </w:tcPr>
          <w:p w14:paraId="361EF99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en-US" w:bidi="ar-SA"/>
              </w:rPr>
              <w:t>紫花野菊</w:t>
            </w:r>
          </w:p>
        </w:tc>
        <w:tc>
          <w:tcPr>
            <w:tcW w:w="4877" w:type="dxa"/>
            <w:tcBorders>
              <w:tl2br w:val="nil"/>
              <w:tr2bl w:val="nil"/>
            </w:tcBorders>
            <w:vAlign w:val="center"/>
          </w:tcPr>
          <w:p w14:paraId="28ED84F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i/>
                <w:iCs/>
                <w:snapToGrid w:val="0"/>
                <w:color w:val="auto"/>
                <w:spacing w:val="3"/>
                <w:kern w:val="0"/>
                <w:sz w:val="21"/>
                <w:szCs w:val="21"/>
                <w:lang w:eastAsia="en-US"/>
              </w:rPr>
              <w:t>Sonchus oleraceus L.</w:t>
            </w:r>
          </w:p>
        </w:tc>
      </w:tr>
      <w:tr w14:paraId="0D8468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320" w:type="dxa"/>
            <w:vMerge w:val="continue"/>
            <w:tcBorders>
              <w:tl2br w:val="nil"/>
              <w:tr2bl w:val="nil"/>
            </w:tcBorders>
            <w:vAlign w:val="center"/>
          </w:tcPr>
          <w:p w14:paraId="2570D3F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4"/>
                <w:kern w:val="0"/>
                <w:sz w:val="21"/>
                <w:szCs w:val="21"/>
                <w:lang w:val="en-US" w:eastAsia="en-US" w:bidi="ar-SA"/>
              </w:rPr>
            </w:pPr>
          </w:p>
        </w:tc>
        <w:tc>
          <w:tcPr>
            <w:tcW w:w="1417" w:type="dxa"/>
            <w:tcBorders>
              <w:tl2br w:val="nil"/>
              <w:tr2bl w:val="nil"/>
            </w:tcBorders>
            <w:vAlign w:val="center"/>
          </w:tcPr>
          <w:p w14:paraId="235F186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7"/>
                <w:kern w:val="0"/>
                <w:sz w:val="21"/>
                <w:szCs w:val="21"/>
                <w:lang w:val="en-US" w:eastAsia="en-US" w:bidi="ar-SA"/>
              </w:rPr>
            </w:pPr>
            <w:r>
              <w:rPr>
                <w:rFonts w:hint="default" w:ascii="Times New Roman" w:hAnsi="Times New Roman" w:eastAsia="宋体" w:cs="Times New Roman"/>
                <w:b w:val="0"/>
                <w:i w:val="0"/>
                <w:iCs w:val="0"/>
                <w:caps w:val="0"/>
                <w:color w:val="auto"/>
                <w:spacing w:val="0"/>
                <w:kern w:val="0"/>
                <w:sz w:val="21"/>
                <w:szCs w:val="21"/>
                <w:u w:val="none"/>
                <w:shd w:val="clear" w:fill="FFFFFF"/>
                <w:lang w:val="en-US" w:eastAsia="zh-CN" w:bidi="ar"/>
              </w:rPr>
              <w:t>马兰</w:t>
            </w:r>
            <w:r>
              <w:rPr>
                <w:rFonts w:hint="default" w:ascii="Times New Roman" w:hAnsi="Times New Roman" w:eastAsia="宋体" w:cs="Times New Roman"/>
                <w:snapToGrid w:val="0"/>
                <w:color w:val="auto"/>
                <w:spacing w:val="7"/>
                <w:kern w:val="0"/>
                <w:sz w:val="21"/>
                <w:szCs w:val="21"/>
                <w:lang w:val="en-US" w:eastAsia="en-US" w:bidi="ar-SA"/>
              </w:rPr>
              <w:t>属</w:t>
            </w:r>
          </w:p>
        </w:tc>
        <w:tc>
          <w:tcPr>
            <w:tcW w:w="1400" w:type="dxa"/>
            <w:tcBorders>
              <w:tl2br w:val="nil"/>
              <w:tr2bl w:val="nil"/>
            </w:tcBorders>
            <w:vAlign w:val="center"/>
          </w:tcPr>
          <w:p w14:paraId="521970A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b w:val="0"/>
                <w:i w:val="0"/>
                <w:iCs w:val="0"/>
                <w:caps w:val="0"/>
                <w:color w:val="auto"/>
                <w:spacing w:val="0"/>
                <w:kern w:val="0"/>
                <w:sz w:val="21"/>
                <w:szCs w:val="21"/>
                <w:u w:val="none"/>
                <w:shd w:val="clear" w:fill="FFFFFF"/>
                <w:lang w:val="en-US" w:eastAsia="zh-CN" w:bidi="ar"/>
              </w:rPr>
              <w:t>山马兰</w:t>
            </w:r>
          </w:p>
        </w:tc>
        <w:tc>
          <w:tcPr>
            <w:tcW w:w="4877" w:type="dxa"/>
            <w:tcBorders>
              <w:tl2br w:val="nil"/>
              <w:tr2bl w:val="nil"/>
            </w:tcBorders>
            <w:vAlign w:val="center"/>
          </w:tcPr>
          <w:p w14:paraId="59ECF99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i/>
                <w:iCs/>
                <w:snapToGrid w:val="0"/>
                <w:color w:val="auto"/>
                <w:spacing w:val="3"/>
                <w:kern w:val="0"/>
                <w:sz w:val="21"/>
                <w:szCs w:val="21"/>
                <w:lang w:eastAsia="en-US"/>
              </w:rPr>
            </w:pPr>
            <w:r>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t>Aster  lautureanus (Debeaux) Franch.</w:t>
            </w:r>
          </w:p>
        </w:tc>
      </w:tr>
      <w:tr w14:paraId="2F3B9B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7DA3253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37A0429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蒿属</w:t>
            </w:r>
          </w:p>
        </w:tc>
        <w:tc>
          <w:tcPr>
            <w:tcW w:w="1400" w:type="dxa"/>
            <w:tcBorders>
              <w:tl2br w:val="nil"/>
              <w:tr2bl w:val="nil"/>
            </w:tcBorders>
            <w:vAlign w:val="center"/>
          </w:tcPr>
          <w:p w14:paraId="122C87F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4"/>
                <w:kern w:val="0"/>
                <w:sz w:val="21"/>
                <w:szCs w:val="21"/>
                <w:lang w:val="en-US" w:eastAsia="en-US" w:bidi="ar-SA"/>
              </w:rPr>
            </w:pPr>
            <w:r>
              <w:rPr>
                <w:rFonts w:hint="default" w:ascii="Times New Roman" w:hAnsi="Times New Roman" w:eastAsia="宋体" w:cs="Times New Roman"/>
                <w:i w:val="0"/>
                <w:iCs w:val="0"/>
                <w:color w:val="auto"/>
                <w:sz w:val="21"/>
                <w:szCs w:val="21"/>
                <w:highlight w:val="none"/>
                <w:vertAlign w:val="baseline"/>
                <w:lang w:val="en-US" w:eastAsia="zh-CN"/>
              </w:rPr>
              <w:t>灰莲蒿</w:t>
            </w:r>
          </w:p>
        </w:tc>
        <w:tc>
          <w:tcPr>
            <w:tcW w:w="4877" w:type="dxa"/>
            <w:tcBorders>
              <w:tl2br w:val="nil"/>
              <w:tr2bl w:val="nil"/>
            </w:tcBorders>
            <w:vAlign w:val="center"/>
          </w:tcPr>
          <w:p w14:paraId="258ADC0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i/>
                <w:iCs/>
                <w:snapToGrid w:val="0"/>
                <w:color w:val="auto"/>
                <w:spacing w:val="4"/>
                <w:kern w:val="0"/>
                <w:sz w:val="21"/>
                <w:szCs w:val="21"/>
                <w:lang w:eastAsia="en-US"/>
              </w:rPr>
            </w:pPr>
            <w:r>
              <w:rPr>
                <w:rFonts w:hint="default" w:ascii="Times New Roman" w:hAnsi="Times New Roman" w:eastAsia="宋体" w:cs="Times New Roman"/>
                <w:i/>
                <w:iCs/>
                <w:caps w:val="0"/>
                <w:color w:val="auto"/>
                <w:spacing w:val="0"/>
                <w:sz w:val="21"/>
                <w:szCs w:val="21"/>
                <w:shd w:val="clear" w:fill="FFFFFF"/>
                <w:lang w:val="en-US" w:eastAsia="zh-CN"/>
              </w:rPr>
              <w:t>Artemisia sacrorum Ledeb.</w:t>
            </w:r>
          </w:p>
        </w:tc>
      </w:tr>
      <w:tr w14:paraId="40ABBA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2C5FC66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13A81BB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蒿属</w:t>
            </w:r>
          </w:p>
        </w:tc>
        <w:tc>
          <w:tcPr>
            <w:tcW w:w="1400" w:type="dxa"/>
            <w:tcBorders>
              <w:tl2br w:val="nil"/>
              <w:tr2bl w:val="nil"/>
            </w:tcBorders>
            <w:vAlign w:val="center"/>
          </w:tcPr>
          <w:p w14:paraId="7A640E3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4"/>
                <w:kern w:val="0"/>
                <w:sz w:val="21"/>
                <w:szCs w:val="21"/>
                <w:lang w:val="en-US" w:eastAsia="en-US" w:bidi="ar-SA"/>
              </w:rPr>
            </w:pPr>
            <w:r>
              <w:rPr>
                <w:rFonts w:hint="default" w:ascii="Times New Roman" w:hAnsi="Times New Roman" w:eastAsia="宋体" w:cs="Times New Roman"/>
                <w:i w:val="0"/>
                <w:iCs w:val="0"/>
                <w:color w:val="auto"/>
                <w:sz w:val="21"/>
                <w:szCs w:val="21"/>
                <w:highlight w:val="none"/>
                <w:lang w:val="en-US" w:eastAsia="zh-CN" w:bidi="ar-SA"/>
              </w:rPr>
              <w:t>猪毛蒿</w:t>
            </w:r>
          </w:p>
        </w:tc>
        <w:tc>
          <w:tcPr>
            <w:tcW w:w="4877" w:type="dxa"/>
            <w:tcBorders>
              <w:tl2br w:val="nil"/>
              <w:tr2bl w:val="nil"/>
            </w:tcBorders>
            <w:vAlign w:val="center"/>
          </w:tcPr>
          <w:p w14:paraId="399171E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i/>
                <w:iCs/>
                <w:snapToGrid w:val="0"/>
                <w:color w:val="auto"/>
                <w:spacing w:val="4"/>
                <w:kern w:val="0"/>
                <w:sz w:val="21"/>
                <w:szCs w:val="21"/>
                <w:lang w:eastAsia="en-US"/>
              </w:rPr>
            </w:pPr>
            <w:r>
              <w:rPr>
                <w:rFonts w:hint="default" w:ascii="Times New Roman" w:hAnsi="Times New Roman" w:eastAsia="宋体" w:cs="Times New Roman"/>
                <w:i/>
                <w:iCs/>
                <w:color w:val="auto"/>
                <w:sz w:val="21"/>
                <w:szCs w:val="21"/>
                <w:highlight w:val="none"/>
                <w:lang w:val="en-US" w:eastAsia="zh-CN" w:bidi="ar-SA"/>
              </w:rPr>
              <w:t>Artemisia scoparia Waldst. &amp; Kit.</w:t>
            </w:r>
          </w:p>
        </w:tc>
      </w:tr>
      <w:tr w14:paraId="07AAEA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6C862D0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67F3EB6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蒿属</w:t>
            </w:r>
          </w:p>
        </w:tc>
        <w:tc>
          <w:tcPr>
            <w:tcW w:w="1400" w:type="dxa"/>
            <w:tcBorders>
              <w:tl2br w:val="nil"/>
              <w:tr2bl w:val="nil"/>
            </w:tcBorders>
            <w:vAlign w:val="center"/>
          </w:tcPr>
          <w:p w14:paraId="4D77E8D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沙蒿</w:t>
            </w:r>
          </w:p>
        </w:tc>
        <w:tc>
          <w:tcPr>
            <w:tcW w:w="4877" w:type="dxa"/>
            <w:tcBorders>
              <w:tl2br w:val="nil"/>
              <w:tr2bl w:val="nil"/>
            </w:tcBorders>
            <w:vAlign w:val="center"/>
          </w:tcPr>
          <w:p w14:paraId="567D336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i/>
                <w:iCs/>
                <w:snapToGrid w:val="0"/>
                <w:color w:val="auto"/>
                <w:spacing w:val="4"/>
                <w:kern w:val="0"/>
                <w:sz w:val="21"/>
                <w:szCs w:val="21"/>
                <w:lang w:eastAsia="en-US"/>
              </w:rPr>
              <w:t>Artemisia desertorum</w:t>
            </w:r>
            <w:r>
              <w:rPr>
                <w:rFonts w:hint="default" w:ascii="Times New Roman" w:hAnsi="Times New Roman" w:eastAsia="宋体" w:cs="Times New Roman"/>
                <w:i/>
                <w:iCs/>
                <w:snapToGrid w:val="0"/>
                <w:color w:val="auto"/>
                <w:spacing w:val="3"/>
                <w:kern w:val="0"/>
                <w:sz w:val="21"/>
                <w:szCs w:val="21"/>
                <w:lang w:eastAsia="en-US"/>
              </w:rPr>
              <w:t xml:space="preserve"> Spreng.</w:t>
            </w:r>
          </w:p>
        </w:tc>
      </w:tr>
      <w:tr w14:paraId="5ECB6F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6BC185A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0D4D184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蒿属</w:t>
            </w:r>
          </w:p>
        </w:tc>
        <w:tc>
          <w:tcPr>
            <w:tcW w:w="1400" w:type="dxa"/>
            <w:tcBorders>
              <w:tl2br w:val="nil"/>
              <w:tr2bl w:val="nil"/>
            </w:tcBorders>
            <w:vAlign w:val="center"/>
          </w:tcPr>
          <w:p w14:paraId="5A95A50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4"/>
                <w:kern w:val="0"/>
                <w:sz w:val="21"/>
                <w:szCs w:val="21"/>
                <w:lang w:val="en-US" w:eastAsia="en-US" w:bidi="ar-SA"/>
              </w:rPr>
            </w:pPr>
            <w:r>
              <w:rPr>
                <w:rFonts w:hint="default" w:ascii="Times New Roman" w:hAnsi="Times New Roman" w:eastAsia="宋体" w:cs="Times New Roman"/>
                <w:b w:val="0"/>
                <w:bCs w:val="0"/>
                <w:i w:val="0"/>
                <w:iCs w:val="0"/>
                <w:color w:val="auto"/>
                <w:sz w:val="21"/>
                <w:szCs w:val="21"/>
                <w:lang w:val="en-US" w:eastAsia="zh-CN"/>
              </w:rPr>
              <w:t>黄花蒿</w:t>
            </w:r>
          </w:p>
        </w:tc>
        <w:tc>
          <w:tcPr>
            <w:tcW w:w="4877" w:type="dxa"/>
            <w:tcBorders>
              <w:tl2br w:val="nil"/>
              <w:tr2bl w:val="nil"/>
            </w:tcBorders>
            <w:vAlign w:val="center"/>
          </w:tcPr>
          <w:p w14:paraId="354C4AB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i/>
                <w:iCs/>
                <w:snapToGrid w:val="0"/>
                <w:color w:val="auto"/>
                <w:spacing w:val="4"/>
                <w:kern w:val="0"/>
                <w:sz w:val="21"/>
                <w:szCs w:val="21"/>
                <w:lang w:eastAsia="en-US"/>
              </w:rPr>
            </w:pPr>
            <w:r>
              <w:rPr>
                <w:rFonts w:hint="default" w:ascii="Times New Roman" w:hAnsi="Times New Roman" w:eastAsia="宋体" w:cs="Times New Roman"/>
                <w:b w:val="0"/>
                <w:i/>
                <w:iCs/>
                <w:caps w:val="0"/>
                <w:color w:val="auto"/>
                <w:spacing w:val="0"/>
                <w:kern w:val="0"/>
                <w:sz w:val="21"/>
                <w:szCs w:val="21"/>
                <w:u w:val="none"/>
                <w:shd w:val="clear" w:fill="FFFFFF"/>
                <w:lang w:val="en-US" w:eastAsia="zh-CN" w:bidi="ar"/>
              </w:rPr>
              <w:t>Artemisia annua Linn.</w:t>
            </w:r>
          </w:p>
        </w:tc>
      </w:tr>
      <w:tr w14:paraId="62614C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0BBD916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1727759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蒿属</w:t>
            </w:r>
          </w:p>
        </w:tc>
        <w:tc>
          <w:tcPr>
            <w:tcW w:w="1400" w:type="dxa"/>
            <w:tcBorders>
              <w:tl2br w:val="nil"/>
              <w:tr2bl w:val="nil"/>
            </w:tcBorders>
            <w:vAlign w:val="center"/>
          </w:tcPr>
          <w:p w14:paraId="0E3024F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i w:val="0"/>
                <w:iCs w:val="0"/>
                <w:color w:val="auto"/>
                <w:sz w:val="21"/>
                <w:szCs w:val="21"/>
                <w:highlight w:val="none"/>
                <w:lang w:val="en-US" w:eastAsia="zh-CN" w:bidi="ar-SA"/>
              </w:rPr>
              <w:t>冷蒿</w:t>
            </w:r>
          </w:p>
        </w:tc>
        <w:tc>
          <w:tcPr>
            <w:tcW w:w="4877" w:type="dxa"/>
            <w:tcBorders>
              <w:tl2br w:val="nil"/>
              <w:tr2bl w:val="nil"/>
            </w:tcBorders>
            <w:vAlign w:val="center"/>
          </w:tcPr>
          <w:p w14:paraId="48BB388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i/>
                <w:iCs/>
                <w:snapToGrid w:val="0"/>
                <w:color w:val="auto"/>
                <w:spacing w:val="4"/>
                <w:kern w:val="0"/>
                <w:sz w:val="21"/>
                <w:szCs w:val="21"/>
                <w:lang w:eastAsia="en-US"/>
              </w:rPr>
            </w:pPr>
            <w:r>
              <w:rPr>
                <w:rFonts w:hint="default" w:ascii="Times New Roman" w:hAnsi="Times New Roman" w:eastAsia="宋体" w:cs="Times New Roman"/>
                <w:i/>
                <w:iCs/>
                <w:color w:val="auto"/>
                <w:sz w:val="21"/>
                <w:szCs w:val="21"/>
                <w:highlight w:val="none"/>
                <w:lang w:val="en-US" w:eastAsia="zh-CN" w:bidi="ar-SA"/>
              </w:rPr>
              <w:t>Artemisia frigida Willd.</w:t>
            </w:r>
          </w:p>
        </w:tc>
      </w:tr>
      <w:tr w14:paraId="2609B3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vMerge w:val="continue"/>
            <w:tcBorders>
              <w:tl2br w:val="nil"/>
              <w:tr2bl w:val="nil"/>
            </w:tcBorders>
            <w:vAlign w:val="center"/>
          </w:tcPr>
          <w:p w14:paraId="2C9582A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c>
          <w:tcPr>
            <w:tcW w:w="1417" w:type="dxa"/>
            <w:tcBorders>
              <w:tl2br w:val="nil"/>
              <w:tr2bl w:val="nil"/>
            </w:tcBorders>
            <w:vAlign w:val="center"/>
          </w:tcPr>
          <w:p w14:paraId="4CF933D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蒿属</w:t>
            </w:r>
          </w:p>
        </w:tc>
        <w:tc>
          <w:tcPr>
            <w:tcW w:w="1400" w:type="dxa"/>
            <w:tcBorders>
              <w:tl2br w:val="nil"/>
              <w:tr2bl w:val="nil"/>
            </w:tcBorders>
            <w:vAlign w:val="center"/>
          </w:tcPr>
          <w:p w14:paraId="6985D5D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白莲蒿</w:t>
            </w:r>
          </w:p>
        </w:tc>
        <w:tc>
          <w:tcPr>
            <w:tcW w:w="4877" w:type="dxa"/>
            <w:tcBorders>
              <w:tl2br w:val="nil"/>
              <w:tr2bl w:val="nil"/>
            </w:tcBorders>
            <w:vAlign w:val="center"/>
          </w:tcPr>
          <w:p w14:paraId="2BD28BE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i/>
                <w:iCs/>
                <w:snapToGrid w:val="0"/>
                <w:color w:val="auto"/>
                <w:spacing w:val="3"/>
                <w:kern w:val="0"/>
                <w:sz w:val="21"/>
                <w:szCs w:val="21"/>
                <w:lang w:eastAsia="en-US"/>
              </w:rPr>
              <w:t>Artemisia sacrorum Ledeb</w:t>
            </w:r>
          </w:p>
        </w:tc>
      </w:tr>
      <w:tr w14:paraId="2C94A6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320" w:type="dxa"/>
            <w:tcBorders>
              <w:tl2br w:val="nil"/>
              <w:tr2bl w:val="nil"/>
            </w:tcBorders>
            <w:vAlign w:val="center"/>
          </w:tcPr>
          <w:p w14:paraId="7F0EFC0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5"/>
                <w:kern w:val="0"/>
                <w:sz w:val="21"/>
                <w:szCs w:val="21"/>
                <w:lang w:val="en-US" w:eastAsia="en-US" w:bidi="ar-SA"/>
              </w:rPr>
              <w:t>胡颓子科</w:t>
            </w:r>
          </w:p>
        </w:tc>
        <w:tc>
          <w:tcPr>
            <w:tcW w:w="1417" w:type="dxa"/>
            <w:tcBorders>
              <w:tl2br w:val="nil"/>
              <w:tr2bl w:val="nil"/>
            </w:tcBorders>
            <w:vAlign w:val="center"/>
          </w:tcPr>
          <w:p w14:paraId="2930F43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沙棘属</w:t>
            </w:r>
          </w:p>
        </w:tc>
        <w:tc>
          <w:tcPr>
            <w:tcW w:w="1400" w:type="dxa"/>
            <w:tcBorders>
              <w:tl2br w:val="nil"/>
              <w:tr2bl w:val="nil"/>
            </w:tcBorders>
            <w:vAlign w:val="center"/>
          </w:tcPr>
          <w:p w14:paraId="54A5F0F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沙棘</w:t>
            </w:r>
          </w:p>
        </w:tc>
        <w:tc>
          <w:tcPr>
            <w:tcW w:w="4877" w:type="dxa"/>
            <w:tcBorders>
              <w:tl2br w:val="nil"/>
              <w:tr2bl w:val="nil"/>
            </w:tcBorders>
            <w:vAlign w:val="center"/>
          </w:tcPr>
          <w:p w14:paraId="2066E78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i/>
                <w:iCs/>
                <w:snapToGrid w:val="0"/>
                <w:color w:val="auto"/>
                <w:spacing w:val="4"/>
                <w:kern w:val="0"/>
                <w:sz w:val="21"/>
                <w:szCs w:val="21"/>
                <w:lang w:eastAsia="en-US"/>
              </w:rPr>
              <w:t xml:space="preserve">Hippophae rhamnoides </w:t>
            </w:r>
            <w:r>
              <w:rPr>
                <w:rFonts w:hint="default" w:ascii="Times New Roman" w:hAnsi="Times New Roman" w:eastAsia="宋体" w:cs="Times New Roman"/>
                <w:i/>
                <w:iCs/>
                <w:snapToGrid w:val="0"/>
                <w:color w:val="auto"/>
                <w:spacing w:val="3"/>
                <w:kern w:val="0"/>
                <w:sz w:val="21"/>
                <w:szCs w:val="21"/>
                <w:lang w:eastAsia="en-US"/>
              </w:rPr>
              <w:t>Linn.</w:t>
            </w:r>
          </w:p>
        </w:tc>
      </w:tr>
    </w:tbl>
    <w:p w14:paraId="08C43427">
      <w:pPr>
        <w:pStyle w:val="10"/>
        <w:keepNext w:val="0"/>
        <w:keepLines w:val="0"/>
        <w:pageBreakBefore w:val="0"/>
        <w:widowControl/>
        <w:kinsoku/>
        <w:wordWrap/>
        <w:overflowPunct/>
        <w:topLinePunct w:val="0"/>
        <w:autoSpaceDE/>
        <w:autoSpaceDN/>
        <w:bidi w:val="0"/>
        <w:adjustRightInd w:val="0"/>
        <w:snapToGrid w:val="0"/>
        <w:spacing w:before="0" w:beforeLines="50" w:after="0" w:line="360" w:lineRule="auto"/>
        <w:ind w:right="0" w:firstLine="482" w:firstLineChars="200"/>
        <w:textAlignment w:val="auto"/>
        <w:rPr>
          <w:rFonts w:hint="default" w:ascii="Times New Roman" w:hAnsi="Times New Roman" w:eastAsia="宋体" w:cs="Times New Roman"/>
          <w:snapToGrid w:val="0"/>
          <w:color w:val="auto"/>
          <w:spacing w:val="-2"/>
          <w:kern w:val="0"/>
          <w:sz w:val="24"/>
          <w:szCs w:val="24"/>
          <w:lang w:val="en-US" w:eastAsia="en-US" w:bidi="ar-SA"/>
        </w:rPr>
      </w:pPr>
      <w:r>
        <w:rPr>
          <w:rFonts w:hint="default" w:ascii="Times New Roman" w:hAnsi="Times New Roman" w:cs="Times New Roman"/>
          <w:b/>
          <w:bCs/>
          <w:color w:val="auto"/>
          <w:kern w:val="0"/>
          <w:sz w:val="24"/>
          <w:highlight w:val="none"/>
          <w:lang w:eastAsia="zh-CN" w:bidi="ar"/>
        </w:rPr>
        <w:t>⑷</w:t>
      </w:r>
      <w:bookmarkStart w:id="479" w:name="_Toc109767242"/>
      <w:bookmarkStart w:id="480" w:name="_Toc14936"/>
      <w:bookmarkStart w:id="481" w:name="_Toc17893"/>
      <w:r>
        <w:rPr>
          <w:rFonts w:hint="default" w:ascii="Times New Roman" w:hAnsi="Times New Roman" w:eastAsia="宋体" w:cs="Times New Roman"/>
          <w:b/>
          <w:bCs/>
          <w:snapToGrid w:val="0"/>
          <w:color w:val="auto"/>
          <w:spacing w:val="-2"/>
          <w:kern w:val="0"/>
          <w:sz w:val="24"/>
          <w:szCs w:val="24"/>
          <w:lang w:val="en-US" w:eastAsia="en-US" w:bidi="ar-SA"/>
        </w:rPr>
        <w:t>评价区野生植物资源</w:t>
      </w:r>
    </w:p>
    <w:p w14:paraId="75515430">
      <w:pPr>
        <w:pStyle w:val="69"/>
        <w:spacing w:line="360" w:lineRule="auto"/>
        <w:ind w:firstLineChars="200"/>
        <w:rPr>
          <w:rFonts w:hint="default" w:ascii="Times New Roman" w:hAnsi="Times New Roman" w:eastAsia="宋体" w:cs="Times New Roman"/>
          <w:snapToGrid w:val="0"/>
          <w:color w:val="auto"/>
          <w:spacing w:val="-2"/>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根据查阅资料和现场走访，评价区域植被主要有评价区有维管植物38科102属136 种，其中蕨类植物3科5属9种，裸子植物2科3属3种，被子植物36科</w:t>
      </w:r>
      <w:r>
        <w:rPr>
          <w:rFonts w:hint="eastAsia" w:ascii="Times New Roman" w:hAnsi="Times New Roman" w:cs="Times New Roman"/>
          <w:snapToGrid w:val="0"/>
          <w:color w:val="auto"/>
          <w:spacing w:val="-2"/>
          <w:kern w:val="0"/>
          <w:sz w:val="24"/>
          <w:szCs w:val="24"/>
          <w:lang w:val="en-US" w:eastAsia="zh-CN" w:bidi="ar-SA"/>
        </w:rPr>
        <w:t>8</w:t>
      </w:r>
      <w:r>
        <w:rPr>
          <w:rFonts w:hint="default" w:ascii="Times New Roman" w:hAnsi="Times New Roman" w:eastAsia="宋体" w:cs="Times New Roman"/>
          <w:snapToGrid w:val="0"/>
          <w:color w:val="auto"/>
          <w:spacing w:val="-2"/>
          <w:kern w:val="0"/>
          <w:sz w:val="24"/>
          <w:szCs w:val="24"/>
          <w:lang w:val="en-US" w:eastAsia="en-US" w:bidi="ar-SA"/>
        </w:rPr>
        <w:t>9属156种。被子植物构成地区植物区系主体，在生物多样性保护中占有重要地位。植物资源以温带分布为主。</w:t>
      </w:r>
    </w:p>
    <w:p w14:paraId="0B0C2729">
      <w:pPr>
        <w:pStyle w:val="69"/>
        <w:spacing w:line="360" w:lineRule="auto"/>
        <w:ind w:firstLineChars="200"/>
        <w:rPr>
          <w:rFonts w:hint="default" w:ascii="Times New Roman" w:hAnsi="Times New Roman" w:eastAsia="宋体" w:cs="Times New Roman"/>
          <w:b/>
          <w:bCs/>
          <w:snapToGrid w:val="0"/>
          <w:color w:val="auto"/>
          <w:spacing w:val="-2"/>
          <w:kern w:val="0"/>
          <w:sz w:val="24"/>
          <w:szCs w:val="24"/>
          <w:lang w:val="zh-CN" w:eastAsia="en-US" w:bidi="ar-SA"/>
        </w:rPr>
      </w:pPr>
      <w:r>
        <w:rPr>
          <w:rFonts w:hint="default" w:ascii="Times New Roman" w:hAnsi="Times New Roman" w:cs="Times New Roman"/>
          <w:b/>
          <w:bCs/>
          <w:color w:val="auto"/>
          <w:kern w:val="0"/>
          <w:sz w:val="24"/>
          <w:highlight w:val="none"/>
          <w:lang w:eastAsia="zh-CN"/>
        </w:rPr>
        <w:t>⑸</w:t>
      </w:r>
      <w:r>
        <w:rPr>
          <w:rFonts w:hint="default" w:ascii="Times New Roman" w:hAnsi="Times New Roman" w:eastAsia="宋体" w:cs="Times New Roman"/>
          <w:b/>
          <w:bCs/>
          <w:snapToGrid w:val="0"/>
          <w:color w:val="auto"/>
          <w:spacing w:val="-2"/>
          <w:kern w:val="0"/>
          <w:sz w:val="24"/>
          <w:szCs w:val="24"/>
          <w:lang w:val="zh-CN" w:eastAsia="en-US" w:bidi="ar-SA"/>
        </w:rPr>
        <w:t>评价区国家重点保护野生植物</w:t>
      </w:r>
    </w:p>
    <w:p w14:paraId="38751626">
      <w:pPr>
        <w:pStyle w:val="69"/>
        <w:spacing w:line="360" w:lineRule="auto"/>
        <w:ind w:firstLineChars="200"/>
        <w:rPr>
          <w:rFonts w:hint="default" w:ascii="宋体" w:hAnsi="宋体" w:eastAsia="宋体" w:cs="宋体"/>
          <w:snapToGrid w:val="0"/>
          <w:color w:val="auto"/>
          <w:spacing w:val="-2"/>
          <w:kern w:val="0"/>
          <w:sz w:val="24"/>
          <w:szCs w:val="24"/>
          <w:lang w:val="zh-CN" w:eastAsia="en-US" w:bidi="ar-SA"/>
        </w:rPr>
      </w:pPr>
      <w:r>
        <w:rPr>
          <w:rFonts w:hint="default" w:ascii="Times New Roman" w:hAnsi="Times New Roman" w:eastAsia="宋体" w:cs="Times New Roman"/>
          <w:snapToGrid w:val="0"/>
          <w:color w:val="auto"/>
          <w:spacing w:val="-2"/>
          <w:kern w:val="0"/>
          <w:sz w:val="24"/>
          <w:szCs w:val="24"/>
          <w:lang w:val="zh-CN" w:eastAsia="en-US" w:bidi="ar-SA"/>
        </w:rPr>
        <w:t>根据项目现场勘探及查阅相关资料可知，评价区内多数植物为当地常见种且分布范围较广，未发现《中国生物多样性红色名录》、《国家重点保护野生植物名录》（2021  年）和《宁夏回族自治区重</w:t>
      </w:r>
      <w:r>
        <w:rPr>
          <w:rFonts w:hint="default" w:ascii="宋体" w:hAnsi="宋体" w:eastAsia="宋体" w:cs="宋体"/>
          <w:snapToGrid w:val="0"/>
          <w:color w:val="auto"/>
          <w:spacing w:val="-2"/>
          <w:kern w:val="0"/>
          <w:sz w:val="24"/>
          <w:szCs w:val="24"/>
          <w:lang w:val="zh-CN" w:eastAsia="en-US" w:bidi="ar-SA"/>
        </w:rPr>
        <w:t>点保护野生植物名录（第一批）》中重要野生植物。</w:t>
      </w:r>
    </w:p>
    <w:p w14:paraId="28EC58BD">
      <w:pPr>
        <w:pStyle w:val="5"/>
        <w:spacing w:before="0" w:after="0" w:line="360" w:lineRule="auto"/>
        <w:ind w:left="0" w:leftChars="0" w:firstLine="0" w:firstLineChars="0"/>
        <w:jc w:val="both"/>
        <w:outlineLvl w:val="3"/>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bookmarkEnd w:id="479"/>
      <w:bookmarkEnd w:id="480"/>
      <w:bookmarkEnd w:id="481"/>
      <w:r>
        <w:rPr>
          <w:rFonts w:hint="default" w:ascii="Times New Roman" w:hAnsi="Times New Roman" w:eastAsia="宋体" w:cs="Times New Roman"/>
          <w:b/>
          <w:bCs/>
          <w:color w:val="auto"/>
          <w:sz w:val="24"/>
          <w:szCs w:val="24"/>
          <w:highlight w:val="none"/>
        </w:rPr>
        <w:t>3.3动物现状调查与评价</w:t>
      </w:r>
    </w:p>
    <w:p w14:paraId="2050636F">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2" w:firstLineChars="200"/>
        <w:jc w:val="both"/>
        <w:textAlignment w:val="baseline"/>
        <w:rPr>
          <w:rFonts w:ascii="宋体" w:hAnsi="宋体" w:eastAsia="宋体" w:cs="宋体"/>
          <w:snapToGrid w:val="0"/>
          <w:color w:val="auto"/>
          <w:kern w:val="0"/>
          <w:sz w:val="24"/>
          <w:szCs w:val="24"/>
          <w:lang w:val="en-US" w:eastAsia="en-US" w:bidi="ar-SA"/>
        </w:rPr>
      </w:pPr>
      <w:bookmarkStart w:id="482" w:name="_Toc2285_WPSOffice_Level3"/>
      <w:bookmarkStart w:id="483" w:name="_Toc30115_WPSOffice_Level3"/>
      <w:bookmarkStart w:id="484" w:name="_Toc24326_WPSOffice_Level3"/>
      <w:bookmarkStart w:id="485" w:name="_Toc3268_WPSOffice_Level3"/>
      <w:r>
        <w:rPr>
          <w:rFonts w:hint="default" w:ascii="Times New Roman" w:hAnsi="Times New Roman" w:cs="Times New Roman"/>
          <w:b/>
          <w:bCs/>
          <w:color w:val="auto"/>
          <w:kern w:val="0"/>
          <w:sz w:val="24"/>
          <w:highlight w:val="none"/>
          <w:lang w:eastAsia="zh-CN"/>
        </w:rPr>
        <w:t>⑴</w:t>
      </w:r>
      <w:r>
        <w:rPr>
          <w:rFonts w:ascii="宋体" w:hAnsi="宋体" w:eastAsia="宋体" w:cs="宋体"/>
          <w:b/>
          <w:bCs/>
          <w:snapToGrid w:val="0"/>
          <w:color w:val="auto"/>
          <w:spacing w:val="-5"/>
          <w:kern w:val="0"/>
          <w:sz w:val="24"/>
          <w:szCs w:val="24"/>
          <w:lang w:val="en-US" w:eastAsia="en-US" w:bidi="ar-SA"/>
        </w:rPr>
        <w:t>动物区系</w:t>
      </w:r>
    </w:p>
    <w:p w14:paraId="31AB36C4">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76" w:firstLineChars="200"/>
        <w:jc w:val="both"/>
        <w:textAlignment w:val="baseline"/>
        <w:rPr>
          <w:color w:val="auto"/>
        </w:rPr>
      </w:pPr>
      <w:r>
        <w:rPr>
          <w:rFonts w:ascii="宋体" w:hAnsi="宋体" w:eastAsia="宋体" w:cs="宋体"/>
          <w:snapToGrid w:val="0"/>
          <w:color w:val="auto"/>
          <w:spacing w:val="-1"/>
          <w:kern w:val="0"/>
          <w:sz w:val="24"/>
          <w:szCs w:val="24"/>
          <w:lang w:val="en-US" w:eastAsia="en-US" w:bidi="ar-SA"/>
        </w:rPr>
        <w:t>评价区内陆生动物三级区划详见</w:t>
      </w:r>
      <w:r>
        <w:rPr>
          <w:rFonts w:hint="eastAsia" w:ascii="宋体" w:hAnsi="宋体" w:cs="宋体"/>
          <w:snapToGrid w:val="0"/>
          <w:color w:val="auto"/>
          <w:spacing w:val="-1"/>
          <w:kern w:val="0"/>
          <w:sz w:val="24"/>
          <w:szCs w:val="24"/>
          <w:lang w:val="en-US" w:eastAsia="zh-CN" w:bidi="ar-SA"/>
        </w:rPr>
        <w:t>专题</w:t>
      </w:r>
      <w:r>
        <w:rPr>
          <w:rFonts w:ascii="宋体" w:hAnsi="宋体" w:eastAsia="宋体" w:cs="宋体"/>
          <w:snapToGrid w:val="0"/>
          <w:color w:val="auto"/>
          <w:spacing w:val="-1"/>
          <w:kern w:val="0"/>
          <w:sz w:val="24"/>
          <w:szCs w:val="24"/>
          <w:lang w:val="en-US" w:eastAsia="en-US" w:bidi="ar-SA"/>
        </w:rPr>
        <w:t>表</w:t>
      </w:r>
      <w:r>
        <w:rPr>
          <w:rFonts w:ascii="宋体" w:hAnsi="宋体" w:eastAsia="宋体" w:cs="宋体"/>
          <w:snapToGrid w:val="0"/>
          <w:color w:val="auto"/>
          <w:spacing w:val="-50"/>
          <w:kern w:val="0"/>
          <w:sz w:val="24"/>
          <w:szCs w:val="24"/>
          <w:lang w:val="en-US" w:eastAsia="en-US" w:bidi="ar-SA"/>
        </w:rPr>
        <w:t xml:space="preserve"> </w:t>
      </w:r>
      <w:r>
        <w:rPr>
          <w:rFonts w:hint="eastAsia" w:ascii="Times New Roman" w:hAnsi="Times New Roman" w:eastAsia="宋体" w:cs="Times New Roman"/>
          <w:snapToGrid w:val="0"/>
          <w:color w:val="auto"/>
          <w:spacing w:val="-1"/>
          <w:kern w:val="0"/>
          <w:sz w:val="24"/>
          <w:szCs w:val="24"/>
          <w:lang w:val="en-US" w:eastAsia="zh-CN" w:bidi="ar-SA"/>
        </w:rPr>
        <w:t>2</w:t>
      </w:r>
      <w:r>
        <w:rPr>
          <w:rFonts w:ascii="Times New Roman" w:hAnsi="Times New Roman" w:eastAsia="Times New Roman" w:cs="Times New Roman"/>
          <w:snapToGrid w:val="0"/>
          <w:color w:val="auto"/>
          <w:spacing w:val="-1"/>
          <w:kern w:val="0"/>
          <w:sz w:val="24"/>
          <w:szCs w:val="24"/>
          <w:lang w:val="en-US" w:eastAsia="en-US" w:bidi="ar-SA"/>
        </w:rPr>
        <w:t>-</w:t>
      </w:r>
      <w:r>
        <w:rPr>
          <w:rFonts w:hint="eastAsia" w:cs="Times New Roman"/>
          <w:snapToGrid w:val="0"/>
          <w:color w:val="auto"/>
          <w:spacing w:val="-1"/>
          <w:kern w:val="0"/>
          <w:sz w:val="24"/>
          <w:szCs w:val="24"/>
          <w:lang w:val="en-US" w:eastAsia="zh-CN" w:bidi="ar-SA"/>
        </w:rPr>
        <w:t>9</w:t>
      </w:r>
      <w:r>
        <w:rPr>
          <w:rFonts w:ascii="宋体" w:hAnsi="宋体" w:eastAsia="宋体" w:cs="宋体"/>
          <w:snapToGrid w:val="0"/>
          <w:color w:val="auto"/>
          <w:spacing w:val="-1"/>
          <w:kern w:val="0"/>
          <w:sz w:val="24"/>
          <w:szCs w:val="24"/>
          <w:lang w:val="en-US" w:eastAsia="en-US" w:bidi="ar-SA"/>
        </w:rPr>
        <w:t>。</w:t>
      </w:r>
    </w:p>
    <w:p w14:paraId="79B6C8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highlight w:val="none"/>
          <w:lang w:val="en-US" w:eastAsia="en-US"/>
        </w:rPr>
      </w:pPr>
      <w:r>
        <w:rPr>
          <w:rFonts w:hint="eastAsia" w:ascii="Times New Roman" w:hAnsi="Times New Roman" w:eastAsia="宋体" w:cs="Times New Roman"/>
          <w:b/>
          <w:bCs/>
          <w:color w:val="auto"/>
          <w:sz w:val="24"/>
          <w:highlight w:val="none"/>
          <w:lang w:val="en-US" w:eastAsia="zh-CN"/>
        </w:rPr>
        <w:t>专题</w:t>
      </w:r>
      <w:r>
        <w:rPr>
          <w:rFonts w:hint="default" w:ascii="Times New Roman" w:hAnsi="Times New Roman" w:eastAsia="宋体" w:cs="Times New Roman"/>
          <w:b/>
          <w:bCs/>
          <w:color w:val="auto"/>
          <w:sz w:val="24"/>
          <w:highlight w:val="none"/>
          <w:lang w:val="en-US" w:eastAsia="en-US"/>
        </w:rPr>
        <w:t>表</w:t>
      </w:r>
      <w:r>
        <w:rPr>
          <w:rFonts w:hint="eastAsia"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val="en-US" w:eastAsia="en-US"/>
        </w:rPr>
        <w:t>-</w:t>
      </w:r>
      <w:r>
        <w:rPr>
          <w:rFonts w:hint="eastAsia"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lang w:val="en-US" w:eastAsia="en-US"/>
        </w:rPr>
        <w:t xml:space="preserve">    评价区动物三级区划一览表</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37"/>
        <w:gridCol w:w="1317"/>
        <w:gridCol w:w="2500"/>
        <w:gridCol w:w="3660"/>
      </w:tblGrid>
      <w:tr w14:paraId="3FF7C8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537" w:type="dxa"/>
            <w:tcBorders>
              <w:top w:val="single" w:color="000000" w:sz="10" w:space="0"/>
              <w:left w:val="nil"/>
            </w:tcBorders>
            <w:vAlign w:val="center"/>
          </w:tcPr>
          <w:p w14:paraId="3842C1C0">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1"/>
                <w:szCs w:val="21"/>
                <w:lang w:val="en-US" w:eastAsia="en-US" w:bidi="ar-SA"/>
              </w:rPr>
            </w:pPr>
            <w:r>
              <w:rPr>
                <w:rFonts w:ascii="Times New Roman" w:hAnsi="Times New Roman" w:eastAsia="Times New Roman" w:cs="Times New Roman"/>
                <w:b/>
                <w:bCs/>
                <w:snapToGrid w:val="0"/>
                <w:color w:val="auto"/>
                <w:spacing w:val="-29"/>
                <w:kern w:val="0"/>
                <w:sz w:val="21"/>
                <w:szCs w:val="21"/>
                <w:lang w:val="en-US" w:eastAsia="en-US" w:bidi="ar-SA"/>
              </w:rPr>
              <w:t xml:space="preserve">0 </w:t>
            </w:r>
            <w:r>
              <w:rPr>
                <w:rFonts w:ascii="宋体" w:hAnsi="宋体" w:eastAsia="宋体" w:cs="宋体"/>
                <w:b/>
                <w:bCs/>
                <w:snapToGrid w:val="0"/>
                <w:color w:val="auto"/>
                <w:spacing w:val="-29"/>
                <w:kern w:val="0"/>
                <w:sz w:val="21"/>
                <w:szCs w:val="21"/>
                <w:lang w:val="en-US" w:eastAsia="en-US" w:bidi="ar-SA"/>
              </w:rPr>
              <w:t>级（界）</w:t>
            </w:r>
          </w:p>
        </w:tc>
        <w:tc>
          <w:tcPr>
            <w:tcW w:w="1317" w:type="dxa"/>
            <w:tcBorders>
              <w:top w:val="single" w:color="000000" w:sz="10" w:space="0"/>
            </w:tcBorders>
            <w:vAlign w:val="center"/>
          </w:tcPr>
          <w:p w14:paraId="421003D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17"/>
                <w:kern w:val="0"/>
                <w:sz w:val="21"/>
                <w:szCs w:val="21"/>
                <w:lang w:val="en-US" w:eastAsia="en-US" w:bidi="ar-SA"/>
              </w:rPr>
              <w:t>一级（区）</w:t>
            </w:r>
          </w:p>
        </w:tc>
        <w:tc>
          <w:tcPr>
            <w:tcW w:w="2500" w:type="dxa"/>
            <w:tcBorders>
              <w:top w:val="single" w:color="000000" w:sz="10" w:space="0"/>
            </w:tcBorders>
            <w:vAlign w:val="center"/>
          </w:tcPr>
          <w:p w14:paraId="426C3F4A">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4"/>
                <w:kern w:val="0"/>
                <w:sz w:val="21"/>
                <w:szCs w:val="21"/>
                <w:lang w:val="en-US" w:eastAsia="en-US" w:bidi="ar-SA"/>
              </w:rPr>
              <w:t>二级（亚区）</w:t>
            </w:r>
          </w:p>
        </w:tc>
        <w:tc>
          <w:tcPr>
            <w:tcW w:w="3660" w:type="dxa"/>
            <w:tcBorders>
              <w:top w:val="single" w:color="000000" w:sz="10" w:space="0"/>
              <w:right w:val="nil"/>
            </w:tcBorders>
            <w:vAlign w:val="center"/>
          </w:tcPr>
          <w:p w14:paraId="00B921B4">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3"/>
                <w:kern w:val="0"/>
                <w:sz w:val="21"/>
                <w:szCs w:val="21"/>
                <w:lang w:val="en-US" w:eastAsia="en-US" w:bidi="ar-SA"/>
              </w:rPr>
              <w:t>三级（动物地理省）</w:t>
            </w:r>
          </w:p>
        </w:tc>
      </w:tr>
      <w:tr w14:paraId="4EB050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537" w:type="dxa"/>
            <w:tcBorders>
              <w:left w:val="nil"/>
              <w:bottom w:val="single" w:color="000000" w:sz="10" w:space="0"/>
            </w:tcBorders>
            <w:vAlign w:val="center"/>
          </w:tcPr>
          <w:p w14:paraId="0D7B539D">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spacing w:val="-4"/>
                <w:kern w:val="0"/>
                <w:sz w:val="21"/>
                <w:szCs w:val="21"/>
                <w:lang w:val="en-US" w:eastAsia="en-US" w:bidi="ar-SA"/>
              </w:rPr>
              <w:t>古北界</w:t>
            </w:r>
          </w:p>
        </w:tc>
        <w:tc>
          <w:tcPr>
            <w:tcW w:w="1317" w:type="dxa"/>
            <w:tcBorders>
              <w:bottom w:val="single" w:color="000000" w:sz="10" w:space="0"/>
            </w:tcBorders>
            <w:vAlign w:val="center"/>
          </w:tcPr>
          <w:p w14:paraId="79274D42">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spacing w:val="-2"/>
                <w:kern w:val="0"/>
                <w:sz w:val="21"/>
                <w:szCs w:val="21"/>
                <w:lang w:val="en-US" w:eastAsia="en-US" w:bidi="ar-SA"/>
              </w:rPr>
              <w:t>华北区Ⅱ</w:t>
            </w:r>
          </w:p>
        </w:tc>
        <w:tc>
          <w:tcPr>
            <w:tcW w:w="2500" w:type="dxa"/>
            <w:tcBorders>
              <w:bottom w:val="single" w:color="000000" w:sz="10" w:space="0"/>
            </w:tcBorders>
            <w:vAlign w:val="center"/>
          </w:tcPr>
          <w:p w14:paraId="24B7B8C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hanging="563"/>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hint="eastAsia" w:ascii="宋体" w:hAnsi="宋体" w:cs="宋体"/>
                <w:snapToGrid w:val="0"/>
                <w:color w:val="auto"/>
                <w:spacing w:val="-2"/>
                <w:kern w:val="0"/>
                <w:sz w:val="21"/>
                <w:szCs w:val="21"/>
                <w:lang w:val="en-US" w:eastAsia="zh-CN" w:bidi="ar-SA"/>
              </w:rPr>
              <w:t xml:space="preserve">     </w:t>
            </w:r>
            <w:r>
              <w:rPr>
                <w:rFonts w:ascii="宋体" w:hAnsi="宋体" w:eastAsia="宋体" w:cs="宋体"/>
                <w:snapToGrid w:val="0"/>
                <w:color w:val="auto"/>
                <w:spacing w:val="-2"/>
                <w:kern w:val="0"/>
                <w:sz w:val="21"/>
                <w:szCs w:val="21"/>
                <w:lang w:val="en-US" w:eastAsia="en-US" w:bidi="ar-SA"/>
              </w:rPr>
              <w:t>黄土高原亚区</w:t>
            </w:r>
            <w:r>
              <w:rPr>
                <w:rFonts w:ascii="宋体" w:hAnsi="宋体" w:eastAsia="宋体" w:cs="宋体"/>
                <w:snapToGrid w:val="0"/>
                <w:color w:val="auto"/>
                <w:spacing w:val="-26"/>
                <w:kern w:val="0"/>
                <w:sz w:val="21"/>
                <w:szCs w:val="21"/>
                <w:lang w:val="en-US" w:eastAsia="en-US" w:bidi="ar-SA"/>
              </w:rPr>
              <w:t>Ⅱ</w:t>
            </w:r>
            <w:r>
              <w:rPr>
                <w:rFonts w:ascii="Times New Roman" w:hAnsi="Times New Roman" w:eastAsia="Times New Roman" w:cs="Times New Roman"/>
                <w:snapToGrid w:val="0"/>
                <w:color w:val="auto"/>
                <w:spacing w:val="-26"/>
                <w:kern w:val="0"/>
                <w:sz w:val="21"/>
                <w:szCs w:val="21"/>
                <w:lang w:val="en-US" w:eastAsia="en-US" w:bidi="ar-SA"/>
              </w:rPr>
              <w:t>B</w:t>
            </w:r>
          </w:p>
        </w:tc>
        <w:tc>
          <w:tcPr>
            <w:tcW w:w="3660" w:type="dxa"/>
            <w:tcBorders>
              <w:bottom w:val="single" w:color="000000" w:sz="10" w:space="0"/>
              <w:right w:val="nil"/>
            </w:tcBorders>
            <w:vAlign w:val="center"/>
          </w:tcPr>
          <w:p w14:paraId="3A072D17">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spacing w:val="-1"/>
                <w:kern w:val="0"/>
                <w:sz w:val="21"/>
                <w:szCs w:val="21"/>
                <w:lang w:val="en-US" w:eastAsia="en-US" w:bidi="ar-SA"/>
              </w:rPr>
              <w:t>温带森林</w:t>
            </w:r>
            <w:r>
              <w:rPr>
                <w:rFonts w:ascii="Times New Roman" w:hAnsi="Times New Roman" w:eastAsia="Times New Roman" w:cs="Times New Roman"/>
                <w:snapToGrid w:val="0"/>
                <w:color w:val="auto"/>
                <w:spacing w:val="-1"/>
                <w:kern w:val="0"/>
                <w:sz w:val="21"/>
                <w:szCs w:val="21"/>
                <w:lang w:val="en-US" w:eastAsia="en-US" w:bidi="ar-SA"/>
              </w:rPr>
              <w:t>-</w:t>
            </w:r>
            <w:r>
              <w:rPr>
                <w:rFonts w:ascii="宋体" w:hAnsi="宋体" w:eastAsia="宋体" w:cs="宋体"/>
                <w:snapToGrid w:val="0"/>
                <w:color w:val="auto"/>
                <w:spacing w:val="-1"/>
                <w:kern w:val="0"/>
                <w:sz w:val="21"/>
                <w:szCs w:val="21"/>
                <w:lang w:val="en-US" w:eastAsia="en-US" w:bidi="ar-SA"/>
              </w:rPr>
              <w:t>森林草原农田动物群</w:t>
            </w:r>
          </w:p>
        </w:tc>
      </w:tr>
    </w:tbl>
    <w:p w14:paraId="6F2DE1AE">
      <w:pPr>
        <w:keepNext w:val="0"/>
        <w:keepLines w:val="0"/>
        <w:pageBreakBefore w:val="0"/>
        <w:widowControl w:val="0"/>
        <w:kinsoku w:val="0"/>
        <w:wordWrap/>
        <w:overflowPunct/>
        <w:topLinePunct w:val="0"/>
        <w:autoSpaceDE w:val="0"/>
        <w:autoSpaceDN w:val="0"/>
        <w:bidi w:val="0"/>
        <w:adjustRightInd w:val="0"/>
        <w:snapToGrid w:val="0"/>
        <w:spacing w:before="0" w:beforeLines="50" w:line="360" w:lineRule="auto"/>
        <w:ind w:left="0" w:right="0" w:firstLine="482"/>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温带森林</w:t>
      </w:r>
      <w:r>
        <w:rPr>
          <w:rFonts w:ascii="Times New Roman" w:hAnsi="Times New Roman" w:eastAsia="Times New Roman" w:cs="Times New Roman"/>
          <w:snapToGrid w:val="0"/>
          <w:color w:val="auto"/>
          <w:spacing w:val="1"/>
          <w:kern w:val="0"/>
          <w:sz w:val="24"/>
          <w:szCs w:val="24"/>
          <w:lang w:val="en-US" w:eastAsia="en-US" w:bidi="ar-SA"/>
        </w:rPr>
        <w:t>-</w:t>
      </w:r>
      <w:r>
        <w:rPr>
          <w:rFonts w:ascii="宋体" w:hAnsi="宋体" w:eastAsia="宋体" w:cs="宋体"/>
          <w:snapToGrid w:val="0"/>
          <w:color w:val="auto"/>
          <w:spacing w:val="1"/>
          <w:kern w:val="0"/>
          <w:sz w:val="24"/>
          <w:szCs w:val="24"/>
          <w:lang w:val="en-US" w:eastAsia="en-US" w:bidi="ar-SA"/>
        </w:rPr>
        <w:t>森林草原农田动物群：从东北针叶林带以南至秦岭、淮河以北的</w:t>
      </w:r>
      <w:r>
        <w:rPr>
          <w:rFonts w:ascii="宋体" w:hAnsi="宋体" w:eastAsia="宋体" w:cs="宋体"/>
          <w:snapToGrid w:val="0"/>
          <w:color w:val="auto"/>
          <w:spacing w:val="-3"/>
          <w:kern w:val="0"/>
          <w:sz w:val="24"/>
          <w:szCs w:val="24"/>
          <w:lang w:val="en-US" w:eastAsia="en-US" w:bidi="ar-SA"/>
        </w:rPr>
        <w:t>广大温带季风地区，相当于动物地理区划东北区的长白山地及松辽平原两亚区及</w:t>
      </w:r>
      <w:r>
        <w:rPr>
          <w:rFonts w:ascii="宋体" w:hAnsi="宋体" w:eastAsia="宋体" w:cs="宋体"/>
          <w:snapToGrid w:val="0"/>
          <w:color w:val="auto"/>
          <w:spacing w:val="-6"/>
          <w:kern w:val="0"/>
          <w:sz w:val="24"/>
          <w:szCs w:val="24"/>
          <w:lang w:val="en-US" w:eastAsia="en-US" w:bidi="ar-SA"/>
        </w:rPr>
        <w:t xml:space="preserve">全部华北区的范围。林木以温带落叶阔叶林及阔混交林为主， </w:t>
      </w:r>
      <w:r>
        <w:rPr>
          <w:rFonts w:ascii="宋体" w:hAnsi="宋体" w:eastAsia="宋体" w:cs="宋体"/>
          <w:snapToGrid w:val="0"/>
          <w:color w:val="auto"/>
          <w:spacing w:val="-7"/>
          <w:kern w:val="0"/>
          <w:sz w:val="24"/>
          <w:szCs w:val="24"/>
          <w:lang w:val="en-US" w:eastAsia="en-US" w:bidi="ar-SA"/>
        </w:rPr>
        <w:t>限存于山地。林栖</w:t>
      </w:r>
      <w:r>
        <w:rPr>
          <w:rFonts w:ascii="宋体" w:hAnsi="宋体" w:eastAsia="宋体" w:cs="宋体"/>
          <w:snapToGrid w:val="0"/>
          <w:color w:val="auto"/>
          <w:spacing w:val="-1"/>
          <w:kern w:val="0"/>
          <w:sz w:val="24"/>
          <w:szCs w:val="24"/>
          <w:lang w:val="en-US" w:eastAsia="en-US" w:bidi="ar-SA"/>
        </w:rPr>
        <w:t>动物较为丰富，兽类中有狍、野猪、青羊、梅花鹿、黄</w:t>
      </w:r>
      <w:r>
        <w:rPr>
          <w:rFonts w:ascii="宋体" w:hAnsi="宋体" w:eastAsia="宋体" w:cs="宋体"/>
          <w:snapToGrid w:val="0"/>
          <w:color w:val="auto"/>
          <w:spacing w:val="-2"/>
          <w:kern w:val="0"/>
          <w:sz w:val="24"/>
          <w:szCs w:val="24"/>
          <w:lang w:val="en-US" w:eastAsia="en-US" w:bidi="ar-SA"/>
        </w:rPr>
        <w:t>鼬、黑熊、貉、虎、豹、</w:t>
      </w:r>
      <w:r>
        <w:rPr>
          <w:rFonts w:ascii="宋体" w:hAnsi="宋体" w:eastAsia="宋体" w:cs="宋体"/>
          <w:snapToGrid w:val="0"/>
          <w:color w:val="auto"/>
          <w:spacing w:val="-3"/>
          <w:kern w:val="0"/>
          <w:sz w:val="24"/>
          <w:szCs w:val="24"/>
          <w:lang w:val="en-US" w:eastAsia="en-US" w:bidi="ar-SA"/>
        </w:rPr>
        <w:t>林姬鼠，沼泽地区则主要为黑线姬鼠和东方田鼠。华北山林地区优势的动物群大</w:t>
      </w:r>
      <w:r>
        <w:rPr>
          <w:rFonts w:ascii="宋体" w:hAnsi="宋体" w:eastAsia="宋体" w:cs="宋体"/>
          <w:snapToGrid w:val="0"/>
          <w:color w:val="auto"/>
          <w:spacing w:val="-6"/>
          <w:kern w:val="0"/>
          <w:sz w:val="24"/>
          <w:szCs w:val="24"/>
          <w:lang w:val="en-US" w:eastAsia="en-US" w:bidi="ar-SA"/>
        </w:rPr>
        <w:t>致与东北温带林区种相似，但典型森林啮齿类红背、棕背已罕见</w:t>
      </w:r>
      <w:r>
        <w:rPr>
          <w:rFonts w:ascii="宋体" w:hAnsi="宋体" w:eastAsia="宋体" w:cs="宋体"/>
          <w:snapToGrid w:val="0"/>
          <w:color w:val="auto"/>
          <w:spacing w:val="-7"/>
          <w:kern w:val="0"/>
          <w:sz w:val="24"/>
          <w:szCs w:val="24"/>
          <w:lang w:val="en-US" w:eastAsia="en-US" w:bidi="ar-SA"/>
        </w:rPr>
        <w:t>， 并出现了与南</w:t>
      </w:r>
      <w:r>
        <w:rPr>
          <w:rFonts w:ascii="宋体" w:hAnsi="宋体" w:eastAsia="宋体" w:cs="宋体"/>
          <w:snapToGrid w:val="0"/>
          <w:color w:val="auto"/>
          <w:spacing w:val="-3"/>
          <w:kern w:val="0"/>
          <w:sz w:val="24"/>
          <w:szCs w:val="24"/>
          <w:lang w:val="en-US" w:eastAsia="en-US" w:bidi="ar-SA"/>
        </w:rPr>
        <w:t>方共有的种类，如岩松鼠。本地区农田动物有小家鼠、黑线姬鼠和背纹仓鼠等形</w:t>
      </w:r>
      <w:r>
        <w:rPr>
          <w:rFonts w:ascii="宋体" w:hAnsi="宋体" w:eastAsia="宋体" w:cs="宋体"/>
          <w:snapToGrid w:val="0"/>
          <w:color w:val="auto"/>
          <w:spacing w:val="-8"/>
          <w:kern w:val="0"/>
          <w:sz w:val="24"/>
          <w:szCs w:val="24"/>
          <w:lang w:val="en-US" w:eastAsia="en-US" w:bidi="ar-SA"/>
        </w:rPr>
        <w:t>成优势。</w:t>
      </w:r>
    </w:p>
    <w:p w14:paraId="3EF008C3">
      <w:pPr>
        <w:kinsoku w:val="0"/>
        <w:autoSpaceDE w:val="0"/>
        <w:autoSpaceDN w:val="0"/>
        <w:adjustRightInd w:val="0"/>
        <w:snapToGrid w:val="0"/>
        <w:spacing w:before="1" w:line="217" w:lineRule="auto"/>
        <w:ind w:firstLine="466" w:firstLineChars="200"/>
        <w:jc w:val="left"/>
        <w:textAlignment w:val="baseline"/>
        <w:rPr>
          <w:rFonts w:ascii="宋体" w:hAnsi="宋体" w:eastAsia="宋体" w:cs="宋体"/>
          <w:snapToGrid w:val="0"/>
          <w:color w:val="auto"/>
          <w:kern w:val="0"/>
          <w:sz w:val="24"/>
          <w:szCs w:val="24"/>
          <w:lang w:val="en-US" w:eastAsia="en-US" w:bidi="ar-SA"/>
        </w:rPr>
      </w:pPr>
      <w:r>
        <w:rPr>
          <w:rFonts w:hint="eastAsia" w:ascii="宋体" w:hAnsi="宋体" w:cs="宋体"/>
          <w:b/>
          <w:bCs/>
          <w:snapToGrid w:val="0"/>
          <w:color w:val="auto"/>
          <w:spacing w:val="-4"/>
          <w:kern w:val="0"/>
          <w:sz w:val="24"/>
          <w:szCs w:val="24"/>
          <w:lang w:val="en-US" w:eastAsia="zh-CN" w:bidi="ar-SA"/>
        </w:rPr>
        <w:t>⑵</w:t>
      </w:r>
      <w:r>
        <w:rPr>
          <w:rFonts w:ascii="宋体" w:hAnsi="宋体" w:eastAsia="宋体" w:cs="宋体"/>
          <w:b/>
          <w:bCs/>
          <w:snapToGrid w:val="0"/>
          <w:color w:val="auto"/>
          <w:spacing w:val="-4"/>
          <w:kern w:val="0"/>
          <w:sz w:val="24"/>
          <w:szCs w:val="24"/>
          <w:lang w:val="en-US" w:eastAsia="en-US" w:bidi="ar-SA"/>
        </w:rPr>
        <w:t>评价区动物分布情况</w:t>
      </w:r>
    </w:p>
    <w:p w14:paraId="10E9EAE4">
      <w:pPr>
        <w:kinsoku w:val="0"/>
        <w:autoSpaceDE w:val="0"/>
        <w:autoSpaceDN w:val="0"/>
        <w:adjustRightInd w:val="0"/>
        <w:snapToGrid w:val="0"/>
        <w:spacing w:before="183" w:line="360" w:lineRule="auto"/>
        <w:ind w:right="258"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本次野生动物调查采用样线调查法和现场走访。在评价区内共设置了</w:t>
      </w:r>
      <w:r>
        <w:rPr>
          <w:rFonts w:ascii="Times New Roman" w:hAnsi="Times New Roman" w:eastAsia="Times New Roman" w:cs="Times New Roman"/>
          <w:snapToGrid w:val="0"/>
          <w:color w:val="auto"/>
          <w:spacing w:val="-1"/>
          <w:kern w:val="0"/>
          <w:sz w:val="24"/>
          <w:szCs w:val="24"/>
          <w:lang w:val="en-US" w:eastAsia="en-US" w:bidi="ar-SA"/>
        </w:rPr>
        <w:t>10</w:t>
      </w:r>
      <w:r>
        <w:rPr>
          <w:rFonts w:ascii="宋体" w:hAnsi="宋体" w:eastAsia="宋体" w:cs="宋体"/>
          <w:snapToGrid w:val="0"/>
          <w:color w:val="auto"/>
          <w:spacing w:val="-1"/>
          <w:kern w:val="0"/>
          <w:sz w:val="24"/>
          <w:szCs w:val="24"/>
          <w:lang w:val="en-US" w:eastAsia="en-US" w:bidi="ar-SA"/>
        </w:rPr>
        <w:t>条</w:t>
      </w:r>
      <w:r>
        <w:rPr>
          <w:rFonts w:ascii="宋体" w:hAnsi="宋体" w:eastAsia="宋体" w:cs="宋体"/>
          <w:snapToGrid w:val="0"/>
          <w:color w:val="auto"/>
          <w:spacing w:val="-3"/>
          <w:kern w:val="0"/>
          <w:sz w:val="24"/>
          <w:szCs w:val="24"/>
          <w:lang w:val="en-US" w:eastAsia="en-US" w:bidi="ar-SA"/>
        </w:rPr>
        <w:t>样线，样线调查期间，在林地观察到大山雀、布谷鸟、</w:t>
      </w:r>
      <w:r>
        <w:rPr>
          <w:rFonts w:ascii="宋体" w:hAnsi="宋体" w:eastAsia="宋体" w:cs="宋体"/>
          <w:snapToGrid w:val="0"/>
          <w:color w:val="auto"/>
          <w:spacing w:val="-13"/>
          <w:kern w:val="0"/>
          <w:sz w:val="24"/>
          <w:szCs w:val="24"/>
          <w:lang w:val="en-US" w:eastAsia="en-US" w:bidi="ar-SA"/>
        </w:rPr>
        <w:t>啄木鸟、喜鹊，在灌丛观察到灰仓鼠，农</w:t>
      </w:r>
      <w:r>
        <w:rPr>
          <w:rFonts w:ascii="宋体" w:hAnsi="宋体" w:eastAsia="宋体" w:cs="宋体"/>
          <w:snapToGrid w:val="0"/>
          <w:color w:val="auto"/>
          <w:spacing w:val="-3"/>
          <w:kern w:val="0"/>
          <w:sz w:val="24"/>
          <w:szCs w:val="24"/>
          <w:lang w:val="en-US" w:eastAsia="en-US" w:bidi="ar-SA"/>
        </w:rPr>
        <w:t>田周边区域观察到喜鹊、达乌尔黄鼠。现场调查期</w:t>
      </w:r>
      <w:r>
        <w:rPr>
          <w:rFonts w:ascii="宋体" w:hAnsi="宋体" w:eastAsia="宋体" w:cs="宋体"/>
          <w:snapToGrid w:val="0"/>
          <w:color w:val="auto"/>
          <w:spacing w:val="-1"/>
          <w:kern w:val="0"/>
          <w:sz w:val="24"/>
          <w:szCs w:val="24"/>
          <w:lang w:val="en-US" w:eastAsia="en-US" w:bidi="ar-SA"/>
        </w:rPr>
        <w:t>间未发现爬行动物，查阅资料评价区爬行动物有中</w:t>
      </w:r>
      <w:r>
        <w:rPr>
          <w:rFonts w:ascii="宋体" w:hAnsi="宋体" w:eastAsia="宋体" w:cs="宋体"/>
          <w:snapToGrid w:val="0"/>
          <w:color w:val="auto"/>
          <w:spacing w:val="-2"/>
          <w:kern w:val="0"/>
          <w:sz w:val="24"/>
          <w:szCs w:val="24"/>
          <w:lang w:val="en-US" w:eastAsia="en-US" w:bidi="ar-SA"/>
        </w:rPr>
        <w:t>国林蛙、秦岭滑蜥等。</w:t>
      </w:r>
    </w:p>
    <w:p w14:paraId="740D0841">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4"/>
          <w:szCs w:val="24"/>
          <w:lang w:val="en-US" w:eastAsia="en-US" w:bidi="ar-SA"/>
        </w:rPr>
      </w:pPr>
      <w:r>
        <w:rPr>
          <w:rFonts w:hint="eastAsia" w:ascii="宋体" w:hAnsi="宋体" w:cs="宋体"/>
          <w:b/>
          <w:bCs/>
          <w:snapToGrid w:val="0"/>
          <w:color w:val="auto"/>
          <w:spacing w:val="-1"/>
          <w:kern w:val="0"/>
          <w:sz w:val="24"/>
          <w:szCs w:val="24"/>
          <w:lang w:val="en-US" w:eastAsia="zh-CN" w:bidi="ar-SA"/>
        </w:rPr>
        <w:t>专题</w:t>
      </w:r>
      <w:r>
        <w:rPr>
          <w:rFonts w:ascii="宋体" w:hAnsi="宋体" w:eastAsia="宋体" w:cs="宋体"/>
          <w:b/>
          <w:bCs/>
          <w:snapToGrid w:val="0"/>
          <w:color w:val="auto"/>
          <w:spacing w:val="-1"/>
          <w:kern w:val="0"/>
          <w:sz w:val="24"/>
          <w:szCs w:val="24"/>
          <w:lang w:val="en-US" w:eastAsia="en-US" w:bidi="ar-SA"/>
        </w:rPr>
        <w:t>表</w:t>
      </w:r>
      <w:r>
        <w:rPr>
          <w:rFonts w:ascii="宋体" w:hAnsi="宋体" w:eastAsia="宋体" w:cs="宋体"/>
          <w:snapToGrid w:val="0"/>
          <w:color w:val="auto"/>
          <w:spacing w:val="-54"/>
          <w:kern w:val="0"/>
          <w:sz w:val="24"/>
          <w:szCs w:val="24"/>
          <w:lang w:val="en-US" w:eastAsia="en-US" w:bidi="ar-SA"/>
        </w:rPr>
        <w:t xml:space="preserve"> </w:t>
      </w:r>
      <w:r>
        <w:rPr>
          <w:rFonts w:hint="eastAsia" w:eastAsia="宋体" w:cs="Times New Roman"/>
          <w:b/>
          <w:bCs/>
          <w:snapToGrid w:val="0"/>
          <w:color w:val="auto"/>
          <w:spacing w:val="-1"/>
          <w:kern w:val="0"/>
          <w:sz w:val="24"/>
          <w:szCs w:val="24"/>
          <w:lang w:val="en-US" w:eastAsia="zh-CN" w:bidi="ar-SA"/>
        </w:rPr>
        <w:t>2</w:t>
      </w:r>
      <w:r>
        <w:rPr>
          <w:rFonts w:ascii="Times New Roman" w:hAnsi="Times New Roman" w:eastAsia="Times New Roman" w:cs="Times New Roman"/>
          <w:b/>
          <w:bCs/>
          <w:snapToGrid w:val="0"/>
          <w:color w:val="auto"/>
          <w:spacing w:val="-1"/>
          <w:kern w:val="0"/>
          <w:sz w:val="24"/>
          <w:szCs w:val="24"/>
          <w:lang w:val="en-US" w:eastAsia="en-US" w:bidi="ar-SA"/>
        </w:rPr>
        <w:t>-</w:t>
      </w:r>
      <w:r>
        <w:rPr>
          <w:rFonts w:hint="eastAsia" w:eastAsia="宋体" w:cs="Times New Roman"/>
          <w:b/>
          <w:bCs/>
          <w:snapToGrid w:val="0"/>
          <w:color w:val="auto"/>
          <w:spacing w:val="-1"/>
          <w:kern w:val="0"/>
          <w:sz w:val="24"/>
          <w:szCs w:val="24"/>
          <w:lang w:val="en-US" w:eastAsia="zh-CN" w:bidi="ar-SA"/>
        </w:rPr>
        <w:t>10</w:t>
      </w:r>
      <w:r>
        <w:rPr>
          <w:rFonts w:ascii="Times New Roman" w:hAnsi="Times New Roman" w:eastAsia="Times New Roman" w:cs="Times New Roman"/>
          <w:b/>
          <w:bCs/>
          <w:snapToGrid w:val="0"/>
          <w:color w:val="auto"/>
          <w:spacing w:val="-1"/>
          <w:kern w:val="0"/>
          <w:sz w:val="24"/>
          <w:szCs w:val="24"/>
          <w:lang w:val="en-US" w:eastAsia="en-US" w:bidi="ar-SA"/>
        </w:rPr>
        <w:t xml:space="preserve">           </w:t>
      </w:r>
      <w:r>
        <w:rPr>
          <w:rFonts w:ascii="宋体" w:hAnsi="宋体" w:eastAsia="宋体" w:cs="宋体"/>
          <w:b/>
          <w:bCs/>
          <w:snapToGrid w:val="0"/>
          <w:color w:val="auto"/>
          <w:spacing w:val="-1"/>
          <w:kern w:val="0"/>
          <w:sz w:val="24"/>
          <w:szCs w:val="24"/>
          <w:lang w:val="en-US" w:eastAsia="en-US" w:bidi="ar-SA"/>
        </w:rPr>
        <w:t>评价区主要分布动物种类</w:t>
      </w:r>
    </w:p>
    <w:tbl>
      <w:tblPr>
        <w:tblStyle w:val="83"/>
        <w:tblW w:w="901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536"/>
        <w:gridCol w:w="1245"/>
        <w:gridCol w:w="1174"/>
        <w:gridCol w:w="1653"/>
        <w:gridCol w:w="3406"/>
      </w:tblGrid>
      <w:tr w14:paraId="7F8359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tcBorders>
              <w:tl2br w:val="nil"/>
              <w:tr2bl w:val="nil"/>
            </w:tcBorders>
            <w:vAlign w:val="center"/>
          </w:tcPr>
          <w:p w14:paraId="5756E85A">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b/>
                <w:bCs/>
                <w:snapToGrid w:val="0"/>
                <w:color w:val="auto"/>
                <w:spacing w:val="-3"/>
                <w:kern w:val="0"/>
                <w:sz w:val="24"/>
                <w:szCs w:val="24"/>
                <w:lang w:val="en-US" w:eastAsia="en-US" w:bidi="ar-SA"/>
              </w:rPr>
              <w:t>目</w:t>
            </w:r>
          </w:p>
        </w:tc>
        <w:tc>
          <w:tcPr>
            <w:tcW w:w="1245" w:type="dxa"/>
            <w:tcBorders>
              <w:tl2br w:val="nil"/>
              <w:tr2bl w:val="nil"/>
            </w:tcBorders>
            <w:vAlign w:val="center"/>
          </w:tcPr>
          <w:p w14:paraId="26E2E7FA">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b/>
                <w:bCs/>
                <w:snapToGrid w:val="0"/>
                <w:color w:val="auto"/>
                <w:spacing w:val="-3"/>
                <w:kern w:val="0"/>
                <w:sz w:val="24"/>
                <w:szCs w:val="24"/>
                <w:lang w:val="en-US" w:eastAsia="en-US" w:bidi="ar-SA"/>
              </w:rPr>
              <w:t>科</w:t>
            </w:r>
          </w:p>
        </w:tc>
        <w:tc>
          <w:tcPr>
            <w:tcW w:w="1174" w:type="dxa"/>
            <w:tcBorders>
              <w:tl2br w:val="nil"/>
              <w:tr2bl w:val="nil"/>
            </w:tcBorders>
            <w:vAlign w:val="center"/>
          </w:tcPr>
          <w:p w14:paraId="4DAF1D0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b/>
                <w:bCs/>
                <w:snapToGrid w:val="0"/>
                <w:color w:val="auto"/>
                <w:spacing w:val="-3"/>
                <w:kern w:val="0"/>
                <w:sz w:val="24"/>
                <w:szCs w:val="24"/>
                <w:lang w:val="en-US" w:eastAsia="en-US" w:bidi="ar-SA"/>
              </w:rPr>
              <w:t>属</w:t>
            </w:r>
          </w:p>
        </w:tc>
        <w:tc>
          <w:tcPr>
            <w:tcW w:w="1653" w:type="dxa"/>
            <w:tcBorders>
              <w:tl2br w:val="nil"/>
              <w:tr2bl w:val="nil"/>
            </w:tcBorders>
            <w:vAlign w:val="center"/>
          </w:tcPr>
          <w:p w14:paraId="729C7AD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b/>
                <w:bCs/>
                <w:snapToGrid w:val="0"/>
                <w:color w:val="auto"/>
                <w:spacing w:val="-5"/>
                <w:kern w:val="0"/>
                <w:sz w:val="24"/>
                <w:szCs w:val="24"/>
                <w:lang w:val="en-US" w:eastAsia="en-US" w:bidi="ar-SA"/>
              </w:rPr>
              <w:t>动物名称</w:t>
            </w:r>
          </w:p>
        </w:tc>
        <w:tc>
          <w:tcPr>
            <w:tcW w:w="3406" w:type="dxa"/>
            <w:tcBorders>
              <w:tl2br w:val="nil"/>
              <w:tr2bl w:val="nil"/>
            </w:tcBorders>
            <w:vAlign w:val="center"/>
          </w:tcPr>
          <w:p w14:paraId="443128C5">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b/>
                <w:bCs/>
                <w:snapToGrid w:val="0"/>
                <w:color w:val="auto"/>
                <w:spacing w:val="-5"/>
                <w:kern w:val="0"/>
                <w:sz w:val="24"/>
                <w:szCs w:val="24"/>
                <w:lang w:val="en-US" w:eastAsia="en-US" w:bidi="ar-SA"/>
              </w:rPr>
              <w:t>拉丁学名</w:t>
            </w:r>
          </w:p>
        </w:tc>
      </w:tr>
      <w:tr w14:paraId="11F643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vMerge w:val="restart"/>
            <w:tcBorders>
              <w:tl2br w:val="nil"/>
              <w:tr2bl w:val="nil"/>
            </w:tcBorders>
            <w:vAlign w:val="center"/>
          </w:tcPr>
          <w:p w14:paraId="0BA4324F">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雀形目</w:t>
            </w:r>
          </w:p>
        </w:tc>
        <w:tc>
          <w:tcPr>
            <w:tcW w:w="1245" w:type="dxa"/>
            <w:tcBorders>
              <w:tl2br w:val="nil"/>
              <w:tr2bl w:val="nil"/>
            </w:tcBorders>
            <w:shd w:val="clear" w:color="auto" w:fill="auto"/>
            <w:vAlign w:val="center"/>
          </w:tcPr>
          <w:p w14:paraId="14C8AC94">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kern w:val="0"/>
                <w:sz w:val="20"/>
                <w:szCs w:val="20"/>
                <w:lang w:val="en-US" w:eastAsia="en-US" w:bidi="ar-SA"/>
              </w:rPr>
              <w:t>山雀科</w:t>
            </w:r>
          </w:p>
        </w:tc>
        <w:tc>
          <w:tcPr>
            <w:tcW w:w="1174" w:type="dxa"/>
            <w:tcBorders>
              <w:tl2br w:val="nil"/>
              <w:tr2bl w:val="nil"/>
            </w:tcBorders>
            <w:shd w:val="clear" w:color="auto" w:fill="auto"/>
            <w:vAlign w:val="center"/>
          </w:tcPr>
          <w:p w14:paraId="073F971E">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kern w:val="0"/>
                <w:sz w:val="20"/>
                <w:szCs w:val="20"/>
                <w:lang w:val="en-US" w:eastAsia="en-US" w:bidi="ar-SA"/>
              </w:rPr>
              <w:t>山雀属</w:t>
            </w:r>
          </w:p>
        </w:tc>
        <w:tc>
          <w:tcPr>
            <w:tcW w:w="1653" w:type="dxa"/>
            <w:tcBorders>
              <w:tl2br w:val="nil"/>
              <w:tr2bl w:val="nil"/>
            </w:tcBorders>
            <w:shd w:val="clear" w:color="auto" w:fill="auto"/>
            <w:vAlign w:val="center"/>
          </w:tcPr>
          <w:p w14:paraId="4CB60BAA">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大山雀</w:t>
            </w:r>
          </w:p>
        </w:tc>
        <w:tc>
          <w:tcPr>
            <w:tcW w:w="3406" w:type="dxa"/>
            <w:tcBorders>
              <w:tl2br w:val="nil"/>
              <w:tr2bl w:val="nil"/>
            </w:tcBorders>
            <w:shd w:val="clear" w:color="auto" w:fill="auto"/>
            <w:vAlign w:val="center"/>
          </w:tcPr>
          <w:p w14:paraId="51098283">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i/>
                <w:iCs/>
                <w:snapToGrid w:val="0"/>
                <w:color w:val="auto"/>
                <w:spacing w:val="5"/>
                <w:kern w:val="0"/>
                <w:sz w:val="20"/>
                <w:szCs w:val="20"/>
                <w:lang w:eastAsia="en-US"/>
              </w:rPr>
              <w:t>Parus major</w:t>
            </w:r>
          </w:p>
        </w:tc>
      </w:tr>
      <w:tr w14:paraId="5BE1C2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vMerge w:val="continue"/>
            <w:tcBorders>
              <w:tl2br w:val="nil"/>
              <w:tr2bl w:val="nil"/>
            </w:tcBorders>
            <w:vAlign w:val="center"/>
          </w:tcPr>
          <w:p w14:paraId="436CF1C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Arial" w:hAnsi="Arial" w:eastAsia="Arial" w:cs="Arial"/>
                <w:snapToGrid w:val="0"/>
                <w:color w:val="auto"/>
                <w:kern w:val="0"/>
                <w:sz w:val="21"/>
                <w:szCs w:val="21"/>
                <w:lang w:eastAsia="en-US"/>
              </w:rPr>
            </w:pPr>
          </w:p>
        </w:tc>
        <w:tc>
          <w:tcPr>
            <w:tcW w:w="1245" w:type="dxa"/>
            <w:tcBorders>
              <w:tl2br w:val="nil"/>
              <w:tr2bl w:val="nil"/>
            </w:tcBorders>
            <w:vAlign w:val="center"/>
          </w:tcPr>
          <w:p w14:paraId="2702353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4"/>
                <w:kern w:val="0"/>
                <w:sz w:val="20"/>
                <w:szCs w:val="20"/>
                <w:lang w:val="en-US" w:eastAsia="en-US" w:bidi="ar-SA"/>
              </w:rPr>
              <w:t>鸦科</w:t>
            </w:r>
          </w:p>
        </w:tc>
        <w:tc>
          <w:tcPr>
            <w:tcW w:w="1174" w:type="dxa"/>
            <w:tcBorders>
              <w:tl2br w:val="nil"/>
              <w:tr2bl w:val="nil"/>
            </w:tcBorders>
            <w:vAlign w:val="center"/>
          </w:tcPr>
          <w:p w14:paraId="42309688">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5"/>
                <w:kern w:val="0"/>
                <w:sz w:val="20"/>
                <w:szCs w:val="20"/>
                <w:lang w:val="en-US" w:eastAsia="en-US" w:bidi="ar-SA"/>
              </w:rPr>
              <w:t>鹊属</w:t>
            </w:r>
          </w:p>
        </w:tc>
        <w:tc>
          <w:tcPr>
            <w:tcW w:w="1653" w:type="dxa"/>
            <w:tcBorders>
              <w:tl2br w:val="nil"/>
              <w:tr2bl w:val="nil"/>
            </w:tcBorders>
            <w:vAlign w:val="center"/>
          </w:tcPr>
          <w:p w14:paraId="235815D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3"/>
                <w:kern w:val="0"/>
                <w:sz w:val="20"/>
                <w:szCs w:val="20"/>
                <w:lang w:val="en-US" w:eastAsia="en-US" w:bidi="ar-SA"/>
              </w:rPr>
              <w:t>喜鹊</w:t>
            </w:r>
          </w:p>
        </w:tc>
        <w:tc>
          <w:tcPr>
            <w:tcW w:w="3406" w:type="dxa"/>
            <w:tcBorders>
              <w:tl2br w:val="nil"/>
              <w:tr2bl w:val="nil"/>
            </w:tcBorders>
            <w:vAlign w:val="center"/>
          </w:tcPr>
          <w:p w14:paraId="56EAF3A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i/>
                <w:iCs/>
                <w:snapToGrid w:val="0"/>
                <w:color w:val="auto"/>
                <w:spacing w:val="7"/>
                <w:kern w:val="0"/>
                <w:sz w:val="20"/>
                <w:szCs w:val="20"/>
                <w:lang w:eastAsia="en-US"/>
              </w:rPr>
              <w:t>Pica</w:t>
            </w:r>
            <w:r>
              <w:rPr>
                <w:rFonts w:ascii="Times New Roman" w:hAnsi="Times New Roman" w:eastAsia="Times New Roman" w:cs="Times New Roman"/>
                <w:i/>
                <w:iCs/>
                <w:snapToGrid w:val="0"/>
                <w:color w:val="auto"/>
                <w:spacing w:val="-13"/>
                <w:kern w:val="0"/>
                <w:sz w:val="20"/>
                <w:szCs w:val="20"/>
                <w:lang w:eastAsia="en-US"/>
              </w:rPr>
              <w:t xml:space="preserve"> </w:t>
            </w:r>
            <w:r>
              <w:rPr>
                <w:rFonts w:ascii="Times New Roman" w:hAnsi="Times New Roman" w:eastAsia="Times New Roman" w:cs="Times New Roman"/>
                <w:i/>
                <w:iCs/>
                <w:snapToGrid w:val="0"/>
                <w:color w:val="auto"/>
                <w:spacing w:val="7"/>
                <w:kern w:val="0"/>
                <w:sz w:val="20"/>
                <w:szCs w:val="20"/>
                <w:lang w:eastAsia="en-US"/>
              </w:rPr>
              <w:t>pica</w:t>
            </w:r>
          </w:p>
        </w:tc>
      </w:tr>
      <w:tr w14:paraId="2E8D5A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vMerge w:val="restart"/>
            <w:tcBorders>
              <w:tl2br w:val="nil"/>
              <w:tr2bl w:val="nil"/>
            </w:tcBorders>
            <w:vAlign w:val="center"/>
          </w:tcPr>
          <w:p w14:paraId="16863E7A">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3"/>
                <w:kern w:val="0"/>
                <w:sz w:val="20"/>
                <w:szCs w:val="20"/>
                <w:lang w:val="en-US" w:eastAsia="en-US" w:bidi="ar-SA"/>
              </w:rPr>
              <w:t>啮齿目</w:t>
            </w:r>
          </w:p>
        </w:tc>
        <w:tc>
          <w:tcPr>
            <w:tcW w:w="1245" w:type="dxa"/>
            <w:tcBorders>
              <w:tl2br w:val="nil"/>
              <w:tr2bl w:val="nil"/>
            </w:tcBorders>
            <w:vAlign w:val="center"/>
          </w:tcPr>
          <w:p w14:paraId="278247D4">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松鼠科</w:t>
            </w:r>
          </w:p>
        </w:tc>
        <w:tc>
          <w:tcPr>
            <w:tcW w:w="1174" w:type="dxa"/>
            <w:tcBorders>
              <w:tl2br w:val="nil"/>
              <w:tr2bl w:val="nil"/>
            </w:tcBorders>
            <w:vAlign w:val="center"/>
          </w:tcPr>
          <w:p w14:paraId="09112837">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7"/>
                <w:kern w:val="0"/>
                <w:sz w:val="20"/>
                <w:szCs w:val="20"/>
                <w:lang w:val="en-US" w:eastAsia="en-US" w:bidi="ar-SA"/>
              </w:rPr>
              <w:t>黄鼠属</w:t>
            </w:r>
          </w:p>
        </w:tc>
        <w:tc>
          <w:tcPr>
            <w:tcW w:w="1653" w:type="dxa"/>
            <w:tcBorders>
              <w:tl2br w:val="nil"/>
              <w:tr2bl w:val="nil"/>
            </w:tcBorders>
            <w:vAlign w:val="center"/>
          </w:tcPr>
          <w:p w14:paraId="38895E3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8"/>
                <w:kern w:val="0"/>
                <w:sz w:val="20"/>
                <w:szCs w:val="20"/>
                <w:lang w:val="en-US" w:eastAsia="en-US" w:bidi="ar-SA"/>
              </w:rPr>
              <w:t>达乌尔黄鼠</w:t>
            </w:r>
          </w:p>
        </w:tc>
        <w:tc>
          <w:tcPr>
            <w:tcW w:w="3406" w:type="dxa"/>
            <w:tcBorders>
              <w:tl2br w:val="nil"/>
              <w:tr2bl w:val="nil"/>
            </w:tcBorders>
            <w:vAlign w:val="center"/>
          </w:tcPr>
          <w:p w14:paraId="671B71CF">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i/>
                <w:iCs/>
                <w:snapToGrid w:val="0"/>
                <w:color w:val="auto"/>
                <w:spacing w:val="3"/>
                <w:kern w:val="0"/>
                <w:sz w:val="20"/>
                <w:szCs w:val="20"/>
                <w:lang w:eastAsia="en-US"/>
              </w:rPr>
              <w:t>Spermophilus dauricus</w:t>
            </w:r>
          </w:p>
        </w:tc>
      </w:tr>
      <w:tr w14:paraId="24A3BD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vMerge w:val="continue"/>
            <w:tcBorders>
              <w:tl2br w:val="nil"/>
              <w:tr2bl w:val="nil"/>
            </w:tcBorders>
            <w:vAlign w:val="center"/>
          </w:tcPr>
          <w:p w14:paraId="66604F54">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Arial" w:hAnsi="Arial" w:eastAsia="Arial" w:cs="Arial"/>
                <w:snapToGrid w:val="0"/>
                <w:color w:val="auto"/>
                <w:kern w:val="0"/>
                <w:sz w:val="21"/>
                <w:szCs w:val="21"/>
                <w:lang w:eastAsia="en-US"/>
              </w:rPr>
            </w:pPr>
          </w:p>
        </w:tc>
        <w:tc>
          <w:tcPr>
            <w:tcW w:w="1245" w:type="dxa"/>
            <w:tcBorders>
              <w:tl2br w:val="nil"/>
              <w:tr2bl w:val="nil"/>
            </w:tcBorders>
            <w:vAlign w:val="center"/>
          </w:tcPr>
          <w:p w14:paraId="6AD7C72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7"/>
                <w:kern w:val="0"/>
                <w:sz w:val="20"/>
                <w:szCs w:val="20"/>
                <w:lang w:val="en-US" w:eastAsia="en-US" w:bidi="ar-SA"/>
              </w:rPr>
              <w:t>仓鼠科</w:t>
            </w:r>
          </w:p>
        </w:tc>
        <w:tc>
          <w:tcPr>
            <w:tcW w:w="1174" w:type="dxa"/>
            <w:tcBorders>
              <w:tl2br w:val="nil"/>
              <w:tr2bl w:val="nil"/>
            </w:tcBorders>
            <w:vAlign w:val="center"/>
          </w:tcPr>
          <w:p w14:paraId="4644A1D5">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7"/>
                <w:kern w:val="0"/>
                <w:sz w:val="20"/>
                <w:szCs w:val="20"/>
                <w:lang w:val="en-US" w:eastAsia="en-US" w:bidi="ar-SA"/>
              </w:rPr>
              <w:t>仓鼠属</w:t>
            </w:r>
          </w:p>
        </w:tc>
        <w:tc>
          <w:tcPr>
            <w:tcW w:w="1653" w:type="dxa"/>
            <w:tcBorders>
              <w:tl2br w:val="nil"/>
              <w:tr2bl w:val="nil"/>
            </w:tcBorders>
            <w:vAlign w:val="center"/>
          </w:tcPr>
          <w:p w14:paraId="6E4EFE5F">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灰仓鼠</w:t>
            </w:r>
          </w:p>
        </w:tc>
        <w:tc>
          <w:tcPr>
            <w:tcW w:w="3406" w:type="dxa"/>
            <w:tcBorders>
              <w:tl2br w:val="nil"/>
              <w:tr2bl w:val="nil"/>
            </w:tcBorders>
            <w:vAlign w:val="center"/>
          </w:tcPr>
          <w:p w14:paraId="7FCCE213">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i/>
                <w:iCs/>
                <w:snapToGrid w:val="0"/>
                <w:color w:val="auto"/>
                <w:spacing w:val="2"/>
                <w:kern w:val="0"/>
                <w:sz w:val="20"/>
                <w:szCs w:val="20"/>
                <w:lang w:eastAsia="en-US"/>
              </w:rPr>
              <w:t>Cricetulus migratorius</w:t>
            </w:r>
          </w:p>
        </w:tc>
      </w:tr>
      <w:tr w14:paraId="202264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vMerge w:val="restart"/>
            <w:tcBorders>
              <w:tl2br w:val="nil"/>
              <w:tr2bl w:val="nil"/>
            </w:tcBorders>
            <w:vAlign w:val="center"/>
          </w:tcPr>
          <w:p w14:paraId="654E603C">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4"/>
                <w:kern w:val="0"/>
                <w:sz w:val="20"/>
                <w:szCs w:val="20"/>
                <w:lang w:val="en-US" w:eastAsia="en-US" w:bidi="ar-SA"/>
              </w:rPr>
              <w:t>鹃形目</w:t>
            </w:r>
          </w:p>
        </w:tc>
        <w:tc>
          <w:tcPr>
            <w:tcW w:w="1245" w:type="dxa"/>
            <w:tcBorders>
              <w:tl2br w:val="nil"/>
              <w:tr2bl w:val="nil"/>
            </w:tcBorders>
            <w:vAlign w:val="center"/>
          </w:tcPr>
          <w:p w14:paraId="59CB0FBD">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杜鹃科</w:t>
            </w:r>
          </w:p>
        </w:tc>
        <w:tc>
          <w:tcPr>
            <w:tcW w:w="1174" w:type="dxa"/>
            <w:vMerge w:val="restart"/>
            <w:tcBorders>
              <w:tl2br w:val="nil"/>
              <w:tr2bl w:val="nil"/>
            </w:tcBorders>
            <w:vAlign w:val="center"/>
          </w:tcPr>
          <w:p w14:paraId="05C6417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杜鹃属</w:t>
            </w:r>
          </w:p>
        </w:tc>
        <w:tc>
          <w:tcPr>
            <w:tcW w:w="1653" w:type="dxa"/>
            <w:tcBorders>
              <w:tl2br w:val="nil"/>
              <w:tr2bl w:val="nil"/>
            </w:tcBorders>
            <w:vAlign w:val="center"/>
          </w:tcPr>
          <w:p w14:paraId="1FA86B36">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4"/>
                <w:kern w:val="0"/>
                <w:sz w:val="20"/>
                <w:szCs w:val="20"/>
                <w:lang w:val="en-US" w:eastAsia="en-US" w:bidi="ar-SA"/>
              </w:rPr>
              <w:t>杜鹃</w:t>
            </w:r>
          </w:p>
        </w:tc>
        <w:tc>
          <w:tcPr>
            <w:tcW w:w="3406" w:type="dxa"/>
            <w:tcBorders>
              <w:tl2br w:val="nil"/>
              <w:tr2bl w:val="nil"/>
            </w:tcBorders>
            <w:vAlign w:val="center"/>
          </w:tcPr>
          <w:p w14:paraId="468DF08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i/>
                <w:iCs/>
                <w:snapToGrid w:val="0"/>
                <w:color w:val="auto"/>
                <w:spacing w:val="3"/>
                <w:kern w:val="0"/>
                <w:sz w:val="20"/>
                <w:szCs w:val="20"/>
                <w:lang w:eastAsia="en-US"/>
              </w:rPr>
              <w:t>Cuculidae</w:t>
            </w:r>
          </w:p>
        </w:tc>
      </w:tr>
      <w:tr w14:paraId="625793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vMerge w:val="continue"/>
            <w:tcBorders>
              <w:tl2br w:val="nil"/>
              <w:tr2bl w:val="nil"/>
            </w:tcBorders>
            <w:vAlign w:val="center"/>
          </w:tcPr>
          <w:p w14:paraId="308954CD">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Arial" w:hAnsi="Arial" w:eastAsia="Arial" w:cs="Arial"/>
                <w:snapToGrid w:val="0"/>
                <w:color w:val="auto"/>
                <w:kern w:val="0"/>
                <w:sz w:val="21"/>
                <w:szCs w:val="21"/>
                <w:lang w:eastAsia="en-US"/>
              </w:rPr>
            </w:pPr>
          </w:p>
        </w:tc>
        <w:tc>
          <w:tcPr>
            <w:tcW w:w="1245" w:type="dxa"/>
            <w:tcBorders>
              <w:tl2br w:val="nil"/>
              <w:tr2bl w:val="nil"/>
            </w:tcBorders>
            <w:vAlign w:val="center"/>
          </w:tcPr>
          <w:p w14:paraId="4A86CB52">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kern w:val="0"/>
                <w:sz w:val="20"/>
                <w:szCs w:val="20"/>
                <w:lang w:val="en-US" w:eastAsia="en-US" w:bidi="ar-SA"/>
              </w:rPr>
              <w:fldChar w:fldCharType="begin"/>
            </w:r>
            <w:r>
              <w:rPr>
                <w:rFonts w:ascii="宋体" w:hAnsi="宋体" w:eastAsia="宋体" w:cs="宋体"/>
                <w:snapToGrid w:val="0"/>
                <w:color w:val="auto"/>
                <w:kern w:val="0"/>
                <w:sz w:val="20"/>
                <w:szCs w:val="20"/>
                <w:lang w:val="en-US" w:eastAsia="en-US" w:bidi="ar-SA"/>
              </w:rPr>
              <w:instrText xml:space="preserve"> HYPERLINK "https://baike.so.com/doc/5839821-6052652.html" </w:instrText>
            </w:r>
            <w:r>
              <w:rPr>
                <w:rFonts w:ascii="宋体" w:hAnsi="宋体" w:eastAsia="宋体" w:cs="宋体"/>
                <w:snapToGrid w:val="0"/>
                <w:color w:val="auto"/>
                <w:kern w:val="0"/>
                <w:sz w:val="20"/>
                <w:szCs w:val="20"/>
                <w:lang w:val="en-US" w:eastAsia="en-US" w:bidi="ar-SA"/>
              </w:rPr>
              <w:fldChar w:fldCharType="separate"/>
            </w:r>
            <w:r>
              <w:rPr>
                <w:rFonts w:ascii="宋体" w:hAnsi="宋体" w:eastAsia="宋体" w:cs="宋体"/>
                <w:snapToGrid w:val="0"/>
                <w:color w:val="auto"/>
                <w:spacing w:val="6"/>
                <w:kern w:val="0"/>
                <w:sz w:val="20"/>
                <w:szCs w:val="20"/>
                <w:lang w:val="en-US" w:eastAsia="en-US" w:bidi="ar-SA"/>
              </w:rPr>
              <w:t>杜鹃科</w:t>
            </w:r>
            <w:r>
              <w:rPr>
                <w:rFonts w:ascii="宋体" w:hAnsi="宋体" w:eastAsia="宋体" w:cs="宋体"/>
                <w:snapToGrid w:val="0"/>
                <w:color w:val="auto"/>
                <w:spacing w:val="6"/>
                <w:kern w:val="0"/>
                <w:sz w:val="20"/>
                <w:szCs w:val="20"/>
                <w:lang w:val="en-US" w:eastAsia="en-US" w:bidi="ar-SA"/>
              </w:rPr>
              <w:fldChar w:fldCharType="end"/>
            </w:r>
          </w:p>
        </w:tc>
        <w:tc>
          <w:tcPr>
            <w:tcW w:w="1174" w:type="dxa"/>
            <w:vMerge w:val="continue"/>
            <w:tcBorders>
              <w:tl2br w:val="nil"/>
              <w:tr2bl w:val="nil"/>
            </w:tcBorders>
            <w:vAlign w:val="center"/>
          </w:tcPr>
          <w:p w14:paraId="4D2C09DA">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Arial" w:hAnsi="Arial" w:eastAsia="Arial" w:cs="Arial"/>
                <w:snapToGrid w:val="0"/>
                <w:color w:val="auto"/>
                <w:kern w:val="0"/>
                <w:sz w:val="21"/>
                <w:szCs w:val="21"/>
                <w:lang w:eastAsia="en-US"/>
              </w:rPr>
            </w:pPr>
          </w:p>
        </w:tc>
        <w:tc>
          <w:tcPr>
            <w:tcW w:w="1653" w:type="dxa"/>
            <w:tcBorders>
              <w:tl2br w:val="nil"/>
              <w:tr2bl w:val="nil"/>
            </w:tcBorders>
            <w:vAlign w:val="center"/>
          </w:tcPr>
          <w:p w14:paraId="6EDC7927">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布谷鸟</w:t>
            </w:r>
          </w:p>
        </w:tc>
        <w:tc>
          <w:tcPr>
            <w:tcW w:w="3406" w:type="dxa"/>
            <w:tcBorders>
              <w:tl2br w:val="nil"/>
              <w:tr2bl w:val="nil"/>
            </w:tcBorders>
            <w:vAlign w:val="center"/>
          </w:tcPr>
          <w:p w14:paraId="0A11F5F0">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i/>
                <w:iCs/>
                <w:snapToGrid w:val="0"/>
                <w:color w:val="auto"/>
                <w:spacing w:val="3"/>
                <w:kern w:val="0"/>
                <w:sz w:val="20"/>
                <w:szCs w:val="20"/>
                <w:lang w:eastAsia="en-US"/>
              </w:rPr>
              <w:t>Cuculus canorus</w:t>
            </w:r>
          </w:p>
        </w:tc>
      </w:tr>
      <w:tr w14:paraId="7ECE41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tcBorders>
              <w:tl2br w:val="nil"/>
              <w:tr2bl w:val="nil"/>
            </w:tcBorders>
            <w:shd w:val="clear" w:color="auto" w:fill="auto"/>
            <w:vAlign w:val="center"/>
          </w:tcPr>
          <w:p w14:paraId="611E8ECD">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hanging="350" w:firstLineChars="0"/>
              <w:jc w:val="center"/>
              <w:textAlignment w:val="baseline"/>
              <w:rPr>
                <w:rFonts w:hint="default" w:ascii="宋体" w:hAnsi="宋体" w:eastAsia="宋体" w:cs="宋体"/>
                <w:snapToGrid w:val="0"/>
                <w:color w:val="auto"/>
                <w:kern w:val="0"/>
                <w:sz w:val="20"/>
                <w:szCs w:val="20"/>
                <w:lang w:val="en-US" w:eastAsia="zh-CN" w:bidi="ar-SA"/>
              </w:rPr>
            </w:pPr>
            <w:r>
              <w:rPr>
                <w:rFonts w:hint="eastAsia" w:ascii="宋体" w:hAnsi="宋体" w:cs="宋体"/>
                <w:snapToGrid w:val="0"/>
                <w:color w:val="auto"/>
                <w:spacing w:val="6"/>
                <w:kern w:val="0"/>
                <w:sz w:val="20"/>
                <w:szCs w:val="20"/>
                <w:lang w:val="en-US" w:eastAsia="zh-CN" w:bidi="ar-SA"/>
              </w:rPr>
              <w:t xml:space="preserve">   </w:t>
            </w:r>
            <w:r>
              <w:rPr>
                <w:rFonts w:ascii="宋体" w:hAnsi="宋体" w:eastAsia="宋体" w:cs="宋体"/>
                <w:snapToGrid w:val="0"/>
                <w:color w:val="auto"/>
                <w:spacing w:val="6"/>
                <w:kern w:val="0"/>
                <w:sz w:val="20"/>
                <w:szCs w:val="20"/>
                <w:lang w:val="en-US" w:eastAsia="en-US" w:bidi="ar-SA"/>
              </w:rPr>
              <w:t>鸟纲鴷</w:t>
            </w:r>
            <w:r>
              <w:rPr>
                <w:rFonts w:hint="eastAsia" w:ascii="宋体" w:hAnsi="宋体" w:cs="宋体"/>
                <w:snapToGrid w:val="0"/>
                <w:color w:val="auto"/>
                <w:spacing w:val="6"/>
                <w:kern w:val="0"/>
                <w:sz w:val="20"/>
                <w:szCs w:val="20"/>
                <w:lang w:val="en-US" w:eastAsia="zh-CN" w:bidi="ar-SA"/>
              </w:rPr>
              <w:t>形目</w:t>
            </w:r>
          </w:p>
        </w:tc>
        <w:tc>
          <w:tcPr>
            <w:tcW w:w="1245" w:type="dxa"/>
            <w:tcBorders>
              <w:tl2br w:val="nil"/>
              <w:tr2bl w:val="nil"/>
            </w:tcBorders>
            <w:shd w:val="clear" w:color="auto" w:fill="auto"/>
            <w:vAlign w:val="center"/>
          </w:tcPr>
          <w:p w14:paraId="11F1A722">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5"/>
                <w:kern w:val="0"/>
                <w:sz w:val="20"/>
                <w:szCs w:val="20"/>
                <w:lang w:val="en-US" w:eastAsia="en-US" w:bidi="ar-SA"/>
              </w:rPr>
              <w:t>啄木鸟科</w:t>
            </w:r>
          </w:p>
        </w:tc>
        <w:tc>
          <w:tcPr>
            <w:tcW w:w="1174" w:type="dxa"/>
            <w:tcBorders>
              <w:tl2br w:val="nil"/>
              <w:tr2bl w:val="nil"/>
            </w:tcBorders>
            <w:shd w:val="clear" w:color="auto" w:fill="auto"/>
            <w:vAlign w:val="center"/>
          </w:tcPr>
          <w:p w14:paraId="24966D9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5"/>
                <w:kern w:val="0"/>
                <w:sz w:val="20"/>
                <w:szCs w:val="20"/>
                <w:lang w:val="en-US" w:eastAsia="en-US" w:bidi="ar-SA"/>
              </w:rPr>
              <w:t>啄木鸟属</w:t>
            </w:r>
          </w:p>
        </w:tc>
        <w:tc>
          <w:tcPr>
            <w:tcW w:w="1653" w:type="dxa"/>
            <w:tcBorders>
              <w:tl2br w:val="nil"/>
              <w:tr2bl w:val="nil"/>
            </w:tcBorders>
            <w:shd w:val="clear" w:color="auto" w:fill="auto"/>
            <w:vAlign w:val="center"/>
          </w:tcPr>
          <w:p w14:paraId="3AE8C739">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4"/>
                <w:kern w:val="0"/>
                <w:sz w:val="20"/>
                <w:szCs w:val="20"/>
                <w:lang w:val="en-US" w:eastAsia="en-US" w:bidi="ar-SA"/>
              </w:rPr>
              <w:t>啄木鸟</w:t>
            </w:r>
          </w:p>
        </w:tc>
        <w:tc>
          <w:tcPr>
            <w:tcW w:w="3406" w:type="dxa"/>
            <w:tcBorders>
              <w:tl2br w:val="nil"/>
              <w:tr2bl w:val="nil"/>
            </w:tcBorders>
            <w:shd w:val="clear" w:color="auto" w:fill="auto"/>
            <w:vAlign w:val="center"/>
          </w:tcPr>
          <w:p w14:paraId="462CC3DA">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i/>
                <w:iCs/>
                <w:snapToGrid w:val="0"/>
                <w:color w:val="auto"/>
                <w:spacing w:val="4"/>
                <w:kern w:val="0"/>
                <w:sz w:val="20"/>
                <w:szCs w:val="20"/>
                <w:lang w:eastAsia="en-US"/>
              </w:rPr>
              <w:t>Picidae</w:t>
            </w:r>
          </w:p>
        </w:tc>
      </w:tr>
      <w:tr w14:paraId="32AB01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tcBorders>
              <w:tl2br w:val="nil"/>
              <w:tr2bl w:val="nil"/>
            </w:tcBorders>
            <w:vAlign w:val="top"/>
          </w:tcPr>
          <w:p w14:paraId="55F6A5FB">
            <w:pPr>
              <w:pStyle w:val="106"/>
              <w:keepNext w:val="0"/>
              <w:keepLines w:val="0"/>
              <w:pageBreakBefore w:val="0"/>
              <w:widowControl w:val="0"/>
              <w:wordWrap/>
              <w:overflowPunct/>
              <w:topLinePunct w:val="0"/>
              <w:bidi w:val="0"/>
              <w:adjustRightInd w:val="0"/>
              <w:snapToGrid w:val="0"/>
              <w:spacing w:before="67" w:line="228" w:lineRule="auto"/>
              <w:ind w:left="118" w:leftChars="0"/>
              <w:jc w:val="center"/>
              <w:rPr>
                <w:rFonts w:ascii="Arial" w:hAnsi="Arial" w:eastAsia="Arial" w:cs="Arial"/>
                <w:snapToGrid w:val="0"/>
                <w:color w:val="auto"/>
                <w:kern w:val="0"/>
                <w:sz w:val="21"/>
                <w:szCs w:val="21"/>
                <w:lang w:eastAsia="en-US"/>
              </w:rPr>
            </w:pPr>
            <w:r>
              <w:rPr>
                <w:color w:val="auto"/>
                <w:sz w:val="21"/>
                <w:szCs w:val="21"/>
              </w:rPr>
              <w:fldChar w:fldCharType="begin"/>
            </w:r>
            <w:r>
              <w:rPr>
                <w:color w:val="auto"/>
                <w:sz w:val="21"/>
                <w:szCs w:val="21"/>
              </w:rPr>
              <w:instrText xml:space="preserve"> HYPERLINK "https://baike.baidu.com/item/%E6%97%A0%E5%B0%BE%E7%9B%AE/0?fromModule=lemma_inlink" </w:instrText>
            </w:r>
            <w:r>
              <w:rPr>
                <w:color w:val="auto"/>
                <w:sz w:val="21"/>
                <w:szCs w:val="21"/>
              </w:rPr>
              <w:fldChar w:fldCharType="separate"/>
            </w:r>
            <w:r>
              <w:rPr>
                <w:color w:val="auto"/>
                <w:spacing w:val="6"/>
                <w:sz w:val="21"/>
                <w:szCs w:val="21"/>
              </w:rPr>
              <w:t>无尾目</w:t>
            </w:r>
            <w:r>
              <w:rPr>
                <w:color w:val="auto"/>
                <w:spacing w:val="6"/>
                <w:sz w:val="21"/>
                <w:szCs w:val="21"/>
              </w:rPr>
              <w:fldChar w:fldCharType="end"/>
            </w:r>
          </w:p>
        </w:tc>
        <w:tc>
          <w:tcPr>
            <w:tcW w:w="1245" w:type="dxa"/>
            <w:tcBorders>
              <w:tl2br w:val="nil"/>
              <w:tr2bl w:val="nil"/>
            </w:tcBorders>
            <w:vAlign w:val="top"/>
          </w:tcPr>
          <w:p w14:paraId="530BB974">
            <w:pPr>
              <w:pStyle w:val="106"/>
              <w:keepNext w:val="0"/>
              <w:keepLines w:val="0"/>
              <w:pageBreakBefore w:val="0"/>
              <w:widowControl w:val="0"/>
              <w:wordWrap/>
              <w:overflowPunct/>
              <w:topLinePunct w:val="0"/>
              <w:bidi w:val="0"/>
              <w:adjustRightInd w:val="0"/>
              <w:snapToGrid w:val="0"/>
              <w:spacing w:before="66" w:line="227" w:lineRule="auto"/>
              <w:ind w:left="114" w:leftChars="0"/>
              <w:jc w:val="center"/>
              <w:rPr>
                <w:rFonts w:ascii="宋体" w:hAnsi="宋体" w:eastAsia="宋体" w:cs="宋体"/>
                <w:snapToGrid w:val="0"/>
                <w:color w:val="auto"/>
                <w:kern w:val="0"/>
                <w:sz w:val="21"/>
                <w:szCs w:val="21"/>
                <w:lang w:val="en-US" w:eastAsia="en-US" w:bidi="ar-SA"/>
              </w:rPr>
            </w:pPr>
            <w:r>
              <w:rPr>
                <w:color w:val="auto"/>
                <w:spacing w:val="4"/>
                <w:sz w:val="21"/>
                <w:szCs w:val="21"/>
              </w:rPr>
              <w:t>蛙科</w:t>
            </w:r>
          </w:p>
        </w:tc>
        <w:tc>
          <w:tcPr>
            <w:tcW w:w="1174" w:type="dxa"/>
            <w:tcBorders>
              <w:tl2br w:val="nil"/>
              <w:tr2bl w:val="nil"/>
            </w:tcBorders>
            <w:vAlign w:val="top"/>
          </w:tcPr>
          <w:p w14:paraId="40FF797D">
            <w:pPr>
              <w:pStyle w:val="106"/>
              <w:keepNext w:val="0"/>
              <w:keepLines w:val="0"/>
              <w:pageBreakBefore w:val="0"/>
              <w:widowControl w:val="0"/>
              <w:wordWrap/>
              <w:overflowPunct/>
              <w:topLinePunct w:val="0"/>
              <w:bidi w:val="0"/>
              <w:adjustRightInd w:val="0"/>
              <w:snapToGrid w:val="0"/>
              <w:spacing w:before="66" w:line="228" w:lineRule="auto"/>
              <w:ind w:left="115" w:leftChars="0"/>
              <w:jc w:val="center"/>
              <w:rPr>
                <w:rFonts w:ascii="Arial" w:hAnsi="Arial" w:eastAsia="Arial" w:cs="Arial"/>
                <w:snapToGrid w:val="0"/>
                <w:color w:val="auto"/>
                <w:kern w:val="0"/>
                <w:sz w:val="21"/>
                <w:szCs w:val="21"/>
                <w:lang w:eastAsia="en-US"/>
              </w:rPr>
            </w:pPr>
            <w:r>
              <w:rPr>
                <w:color w:val="auto"/>
                <w:spacing w:val="6"/>
                <w:sz w:val="21"/>
                <w:szCs w:val="21"/>
              </w:rPr>
              <w:t>林蛙属</w:t>
            </w:r>
          </w:p>
        </w:tc>
        <w:tc>
          <w:tcPr>
            <w:tcW w:w="1653" w:type="dxa"/>
            <w:tcBorders>
              <w:tl2br w:val="nil"/>
              <w:tr2bl w:val="nil"/>
            </w:tcBorders>
            <w:vAlign w:val="top"/>
          </w:tcPr>
          <w:p w14:paraId="2F14C77A">
            <w:pPr>
              <w:pStyle w:val="106"/>
              <w:keepNext w:val="0"/>
              <w:keepLines w:val="0"/>
              <w:pageBreakBefore w:val="0"/>
              <w:widowControl w:val="0"/>
              <w:wordWrap/>
              <w:overflowPunct/>
              <w:topLinePunct w:val="0"/>
              <w:bidi w:val="0"/>
              <w:adjustRightInd w:val="0"/>
              <w:snapToGrid w:val="0"/>
              <w:spacing w:before="66" w:line="228" w:lineRule="auto"/>
              <w:ind w:left="133" w:leftChars="0"/>
              <w:jc w:val="center"/>
              <w:rPr>
                <w:rFonts w:ascii="宋体" w:hAnsi="宋体" w:eastAsia="宋体" w:cs="宋体"/>
                <w:snapToGrid w:val="0"/>
                <w:color w:val="auto"/>
                <w:spacing w:val="6"/>
                <w:kern w:val="0"/>
                <w:sz w:val="21"/>
                <w:szCs w:val="21"/>
                <w:lang w:val="en-US" w:eastAsia="en-US" w:bidi="ar-SA"/>
              </w:rPr>
            </w:pPr>
            <w:r>
              <w:rPr>
                <w:color w:val="auto"/>
                <w:spacing w:val="2"/>
                <w:sz w:val="21"/>
                <w:szCs w:val="21"/>
              </w:rPr>
              <w:t>中国林蛙</w:t>
            </w:r>
          </w:p>
        </w:tc>
        <w:tc>
          <w:tcPr>
            <w:tcW w:w="3406" w:type="dxa"/>
            <w:tcBorders>
              <w:tl2br w:val="nil"/>
              <w:tr2bl w:val="nil"/>
            </w:tcBorders>
            <w:vAlign w:val="top"/>
          </w:tcPr>
          <w:p w14:paraId="2459EB19">
            <w:pPr>
              <w:keepNext w:val="0"/>
              <w:keepLines w:val="0"/>
              <w:pageBreakBefore w:val="0"/>
              <w:widowControl w:val="0"/>
              <w:wordWrap/>
              <w:overflowPunct/>
              <w:topLinePunct w:val="0"/>
              <w:bidi w:val="0"/>
              <w:adjustRightInd w:val="0"/>
              <w:snapToGrid w:val="0"/>
              <w:spacing w:before="101" w:line="199" w:lineRule="auto"/>
              <w:ind w:left="110" w:leftChars="0"/>
              <w:jc w:val="center"/>
              <w:rPr>
                <w:rFonts w:ascii="Times New Roman" w:hAnsi="Times New Roman" w:eastAsia="Times New Roman" w:cs="Times New Roman"/>
                <w:i/>
                <w:iCs/>
                <w:snapToGrid w:val="0"/>
                <w:color w:val="auto"/>
                <w:spacing w:val="3"/>
                <w:kern w:val="0"/>
                <w:sz w:val="21"/>
                <w:szCs w:val="21"/>
                <w:lang w:eastAsia="en-US"/>
              </w:rPr>
            </w:pPr>
            <w:r>
              <w:rPr>
                <w:rFonts w:ascii="Times New Roman" w:hAnsi="Times New Roman" w:eastAsia="Times New Roman" w:cs="Times New Roman"/>
                <w:i/>
                <w:iCs/>
                <w:color w:val="auto"/>
                <w:spacing w:val="3"/>
                <w:sz w:val="21"/>
                <w:szCs w:val="21"/>
              </w:rPr>
              <w:t>Rana chensinensis</w:t>
            </w:r>
          </w:p>
        </w:tc>
      </w:tr>
      <w:tr w14:paraId="270FDB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536" w:type="dxa"/>
            <w:tcBorders>
              <w:tl2br w:val="nil"/>
              <w:tr2bl w:val="nil"/>
            </w:tcBorders>
            <w:vAlign w:val="top"/>
          </w:tcPr>
          <w:p w14:paraId="5962BD04">
            <w:pPr>
              <w:pStyle w:val="106"/>
              <w:keepNext w:val="0"/>
              <w:keepLines w:val="0"/>
              <w:pageBreakBefore w:val="0"/>
              <w:widowControl w:val="0"/>
              <w:wordWrap/>
              <w:overflowPunct/>
              <w:topLinePunct w:val="0"/>
              <w:bidi w:val="0"/>
              <w:adjustRightInd w:val="0"/>
              <w:snapToGrid w:val="0"/>
              <w:spacing w:before="68" w:line="228" w:lineRule="auto"/>
              <w:ind w:left="116" w:leftChars="0"/>
              <w:jc w:val="center"/>
              <w:rPr>
                <w:rFonts w:ascii="Arial" w:hAnsi="Arial" w:eastAsia="Arial" w:cs="Arial"/>
                <w:snapToGrid w:val="0"/>
                <w:color w:val="auto"/>
                <w:kern w:val="0"/>
                <w:sz w:val="21"/>
                <w:szCs w:val="21"/>
                <w:lang w:eastAsia="en-US"/>
              </w:rPr>
            </w:pPr>
            <w:r>
              <w:rPr>
                <w:color w:val="auto"/>
                <w:spacing w:val="7"/>
                <w:sz w:val="21"/>
                <w:szCs w:val="21"/>
              </w:rPr>
              <w:t>蜥蜴目</w:t>
            </w:r>
          </w:p>
        </w:tc>
        <w:tc>
          <w:tcPr>
            <w:tcW w:w="1245" w:type="dxa"/>
            <w:tcBorders>
              <w:tl2br w:val="nil"/>
              <w:tr2bl w:val="nil"/>
            </w:tcBorders>
            <w:vAlign w:val="top"/>
          </w:tcPr>
          <w:p w14:paraId="6A505579">
            <w:pPr>
              <w:pStyle w:val="106"/>
              <w:keepNext w:val="0"/>
              <w:keepLines w:val="0"/>
              <w:pageBreakBefore w:val="0"/>
              <w:widowControl w:val="0"/>
              <w:wordWrap/>
              <w:overflowPunct/>
              <w:topLinePunct w:val="0"/>
              <w:bidi w:val="0"/>
              <w:adjustRightInd w:val="0"/>
              <w:snapToGrid w:val="0"/>
              <w:spacing w:before="68" w:line="227" w:lineRule="auto"/>
              <w:ind w:left="114" w:leftChars="0"/>
              <w:jc w:val="center"/>
              <w:rPr>
                <w:rFonts w:ascii="宋体" w:hAnsi="宋体" w:eastAsia="宋体" w:cs="宋体"/>
                <w:snapToGrid w:val="0"/>
                <w:color w:val="auto"/>
                <w:kern w:val="0"/>
                <w:sz w:val="21"/>
                <w:szCs w:val="21"/>
                <w:lang w:val="en-US" w:eastAsia="en-US" w:bidi="ar-SA"/>
              </w:rPr>
            </w:pPr>
            <w:r>
              <w:rPr>
                <w:color w:val="auto"/>
                <w:spacing w:val="7"/>
                <w:sz w:val="21"/>
                <w:szCs w:val="21"/>
              </w:rPr>
              <w:t>石龙子科</w:t>
            </w:r>
          </w:p>
        </w:tc>
        <w:tc>
          <w:tcPr>
            <w:tcW w:w="1174" w:type="dxa"/>
            <w:tcBorders>
              <w:tl2br w:val="nil"/>
              <w:tr2bl w:val="nil"/>
            </w:tcBorders>
            <w:vAlign w:val="top"/>
          </w:tcPr>
          <w:p w14:paraId="193CA655">
            <w:pPr>
              <w:pStyle w:val="106"/>
              <w:keepNext w:val="0"/>
              <w:keepLines w:val="0"/>
              <w:pageBreakBefore w:val="0"/>
              <w:widowControl w:val="0"/>
              <w:wordWrap/>
              <w:overflowPunct/>
              <w:topLinePunct w:val="0"/>
              <w:bidi w:val="0"/>
              <w:adjustRightInd w:val="0"/>
              <w:snapToGrid w:val="0"/>
              <w:spacing w:before="68" w:line="228" w:lineRule="auto"/>
              <w:ind w:left="115" w:leftChars="0"/>
              <w:jc w:val="center"/>
              <w:rPr>
                <w:rFonts w:ascii="Arial" w:hAnsi="Arial" w:eastAsia="Arial" w:cs="Arial"/>
                <w:snapToGrid w:val="0"/>
                <w:color w:val="auto"/>
                <w:kern w:val="0"/>
                <w:sz w:val="21"/>
                <w:szCs w:val="21"/>
                <w:lang w:eastAsia="en-US"/>
              </w:rPr>
            </w:pPr>
            <w:r>
              <w:rPr>
                <w:color w:val="auto"/>
                <w:spacing w:val="6"/>
                <w:sz w:val="21"/>
                <w:szCs w:val="21"/>
              </w:rPr>
              <w:t>滑蜥属</w:t>
            </w:r>
          </w:p>
        </w:tc>
        <w:tc>
          <w:tcPr>
            <w:tcW w:w="1653" w:type="dxa"/>
            <w:tcBorders>
              <w:tl2br w:val="nil"/>
              <w:tr2bl w:val="nil"/>
            </w:tcBorders>
            <w:vAlign w:val="top"/>
          </w:tcPr>
          <w:p w14:paraId="3CB18D72">
            <w:pPr>
              <w:pStyle w:val="106"/>
              <w:keepNext w:val="0"/>
              <w:keepLines w:val="0"/>
              <w:pageBreakBefore w:val="0"/>
              <w:widowControl w:val="0"/>
              <w:wordWrap/>
              <w:overflowPunct/>
              <w:topLinePunct w:val="0"/>
              <w:bidi w:val="0"/>
              <w:adjustRightInd w:val="0"/>
              <w:snapToGrid w:val="0"/>
              <w:spacing w:before="68" w:line="228" w:lineRule="auto"/>
              <w:ind w:left="115" w:leftChars="0"/>
              <w:jc w:val="center"/>
              <w:rPr>
                <w:rFonts w:ascii="宋体" w:hAnsi="宋体" w:eastAsia="宋体" w:cs="宋体"/>
                <w:snapToGrid w:val="0"/>
                <w:color w:val="auto"/>
                <w:spacing w:val="6"/>
                <w:kern w:val="0"/>
                <w:sz w:val="21"/>
                <w:szCs w:val="21"/>
                <w:lang w:val="en-US" w:eastAsia="en-US" w:bidi="ar-SA"/>
              </w:rPr>
            </w:pPr>
            <w:r>
              <w:rPr>
                <w:color w:val="auto"/>
                <w:spacing w:val="6"/>
                <w:sz w:val="21"/>
                <w:szCs w:val="21"/>
              </w:rPr>
              <w:t>秦岭滑蜥</w:t>
            </w:r>
          </w:p>
        </w:tc>
        <w:tc>
          <w:tcPr>
            <w:tcW w:w="3406" w:type="dxa"/>
            <w:tcBorders>
              <w:tl2br w:val="nil"/>
              <w:tr2bl w:val="nil"/>
            </w:tcBorders>
            <w:vAlign w:val="top"/>
          </w:tcPr>
          <w:p w14:paraId="05C2D809">
            <w:pPr>
              <w:keepNext w:val="0"/>
              <w:keepLines w:val="0"/>
              <w:pageBreakBefore w:val="0"/>
              <w:widowControl w:val="0"/>
              <w:wordWrap/>
              <w:overflowPunct/>
              <w:topLinePunct w:val="0"/>
              <w:bidi w:val="0"/>
              <w:adjustRightInd w:val="0"/>
              <w:snapToGrid w:val="0"/>
              <w:spacing w:before="100" w:line="201" w:lineRule="auto"/>
              <w:ind w:left="115" w:leftChars="0"/>
              <w:jc w:val="center"/>
              <w:rPr>
                <w:rFonts w:ascii="Times New Roman" w:hAnsi="Times New Roman" w:eastAsia="Times New Roman" w:cs="Times New Roman"/>
                <w:i/>
                <w:iCs/>
                <w:snapToGrid w:val="0"/>
                <w:color w:val="auto"/>
                <w:spacing w:val="3"/>
                <w:kern w:val="0"/>
                <w:sz w:val="21"/>
                <w:szCs w:val="21"/>
                <w:lang w:eastAsia="en-US"/>
              </w:rPr>
            </w:pPr>
            <w:r>
              <w:rPr>
                <w:rFonts w:ascii="Times New Roman" w:hAnsi="Times New Roman" w:eastAsia="Times New Roman" w:cs="Times New Roman"/>
                <w:i/>
                <w:iCs/>
                <w:color w:val="auto"/>
                <w:spacing w:val="3"/>
                <w:sz w:val="21"/>
                <w:szCs w:val="21"/>
              </w:rPr>
              <w:t>Scincella tsinlingensis</w:t>
            </w:r>
          </w:p>
        </w:tc>
      </w:tr>
    </w:tbl>
    <w:p w14:paraId="01D1B591">
      <w:pPr>
        <w:widowControl/>
        <w:kinsoku w:val="0"/>
        <w:autoSpaceDE w:val="0"/>
        <w:autoSpaceDN w:val="0"/>
        <w:adjustRightInd w:val="0"/>
        <w:snapToGrid w:val="0"/>
        <w:spacing w:line="91" w:lineRule="auto"/>
        <w:jc w:val="left"/>
        <w:textAlignment w:val="baseline"/>
        <w:rPr>
          <w:rFonts w:ascii="Arial" w:hAnsi="Arial" w:eastAsia="Arial" w:cs="Arial"/>
          <w:snapToGrid w:val="0"/>
          <w:color w:val="auto"/>
          <w:kern w:val="0"/>
          <w:sz w:val="2"/>
          <w:szCs w:val="21"/>
          <w:lang w:eastAsia="en-US"/>
        </w:rPr>
      </w:pPr>
    </w:p>
    <w:p w14:paraId="07D59920">
      <w:pPr>
        <w:keepNext w:val="0"/>
        <w:keepLines w:val="0"/>
        <w:pageBreakBefore w:val="0"/>
        <w:widowControl w:val="0"/>
        <w:kinsoku w:val="0"/>
        <w:wordWrap/>
        <w:overflowPunct/>
        <w:topLinePunct w:val="0"/>
        <w:autoSpaceDE w:val="0"/>
        <w:autoSpaceDN w:val="0"/>
        <w:bidi w:val="0"/>
        <w:adjustRightInd w:val="0"/>
        <w:snapToGrid w:val="0"/>
        <w:spacing w:before="0" w:beforeLines="50" w:line="360" w:lineRule="auto"/>
        <w:ind w:left="0" w:firstLine="482" w:firstLineChars="200"/>
        <w:jc w:val="both"/>
        <w:textAlignment w:val="baseline"/>
        <w:rPr>
          <w:rFonts w:ascii="宋体" w:hAnsi="宋体" w:eastAsia="宋体" w:cs="宋体"/>
          <w:b/>
          <w:bCs/>
          <w:snapToGrid w:val="0"/>
          <w:color w:val="auto"/>
          <w:spacing w:val="-3"/>
          <w:kern w:val="0"/>
          <w:sz w:val="24"/>
          <w:szCs w:val="24"/>
          <w:lang w:val="en-US" w:eastAsia="en-US" w:bidi="ar-SA"/>
        </w:rPr>
      </w:pPr>
      <w:r>
        <w:rPr>
          <w:rFonts w:hint="default" w:ascii="Times New Roman" w:hAnsi="Times New Roman" w:cs="Times New Roman"/>
          <w:b/>
          <w:bCs/>
          <w:color w:val="auto"/>
          <w:kern w:val="0"/>
          <w:sz w:val="24"/>
          <w:highlight w:val="none"/>
          <w:lang w:eastAsia="zh-CN" w:bidi="ar"/>
        </w:rPr>
        <w:t>⑶</w:t>
      </w:r>
      <w:r>
        <w:rPr>
          <w:rFonts w:ascii="宋体" w:hAnsi="宋体" w:eastAsia="宋体" w:cs="宋体"/>
          <w:b/>
          <w:bCs/>
          <w:snapToGrid w:val="0"/>
          <w:color w:val="auto"/>
          <w:spacing w:val="-3"/>
          <w:kern w:val="0"/>
          <w:sz w:val="24"/>
          <w:szCs w:val="24"/>
          <w:lang w:val="en-US" w:eastAsia="en-US" w:bidi="ar-SA"/>
        </w:rPr>
        <w:t>评价区国家重点保护野生动物</w:t>
      </w:r>
    </w:p>
    <w:p w14:paraId="1DEC0909">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40"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0"/>
          <w:kern w:val="0"/>
          <w:sz w:val="24"/>
          <w:szCs w:val="24"/>
          <w:lang w:val="en-US" w:eastAsia="en-US" w:bidi="ar-SA"/>
        </w:rPr>
        <w:t>通过现场调查，本项目评价区未现《国家重点保护野生动物名录》（</w:t>
      </w:r>
      <w:r>
        <w:rPr>
          <w:rFonts w:ascii="Times New Roman" w:hAnsi="Times New Roman" w:eastAsia="Times New Roman" w:cs="Times New Roman"/>
          <w:snapToGrid w:val="0"/>
          <w:color w:val="auto"/>
          <w:spacing w:val="-10"/>
          <w:kern w:val="0"/>
          <w:sz w:val="24"/>
          <w:szCs w:val="24"/>
          <w:lang w:val="en-US" w:eastAsia="en-US" w:bidi="ar-SA"/>
        </w:rPr>
        <w:t xml:space="preserve">2021  </w:t>
      </w:r>
      <w:r>
        <w:rPr>
          <w:rFonts w:ascii="宋体" w:hAnsi="宋体" w:eastAsia="宋体" w:cs="宋体"/>
          <w:snapToGrid w:val="0"/>
          <w:color w:val="auto"/>
          <w:spacing w:val="-10"/>
          <w:kern w:val="0"/>
          <w:sz w:val="24"/>
          <w:szCs w:val="24"/>
          <w:lang w:val="en-US" w:eastAsia="en-US" w:bidi="ar-SA"/>
        </w:rPr>
        <w:t>年）</w:t>
      </w:r>
      <w:r>
        <w:rPr>
          <w:rFonts w:ascii="宋体" w:hAnsi="宋体" w:eastAsia="宋体" w:cs="宋体"/>
          <w:snapToGrid w:val="0"/>
          <w:color w:val="auto"/>
          <w:spacing w:val="-5"/>
          <w:kern w:val="0"/>
          <w:sz w:val="24"/>
          <w:szCs w:val="24"/>
          <w:lang w:val="en-US" w:eastAsia="en-US" w:bidi="ar-SA"/>
        </w:rPr>
        <w:t>等重点保护野生动物。</w:t>
      </w:r>
    </w:p>
    <w:p w14:paraId="56C9B703">
      <w:pPr>
        <w:keepNext w:val="0"/>
        <w:keepLines w:val="0"/>
        <w:pageBreakBefore w:val="0"/>
        <w:widowControl w:val="0"/>
        <w:kinsoku w:val="0"/>
        <w:wordWrap/>
        <w:overflowPunct/>
        <w:topLinePunct w:val="0"/>
        <w:autoSpaceDE w:val="0"/>
        <w:autoSpaceDN w:val="0"/>
        <w:bidi w:val="0"/>
        <w:adjustRightInd w:val="0"/>
        <w:snapToGrid w:val="0"/>
        <w:spacing w:before="0" w:line="360" w:lineRule="auto"/>
        <w:jc w:val="left"/>
        <w:textAlignment w:val="baseline"/>
        <w:outlineLvl w:val="3"/>
        <w:rPr>
          <w:rFonts w:ascii="宋体" w:hAnsi="宋体" w:eastAsia="宋体" w:cs="宋体"/>
          <w:snapToGrid w:val="0"/>
          <w:color w:val="auto"/>
          <w:kern w:val="0"/>
          <w:sz w:val="24"/>
          <w:szCs w:val="24"/>
          <w:lang w:val="en-US" w:eastAsia="en-US" w:bidi="ar-SA"/>
        </w:rPr>
      </w:pPr>
      <w:r>
        <w:rPr>
          <w:rFonts w:hint="eastAsia" w:eastAsia="宋体" w:cs="Times New Roman"/>
          <w:b/>
          <w:bCs/>
          <w:snapToGrid w:val="0"/>
          <w:color w:val="auto"/>
          <w:spacing w:val="-2"/>
          <w:kern w:val="0"/>
          <w:sz w:val="24"/>
          <w:szCs w:val="24"/>
          <w:lang w:val="en-US" w:eastAsia="zh-CN" w:bidi="ar-SA"/>
        </w:rPr>
        <w:t>2</w:t>
      </w:r>
      <w:r>
        <w:rPr>
          <w:rFonts w:ascii="Times New Roman" w:hAnsi="Times New Roman" w:eastAsia="Times New Roman" w:cs="Times New Roman"/>
          <w:b/>
          <w:bCs/>
          <w:snapToGrid w:val="0"/>
          <w:color w:val="auto"/>
          <w:spacing w:val="-2"/>
          <w:kern w:val="0"/>
          <w:sz w:val="24"/>
          <w:szCs w:val="24"/>
          <w:lang w:val="en-US" w:eastAsia="en-US" w:bidi="ar-SA"/>
        </w:rPr>
        <w:t>.</w:t>
      </w:r>
      <w:r>
        <w:rPr>
          <w:rFonts w:hint="eastAsia" w:eastAsia="宋体" w:cs="Times New Roman"/>
          <w:b/>
          <w:bCs/>
          <w:snapToGrid w:val="0"/>
          <w:color w:val="auto"/>
          <w:spacing w:val="-2"/>
          <w:kern w:val="0"/>
          <w:sz w:val="24"/>
          <w:szCs w:val="24"/>
          <w:lang w:val="en-US" w:eastAsia="zh-CN" w:bidi="ar-SA"/>
        </w:rPr>
        <w:t>2</w:t>
      </w:r>
      <w:r>
        <w:rPr>
          <w:rFonts w:ascii="Times New Roman" w:hAnsi="Times New Roman" w:eastAsia="Times New Roman" w:cs="Times New Roman"/>
          <w:b/>
          <w:bCs/>
          <w:snapToGrid w:val="0"/>
          <w:color w:val="auto"/>
          <w:spacing w:val="-2"/>
          <w:kern w:val="0"/>
          <w:sz w:val="24"/>
          <w:szCs w:val="24"/>
          <w:lang w:val="en-US" w:eastAsia="en-US" w:bidi="ar-SA"/>
        </w:rPr>
        <w:t>.3.4</w:t>
      </w:r>
      <w:r>
        <w:rPr>
          <w:rFonts w:ascii="宋体" w:hAnsi="宋体" w:eastAsia="宋体" w:cs="宋体"/>
          <w:b/>
          <w:bCs/>
          <w:snapToGrid w:val="0"/>
          <w:color w:val="auto"/>
          <w:spacing w:val="-2"/>
          <w:kern w:val="0"/>
          <w:sz w:val="24"/>
          <w:szCs w:val="24"/>
          <w:lang w:val="en-US" w:eastAsia="en-US" w:bidi="ar-SA"/>
        </w:rPr>
        <w:t>生态系统现状</w:t>
      </w:r>
    </w:p>
    <w:p w14:paraId="266D1FDC">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color w:val="auto"/>
          <w:kern w:val="0"/>
          <w:sz w:val="24"/>
          <w:highlight w:val="none"/>
          <w:lang w:eastAsia="zh-CN"/>
        </w:rPr>
        <w:t>⑴</w:t>
      </w:r>
      <w:r>
        <w:rPr>
          <w:rFonts w:ascii="宋体" w:hAnsi="宋体" w:eastAsia="宋体" w:cs="宋体"/>
          <w:b/>
          <w:bCs/>
          <w:snapToGrid w:val="0"/>
          <w:color w:val="auto"/>
          <w:spacing w:val="-3"/>
          <w:kern w:val="0"/>
          <w:sz w:val="24"/>
          <w:szCs w:val="24"/>
          <w:lang w:val="en-US" w:eastAsia="en-US" w:bidi="ar-SA"/>
        </w:rPr>
        <w:t>生态系统类型及特征</w:t>
      </w:r>
    </w:p>
    <w:p w14:paraId="3DA65DC4">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本次采用遥感的技术手段，根据《全国生态状况调查评</w:t>
      </w:r>
      <w:r>
        <w:rPr>
          <w:rFonts w:ascii="宋体" w:hAnsi="宋体" w:eastAsia="宋体" w:cs="宋体"/>
          <w:snapToGrid w:val="0"/>
          <w:color w:val="auto"/>
          <w:spacing w:val="-4"/>
          <w:kern w:val="0"/>
          <w:sz w:val="24"/>
          <w:szCs w:val="24"/>
          <w:lang w:val="en-US" w:eastAsia="en-US" w:bidi="ar-SA"/>
        </w:rPr>
        <w:t>估技术规范</w:t>
      </w:r>
      <w:r>
        <w:rPr>
          <w:rFonts w:ascii="Times New Roman" w:hAnsi="Times New Roman" w:eastAsia="Times New Roman" w:cs="Times New Roman"/>
          <w:snapToGrid w:val="0"/>
          <w:color w:val="auto"/>
          <w:spacing w:val="-4"/>
          <w:kern w:val="0"/>
          <w:sz w:val="24"/>
          <w:szCs w:val="24"/>
          <w:lang w:val="en-US" w:eastAsia="en-US" w:bidi="ar-SA"/>
        </w:rPr>
        <w:t>—</w:t>
      </w:r>
      <w:r>
        <w:rPr>
          <w:rFonts w:ascii="宋体" w:hAnsi="宋体" w:eastAsia="宋体" w:cs="宋体"/>
          <w:snapToGrid w:val="0"/>
          <w:color w:val="auto"/>
          <w:spacing w:val="-4"/>
          <w:kern w:val="0"/>
          <w:sz w:val="24"/>
          <w:szCs w:val="24"/>
          <w:lang w:val="en-US" w:eastAsia="en-US" w:bidi="ar-SA"/>
        </w:rPr>
        <w:t>生态系</w:t>
      </w:r>
      <w:r>
        <w:rPr>
          <w:rFonts w:ascii="宋体" w:hAnsi="宋体" w:eastAsia="宋体" w:cs="宋体"/>
          <w:snapToGrid w:val="0"/>
          <w:color w:val="auto"/>
          <w:spacing w:val="1"/>
          <w:kern w:val="0"/>
          <w:sz w:val="24"/>
          <w:szCs w:val="24"/>
          <w:lang w:val="en-US" w:eastAsia="en-US" w:bidi="ar-SA"/>
        </w:rPr>
        <w:t>统遥感解译与野外核查》（</w:t>
      </w:r>
      <w:r>
        <w:rPr>
          <w:rFonts w:ascii="Times New Roman" w:hAnsi="Times New Roman" w:eastAsia="Times New Roman" w:cs="Times New Roman"/>
          <w:snapToGrid w:val="0"/>
          <w:color w:val="auto"/>
          <w:kern w:val="0"/>
          <w:sz w:val="24"/>
          <w:szCs w:val="24"/>
          <w:lang w:val="en-US" w:eastAsia="en-US" w:bidi="ar-SA"/>
        </w:rPr>
        <w:t>HJ</w:t>
      </w:r>
      <w:r>
        <w:rPr>
          <w:rFonts w:ascii="Times New Roman" w:hAnsi="Times New Roman" w:eastAsia="Times New Roman" w:cs="Times New Roman"/>
          <w:snapToGrid w:val="0"/>
          <w:color w:val="auto"/>
          <w:spacing w:val="1"/>
          <w:kern w:val="0"/>
          <w:sz w:val="24"/>
          <w:szCs w:val="24"/>
          <w:lang w:val="en-US" w:eastAsia="en-US" w:bidi="ar-SA"/>
        </w:rPr>
        <w:t>1166-2021</w:t>
      </w:r>
      <w:r>
        <w:rPr>
          <w:rFonts w:ascii="宋体" w:hAnsi="宋体" w:eastAsia="宋体" w:cs="宋体"/>
          <w:snapToGrid w:val="0"/>
          <w:color w:val="auto"/>
          <w:spacing w:val="1"/>
          <w:kern w:val="0"/>
          <w:sz w:val="24"/>
          <w:szCs w:val="24"/>
          <w:lang w:val="en-US" w:eastAsia="en-US" w:bidi="ar-SA"/>
        </w:rPr>
        <w:t>）的分类方</w:t>
      </w:r>
      <w:r>
        <w:rPr>
          <w:rFonts w:ascii="宋体" w:hAnsi="宋体" w:eastAsia="宋体" w:cs="宋体"/>
          <w:snapToGrid w:val="0"/>
          <w:color w:val="auto"/>
          <w:kern w:val="0"/>
          <w:sz w:val="24"/>
          <w:szCs w:val="24"/>
          <w:lang w:val="en-US" w:eastAsia="en-US" w:bidi="ar-SA"/>
        </w:rPr>
        <w:t>法，对评价区生态系统进行</w:t>
      </w:r>
      <w:r>
        <w:rPr>
          <w:rFonts w:ascii="宋体" w:hAnsi="宋体" w:eastAsia="宋体" w:cs="宋体"/>
          <w:snapToGrid w:val="0"/>
          <w:color w:val="auto"/>
          <w:spacing w:val="-8"/>
          <w:kern w:val="0"/>
          <w:sz w:val="24"/>
          <w:szCs w:val="24"/>
          <w:lang w:val="en-US" w:eastAsia="en-US" w:bidi="ar-SA"/>
        </w:rPr>
        <w:t>分类，具体如下：</w:t>
      </w:r>
    </w:p>
    <w:p w14:paraId="7C9604B0">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①森林生态系统</w:t>
      </w:r>
    </w:p>
    <w:p w14:paraId="408ECE38">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52"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7"/>
          <w:kern w:val="0"/>
          <w:sz w:val="24"/>
          <w:szCs w:val="24"/>
          <w:lang w:val="en-US" w:eastAsia="en-US" w:bidi="ar-SA"/>
        </w:rPr>
        <w:t>森林生态系统在评价区均有分布，评价区主要为山杏群系。山杏群系灌木层主要为柠条</w:t>
      </w:r>
      <w:r>
        <w:rPr>
          <w:rFonts w:ascii="宋体" w:hAnsi="宋体" w:eastAsia="宋体" w:cs="宋体"/>
          <w:snapToGrid w:val="0"/>
          <w:color w:val="auto"/>
          <w:spacing w:val="-8"/>
          <w:kern w:val="0"/>
          <w:sz w:val="24"/>
          <w:szCs w:val="24"/>
          <w:lang w:val="en-US" w:eastAsia="en-US" w:bidi="ar-SA"/>
        </w:rPr>
        <w:t>锦鸡儿、沙棘；草本层主要为针茅、百里香、天蓝苜蓿、冰草、委陵菜等，调查期间观察到大山雀、</w:t>
      </w:r>
      <w:r>
        <w:rPr>
          <w:rFonts w:ascii="宋体" w:hAnsi="宋体" w:eastAsia="宋体" w:cs="宋体"/>
          <w:snapToGrid w:val="0"/>
          <w:color w:val="auto"/>
          <w:spacing w:val="-3"/>
          <w:kern w:val="0"/>
          <w:sz w:val="24"/>
          <w:szCs w:val="24"/>
          <w:lang w:val="en-US" w:eastAsia="en-US" w:bidi="ar-SA"/>
        </w:rPr>
        <w:t>布谷鸟、啄木鸟、喜鹊等。</w:t>
      </w:r>
    </w:p>
    <w:p w14:paraId="38C0E231">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②灌丛生态系统</w:t>
      </w:r>
    </w:p>
    <w:p w14:paraId="5659BF3D">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eastAsia" w:ascii="宋体" w:hAnsi="宋体" w:eastAsia="宋体" w:cs="宋体"/>
          <w:snapToGrid w:val="0"/>
          <w:color w:val="auto"/>
          <w:kern w:val="0"/>
          <w:sz w:val="24"/>
          <w:szCs w:val="24"/>
          <w:lang w:val="en-US" w:eastAsia="zh-CN" w:bidi="ar-SA"/>
        </w:rPr>
      </w:pPr>
      <w:r>
        <w:rPr>
          <w:rFonts w:ascii="宋体" w:hAnsi="宋体" w:eastAsia="宋体" w:cs="宋体"/>
          <w:snapToGrid w:val="0"/>
          <w:color w:val="auto"/>
          <w:spacing w:val="-3"/>
          <w:kern w:val="0"/>
          <w:sz w:val="24"/>
          <w:szCs w:val="24"/>
          <w:lang w:val="en-US" w:eastAsia="en-US" w:bidi="ar-SA"/>
        </w:rPr>
        <w:t>灌丛生态系统主要位于评价区北部区域，以柠条群系为主</w:t>
      </w:r>
      <w:r>
        <w:rPr>
          <w:rFonts w:ascii="宋体" w:hAnsi="宋体" w:eastAsia="宋体" w:cs="宋体"/>
          <w:snapToGrid w:val="0"/>
          <w:color w:val="auto"/>
          <w:spacing w:val="-4"/>
          <w:kern w:val="0"/>
          <w:sz w:val="24"/>
          <w:szCs w:val="24"/>
          <w:lang w:val="en-US" w:eastAsia="en-US" w:bidi="ar-SA"/>
        </w:rPr>
        <w:t>，天然植被主要为</w:t>
      </w:r>
      <w:r>
        <w:rPr>
          <w:rFonts w:ascii="宋体" w:hAnsi="宋体" w:eastAsia="宋体" w:cs="宋体"/>
          <w:snapToGrid w:val="0"/>
          <w:color w:val="auto"/>
          <w:spacing w:val="-11"/>
          <w:kern w:val="0"/>
          <w:sz w:val="24"/>
          <w:szCs w:val="24"/>
          <w:lang w:val="en-US" w:eastAsia="en-US" w:bidi="ar-SA"/>
        </w:rPr>
        <w:t>针茅、百里香、天蓝苜蓿、冰草、委陵菜等，</w:t>
      </w:r>
      <w:r>
        <w:rPr>
          <w:rFonts w:ascii="宋体" w:hAnsi="宋体" w:eastAsia="宋体" w:cs="宋体"/>
          <w:snapToGrid w:val="0"/>
          <w:color w:val="auto"/>
          <w:spacing w:val="-35"/>
          <w:kern w:val="0"/>
          <w:sz w:val="24"/>
          <w:szCs w:val="24"/>
          <w:lang w:val="en-US" w:eastAsia="en-US" w:bidi="ar-SA"/>
        </w:rPr>
        <w:t xml:space="preserve"> </w:t>
      </w:r>
      <w:r>
        <w:rPr>
          <w:rFonts w:ascii="宋体" w:hAnsi="宋体" w:eastAsia="宋体" w:cs="宋体"/>
          <w:snapToGrid w:val="0"/>
          <w:color w:val="auto"/>
          <w:spacing w:val="-11"/>
          <w:kern w:val="0"/>
          <w:sz w:val="24"/>
          <w:szCs w:val="24"/>
          <w:lang w:val="en-US" w:eastAsia="en-US" w:bidi="ar-SA"/>
        </w:rPr>
        <w:t>调查期间该区域观察到</w:t>
      </w:r>
      <w:r>
        <w:rPr>
          <w:rFonts w:ascii="宋体" w:hAnsi="宋体" w:eastAsia="宋体" w:cs="宋体"/>
          <w:snapToGrid w:val="0"/>
          <w:color w:val="auto"/>
          <w:spacing w:val="-32"/>
          <w:kern w:val="0"/>
          <w:sz w:val="24"/>
          <w:szCs w:val="24"/>
          <w:lang w:val="en-US" w:eastAsia="en-US" w:bidi="ar-SA"/>
        </w:rPr>
        <w:t xml:space="preserve"> </w:t>
      </w:r>
      <w:r>
        <w:rPr>
          <w:rFonts w:ascii="Times New Roman" w:hAnsi="Times New Roman" w:eastAsia="Times New Roman" w:cs="Times New Roman"/>
          <w:snapToGrid w:val="0"/>
          <w:color w:val="auto"/>
          <w:spacing w:val="-11"/>
          <w:kern w:val="0"/>
          <w:sz w:val="24"/>
          <w:szCs w:val="24"/>
          <w:lang w:val="en-US" w:eastAsia="en-US" w:bidi="ar-SA"/>
        </w:rPr>
        <w:t>1</w:t>
      </w:r>
      <w:r>
        <w:rPr>
          <w:rFonts w:ascii="宋体" w:hAnsi="宋体" w:eastAsia="宋体" w:cs="宋体"/>
          <w:snapToGrid w:val="0"/>
          <w:color w:val="auto"/>
          <w:spacing w:val="-11"/>
          <w:kern w:val="0"/>
          <w:sz w:val="24"/>
          <w:szCs w:val="24"/>
          <w:lang w:val="en-US" w:eastAsia="en-US" w:bidi="ar-SA"/>
        </w:rPr>
        <w:t>只灰仓鼠</w:t>
      </w:r>
      <w:r>
        <w:rPr>
          <w:rFonts w:hint="eastAsia" w:ascii="宋体" w:hAnsi="宋体" w:cs="宋体"/>
          <w:snapToGrid w:val="0"/>
          <w:color w:val="auto"/>
          <w:spacing w:val="-11"/>
          <w:kern w:val="0"/>
          <w:sz w:val="24"/>
          <w:szCs w:val="24"/>
          <w:lang w:val="en-US" w:eastAsia="zh-CN" w:bidi="ar-SA"/>
        </w:rPr>
        <w:t>。</w:t>
      </w:r>
    </w:p>
    <w:p w14:paraId="5D9C6404">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③草地生态系统</w:t>
      </w:r>
    </w:p>
    <w:p w14:paraId="16829CBA">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64"/>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6"/>
          <w:kern w:val="0"/>
          <w:sz w:val="24"/>
          <w:szCs w:val="24"/>
          <w:lang w:val="en-US" w:eastAsia="en-US" w:bidi="ar-SA"/>
        </w:rPr>
        <w:t>草地生态系统在评价区均有分布。草地生态系统以针茅群系为主，</w:t>
      </w:r>
      <w:r>
        <w:rPr>
          <w:rFonts w:ascii="宋体" w:hAnsi="宋体" w:eastAsia="宋体" w:cs="宋体"/>
          <w:snapToGrid w:val="0"/>
          <w:color w:val="auto"/>
          <w:spacing w:val="-31"/>
          <w:kern w:val="0"/>
          <w:sz w:val="24"/>
          <w:szCs w:val="24"/>
          <w:lang w:val="en-US" w:eastAsia="en-US" w:bidi="ar-SA"/>
        </w:rPr>
        <w:t xml:space="preserve"> </w:t>
      </w:r>
      <w:r>
        <w:rPr>
          <w:rFonts w:ascii="宋体" w:hAnsi="宋体" w:eastAsia="宋体" w:cs="宋体"/>
          <w:snapToGrid w:val="0"/>
          <w:color w:val="auto"/>
          <w:spacing w:val="-6"/>
          <w:kern w:val="0"/>
          <w:sz w:val="24"/>
          <w:szCs w:val="24"/>
          <w:lang w:val="en-US" w:eastAsia="en-US" w:bidi="ar-SA"/>
        </w:rPr>
        <w:t>天然生长</w:t>
      </w:r>
      <w:r>
        <w:rPr>
          <w:rFonts w:ascii="宋体" w:hAnsi="宋体" w:eastAsia="宋体" w:cs="宋体"/>
          <w:snapToGrid w:val="0"/>
          <w:color w:val="auto"/>
          <w:spacing w:val="-4"/>
          <w:kern w:val="0"/>
          <w:sz w:val="24"/>
          <w:szCs w:val="24"/>
          <w:lang w:val="en-US" w:eastAsia="en-US" w:bidi="ar-SA"/>
        </w:rPr>
        <w:t>的植物主要有针茅、百里香、沙蒿、冰草等。</w:t>
      </w:r>
    </w:p>
    <w:p w14:paraId="0CCE55FC">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④城镇生态系统</w:t>
      </w:r>
    </w:p>
    <w:p w14:paraId="640CF868">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3"/>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城镇生态系统主要分布于输变电线路沿线两侧区域，主要</w:t>
      </w:r>
      <w:r>
        <w:rPr>
          <w:rFonts w:ascii="宋体" w:hAnsi="宋体" w:eastAsia="宋体" w:cs="宋体"/>
          <w:snapToGrid w:val="0"/>
          <w:color w:val="auto"/>
          <w:spacing w:val="-4"/>
          <w:kern w:val="0"/>
          <w:sz w:val="24"/>
          <w:szCs w:val="24"/>
          <w:lang w:val="en-US" w:eastAsia="en-US" w:bidi="ar-SA"/>
        </w:rPr>
        <w:t>为村庄、交通运输</w:t>
      </w:r>
      <w:r>
        <w:rPr>
          <w:rFonts w:ascii="宋体" w:hAnsi="宋体" w:eastAsia="宋体" w:cs="宋体"/>
          <w:snapToGrid w:val="0"/>
          <w:color w:val="auto"/>
          <w:spacing w:val="-1"/>
          <w:kern w:val="0"/>
          <w:sz w:val="24"/>
          <w:szCs w:val="24"/>
          <w:lang w:val="en-US" w:eastAsia="en-US" w:bidi="ar-SA"/>
        </w:rPr>
        <w:t>道路。调查期间观察到大山雀、布谷鸟、啄木鸟、喜鹊数只，再未</w:t>
      </w:r>
      <w:r>
        <w:rPr>
          <w:rFonts w:ascii="宋体" w:hAnsi="宋体" w:eastAsia="宋体" w:cs="宋体"/>
          <w:snapToGrid w:val="0"/>
          <w:color w:val="auto"/>
          <w:spacing w:val="-2"/>
          <w:kern w:val="0"/>
          <w:sz w:val="24"/>
          <w:szCs w:val="24"/>
          <w:lang w:val="en-US" w:eastAsia="en-US" w:bidi="ar-SA"/>
        </w:rPr>
        <w:t>发现其他野生动物出没。</w:t>
      </w:r>
    </w:p>
    <w:p w14:paraId="1365FC4D">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ascii="宋体" w:hAnsi="宋体" w:eastAsia="宋体" w:cs="宋体"/>
          <w:snapToGrid w:val="0"/>
          <w:color w:val="auto"/>
          <w:spacing w:val="-1"/>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⑤农田生态系统</w:t>
      </w:r>
    </w:p>
    <w:p w14:paraId="40524DA1">
      <w:pPr>
        <w:keepNext w:val="0"/>
        <w:keepLines w:val="0"/>
        <w:pageBreakBefore w:val="0"/>
        <w:widowControl w:val="0"/>
        <w:kinsoku w:val="0"/>
        <w:wordWrap/>
        <w:overflowPunct/>
        <w:topLinePunct w:val="0"/>
        <w:autoSpaceDE w:val="0"/>
        <w:autoSpaceDN w:val="0"/>
        <w:bidi w:val="0"/>
        <w:adjustRightInd w:val="0"/>
        <w:snapToGrid w:val="0"/>
        <w:spacing w:line="360" w:lineRule="auto"/>
        <w:ind w:right="0" w:firstLine="46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农田生态系统在评价区均有分布，农田植被主要为玉米</w:t>
      </w:r>
      <w:r>
        <w:rPr>
          <w:rFonts w:ascii="宋体" w:hAnsi="宋体" w:eastAsia="宋体" w:cs="宋体"/>
          <w:snapToGrid w:val="0"/>
          <w:color w:val="auto"/>
          <w:spacing w:val="-4"/>
          <w:kern w:val="0"/>
          <w:sz w:val="24"/>
          <w:szCs w:val="24"/>
          <w:lang w:val="en-US" w:eastAsia="en-US" w:bidi="ar-SA"/>
        </w:rPr>
        <w:t>。该区域易受</w:t>
      </w:r>
      <w:r>
        <w:rPr>
          <w:rFonts w:ascii="宋体" w:hAnsi="宋体" w:eastAsia="宋体" w:cs="宋体"/>
          <w:snapToGrid w:val="0"/>
          <w:color w:val="auto"/>
          <w:spacing w:val="-3"/>
          <w:kern w:val="0"/>
          <w:sz w:val="24"/>
          <w:szCs w:val="24"/>
          <w:lang w:val="en-US" w:eastAsia="en-US" w:bidi="ar-SA"/>
        </w:rPr>
        <w:t>人为干扰，因此其中动物种类不丰富，主要包括一些小型啮齿类及常见鸟类。主</w:t>
      </w:r>
      <w:r>
        <w:rPr>
          <w:rFonts w:ascii="宋体" w:hAnsi="宋体" w:eastAsia="宋体" w:cs="宋体"/>
          <w:snapToGrid w:val="0"/>
          <w:color w:val="auto"/>
          <w:spacing w:val="-1"/>
          <w:kern w:val="0"/>
          <w:sz w:val="24"/>
          <w:szCs w:val="24"/>
          <w:lang w:val="en-US" w:eastAsia="en-US" w:bidi="ar-SA"/>
        </w:rPr>
        <w:t>要生态功能体现在农产品及副产品生产。此外，农田</w:t>
      </w:r>
      <w:r>
        <w:rPr>
          <w:rFonts w:ascii="宋体" w:hAnsi="宋体" w:eastAsia="宋体" w:cs="宋体"/>
          <w:snapToGrid w:val="0"/>
          <w:color w:val="auto"/>
          <w:spacing w:val="-2"/>
          <w:kern w:val="0"/>
          <w:sz w:val="24"/>
          <w:szCs w:val="24"/>
          <w:lang w:val="en-US" w:eastAsia="en-US" w:bidi="ar-SA"/>
        </w:rPr>
        <w:t>生态系统也具有养分循环、水分调节、传粉播种及餐饮、娱乐、文化等功能。</w:t>
      </w:r>
    </w:p>
    <w:p w14:paraId="0850E6DA">
      <w:pPr>
        <w:kinsoku w:val="0"/>
        <w:autoSpaceDE w:val="0"/>
        <w:autoSpaceDN w:val="0"/>
        <w:adjustRightInd w:val="0"/>
        <w:snapToGrid w:val="0"/>
        <w:spacing w:line="220" w:lineRule="auto"/>
        <w:ind w:left="512"/>
        <w:jc w:val="left"/>
        <w:textAlignment w:val="baseline"/>
        <w:rPr>
          <w:rFonts w:ascii="宋体" w:hAnsi="宋体" w:eastAsia="宋体" w:cs="宋体"/>
          <w:snapToGrid w:val="0"/>
          <w:color w:val="auto"/>
          <w:kern w:val="0"/>
          <w:sz w:val="24"/>
          <w:szCs w:val="24"/>
          <w:lang w:val="en-US" w:eastAsia="en-US" w:bidi="ar-SA"/>
        </w:rPr>
      </w:pPr>
      <w:r>
        <w:rPr>
          <w:rFonts w:hint="default" w:ascii="宋体" w:hAnsi="宋体" w:eastAsia="宋体" w:cs="宋体"/>
          <w:b/>
          <w:bCs/>
          <w:snapToGrid w:val="0"/>
          <w:color w:val="auto"/>
          <w:spacing w:val="-4"/>
          <w:kern w:val="0"/>
          <w:sz w:val="24"/>
          <w:szCs w:val="24"/>
          <w:lang w:val="en-US" w:eastAsia="en-US" w:bidi="ar-SA"/>
        </w:rPr>
        <w:t>⑵</w:t>
      </w:r>
      <w:r>
        <w:rPr>
          <w:rFonts w:ascii="宋体" w:hAnsi="宋体" w:eastAsia="宋体" w:cs="宋体"/>
          <w:b/>
          <w:bCs/>
          <w:snapToGrid w:val="0"/>
          <w:color w:val="auto"/>
          <w:spacing w:val="-4"/>
          <w:kern w:val="0"/>
          <w:sz w:val="24"/>
          <w:szCs w:val="24"/>
          <w:lang w:val="en-US" w:eastAsia="en-US" w:bidi="ar-SA"/>
        </w:rPr>
        <w:t>生态系统面积调查</w:t>
      </w:r>
    </w:p>
    <w:p w14:paraId="6708E90A">
      <w:pPr>
        <w:kinsoku w:val="0"/>
        <w:autoSpaceDE w:val="0"/>
        <w:autoSpaceDN w:val="0"/>
        <w:adjustRightInd w:val="0"/>
        <w:snapToGrid w:val="0"/>
        <w:spacing w:before="179" w:line="360" w:lineRule="auto"/>
        <w:ind w:left="23" w:firstLine="482"/>
        <w:jc w:val="both"/>
        <w:textAlignment w:val="baseline"/>
        <w:rPr>
          <w:rFonts w:hint="default" w:ascii="宋体" w:hAnsi="宋体" w:eastAsia="宋体" w:cs="宋体"/>
          <w:snapToGrid w:val="0"/>
          <w:color w:val="auto"/>
          <w:kern w:val="0"/>
          <w:sz w:val="24"/>
          <w:szCs w:val="24"/>
          <w:lang w:val="en-US" w:eastAsia="zh-CN" w:bidi="ar-SA"/>
        </w:rPr>
      </w:pPr>
      <w:r>
        <w:rPr>
          <w:rFonts w:ascii="宋体" w:hAnsi="宋体" w:eastAsia="宋体" w:cs="宋体"/>
          <w:snapToGrid w:val="0"/>
          <w:color w:val="auto"/>
          <w:spacing w:val="-1"/>
          <w:kern w:val="0"/>
          <w:sz w:val="24"/>
          <w:szCs w:val="24"/>
          <w:lang w:val="en-US" w:eastAsia="en-US" w:bidi="ar-SA"/>
        </w:rPr>
        <w:t>根据《全国生态状况调查评估技术规范</w:t>
      </w:r>
      <w:r>
        <w:rPr>
          <w:rFonts w:ascii="Times New Roman" w:hAnsi="Times New Roman" w:eastAsia="Times New Roman" w:cs="Times New Roman"/>
          <w:snapToGrid w:val="0"/>
          <w:color w:val="auto"/>
          <w:spacing w:val="-1"/>
          <w:kern w:val="0"/>
          <w:sz w:val="24"/>
          <w:szCs w:val="24"/>
          <w:lang w:val="en-US" w:eastAsia="en-US" w:bidi="ar-SA"/>
        </w:rPr>
        <w:t>——</w:t>
      </w:r>
      <w:r>
        <w:rPr>
          <w:rFonts w:ascii="宋体" w:hAnsi="宋体" w:eastAsia="宋体" w:cs="宋体"/>
          <w:snapToGrid w:val="0"/>
          <w:color w:val="auto"/>
          <w:spacing w:val="-1"/>
          <w:kern w:val="0"/>
          <w:sz w:val="24"/>
          <w:szCs w:val="24"/>
          <w:lang w:val="en-US" w:eastAsia="en-US" w:bidi="ar-SA"/>
        </w:rPr>
        <w:t>生态系统遥感解译与野外核查》</w:t>
      </w:r>
      <w:r>
        <w:rPr>
          <w:rFonts w:ascii="宋体" w:hAnsi="宋体" w:eastAsia="宋体" w:cs="宋体"/>
          <w:snapToGrid w:val="0"/>
          <w:color w:val="auto"/>
          <w:spacing w:val="13"/>
          <w:kern w:val="0"/>
          <w:sz w:val="24"/>
          <w:szCs w:val="24"/>
          <w:lang w:val="en-US" w:eastAsia="en-US" w:bidi="ar-SA"/>
        </w:rPr>
        <w:t xml:space="preserve"> </w:t>
      </w:r>
      <w:r>
        <w:rPr>
          <w:rFonts w:ascii="宋体" w:hAnsi="宋体" w:eastAsia="宋体" w:cs="宋体"/>
          <w:snapToGrid w:val="0"/>
          <w:color w:val="auto"/>
          <w:spacing w:val="1"/>
          <w:kern w:val="0"/>
          <w:sz w:val="24"/>
          <w:szCs w:val="24"/>
          <w:lang w:val="en-US" w:eastAsia="en-US" w:bidi="ar-SA"/>
        </w:rPr>
        <w:t>（</w:t>
      </w:r>
      <w:r>
        <w:rPr>
          <w:rFonts w:ascii="Times New Roman" w:hAnsi="Times New Roman" w:eastAsia="Times New Roman" w:cs="Times New Roman"/>
          <w:snapToGrid w:val="0"/>
          <w:color w:val="auto"/>
          <w:kern w:val="0"/>
          <w:sz w:val="24"/>
          <w:szCs w:val="24"/>
          <w:lang w:val="en-US" w:eastAsia="en-US" w:bidi="ar-SA"/>
        </w:rPr>
        <w:t>HJ</w:t>
      </w:r>
      <w:r>
        <w:rPr>
          <w:rFonts w:ascii="Times New Roman" w:hAnsi="Times New Roman" w:eastAsia="Times New Roman" w:cs="Times New Roman"/>
          <w:snapToGrid w:val="0"/>
          <w:color w:val="auto"/>
          <w:spacing w:val="1"/>
          <w:kern w:val="0"/>
          <w:sz w:val="24"/>
          <w:szCs w:val="24"/>
          <w:lang w:val="en-US" w:eastAsia="en-US" w:bidi="ar-SA"/>
        </w:rPr>
        <w:t>1166-2021</w:t>
      </w:r>
      <w:r>
        <w:rPr>
          <w:rFonts w:ascii="宋体" w:hAnsi="宋体" w:eastAsia="宋体" w:cs="宋体"/>
          <w:snapToGrid w:val="0"/>
          <w:color w:val="auto"/>
          <w:spacing w:val="1"/>
          <w:kern w:val="0"/>
          <w:sz w:val="24"/>
          <w:szCs w:val="24"/>
          <w:lang w:val="en-US" w:eastAsia="en-US" w:bidi="ar-SA"/>
        </w:rPr>
        <w:t>）的分类方法，采用遥感和地理信息系统的</w:t>
      </w:r>
      <w:r>
        <w:rPr>
          <w:rFonts w:ascii="宋体" w:hAnsi="宋体" w:eastAsia="宋体" w:cs="宋体"/>
          <w:snapToGrid w:val="0"/>
          <w:color w:val="auto"/>
          <w:kern w:val="0"/>
          <w:sz w:val="24"/>
          <w:szCs w:val="24"/>
          <w:lang w:val="en-US" w:eastAsia="en-US" w:bidi="ar-SA"/>
        </w:rPr>
        <w:t>技术手段和方法，统</w:t>
      </w:r>
      <w:r>
        <w:rPr>
          <w:rFonts w:ascii="宋体" w:hAnsi="宋体" w:eastAsia="宋体" w:cs="宋体"/>
          <w:snapToGrid w:val="0"/>
          <w:color w:val="auto"/>
          <w:spacing w:val="-1"/>
          <w:kern w:val="0"/>
          <w:sz w:val="24"/>
          <w:szCs w:val="24"/>
          <w:lang w:val="en-US" w:eastAsia="en-US" w:bidi="ar-SA"/>
        </w:rPr>
        <w:t>计出工程占地评价区各生态系统类型的面积，详见</w:t>
      </w:r>
      <w:r>
        <w:rPr>
          <w:rFonts w:hint="eastAsia" w:ascii="宋体" w:hAnsi="宋体" w:cs="宋体"/>
          <w:snapToGrid w:val="0"/>
          <w:color w:val="auto"/>
          <w:spacing w:val="-1"/>
          <w:kern w:val="0"/>
          <w:sz w:val="24"/>
          <w:szCs w:val="24"/>
          <w:lang w:val="en-US" w:eastAsia="zh-CN" w:bidi="ar-SA"/>
        </w:rPr>
        <w:t>专题</w:t>
      </w:r>
      <w:r>
        <w:rPr>
          <w:rFonts w:ascii="宋体" w:hAnsi="宋体" w:eastAsia="宋体" w:cs="宋体"/>
          <w:snapToGrid w:val="0"/>
          <w:color w:val="auto"/>
          <w:spacing w:val="-1"/>
          <w:kern w:val="0"/>
          <w:sz w:val="24"/>
          <w:szCs w:val="24"/>
          <w:lang w:val="en-US" w:eastAsia="en-US" w:bidi="ar-SA"/>
        </w:rPr>
        <w:t>表</w:t>
      </w:r>
      <w:r>
        <w:rPr>
          <w:rFonts w:ascii="宋体" w:hAnsi="宋体" w:eastAsia="宋体" w:cs="宋体"/>
          <w:snapToGrid w:val="0"/>
          <w:color w:val="auto"/>
          <w:spacing w:val="-42"/>
          <w:kern w:val="0"/>
          <w:sz w:val="24"/>
          <w:szCs w:val="24"/>
          <w:lang w:val="en-US" w:eastAsia="en-US" w:bidi="ar-SA"/>
        </w:rPr>
        <w:t xml:space="preserve"> </w:t>
      </w:r>
      <w:r>
        <w:rPr>
          <w:rFonts w:hint="eastAsia" w:eastAsia="宋体" w:cs="Times New Roman"/>
          <w:snapToGrid w:val="0"/>
          <w:color w:val="auto"/>
          <w:spacing w:val="-1"/>
          <w:kern w:val="0"/>
          <w:sz w:val="24"/>
          <w:szCs w:val="24"/>
          <w:lang w:val="en-US" w:eastAsia="zh-CN" w:bidi="ar-SA"/>
        </w:rPr>
        <w:t>2</w:t>
      </w:r>
      <w:r>
        <w:rPr>
          <w:rFonts w:ascii="Times New Roman" w:hAnsi="Times New Roman" w:eastAsia="Times New Roman" w:cs="Times New Roman"/>
          <w:snapToGrid w:val="0"/>
          <w:color w:val="auto"/>
          <w:spacing w:val="-1"/>
          <w:kern w:val="0"/>
          <w:sz w:val="24"/>
          <w:szCs w:val="24"/>
          <w:lang w:val="en-US" w:eastAsia="en-US" w:bidi="ar-SA"/>
        </w:rPr>
        <w:t>-1</w:t>
      </w:r>
      <w:r>
        <w:rPr>
          <w:rFonts w:hint="eastAsia" w:eastAsia="宋体" w:cs="Times New Roman"/>
          <w:snapToGrid w:val="0"/>
          <w:color w:val="auto"/>
          <w:spacing w:val="-1"/>
          <w:kern w:val="0"/>
          <w:sz w:val="24"/>
          <w:szCs w:val="24"/>
          <w:lang w:val="en-US" w:eastAsia="zh-CN" w:bidi="ar-SA"/>
        </w:rPr>
        <w:t>1</w:t>
      </w:r>
      <w:r>
        <w:rPr>
          <w:rFonts w:ascii="宋体" w:hAnsi="宋体" w:eastAsia="宋体" w:cs="宋体"/>
          <w:snapToGrid w:val="0"/>
          <w:color w:val="auto"/>
          <w:spacing w:val="-1"/>
          <w:kern w:val="0"/>
          <w:sz w:val="24"/>
          <w:szCs w:val="24"/>
          <w:lang w:val="en-US" w:eastAsia="en-US" w:bidi="ar-SA"/>
        </w:rPr>
        <w:t>。</w:t>
      </w:r>
      <w:r>
        <w:rPr>
          <w:rFonts w:hint="eastAsia" w:ascii="宋体" w:hAnsi="宋体" w:cs="宋体"/>
          <w:snapToGrid w:val="0"/>
          <w:color w:val="auto"/>
          <w:spacing w:val="-1"/>
          <w:kern w:val="0"/>
          <w:sz w:val="24"/>
          <w:szCs w:val="24"/>
          <w:lang w:val="en-US" w:eastAsia="zh-CN" w:bidi="ar-SA"/>
        </w:rPr>
        <w:t>评价区生态系统类型见专题图</w:t>
      </w:r>
      <w:r>
        <w:rPr>
          <w:rFonts w:hint="default" w:ascii="Times New Roman" w:hAnsi="Times New Roman" w:cs="Times New Roman"/>
          <w:snapToGrid w:val="0"/>
          <w:color w:val="auto"/>
          <w:spacing w:val="-1"/>
          <w:kern w:val="0"/>
          <w:sz w:val="24"/>
          <w:szCs w:val="24"/>
          <w:lang w:val="en-US" w:eastAsia="zh-CN" w:bidi="ar-SA"/>
        </w:rPr>
        <w:t>2-4</w:t>
      </w:r>
      <w:r>
        <w:rPr>
          <w:rFonts w:hint="eastAsia" w:ascii="Times New Roman" w:hAnsi="Times New Roman" w:cs="Times New Roman"/>
          <w:snapToGrid w:val="0"/>
          <w:color w:val="auto"/>
          <w:spacing w:val="-1"/>
          <w:kern w:val="0"/>
          <w:sz w:val="24"/>
          <w:szCs w:val="24"/>
          <w:lang w:val="en-US" w:eastAsia="zh-CN" w:bidi="ar-SA"/>
        </w:rPr>
        <w:t>。</w:t>
      </w:r>
    </w:p>
    <w:p w14:paraId="1923BE83">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ascii="宋体" w:hAnsi="宋体" w:eastAsia="宋体" w:cs="宋体"/>
          <w:snapToGrid w:val="0"/>
          <w:color w:val="auto"/>
          <w:kern w:val="0"/>
          <w:sz w:val="24"/>
          <w:szCs w:val="24"/>
          <w:lang w:val="en-US" w:eastAsia="en-US" w:bidi="ar-SA"/>
        </w:rPr>
      </w:pPr>
      <w:r>
        <w:rPr>
          <w:rFonts w:hint="eastAsia" w:ascii="Times New Roman" w:hAnsi="Times New Roman" w:eastAsia="Times New Roman" w:cs="Times New Roman"/>
          <w:b/>
          <w:bCs/>
          <w:snapToGrid w:val="0"/>
          <w:color w:val="auto"/>
          <w:spacing w:val="-1"/>
          <w:kern w:val="0"/>
          <w:sz w:val="24"/>
          <w:szCs w:val="24"/>
          <w:lang w:val="en-US" w:eastAsia="zh-CN" w:bidi="ar-SA"/>
        </w:rPr>
        <w:t>专题</w:t>
      </w:r>
      <w:r>
        <w:rPr>
          <w:rFonts w:ascii="Times New Roman" w:hAnsi="Times New Roman" w:eastAsia="Times New Roman" w:cs="Times New Roman"/>
          <w:b/>
          <w:bCs/>
          <w:snapToGrid w:val="0"/>
          <w:color w:val="auto"/>
          <w:spacing w:val="-1"/>
          <w:kern w:val="0"/>
          <w:sz w:val="24"/>
          <w:szCs w:val="24"/>
          <w:lang w:val="en-US" w:eastAsia="en-US" w:bidi="ar-SA"/>
        </w:rPr>
        <w:t>表</w:t>
      </w:r>
      <w:r>
        <w:rPr>
          <w:rFonts w:hint="eastAsia" w:ascii="Times New Roman" w:hAnsi="Times New Roman" w:eastAsia="Times New Roman" w:cs="Times New Roman"/>
          <w:b/>
          <w:bCs/>
          <w:snapToGrid w:val="0"/>
          <w:color w:val="auto"/>
          <w:spacing w:val="-1"/>
          <w:kern w:val="0"/>
          <w:sz w:val="24"/>
          <w:szCs w:val="24"/>
          <w:lang w:val="en-US" w:eastAsia="zh-CN" w:bidi="ar-SA"/>
        </w:rPr>
        <w:t>2</w:t>
      </w:r>
      <w:r>
        <w:rPr>
          <w:rFonts w:ascii="Times New Roman" w:hAnsi="Times New Roman" w:eastAsia="Times New Roman" w:cs="Times New Roman"/>
          <w:b/>
          <w:bCs/>
          <w:snapToGrid w:val="0"/>
          <w:color w:val="auto"/>
          <w:spacing w:val="-1"/>
          <w:kern w:val="0"/>
          <w:sz w:val="24"/>
          <w:szCs w:val="24"/>
          <w:lang w:val="en-US" w:eastAsia="en-US" w:bidi="ar-SA"/>
        </w:rPr>
        <w:t>-1</w:t>
      </w:r>
      <w:r>
        <w:rPr>
          <w:rFonts w:hint="eastAsia" w:eastAsia="宋体" w:cs="Times New Roman"/>
          <w:b/>
          <w:bCs/>
          <w:snapToGrid w:val="0"/>
          <w:color w:val="auto"/>
          <w:spacing w:val="-1"/>
          <w:kern w:val="0"/>
          <w:sz w:val="24"/>
          <w:szCs w:val="24"/>
          <w:lang w:val="en-US" w:eastAsia="zh-CN" w:bidi="ar-SA"/>
        </w:rPr>
        <w:t>1</w:t>
      </w:r>
      <w:r>
        <w:rPr>
          <w:rFonts w:ascii="Times New Roman" w:hAnsi="Times New Roman" w:eastAsia="Times New Roman" w:cs="Times New Roman"/>
          <w:b/>
          <w:bCs/>
          <w:snapToGrid w:val="0"/>
          <w:color w:val="auto"/>
          <w:spacing w:val="-1"/>
          <w:kern w:val="0"/>
          <w:sz w:val="24"/>
          <w:szCs w:val="24"/>
          <w:lang w:val="en-US" w:eastAsia="en-US" w:bidi="ar-SA"/>
        </w:rPr>
        <w:t xml:space="preserve">    </w:t>
      </w:r>
      <w:r>
        <w:rPr>
          <w:rFonts w:ascii="宋体" w:hAnsi="宋体" w:eastAsia="宋体" w:cs="宋体"/>
          <w:b/>
          <w:bCs/>
          <w:snapToGrid w:val="0"/>
          <w:color w:val="auto"/>
          <w:spacing w:val="-1"/>
          <w:kern w:val="0"/>
          <w:sz w:val="24"/>
          <w:szCs w:val="24"/>
          <w:lang w:val="en-US" w:eastAsia="en-US" w:bidi="ar-SA"/>
        </w:rPr>
        <w:t>评价区生态系统面积表</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775"/>
        <w:gridCol w:w="2775"/>
        <w:gridCol w:w="1810"/>
        <w:gridCol w:w="1654"/>
      </w:tblGrid>
      <w:tr w14:paraId="2E371B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5550" w:type="dxa"/>
            <w:gridSpan w:val="2"/>
            <w:tcBorders>
              <w:top w:val="single" w:color="000000" w:sz="10" w:space="0"/>
              <w:left w:val="nil"/>
            </w:tcBorders>
            <w:vAlign w:val="center"/>
          </w:tcPr>
          <w:p w14:paraId="795C8678">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snapToGrid w:val="0"/>
                <w:color w:val="auto"/>
                <w:kern w:val="0"/>
                <w:sz w:val="20"/>
                <w:szCs w:val="20"/>
                <w:lang w:val="en-US" w:eastAsia="en-US" w:bidi="ar-SA"/>
              </w:rPr>
            </w:pPr>
            <w:r>
              <w:rPr>
                <w:rFonts w:ascii="宋体" w:hAnsi="宋体" w:eastAsia="宋体" w:cs="宋体"/>
                <w:b/>
                <w:bCs/>
                <w:snapToGrid w:val="0"/>
                <w:color w:val="auto"/>
                <w:spacing w:val="7"/>
                <w:kern w:val="0"/>
                <w:sz w:val="20"/>
                <w:szCs w:val="20"/>
                <w:lang w:val="en-US" w:eastAsia="en-US" w:bidi="ar-SA"/>
              </w:rPr>
              <w:t>生态系统类型</w:t>
            </w:r>
          </w:p>
        </w:tc>
        <w:tc>
          <w:tcPr>
            <w:tcW w:w="1810" w:type="dxa"/>
            <w:vMerge w:val="restart"/>
            <w:tcBorders>
              <w:top w:val="single" w:color="000000" w:sz="10" w:space="0"/>
              <w:bottom w:val="nil"/>
            </w:tcBorders>
            <w:vAlign w:val="center"/>
          </w:tcPr>
          <w:p w14:paraId="56E89A5B">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snapToGrid w:val="0"/>
                <w:color w:val="auto"/>
                <w:kern w:val="0"/>
                <w:sz w:val="20"/>
                <w:szCs w:val="20"/>
                <w:lang w:val="en-US" w:eastAsia="en-US" w:bidi="ar-SA"/>
              </w:rPr>
            </w:pPr>
            <w:r>
              <w:rPr>
                <w:rFonts w:ascii="宋体" w:hAnsi="宋体" w:eastAsia="宋体" w:cs="宋体"/>
                <w:b/>
                <w:bCs/>
                <w:snapToGrid w:val="0"/>
                <w:color w:val="auto"/>
                <w:spacing w:val="7"/>
                <w:kern w:val="0"/>
                <w:sz w:val="20"/>
                <w:szCs w:val="20"/>
                <w:lang w:val="en-US" w:eastAsia="en-US" w:bidi="ar-SA"/>
              </w:rPr>
              <w:t>面积（</w:t>
            </w:r>
            <w:r>
              <w:rPr>
                <w:rFonts w:ascii="Times New Roman" w:hAnsi="Times New Roman" w:eastAsia="Times New Roman" w:cs="Times New Roman"/>
                <w:b/>
                <w:bCs/>
                <w:snapToGrid w:val="0"/>
                <w:color w:val="auto"/>
                <w:kern w:val="0"/>
                <w:sz w:val="20"/>
                <w:szCs w:val="20"/>
                <w:lang w:val="en-US" w:eastAsia="en-US" w:bidi="ar-SA"/>
              </w:rPr>
              <w:t>hm</w:t>
            </w:r>
            <w:r>
              <w:rPr>
                <w:rFonts w:ascii="Times New Roman" w:hAnsi="Times New Roman" w:eastAsia="Times New Roman" w:cs="Times New Roman"/>
                <w:b/>
                <w:bCs/>
                <w:snapToGrid w:val="0"/>
                <w:color w:val="auto"/>
                <w:spacing w:val="7"/>
                <w:kern w:val="0"/>
                <w:position w:val="6"/>
                <w:sz w:val="13"/>
                <w:szCs w:val="13"/>
                <w:lang w:val="en-US" w:eastAsia="en-US" w:bidi="ar-SA"/>
              </w:rPr>
              <w:t>2</w:t>
            </w:r>
            <w:r>
              <w:rPr>
                <w:rFonts w:ascii="宋体" w:hAnsi="宋体" w:eastAsia="宋体" w:cs="宋体"/>
                <w:b/>
                <w:bCs/>
                <w:snapToGrid w:val="0"/>
                <w:color w:val="auto"/>
                <w:spacing w:val="7"/>
                <w:kern w:val="0"/>
                <w:sz w:val="20"/>
                <w:szCs w:val="20"/>
                <w:lang w:val="en-US" w:eastAsia="en-US" w:bidi="ar-SA"/>
              </w:rPr>
              <w:t>）</w:t>
            </w:r>
          </w:p>
        </w:tc>
        <w:tc>
          <w:tcPr>
            <w:tcW w:w="1654" w:type="dxa"/>
            <w:vMerge w:val="restart"/>
            <w:tcBorders>
              <w:top w:val="single" w:color="000000" w:sz="10" w:space="0"/>
              <w:bottom w:val="nil"/>
              <w:right w:val="nil"/>
            </w:tcBorders>
            <w:vAlign w:val="center"/>
          </w:tcPr>
          <w:p w14:paraId="5A15DFD1">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snapToGrid w:val="0"/>
                <w:color w:val="auto"/>
                <w:kern w:val="0"/>
                <w:sz w:val="20"/>
                <w:szCs w:val="20"/>
                <w:lang w:val="en-US" w:eastAsia="en-US" w:bidi="ar-SA"/>
              </w:rPr>
            </w:pPr>
            <w:r>
              <w:rPr>
                <w:rFonts w:ascii="宋体" w:hAnsi="宋体" w:eastAsia="宋体" w:cs="宋体"/>
                <w:b/>
                <w:bCs/>
                <w:snapToGrid w:val="0"/>
                <w:color w:val="auto"/>
                <w:spacing w:val="1"/>
                <w:kern w:val="0"/>
                <w:sz w:val="20"/>
                <w:szCs w:val="20"/>
                <w:lang w:val="en-US" w:eastAsia="en-US" w:bidi="ar-SA"/>
              </w:rPr>
              <w:t>比例（</w:t>
            </w:r>
            <w:r>
              <w:rPr>
                <w:rFonts w:ascii="Times New Roman" w:hAnsi="Times New Roman" w:eastAsia="Times New Roman" w:cs="Times New Roman"/>
                <w:b/>
                <w:bCs/>
                <w:snapToGrid w:val="0"/>
                <w:color w:val="auto"/>
                <w:spacing w:val="1"/>
                <w:kern w:val="0"/>
                <w:sz w:val="20"/>
                <w:szCs w:val="20"/>
                <w:lang w:val="en-US" w:eastAsia="en-US" w:bidi="ar-SA"/>
              </w:rPr>
              <w:t>%</w:t>
            </w:r>
            <w:r>
              <w:rPr>
                <w:rFonts w:ascii="宋体" w:hAnsi="宋体" w:eastAsia="宋体" w:cs="宋体"/>
                <w:b/>
                <w:bCs/>
                <w:snapToGrid w:val="0"/>
                <w:color w:val="auto"/>
                <w:spacing w:val="1"/>
                <w:kern w:val="0"/>
                <w:sz w:val="20"/>
                <w:szCs w:val="20"/>
                <w:lang w:val="en-US" w:eastAsia="en-US" w:bidi="ar-SA"/>
              </w:rPr>
              <w:t>）</w:t>
            </w:r>
          </w:p>
        </w:tc>
      </w:tr>
      <w:tr w14:paraId="59F1A2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775" w:type="dxa"/>
            <w:tcBorders>
              <w:left w:val="nil"/>
            </w:tcBorders>
            <w:vAlign w:val="center"/>
          </w:tcPr>
          <w:p w14:paraId="1717E26D">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snapToGrid w:val="0"/>
                <w:color w:val="auto"/>
                <w:kern w:val="0"/>
                <w:sz w:val="20"/>
                <w:szCs w:val="20"/>
                <w:lang w:val="en-US" w:eastAsia="en-US" w:bidi="ar-SA"/>
              </w:rPr>
            </w:pPr>
            <w:r>
              <w:rPr>
                <w:rFonts w:ascii="Times New Roman" w:hAnsi="Times New Roman" w:eastAsia="Times New Roman" w:cs="Times New Roman"/>
                <w:b/>
                <w:bCs/>
                <w:snapToGrid w:val="0"/>
                <w:color w:val="auto"/>
                <w:spacing w:val="-1"/>
                <w:kern w:val="0"/>
                <w:sz w:val="20"/>
                <w:szCs w:val="20"/>
                <w:lang w:val="en-US" w:eastAsia="en-US" w:bidi="ar-SA"/>
              </w:rPr>
              <w:t>I</w:t>
            </w:r>
            <w:r>
              <w:rPr>
                <w:rFonts w:ascii="宋体" w:hAnsi="宋体" w:eastAsia="宋体" w:cs="宋体"/>
                <w:b/>
                <w:bCs/>
                <w:snapToGrid w:val="0"/>
                <w:color w:val="auto"/>
                <w:spacing w:val="-1"/>
                <w:kern w:val="0"/>
                <w:sz w:val="20"/>
                <w:szCs w:val="20"/>
                <w:lang w:val="en-US" w:eastAsia="en-US" w:bidi="ar-SA"/>
              </w:rPr>
              <w:t>级</w:t>
            </w:r>
          </w:p>
        </w:tc>
        <w:tc>
          <w:tcPr>
            <w:tcW w:w="2775" w:type="dxa"/>
            <w:vAlign w:val="center"/>
          </w:tcPr>
          <w:p w14:paraId="32948E73">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snapToGrid w:val="0"/>
                <w:color w:val="auto"/>
                <w:kern w:val="0"/>
                <w:sz w:val="20"/>
                <w:szCs w:val="20"/>
                <w:lang w:val="en-US" w:eastAsia="en-US" w:bidi="ar-SA"/>
              </w:rPr>
            </w:pPr>
            <w:r>
              <w:rPr>
                <w:rFonts w:ascii="Times New Roman" w:hAnsi="Times New Roman" w:eastAsia="Times New Roman" w:cs="Times New Roman"/>
                <w:b/>
                <w:bCs/>
                <w:snapToGrid w:val="0"/>
                <w:color w:val="auto"/>
                <w:kern w:val="0"/>
                <w:sz w:val="20"/>
                <w:szCs w:val="20"/>
                <w:lang w:val="en-US" w:eastAsia="en-US" w:bidi="ar-SA"/>
              </w:rPr>
              <w:t>II</w:t>
            </w:r>
            <w:r>
              <w:rPr>
                <w:rFonts w:ascii="宋体" w:hAnsi="宋体" w:eastAsia="宋体" w:cs="宋体"/>
                <w:b/>
                <w:bCs/>
                <w:snapToGrid w:val="0"/>
                <w:color w:val="auto"/>
                <w:kern w:val="0"/>
                <w:sz w:val="20"/>
                <w:szCs w:val="20"/>
                <w:lang w:val="en-US" w:eastAsia="en-US" w:bidi="ar-SA"/>
              </w:rPr>
              <w:t>级</w:t>
            </w:r>
          </w:p>
        </w:tc>
        <w:tc>
          <w:tcPr>
            <w:tcW w:w="1810" w:type="dxa"/>
            <w:vMerge w:val="continue"/>
            <w:tcBorders>
              <w:top w:val="nil"/>
            </w:tcBorders>
            <w:vAlign w:val="center"/>
          </w:tcPr>
          <w:p w14:paraId="3D31622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tc>
        <w:tc>
          <w:tcPr>
            <w:tcW w:w="1654" w:type="dxa"/>
            <w:vMerge w:val="continue"/>
            <w:tcBorders>
              <w:top w:val="nil"/>
              <w:right w:val="nil"/>
            </w:tcBorders>
            <w:vAlign w:val="center"/>
          </w:tcPr>
          <w:p w14:paraId="052C627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tc>
      </w:tr>
      <w:tr w14:paraId="1623B7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775" w:type="dxa"/>
            <w:vMerge w:val="restart"/>
            <w:tcBorders>
              <w:left w:val="nil"/>
              <w:bottom w:val="nil"/>
            </w:tcBorders>
            <w:vAlign w:val="center"/>
          </w:tcPr>
          <w:p w14:paraId="0B01A506">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8"/>
                <w:kern w:val="0"/>
                <w:sz w:val="20"/>
                <w:szCs w:val="20"/>
                <w:lang w:val="en-US" w:eastAsia="en-US" w:bidi="ar-SA"/>
              </w:rPr>
              <w:t>森林生态系统</w:t>
            </w:r>
          </w:p>
        </w:tc>
        <w:tc>
          <w:tcPr>
            <w:tcW w:w="2775" w:type="dxa"/>
            <w:vAlign w:val="center"/>
          </w:tcPr>
          <w:p w14:paraId="79EA203D">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1"/>
                <w:kern w:val="0"/>
                <w:sz w:val="20"/>
                <w:szCs w:val="20"/>
                <w:lang w:val="en-US" w:eastAsia="en-US" w:bidi="ar-SA"/>
              </w:rPr>
              <w:t>阔叶林</w:t>
            </w:r>
          </w:p>
        </w:tc>
        <w:tc>
          <w:tcPr>
            <w:tcW w:w="1810" w:type="dxa"/>
            <w:vAlign w:val="center"/>
          </w:tcPr>
          <w:p w14:paraId="365D80F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ascii="Times New Roman" w:hAnsi="Times New Roman" w:eastAsia="Times New Roman" w:cs="Times New Roman"/>
                <w:snapToGrid w:val="0"/>
                <w:color w:val="auto"/>
                <w:spacing w:val="2"/>
                <w:kern w:val="0"/>
                <w:sz w:val="20"/>
                <w:szCs w:val="20"/>
                <w:lang w:eastAsia="en-US"/>
              </w:rPr>
              <w:t>1</w:t>
            </w:r>
            <w:r>
              <w:rPr>
                <w:rFonts w:hint="eastAsia" w:eastAsia="宋体" w:cs="Times New Roman"/>
                <w:snapToGrid w:val="0"/>
                <w:color w:val="auto"/>
                <w:spacing w:val="2"/>
                <w:kern w:val="0"/>
                <w:sz w:val="20"/>
                <w:szCs w:val="20"/>
                <w:lang w:val="en-US" w:eastAsia="zh-CN"/>
              </w:rPr>
              <w:t>477.73</w:t>
            </w:r>
          </w:p>
        </w:tc>
        <w:tc>
          <w:tcPr>
            <w:tcW w:w="1654" w:type="dxa"/>
            <w:tcBorders>
              <w:right w:val="nil"/>
            </w:tcBorders>
            <w:vAlign w:val="center"/>
          </w:tcPr>
          <w:p w14:paraId="7F2AE3A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kern w:val="0"/>
                <w:sz w:val="20"/>
                <w:szCs w:val="20"/>
                <w:lang w:val="en-US" w:eastAsia="zh-CN"/>
              </w:rPr>
              <w:t>28.79</w:t>
            </w:r>
          </w:p>
        </w:tc>
      </w:tr>
      <w:tr w14:paraId="47E654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775" w:type="dxa"/>
            <w:vMerge w:val="continue"/>
            <w:tcBorders>
              <w:top w:val="nil"/>
              <w:left w:val="nil"/>
            </w:tcBorders>
            <w:vAlign w:val="center"/>
          </w:tcPr>
          <w:p w14:paraId="49E72AC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tc>
        <w:tc>
          <w:tcPr>
            <w:tcW w:w="2775" w:type="dxa"/>
            <w:vAlign w:val="center"/>
          </w:tcPr>
          <w:p w14:paraId="1B109745">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针叶林</w:t>
            </w:r>
          </w:p>
        </w:tc>
        <w:tc>
          <w:tcPr>
            <w:tcW w:w="1810" w:type="dxa"/>
            <w:vAlign w:val="center"/>
          </w:tcPr>
          <w:p w14:paraId="71B84DC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ascii="Times New Roman" w:hAnsi="Times New Roman" w:eastAsia="Times New Roman" w:cs="Times New Roman"/>
                <w:snapToGrid w:val="0"/>
                <w:color w:val="auto"/>
                <w:spacing w:val="1"/>
                <w:kern w:val="0"/>
                <w:sz w:val="20"/>
                <w:szCs w:val="20"/>
                <w:lang w:eastAsia="en-US"/>
              </w:rPr>
              <w:t>1</w:t>
            </w:r>
            <w:r>
              <w:rPr>
                <w:rFonts w:hint="eastAsia" w:eastAsia="宋体" w:cs="Times New Roman"/>
                <w:snapToGrid w:val="0"/>
                <w:color w:val="auto"/>
                <w:spacing w:val="1"/>
                <w:kern w:val="0"/>
                <w:sz w:val="20"/>
                <w:szCs w:val="20"/>
                <w:lang w:val="en-US" w:eastAsia="zh-CN"/>
              </w:rPr>
              <w:t>516.86</w:t>
            </w:r>
          </w:p>
        </w:tc>
        <w:tc>
          <w:tcPr>
            <w:tcW w:w="1654" w:type="dxa"/>
            <w:tcBorders>
              <w:right w:val="nil"/>
            </w:tcBorders>
            <w:vAlign w:val="center"/>
          </w:tcPr>
          <w:p w14:paraId="2694FBD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kern w:val="0"/>
                <w:sz w:val="20"/>
                <w:szCs w:val="20"/>
                <w:lang w:val="en-US" w:eastAsia="zh-CN"/>
              </w:rPr>
              <w:t>29.55</w:t>
            </w:r>
          </w:p>
        </w:tc>
      </w:tr>
      <w:tr w14:paraId="29472B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775" w:type="dxa"/>
            <w:tcBorders>
              <w:left w:val="nil"/>
            </w:tcBorders>
            <w:vAlign w:val="center"/>
          </w:tcPr>
          <w:p w14:paraId="2ADABA15">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7"/>
                <w:kern w:val="0"/>
                <w:sz w:val="20"/>
                <w:szCs w:val="20"/>
                <w:lang w:val="en-US" w:eastAsia="en-US" w:bidi="ar-SA"/>
              </w:rPr>
              <w:t>草地生态系统</w:t>
            </w:r>
          </w:p>
        </w:tc>
        <w:tc>
          <w:tcPr>
            <w:tcW w:w="2775" w:type="dxa"/>
            <w:vAlign w:val="center"/>
          </w:tcPr>
          <w:p w14:paraId="4889B332">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hint="eastAsia" w:ascii="宋体" w:hAnsi="宋体" w:eastAsia="宋体" w:cs="宋体"/>
                <w:snapToGrid w:val="0"/>
                <w:color w:val="auto"/>
                <w:spacing w:val="4"/>
                <w:kern w:val="0"/>
                <w:sz w:val="20"/>
                <w:szCs w:val="20"/>
                <w:lang w:val="en-US" w:eastAsia="en-US" w:bidi="ar-SA"/>
              </w:rPr>
              <w:t>稀疏草地</w:t>
            </w:r>
          </w:p>
        </w:tc>
        <w:tc>
          <w:tcPr>
            <w:tcW w:w="1810" w:type="dxa"/>
            <w:vAlign w:val="center"/>
          </w:tcPr>
          <w:p w14:paraId="4831C61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2"/>
                <w:kern w:val="0"/>
                <w:sz w:val="20"/>
                <w:szCs w:val="20"/>
                <w:lang w:val="en-US" w:eastAsia="zh-CN"/>
              </w:rPr>
              <w:t>401.94</w:t>
            </w:r>
          </w:p>
        </w:tc>
        <w:tc>
          <w:tcPr>
            <w:tcW w:w="1654" w:type="dxa"/>
            <w:tcBorders>
              <w:right w:val="nil"/>
            </w:tcBorders>
            <w:vAlign w:val="center"/>
          </w:tcPr>
          <w:p w14:paraId="6112AB1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kern w:val="0"/>
                <w:sz w:val="20"/>
                <w:szCs w:val="20"/>
                <w:lang w:val="en-US" w:eastAsia="zh-CN"/>
              </w:rPr>
              <w:t>7.83</w:t>
            </w:r>
          </w:p>
        </w:tc>
      </w:tr>
      <w:tr w14:paraId="6A8B92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775" w:type="dxa"/>
            <w:tcBorders>
              <w:left w:val="nil"/>
              <w:bottom w:val="nil"/>
            </w:tcBorders>
            <w:vAlign w:val="center"/>
          </w:tcPr>
          <w:p w14:paraId="5B4FCA09">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8"/>
                <w:kern w:val="0"/>
                <w:sz w:val="20"/>
                <w:szCs w:val="20"/>
                <w:lang w:val="en-US" w:eastAsia="en-US" w:bidi="ar-SA"/>
              </w:rPr>
              <w:t>农田生态系统</w:t>
            </w:r>
          </w:p>
        </w:tc>
        <w:tc>
          <w:tcPr>
            <w:tcW w:w="2775" w:type="dxa"/>
            <w:vAlign w:val="center"/>
          </w:tcPr>
          <w:p w14:paraId="6D6CAF8A">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4"/>
                <w:kern w:val="0"/>
                <w:sz w:val="20"/>
                <w:szCs w:val="20"/>
                <w:lang w:val="en-US" w:eastAsia="en-US" w:bidi="ar-SA"/>
              </w:rPr>
              <w:t>耕地</w:t>
            </w:r>
          </w:p>
        </w:tc>
        <w:tc>
          <w:tcPr>
            <w:tcW w:w="1810" w:type="dxa"/>
            <w:vAlign w:val="center"/>
          </w:tcPr>
          <w:p w14:paraId="188B87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2"/>
                <w:kern w:val="0"/>
                <w:sz w:val="20"/>
                <w:szCs w:val="20"/>
                <w:lang w:val="en-US" w:eastAsia="zh-CN"/>
              </w:rPr>
              <w:t>1484.28</w:t>
            </w:r>
          </w:p>
        </w:tc>
        <w:tc>
          <w:tcPr>
            <w:tcW w:w="1654" w:type="dxa"/>
            <w:tcBorders>
              <w:right w:val="nil"/>
            </w:tcBorders>
            <w:vAlign w:val="center"/>
          </w:tcPr>
          <w:p w14:paraId="51E3057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kern w:val="0"/>
                <w:sz w:val="20"/>
                <w:szCs w:val="20"/>
                <w:lang w:val="en-US" w:eastAsia="zh-CN"/>
              </w:rPr>
              <w:t>28.92</w:t>
            </w:r>
          </w:p>
        </w:tc>
      </w:tr>
      <w:tr w14:paraId="280637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775" w:type="dxa"/>
            <w:tcBorders>
              <w:left w:val="nil"/>
            </w:tcBorders>
            <w:vAlign w:val="center"/>
          </w:tcPr>
          <w:p w14:paraId="3959C4F4">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8"/>
                <w:kern w:val="0"/>
                <w:sz w:val="20"/>
                <w:szCs w:val="20"/>
                <w:lang w:val="en-US" w:eastAsia="en-US" w:bidi="ar-SA"/>
              </w:rPr>
              <w:t>湿地生态系统</w:t>
            </w:r>
          </w:p>
        </w:tc>
        <w:tc>
          <w:tcPr>
            <w:tcW w:w="2775" w:type="dxa"/>
            <w:vAlign w:val="center"/>
          </w:tcPr>
          <w:p w14:paraId="1A301E29">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5"/>
                <w:kern w:val="0"/>
                <w:sz w:val="20"/>
                <w:szCs w:val="20"/>
                <w:lang w:val="en-US" w:eastAsia="en-US" w:bidi="ar-SA"/>
              </w:rPr>
              <w:t>河流</w:t>
            </w:r>
          </w:p>
        </w:tc>
        <w:tc>
          <w:tcPr>
            <w:tcW w:w="1810" w:type="dxa"/>
            <w:vAlign w:val="center"/>
          </w:tcPr>
          <w:p w14:paraId="0E6FC01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3"/>
                <w:kern w:val="0"/>
                <w:sz w:val="20"/>
                <w:szCs w:val="20"/>
                <w:lang w:val="en-US" w:eastAsia="zh-CN"/>
              </w:rPr>
              <w:t>8.28</w:t>
            </w:r>
          </w:p>
        </w:tc>
        <w:tc>
          <w:tcPr>
            <w:tcW w:w="1654" w:type="dxa"/>
            <w:tcBorders>
              <w:right w:val="nil"/>
            </w:tcBorders>
            <w:vAlign w:val="center"/>
          </w:tcPr>
          <w:p w14:paraId="0B8A669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kern w:val="0"/>
                <w:sz w:val="20"/>
                <w:szCs w:val="20"/>
                <w:lang w:val="en-US" w:eastAsia="zh-CN"/>
              </w:rPr>
              <w:t>0.16</w:t>
            </w:r>
          </w:p>
        </w:tc>
      </w:tr>
      <w:tr w14:paraId="0F3A02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775" w:type="dxa"/>
            <w:vMerge w:val="restart"/>
            <w:tcBorders>
              <w:left w:val="nil"/>
              <w:bottom w:val="nil"/>
            </w:tcBorders>
            <w:vAlign w:val="center"/>
          </w:tcPr>
          <w:p w14:paraId="13569B47">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8"/>
                <w:kern w:val="0"/>
                <w:sz w:val="20"/>
                <w:szCs w:val="20"/>
                <w:lang w:val="en-US" w:eastAsia="en-US" w:bidi="ar-SA"/>
              </w:rPr>
              <w:t>城镇生态系统</w:t>
            </w:r>
          </w:p>
        </w:tc>
        <w:tc>
          <w:tcPr>
            <w:tcW w:w="2775" w:type="dxa"/>
            <w:vAlign w:val="center"/>
          </w:tcPr>
          <w:p w14:paraId="2C43D60B">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居住地</w:t>
            </w:r>
          </w:p>
        </w:tc>
        <w:tc>
          <w:tcPr>
            <w:tcW w:w="1810" w:type="dxa"/>
            <w:vAlign w:val="center"/>
          </w:tcPr>
          <w:p w14:paraId="13D02A9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1"/>
                <w:kern w:val="0"/>
                <w:sz w:val="20"/>
                <w:szCs w:val="20"/>
                <w:lang w:val="en-US" w:eastAsia="zh-CN"/>
              </w:rPr>
              <w:t>194.72</w:t>
            </w:r>
          </w:p>
        </w:tc>
        <w:tc>
          <w:tcPr>
            <w:tcW w:w="1654" w:type="dxa"/>
            <w:tcBorders>
              <w:right w:val="nil"/>
            </w:tcBorders>
            <w:vAlign w:val="center"/>
          </w:tcPr>
          <w:p w14:paraId="10E99C4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kern w:val="0"/>
                <w:sz w:val="20"/>
                <w:szCs w:val="20"/>
                <w:lang w:val="en-US" w:eastAsia="zh-CN"/>
              </w:rPr>
              <w:t>3.79</w:t>
            </w:r>
          </w:p>
        </w:tc>
      </w:tr>
      <w:tr w14:paraId="0EF79C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775" w:type="dxa"/>
            <w:vMerge w:val="continue"/>
            <w:tcBorders>
              <w:top w:val="nil"/>
              <w:left w:val="nil"/>
            </w:tcBorders>
            <w:vAlign w:val="center"/>
          </w:tcPr>
          <w:p w14:paraId="15ACEC8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tc>
        <w:tc>
          <w:tcPr>
            <w:tcW w:w="2775" w:type="dxa"/>
            <w:vAlign w:val="center"/>
          </w:tcPr>
          <w:p w14:paraId="2A390D9F">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工矿交通</w:t>
            </w:r>
          </w:p>
        </w:tc>
        <w:tc>
          <w:tcPr>
            <w:tcW w:w="1810" w:type="dxa"/>
            <w:vAlign w:val="center"/>
          </w:tcPr>
          <w:p w14:paraId="402D19A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1"/>
                <w:kern w:val="0"/>
                <w:sz w:val="20"/>
                <w:szCs w:val="20"/>
                <w:lang w:val="en-US" w:eastAsia="zh-CN"/>
              </w:rPr>
              <w:t>36.38</w:t>
            </w:r>
          </w:p>
        </w:tc>
        <w:tc>
          <w:tcPr>
            <w:tcW w:w="1654" w:type="dxa"/>
            <w:tcBorders>
              <w:right w:val="nil"/>
            </w:tcBorders>
            <w:vAlign w:val="center"/>
          </w:tcPr>
          <w:p w14:paraId="5C17E44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kern w:val="0"/>
                <w:sz w:val="20"/>
                <w:szCs w:val="20"/>
                <w:lang w:val="en-US" w:eastAsia="zh-CN"/>
              </w:rPr>
              <w:t>0.71</w:t>
            </w:r>
          </w:p>
        </w:tc>
      </w:tr>
      <w:tr w14:paraId="58E1AE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775" w:type="dxa"/>
            <w:tcBorders>
              <w:left w:val="nil"/>
            </w:tcBorders>
            <w:vAlign w:val="center"/>
          </w:tcPr>
          <w:p w14:paraId="0948D4DE">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4"/>
                <w:kern w:val="0"/>
                <w:sz w:val="20"/>
                <w:szCs w:val="20"/>
                <w:lang w:val="en-US" w:eastAsia="en-US" w:bidi="ar-SA"/>
              </w:rPr>
              <w:t>其他</w:t>
            </w:r>
          </w:p>
        </w:tc>
        <w:tc>
          <w:tcPr>
            <w:tcW w:w="2775" w:type="dxa"/>
            <w:vAlign w:val="center"/>
          </w:tcPr>
          <w:p w14:paraId="0B697996">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napToGrid w:val="0"/>
                <w:color w:val="auto"/>
                <w:kern w:val="0"/>
                <w:sz w:val="20"/>
                <w:szCs w:val="20"/>
                <w:lang w:val="en-US" w:eastAsia="zh-CN" w:bidi="ar-SA"/>
              </w:rPr>
            </w:pPr>
            <w:r>
              <w:rPr>
                <w:rFonts w:hint="eastAsia" w:ascii="宋体" w:hAnsi="宋体" w:cs="宋体"/>
                <w:snapToGrid w:val="0"/>
                <w:color w:val="auto"/>
                <w:spacing w:val="4"/>
                <w:kern w:val="0"/>
                <w:sz w:val="20"/>
                <w:szCs w:val="20"/>
                <w:lang w:val="en-US" w:eastAsia="zh-CN" w:bidi="ar-SA"/>
              </w:rPr>
              <w:t>沟渠</w:t>
            </w:r>
          </w:p>
        </w:tc>
        <w:tc>
          <w:tcPr>
            <w:tcW w:w="1810" w:type="dxa"/>
            <w:vAlign w:val="center"/>
          </w:tcPr>
          <w:p w14:paraId="48C554A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3"/>
                <w:kern w:val="0"/>
                <w:sz w:val="20"/>
                <w:szCs w:val="20"/>
                <w:lang w:val="en-US" w:eastAsia="zh-CN"/>
              </w:rPr>
              <w:t>12.42</w:t>
            </w:r>
          </w:p>
        </w:tc>
        <w:tc>
          <w:tcPr>
            <w:tcW w:w="1654" w:type="dxa"/>
            <w:tcBorders>
              <w:right w:val="nil"/>
            </w:tcBorders>
            <w:vAlign w:val="center"/>
          </w:tcPr>
          <w:p w14:paraId="152E2A1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kern w:val="0"/>
                <w:sz w:val="20"/>
                <w:szCs w:val="20"/>
                <w:lang w:val="en-US" w:eastAsia="zh-CN"/>
              </w:rPr>
              <w:t>0.24</w:t>
            </w:r>
          </w:p>
        </w:tc>
      </w:tr>
      <w:tr w14:paraId="3FFE50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5550" w:type="dxa"/>
            <w:gridSpan w:val="2"/>
            <w:tcBorders>
              <w:left w:val="nil"/>
              <w:bottom w:val="single" w:color="000000" w:sz="10" w:space="0"/>
            </w:tcBorders>
            <w:vAlign w:val="center"/>
          </w:tcPr>
          <w:p w14:paraId="5548DB3D">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b/>
                <w:bCs/>
                <w:snapToGrid w:val="0"/>
                <w:color w:val="auto"/>
                <w:spacing w:val="3"/>
                <w:kern w:val="0"/>
                <w:sz w:val="20"/>
                <w:szCs w:val="20"/>
                <w:lang w:val="en-US" w:eastAsia="en-US" w:bidi="ar-SA"/>
              </w:rPr>
              <w:t>合计</w:t>
            </w:r>
          </w:p>
        </w:tc>
        <w:tc>
          <w:tcPr>
            <w:tcW w:w="1810" w:type="dxa"/>
            <w:tcBorders>
              <w:bottom w:val="single" w:color="000000" w:sz="10" w:space="0"/>
            </w:tcBorders>
            <w:vAlign w:val="center"/>
          </w:tcPr>
          <w:p w14:paraId="568B9CD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ascii="Times New Roman" w:hAnsi="Times New Roman" w:eastAsia="Times New Roman" w:cs="Times New Roman"/>
                <w:b/>
                <w:bCs/>
                <w:snapToGrid w:val="0"/>
                <w:color w:val="auto"/>
                <w:spacing w:val="4"/>
                <w:kern w:val="0"/>
                <w:sz w:val="20"/>
                <w:szCs w:val="20"/>
                <w:lang w:eastAsia="en-US"/>
              </w:rPr>
              <w:t>5</w:t>
            </w:r>
            <w:r>
              <w:rPr>
                <w:rFonts w:hint="eastAsia" w:eastAsia="宋体" w:cs="Times New Roman"/>
                <w:b/>
                <w:bCs/>
                <w:snapToGrid w:val="0"/>
                <w:color w:val="auto"/>
                <w:spacing w:val="4"/>
                <w:kern w:val="0"/>
                <w:sz w:val="20"/>
                <w:szCs w:val="20"/>
                <w:lang w:val="en-US" w:eastAsia="zh-CN"/>
              </w:rPr>
              <w:t>132.60</w:t>
            </w:r>
          </w:p>
        </w:tc>
        <w:tc>
          <w:tcPr>
            <w:tcW w:w="1654" w:type="dxa"/>
            <w:tcBorders>
              <w:bottom w:val="single" w:color="000000" w:sz="10" w:space="0"/>
              <w:right w:val="nil"/>
            </w:tcBorders>
            <w:vAlign w:val="center"/>
          </w:tcPr>
          <w:p w14:paraId="190FB7C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b/>
                <w:bCs/>
                <w:snapToGrid w:val="0"/>
                <w:color w:val="auto"/>
                <w:spacing w:val="2"/>
                <w:kern w:val="0"/>
                <w:sz w:val="20"/>
                <w:szCs w:val="20"/>
                <w:lang w:eastAsia="en-US"/>
              </w:rPr>
              <w:t>100.00</w:t>
            </w:r>
          </w:p>
        </w:tc>
      </w:tr>
    </w:tbl>
    <w:p w14:paraId="559B6E2A">
      <w:pPr>
        <w:keepNext w:val="0"/>
        <w:keepLines w:val="0"/>
        <w:pageBreakBefore w:val="0"/>
        <w:widowControl w:val="0"/>
        <w:kinsoku w:val="0"/>
        <w:wordWrap/>
        <w:overflowPunct/>
        <w:topLinePunct w:val="0"/>
        <w:autoSpaceDE w:val="0"/>
        <w:autoSpaceDN w:val="0"/>
        <w:bidi w:val="0"/>
        <w:adjustRightInd w:val="0"/>
        <w:snapToGrid w:val="0"/>
        <w:spacing w:before="0" w:beforeLines="50" w:line="360" w:lineRule="auto"/>
        <w:ind w:left="0" w:right="0" w:firstLine="468"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以上分析结果可知，评价区森林生态系统面积最大，面积</w:t>
      </w:r>
      <w:r>
        <w:rPr>
          <w:rFonts w:hint="default" w:ascii="Times New Roman" w:hAnsi="Times New Roman" w:eastAsia="宋体" w:cs="Times New Roman"/>
          <w:snapToGrid w:val="0"/>
          <w:color w:val="auto"/>
          <w:spacing w:val="-3"/>
          <w:kern w:val="0"/>
          <w:sz w:val="24"/>
          <w:szCs w:val="24"/>
          <w:lang w:val="en-US" w:eastAsia="zh-CN" w:bidi="ar-SA"/>
        </w:rPr>
        <w:t>2994.59</w:t>
      </w:r>
      <w:r>
        <w:rPr>
          <w:rFonts w:hint="default" w:ascii="Times New Roman" w:hAnsi="Times New Roman" w:eastAsia="宋体" w:cs="Times New Roman"/>
          <w:snapToGrid w:val="0"/>
          <w:color w:val="auto"/>
          <w:spacing w:val="-3"/>
          <w:kern w:val="0"/>
          <w:sz w:val="24"/>
          <w:szCs w:val="24"/>
          <w:lang w:val="en-US" w:eastAsia="en-US" w:bidi="ar-SA"/>
        </w:rPr>
        <w:t>hm</w:t>
      </w:r>
      <w:r>
        <w:rPr>
          <w:rFonts w:hint="default" w:ascii="Times New Roman" w:hAnsi="Times New Roman" w:eastAsia="宋体" w:cs="Times New Roman"/>
          <w:snapToGrid w:val="0"/>
          <w:color w:val="auto"/>
          <w:spacing w:val="-3"/>
          <w:kern w:val="0"/>
          <w:sz w:val="24"/>
          <w:szCs w:val="24"/>
          <w:vertAlign w:val="superscript"/>
          <w:lang w:val="en-US" w:eastAsia="en-US" w:bidi="ar-SA"/>
        </w:rPr>
        <w:t>2</w:t>
      </w:r>
      <w:r>
        <w:rPr>
          <w:rFonts w:hint="default" w:ascii="Times New Roman" w:hAnsi="Times New Roman" w:eastAsia="宋体" w:cs="Times New Roman"/>
          <w:snapToGrid w:val="0"/>
          <w:color w:val="auto"/>
          <w:spacing w:val="-3"/>
          <w:kern w:val="0"/>
          <w:sz w:val="24"/>
          <w:szCs w:val="24"/>
          <w:lang w:val="en-US" w:eastAsia="en-US" w:bidi="ar-SA"/>
        </w:rPr>
        <w:t>，占总面积的</w:t>
      </w:r>
      <w:r>
        <w:rPr>
          <w:rFonts w:hint="default" w:ascii="Times New Roman" w:hAnsi="Times New Roman" w:eastAsia="宋体" w:cs="Times New Roman"/>
          <w:snapToGrid w:val="0"/>
          <w:color w:val="auto"/>
          <w:spacing w:val="-3"/>
          <w:kern w:val="0"/>
          <w:sz w:val="24"/>
          <w:szCs w:val="24"/>
          <w:lang w:val="en-US" w:eastAsia="zh-CN" w:bidi="ar-SA"/>
        </w:rPr>
        <w:t>58.34</w:t>
      </w:r>
      <w:r>
        <w:rPr>
          <w:rFonts w:hint="default" w:ascii="Times New Roman" w:hAnsi="Times New Roman" w:eastAsia="宋体" w:cs="Times New Roman"/>
          <w:snapToGrid w:val="0"/>
          <w:color w:val="auto"/>
          <w:spacing w:val="-3"/>
          <w:kern w:val="0"/>
          <w:sz w:val="24"/>
          <w:szCs w:val="24"/>
          <w:lang w:val="en-US" w:eastAsia="en-US" w:bidi="ar-SA"/>
        </w:rPr>
        <w:t>%；农田生态系统次之，面积</w:t>
      </w:r>
      <w:r>
        <w:rPr>
          <w:rFonts w:hint="default" w:ascii="Times New Roman" w:hAnsi="Times New Roman" w:eastAsia="宋体" w:cs="Times New Roman"/>
          <w:snapToGrid w:val="0"/>
          <w:color w:val="auto"/>
          <w:spacing w:val="-3"/>
          <w:kern w:val="0"/>
          <w:sz w:val="24"/>
          <w:szCs w:val="24"/>
          <w:lang w:val="en-US" w:eastAsia="zh-CN" w:bidi="ar-SA"/>
        </w:rPr>
        <w:t>1484.28</w:t>
      </w:r>
      <w:r>
        <w:rPr>
          <w:rFonts w:hint="default" w:ascii="Times New Roman" w:hAnsi="Times New Roman" w:eastAsia="宋体" w:cs="Times New Roman"/>
          <w:snapToGrid w:val="0"/>
          <w:color w:val="auto"/>
          <w:spacing w:val="-3"/>
          <w:kern w:val="0"/>
          <w:sz w:val="24"/>
          <w:szCs w:val="24"/>
          <w:lang w:val="en-US" w:eastAsia="en-US" w:bidi="ar-SA"/>
        </w:rPr>
        <w:t>hm</w:t>
      </w:r>
      <w:r>
        <w:rPr>
          <w:rFonts w:hint="default" w:ascii="Times New Roman" w:hAnsi="Times New Roman" w:eastAsia="宋体" w:cs="Times New Roman"/>
          <w:snapToGrid w:val="0"/>
          <w:color w:val="auto"/>
          <w:spacing w:val="-3"/>
          <w:kern w:val="0"/>
          <w:sz w:val="24"/>
          <w:szCs w:val="24"/>
          <w:vertAlign w:val="superscript"/>
          <w:lang w:val="en-US" w:eastAsia="en-US" w:bidi="ar-SA"/>
        </w:rPr>
        <w:t>2</w:t>
      </w:r>
      <w:r>
        <w:rPr>
          <w:rFonts w:hint="default" w:ascii="Times New Roman" w:hAnsi="Times New Roman" w:eastAsia="宋体" w:cs="Times New Roman"/>
          <w:snapToGrid w:val="0"/>
          <w:color w:val="auto"/>
          <w:spacing w:val="-3"/>
          <w:kern w:val="0"/>
          <w:sz w:val="24"/>
          <w:szCs w:val="24"/>
          <w:lang w:val="en-US" w:eastAsia="en-US" w:bidi="ar-SA"/>
        </w:rPr>
        <w:t>，占总面积的2</w:t>
      </w:r>
      <w:r>
        <w:rPr>
          <w:rFonts w:hint="default" w:ascii="Times New Roman" w:hAnsi="Times New Roman" w:eastAsia="宋体" w:cs="Times New Roman"/>
          <w:snapToGrid w:val="0"/>
          <w:color w:val="auto"/>
          <w:spacing w:val="-3"/>
          <w:kern w:val="0"/>
          <w:sz w:val="24"/>
          <w:szCs w:val="24"/>
          <w:lang w:val="en-US" w:eastAsia="zh-CN" w:bidi="ar-SA"/>
        </w:rPr>
        <w:t>8.</w:t>
      </w:r>
      <w:r>
        <w:rPr>
          <w:rFonts w:hint="default" w:ascii="Times New Roman" w:hAnsi="Times New Roman" w:eastAsia="宋体" w:cs="Times New Roman"/>
          <w:snapToGrid w:val="0"/>
          <w:color w:val="auto"/>
          <w:spacing w:val="-3"/>
          <w:kern w:val="0"/>
          <w:sz w:val="24"/>
          <w:szCs w:val="24"/>
          <w:lang w:val="en-US" w:eastAsia="en-US" w:bidi="ar-SA"/>
        </w:rPr>
        <w:t>92%；草地生态系统第三位，面积</w:t>
      </w:r>
      <w:r>
        <w:rPr>
          <w:rFonts w:hint="default" w:ascii="Times New Roman" w:hAnsi="Times New Roman" w:eastAsia="宋体" w:cs="Times New Roman"/>
          <w:snapToGrid w:val="0"/>
          <w:color w:val="auto"/>
          <w:spacing w:val="-3"/>
          <w:kern w:val="0"/>
          <w:sz w:val="24"/>
          <w:szCs w:val="24"/>
          <w:lang w:val="en-US" w:eastAsia="zh-CN" w:bidi="ar-SA"/>
        </w:rPr>
        <w:t>401.94</w:t>
      </w:r>
      <w:r>
        <w:rPr>
          <w:rFonts w:hint="default" w:ascii="Times New Roman" w:hAnsi="Times New Roman" w:eastAsia="宋体" w:cs="Times New Roman"/>
          <w:snapToGrid w:val="0"/>
          <w:color w:val="auto"/>
          <w:spacing w:val="-3"/>
          <w:kern w:val="0"/>
          <w:sz w:val="24"/>
          <w:szCs w:val="24"/>
          <w:lang w:val="en-US" w:eastAsia="en-US" w:bidi="ar-SA"/>
        </w:rPr>
        <w:t>hm</w:t>
      </w:r>
      <w:r>
        <w:rPr>
          <w:rFonts w:hint="default" w:ascii="Times New Roman" w:hAnsi="Times New Roman" w:eastAsia="宋体" w:cs="Times New Roman"/>
          <w:snapToGrid w:val="0"/>
          <w:color w:val="auto"/>
          <w:spacing w:val="-3"/>
          <w:kern w:val="0"/>
          <w:sz w:val="24"/>
          <w:szCs w:val="24"/>
          <w:vertAlign w:val="superscript"/>
          <w:lang w:val="en-US" w:eastAsia="en-US" w:bidi="ar-SA"/>
        </w:rPr>
        <w:t>2</w:t>
      </w:r>
      <w:r>
        <w:rPr>
          <w:rFonts w:hint="default" w:ascii="Times New Roman" w:hAnsi="Times New Roman" w:eastAsia="宋体" w:cs="Times New Roman"/>
          <w:snapToGrid w:val="0"/>
          <w:color w:val="auto"/>
          <w:spacing w:val="-3"/>
          <w:kern w:val="0"/>
          <w:sz w:val="24"/>
          <w:szCs w:val="24"/>
          <w:lang w:val="en-US" w:eastAsia="en-US" w:bidi="ar-SA"/>
        </w:rPr>
        <w:t>， 占总面积的</w:t>
      </w:r>
      <w:r>
        <w:rPr>
          <w:rFonts w:hint="default" w:ascii="Times New Roman" w:hAnsi="Times New Roman" w:eastAsia="宋体" w:cs="Times New Roman"/>
          <w:snapToGrid w:val="0"/>
          <w:color w:val="auto"/>
          <w:spacing w:val="-3"/>
          <w:kern w:val="0"/>
          <w:sz w:val="24"/>
          <w:szCs w:val="24"/>
          <w:lang w:val="en-US" w:eastAsia="zh-CN" w:bidi="ar-SA"/>
        </w:rPr>
        <w:t>7.83</w:t>
      </w:r>
      <w:r>
        <w:rPr>
          <w:rFonts w:hint="default" w:ascii="Times New Roman" w:hAnsi="Times New Roman" w:eastAsia="宋体" w:cs="Times New Roman"/>
          <w:snapToGrid w:val="0"/>
          <w:color w:val="auto"/>
          <w:spacing w:val="-3"/>
          <w:kern w:val="0"/>
          <w:sz w:val="24"/>
          <w:szCs w:val="24"/>
          <w:lang w:val="en-US" w:eastAsia="en-US" w:bidi="ar-SA"/>
        </w:rPr>
        <w:t>%。可</w:t>
      </w:r>
      <w:r>
        <w:rPr>
          <w:rFonts w:ascii="宋体" w:hAnsi="宋体" w:eastAsia="宋体" w:cs="宋体"/>
          <w:snapToGrid w:val="0"/>
          <w:color w:val="auto"/>
          <w:spacing w:val="-3"/>
          <w:kern w:val="0"/>
          <w:sz w:val="24"/>
          <w:szCs w:val="24"/>
          <w:lang w:val="en-US" w:eastAsia="en-US" w:bidi="ar-SA"/>
        </w:rPr>
        <w:t>见，项目区</w:t>
      </w:r>
      <w:r>
        <w:rPr>
          <w:rFonts w:ascii="宋体" w:hAnsi="宋体" w:eastAsia="宋体" w:cs="宋体"/>
          <w:snapToGrid w:val="0"/>
          <w:color w:val="auto"/>
          <w:spacing w:val="-1"/>
          <w:kern w:val="0"/>
          <w:sz w:val="24"/>
          <w:szCs w:val="24"/>
          <w:lang w:val="en-US" w:eastAsia="en-US" w:bidi="ar-SA"/>
        </w:rPr>
        <w:t>生态系统结构较丰富，以森林生态系统为主，生态功能主要为生</w:t>
      </w:r>
      <w:r>
        <w:rPr>
          <w:rFonts w:ascii="宋体" w:hAnsi="宋体" w:eastAsia="宋体" w:cs="宋体"/>
          <w:snapToGrid w:val="0"/>
          <w:color w:val="auto"/>
          <w:spacing w:val="-2"/>
          <w:kern w:val="0"/>
          <w:sz w:val="24"/>
          <w:szCs w:val="24"/>
          <w:lang w:val="en-US" w:eastAsia="en-US" w:bidi="ar-SA"/>
        </w:rPr>
        <w:t>物多样性维护、</w:t>
      </w:r>
      <w:r>
        <w:rPr>
          <w:rFonts w:ascii="宋体" w:hAnsi="宋体" w:eastAsia="宋体" w:cs="宋体"/>
          <w:snapToGrid w:val="0"/>
          <w:color w:val="auto"/>
          <w:spacing w:val="-3"/>
          <w:kern w:val="0"/>
          <w:sz w:val="24"/>
          <w:szCs w:val="24"/>
          <w:lang w:val="en-US" w:eastAsia="en-US" w:bidi="ar-SA"/>
        </w:rPr>
        <w:t>水土保持，通过近些年封山育林、退耕还林、生态修复、水土保持等一系列工程的实施，植被覆盖率呈逐年上升趋势；根据相关资料，项目区生物多样性、水源</w:t>
      </w:r>
      <w:r>
        <w:rPr>
          <w:rFonts w:ascii="宋体" w:hAnsi="宋体" w:eastAsia="宋体" w:cs="宋体"/>
          <w:snapToGrid w:val="0"/>
          <w:color w:val="auto"/>
          <w:spacing w:val="-2"/>
          <w:kern w:val="0"/>
          <w:sz w:val="24"/>
          <w:szCs w:val="24"/>
          <w:lang w:val="en-US" w:eastAsia="en-US" w:bidi="ar-SA"/>
        </w:rPr>
        <w:t>涵养、生态结构、系统稳定性、生态功能等都向着变好的方向发展。</w:t>
      </w:r>
    </w:p>
    <w:p w14:paraId="19B66D43">
      <w:pPr>
        <w:kinsoku w:val="0"/>
        <w:autoSpaceDE w:val="0"/>
        <w:autoSpaceDN w:val="0"/>
        <w:adjustRightInd w:val="0"/>
        <w:snapToGrid w:val="0"/>
        <w:spacing w:line="219" w:lineRule="auto"/>
        <w:ind w:left="512"/>
        <w:jc w:val="left"/>
        <w:textAlignment w:val="baseline"/>
        <w:rPr>
          <w:rFonts w:ascii="宋体" w:hAnsi="宋体" w:eastAsia="宋体" w:cs="宋体"/>
          <w:snapToGrid w:val="0"/>
          <w:color w:val="auto"/>
          <w:kern w:val="0"/>
          <w:sz w:val="24"/>
          <w:szCs w:val="24"/>
          <w:lang w:val="en-US" w:eastAsia="en-US" w:bidi="ar-SA"/>
        </w:rPr>
      </w:pPr>
      <w:r>
        <w:rPr>
          <w:rFonts w:hint="default" w:ascii="宋体" w:hAnsi="宋体" w:eastAsia="宋体" w:cs="宋体"/>
          <w:b/>
          <w:bCs/>
          <w:snapToGrid w:val="0"/>
          <w:color w:val="auto"/>
          <w:spacing w:val="-4"/>
          <w:kern w:val="0"/>
          <w:sz w:val="24"/>
          <w:szCs w:val="24"/>
          <w:lang w:val="en-US" w:eastAsia="en-US" w:bidi="ar-SA"/>
        </w:rPr>
        <w:t>⑶</w:t>
      </w:r>
      <w:r>
        <w:rPr>
          <w:rFonts w:ascii="宋体" w:hAnsi="宋体" w:eastAsia="宋体" w:cs="宋体"/>
          <w:b/>
          <w:bCs/>
          <w:snapToGrid w:val="0"/>
          <w:color w:val="auto"/>
          <w:spacing w:val="-4"/>
          <w:kern w:val="0"/>
          <w:sz w:val="24"/>
          <w:szCs w:val="24"/>
          <w:lang w:val="en-US" w:eastAsia="en-US" w:bidi="ar-SA"/>
        </w:rPr>
        <w:t>水源涵养量</w:t>
      </w:r>
    </w:p>
    <w:p w14:paraId="0BC53A14">
      <w:pPr>
        <w:kinsoku w:val="0"/>
        <w:autoSpaceDE w:val="0"/>
        <w:autoSpaceDN w:val="0"/>
        <w:adjustRightInd w:val="0"/>
        <w:snapToGrid w:val="0"/>
        <w:spacing w:before="182" w:line="360" w:lineRule="auto"/>
        <w:ind w:left="23" w:right="86" w:firstLine="480"/>
        <w:jc w:val="left"/>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7"/>
          <w:kern w:val="0"/>
          <w:sz w:val="24"/>
          <w:szCs w:val="24"/>
          <w:lang w:val="en-US" w:eastAsia="en-US" w:bidi="ar-SA"/>
        </w:rPr>
        <w:t>计算生态系统通过拦截滞蓄降水，增强土壤下渗、蓄积， 涵养土壤水分、调</w:t>
      </w:r>
      <w:r>
        <w:rPr>
          <w:rFonts w:ascii="宋体" w:hAnsi="宋体" w:eastAsia="宋体" w:cs="宋体"/>
          <w:snapToGrid w:val="0"/>
          <w:color w:val="auto"/>
          <w:spacing w:val="-2"/>
          <w:kern w:val="0"/>
          <w:sz w:val="24"/>
          <w:szCs w:val="24"/>
          <w:lang w:val="en-US" w:eastAsia="en-US" w:bidi="ar-SA"/>
        </w:rPr>
        <w:t>节地表径流和补充地下水所增加的水资源总量。通过水量平衡方程计算：</w:t>
      </w:r>
    </w:p>
    <w:p w14:paraId="0A517476">
      <w:pPr>
        <w:widowControl/>
        <w:kinsoku w:val="0"/>
        <w:autoSpaceDE w:val="0"/>
        <w:autoSpaceDN w:val="0"/>
        <w:adjustRightInd w:val="0"/>
        <w:snapToGrid w:val="0"/>
        <w:spacing w:before="109" w:line="548" w:lineRule="exact"/>
        <w:ind w:left="3072"/>
        <w:jc w:val="left"/>
        <w:textAlignment w:val="baseline"/>
        <w:rPr>
          <w:rFonts w:ascii="Arial" w:hAnsi="Arial" w:eastAsia="Arial" w:cs="Arial"/>
          <w:snapToGrid w:val="0"/>
          <w:color w:val="auto"/>
          <w:kern w:val="0"/>
          <w:szCs w:val="21"/>
          <w:lang w:eastAsia="en-US"/>
        </w:rPr>
      </w:pPr>
      <w:r>
        <w:rPr>
          <w:rFonts w:ascii="Arial" w:hAnsi="Arial" w:eastAsia="Arial" w:cs="Arial"/>
          <w:snapToGrid w:val="0"/>
          <w:color w:val="auto"/>
          <w:kern w:val="0"/>
          <w:position w:val="-11"/>
          <w:szCs w:val="21"/>
          <w:lang w:eastAsia="en-US"/>
        </w:rPr>
        <w:drawing>
          <wp:inline distT="0" distB="0" distL="0" distR="0">
            <wp:extent cx="1993265" cy="347345"/>
            <wp:effectExtent l="0" t="0" r="635" b="8255"/>
            <wp:docPr id="29" name="IM 12"/>
            <wp:cNvGraphicFramePr/>
            <a:graphic xmlns:a="http://schemas.openxmlformats.org/drawingml/2006/main">
              <a:graphicData uri="http://schemas.openxmlformats.org/drawingml/2006/picture">
                <pic:pic xmlns:pic="http://schemas.openxmlformats.org/drawingml/2006/picture">
                  <pic:nvPicPr>
                    <pic:cNvPr id="29" name="IM 12"/>
                    <pic:cNvPicPr/>
                  </pic:nvPicPr>
                  <pic:blipFill>
                    <a:blip r:embed="rId124"/>
                    <a:stretch>
                      <a:fillRect/>
                    </a:stretch>
                  </pic:blipFill>
                  <pic:spPr>
                    <a:xfrm>
                      <a:off x="0" y="0"/>
                      <a:ext cx="1993389" cy="347818"/>
                    </a:xfrm>
                    <a:prstGeom prst="rect">
                      <a:avLst/>
                    </a:prstGeom>
                  </pic:spPr>
                </pic:pic>
              </a:graphicData>
            </a:graphic>
          </wp:inline>
        </w:drawing>
      </w:r>
    </w:p>
    <w:p w14:paraId="3789862C">
      <w:pPr>
        <w:kinsoku w:val="0"/>
        <w:autoSpaceDE w:val="0"/>
        <w:autoSpaceDN w:val="0"/>
        <w:adjustRightInd w:val="0"/>
        <w:snapToGrid w:val="0"/>
        <w:spacing w:before="220" w:line="220" w:lineRule="auto"/>
        <w:ind w:left="743"/>
        <w:jc w:val="left"/>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6"/>
          <w:kern w:val="0"/>
          <w:sz w:val="24"/>
          <w:szCs w:val="24"/>
          <w:lang w:val="en-US" w:eastAsia="en-US" w:bidi="ar-SA"/>
        </w:rPr>
        <w:t>式中：</w:t>
      </w:r>
    </w:p>
    <w:p w14:paraId="490BC2CC">
      <w:pPr>
        <w:kinsoku w:val="0"/>
        <w:autoSpaceDE w:val="0"/>
        <w:autoSpaceDN w:val="0"/>
        <w:adjustRightInd w:val="0"/>
        <w:snapToGrid w:val="0"/>
        <w:spacing w:before="182" w:line="212" w:lineRule="auto"/>
        <w:ind w:left="737"/>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1"/>
          <w:kern w:val="0"/>
          <w:sz w:val="24"/>
          <w:szCs w:val="24"/>
          <w:lang w:val="en-US" w:eastAsia="en-US" w:bidi="ar-SA"/>
        </w:rPr>
        <w:t>Q</w:t>
      </w:r>
      <w:r>
        <w:rPr>
          <w:rFonts w:ascii="Times New Roman" w:hAnsi="Times New Roman" w:eastAsia="Times New Roman" w:cs="Times New Roman"/>
          <w:snapToGrid w:val="0"/>
          <w:color w:val="auto"/>
          <w:spacing w:val="-1"/>
          <w:kern w:val="0"/>
          <w:position w:val="-1"/>
          <w:sz w:val="15"/>
          <w:szCs w:val="15"/>
          <w:lang w:val="en-US" w:eastAsia="en-US" w:bidi="ar-SA"/>
        </w:rPr>
        <w:t>wr</w:t>
      </w:r>
      <w:r>
        <w:rPr>
          <w:rFonts w:ascii="Times New Roman" w:hAnsi="Times New Roman" w:eastAsia="Times New Roman" w:cs="Times New Roman"/>
          <w:snapToGrid w:val="0"/>
          <w:color w:val="auto"/>
          <w:spacing w:val="-1"/>
          <w:kern w:val="0"/>
          <w:sz w:val="24"/>
          <w:szCs w:val="24"/>
          <w:lang w:val="en-US" w:eastAsia="en-US" w:bidi="ar-SA"/>
        </w:rPr>
        <w:t>——</w:t>
      </w:r>
      <w:r>
        <w:rPr>
          <w:rFonts w:ascii="宋体" w:hAnsi="宋体" w:eastAsia="宋体" w:cs="宋体"/>
          <w:snapToGrid w:val="0"/>
          <w:color w:val="auto"/>
          <w:spacing w:val="-1"/>
          <w:kern w:val="0"/>
          <w:sz w:val="24"/>
          <w:szCs w:val="24"/>
          <w:lang w:val="en-US" w:eastAsia="en-US" w:bidi="ar-SA"/>
        </w:rPr>
        <w:t>水源涵养量，</w:t>
      </w:r>
      <w:r>
        <w:rPr>
          <w:rFonts w:ascii="Times New Roman" w:hAnsi="Times New Roman" w:eastAsia="Times New Roman" w:cs="Times New Roman"/>
          <w:snapToGrid w:val="0"/>
          <w:color w:val="auto"/>
          <w:spacing w:val="-1"/>
          <w:kern w:val="0"/>
          <w:sz w:val="24"/>
          <w:szCs w:val="24"/>
          <w:lang w:val="en-US" w:eastAsia="en-US" w:bidi="ar-SA"/>
        </w:rPr>
        <w:t>m</w:t>
      </w:r>
      <w:r>
        <w:rPr>
          <w:rFonts w:ascii="Times New Roman" w:hAnsi="Times New Roman" w:eastAsia="Times New Roman" w:cs="Times New Roman"/>
          <w:snapToGrid w:val="0"/>
          <w:color w:val="auto"/>
          <w:spacing w:val="-1"/>
          <w:kern w:val="0"/>
          <w:position w:val="8"/>
          <w:sz w:val="15"/>
          <w:szCs w:val="15"/>
          <w:lang w:val="en-US" w:eastAsia="en-US" w:bidi="ar-SA"/>
        </w:rPr>
        <w:t>3</w:t>
      </w:r>
      <w:r>
        <w:rPr>
          <w:rFonts w:ascii="Times New Roman" w:hAnsi="Times New Roman" w:eastAsia="Times New Roman" w:cs="Times New Roman"/>
          <w:snapToGrid w:val="0"/>
          <w:color w:val="auto"/>
          <w:spacing w:val="-1"/>
          <w:kern w:val="0"/>
          <w:sz w:val="24"/>
          <w:szCs w:val="24"/>
          <w:lang w:val="en-US" w:eastAsia="en-US" w:bidi="ar-SA"/>
        </w:rPr>
        <w:t>/a</w:t>
      </w:r>
      <w:r>
        <w:rPr>
          <w:rFonts w:ascii="宋体" w:hAnsi="宋体" w:eastAsia="宋体" w:cs="宋体"/>
          <w:snapToGrid w:val="0"/>
          <w:color w:val="auto"/>
          <w:spacing w:val="-1"/>
          <w:kern w:val="0"/>
          <w:sz w:val="24"/>
          <w:szCs w:val="24"/>
          <w:lang w:val="en-US" w:eastAsia="en-US" w:bidi="ar-SA"/>
        </w:rPr>
        <w:t>；</w:t>
      </w:r>
    </w:p>
    <w:p w14:paraId="66B16F42">
      <w:pPr>
        <w:kinsoku w:val="0"/>
        <w:autoSpaceDE w:val="0"/>
        <w:autoSpaceDN w:val="0"/>
        <w:adjustRightInd w:val="0"/>
        <w:snapToGrid w:val="0"/>
        <w:spacing w:before="192" w:line="219" w:lineRule="auto"/>
        <w:ind w:left="735"/>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5"/>
          <w:kern w:val="0"/>
          <w:sz w:val="24"/>
          <w:szCs w:val="24"/>
          <w:lang w:val="en-US" w:eastAsia="en-US" w:bidi="ar-SA"/>
        </w:rPr>
        <w:t>i——</w:t>
      </w:r>
      <w:r>
        <w:rPr>
          <w:rFonts w:ascii="宋体" w:hAnsi="宋体" w:eastAsia="宋体" w:cs="宋体"/>
          <w:snapToGrid w:val="0"/>
          <w:color w:val="auto"/>
          <w:spacing w:val="-5"/>
          <w:kern w:val="0"/>
          <w:sz w:val="24"/>
          <w:szCs w:val="24"/>
          <w:lang w:val="en-US" w:eastAsia="en-US" w:bidi="ar-SA"/>
        </w:rPr>
        <w:t>第</w:t>
      </w:r>
      <w:r>
        <w:rPr>
          <w:rFonts w:ascii="宋体" w:hAnsi="宋体" w:eastAsia="宋体" w:cs="宋体"/>
          <w:snapToGrid w:val="0"/>
          <w:color w:val="auto"/>
          <w:spacing w:val="-48"/>
          <w:kern w:val="0"/>
          <w:sz w:val="24"/>
          <w:szCs w:val="24"/>
          <w:lang w:val="en-US" w:eastAsia="en-US" w:bidi="ar-SA"/>
        </w:rPr>
        <w:t xml:space="preserve"> </w:t>
      </w:r>
      <w:r>
        <w:rPr>
          <w:rFonts w:ascii="Times New Roman" w:hAnsi="Times New Roman" w:eastAsia="Times New Roman" w:cs="Times New Roman"/>
          <w:snapToGrid w:val="0"/>
          <w:color w:val="auto"/>
          <w:spacing w:val="-5"/>
          <w:kern w:val="0"/>
          <w:sz w:val="24"/>
          <w:szCs w:val="24"/>
          <w:lang w:val="en-US" w:eastAsia="en-US" w:bidi="ar-SA"/>
        </w:rPr>
        <w:t xml:space="preserve">i </w:t>
      </w:r>
      <w:r>
        <w:rPr>
          <w:rFonts w:ascii="宋体" w:hAnsi="宋体" w:eastAsia="宋体" w:cs="宋体"/>
          <w:snapToGrid w:val="0"/>
          <w:color w:val="auto"/>
          <w:spacing w:val="-5"/>
          <w:kern w:val="0"/>
          <w:sz w:val="24"/>
          <w:szCs w:val="24"/>
          <w:lang w:val="en-US" w:eastAsia="en-US" w:bidi="ar-SA"/>
        </w:rPr>
        <w:t>类生态系统类型；</w:t>
      </w:r>
    </w:p>
    <w:p w14:paraId="6A7AF374">
      <w:pPr>
        <w:kinsoku w:val="0"/>
        <w:autoSpaceDE w:val="0"/>
        <w:autoSpaceDN w:val="0"/>
        <w:adjustRightInd w:val="0"/>
        <w:snapToGrid w:val="0"/>
        <w:spacing w:before="180" w:line="359" w:lineRule="auto"/>
        <w:ind w:left="258" w:right="258" w:firstLine="472"/>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kern w:val="0"/>
          <w:sz w:val="24"/>
          <w:szCs w:val="24"/>
          <w:lang w:val="en-US" w:eastAsia="en-US" w:bidi="ar-SA"/>
        </w:rPr>
        <w:t>n——</w:t>
      </w:r>
      <w:r>
        <w:rPr>
          <w:rFonts w:ascii="宋体" w:hAnsi="宋体" w:eastAsia="宋体" w:cs="宋体"/>
          <w:snapToGrid w:val="0"/>
          <w:color w:val="auto"/>
          <w:kern w:val="0"/>
          <w:sz w:val="24"/>
          <w:szCs w:val="24"/>
          <w:lang w:val="en-US" w:eastAsia="en-US" w:bidi="ar-SA"/>
        </w:rPr>
        <w:t>生态系统类型总数；本项目共七种生态类型，分别为森林、灌丛、草</w:t>
      </w:r>
      <w:r>
        <w:rPr>
          <w:rFonts w:ascii="宋体" w:hAnsi="宋体" w:eastAsia="宋体" w:cs="宋体"/>
          <w:snapToGrid w:val="0"/>
          <w:color w:val="auto"/>
          <w:spacing w:val="-3"/>
          <w:kern w:val="0"/>
          <w:sz w:val="24"/>
          <w:szCs w:val="24"/>
          <w:lang w:val="en-US" w:eastAsia="en-US" w:bidi="ar-SA"/>
        </w:rPr>
        <w:t>地、农田、湿地、城镇、其他。</w:t>
      </w:r>
    </w:p>
    <w:p w14:paraId="3669B9CB">
      <w:pPr>
        <w:kinsoku w:val="0"/>
        <w:autoSpaceDE w:val="0"/>
        <w:autoSpaceDN w:val="0"/>
        <w:adjustRightInd w:val="0"/>
        <w:snapToGrid w:val="0"/>
        <w:spacing w:line="219" w:lineRule="auto"/>
        <w:ind w:left="730"/>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kern w:val="0"/>
          <w:sz w:val="24"/>
          <w:szCs w:val="24"/>
          <w:lang w:val="en-US" w:eastAsia="en-US" w:bidi="ar-SA"/>
        </w:rPr>
        <w:t>A</w:t>
      </w:r>
      <w:r>
        <w:rPr>
          <w:rFonts w:ascii="Times New Roman" w:hAnsi="Times New Roman" w:eastAsia="Times New Roman" w:cs="Times New Roman"/>
          <w:snapToGrid w:val="0"/>
          <w:color w:val="auto"/>
          <w:kern w:val="0"/>
          <w:sz w:val="15"/>
          <w:szCs w:val="15"/>
          <w:lang w:val="en-US" w:eastAsia="en-US" w:bidi="ar-SA"/>
        </w:rPr>
        <w:t>i</w:t>
      </w:r>
      <w:r>
        <w:rPr>
          <w:rFonts w:ascii="Times New Roman" w:hAnsi="Times New Roman" w:eastAsia="Times New Roman" w:cs="Times New Roman"/>
          <w:snapToGrid w:val="0"/>
          <w:color w:val="auto"/>
          <w:kern w:val="0"/>
          <w:sz w:val="24"/>
          <w:szCs w:val="24"/>
          <w:lang w:val="en-US" w:eastAsia="en-US" w:bidi="ar-SA"/>
        </w:rPr>
        <w:t xml:space="preserve">——i </w:t>
      </w:r>
      <w:r>
        <w:rPr>
          <w:rFonts w:ascii="宋体" w:hAnsi="宋体" w:eastAsia="宋体" w:cs="宋体"/>
          <w:snapToGrid w:val="0"/>
          <w:color w:val="auto"/>
          <w:kern w:val="0"/>
          <w:sz w:val="24"/>
          <w:szCs w:val="24"/>
          <w:lang w:val="en-US" w:eastAsia="en-US" w:bidi="ar-SA"/>
        </w:rPr>
        <w:t>类生态系统的面积，</w:t>
      </w:r>
      <w:r>
        <w:rPr>
          <w:rFonts w:ascii="Times New Roman" w:hAnsi="Times New Roman" w:eastAsia="Times New Roman" w:cs="Times New Roman"/>
          <w:snapToGrid w:val="0"/>
          <w:color w:val="auto"/>
          <w:kern w:val="0"/>
          <w:sz w:val="24"/>
          <w:szCs w:val="24"/>
          <w:lang w:val="en-US" w:eastAsia="en-US" w:bidi="ar-SA"/>
        </w:rPr>
        <w:t>m</w:t>
      </w:r>
      <w:r>
        <w:rPr>
          <w:rFonts w:ascii="Times New Roman" w:hAnsi="Times New Roman" w:eastAsia="Times New Roman" w:cs="Times New Roman"/>
          <w:snapToGrid w:val="0"/>
          <w:color w:val="auto"/>
          <w:kern w:val="0"/>
          <w:position w:val="7"/>
          <w:sz w:val="15"/>
          <w:szCs w:val="15"/>
          <w:lang w:val="en-US" w:eastAsia="en-US" w:bidi="ar-SA"/>
        </w:rPr>
        <w:t>2</w:t>
      </w:r>
      <w:r>
        <w:rPr>
          <w:rFonts w:ascii="宋体" w:hAnsi="宋体" w:eastAsia="宋体" w:cs="宋体"/>
          <w:snapToGrid w:val="0"/>
          <w:color w:val="auto"/>
          <w:kern w:val="0"/>
          <w:sz w:val="24"/>
          <w:szCs w:val="24"/>
          <w:lang w:val="en-US" w:eastAsia="en-US" w:bidi="ar-SA"/>
        </w:rPr>
        <w:t>；</w:t>
      </w:r>
    </w:p>
    <w:p w14:paraId="15C6EB9E">
      <w:pPr>
        <w:kinsoku w:val="0"/>
        <w:autoSpaceDE w:val="0"/>
        <w:autoSpaceDN w:val="0"/>
        <w:adjustRightInd w:val="0"/>
        <w:snapToGrid w:val="0"/>
        <w:spacing w:before="183" w:line="219" w:lineRule="auto"/>
        <w:ind w:left="733"/>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1"/>
          <w:kern w:val="0"/>
          <w:sz w:val="24"/>
          <w:szCs w:val="24"/>
          <w:lang w:val="en-US" w:eastAsia="en-US" w:bidi="ar-SA"/>
        </w:rPr>
        <w:t>P</w:t>
      </w:r>
      <w:r>
        <w:rPr>
          <w:rFonts w:ascii="Times New Roman" w:hAnsi="Times New Roman" w:eastAsia="Times New Roman" w:cs="Times New Roman"/>
          <w:snapToGrid w:val="0"/>
          <w:color w:val="auto"/>
          <w:spacing w:val="-1"/>
          <w:kern w:val="0"/>
          <w:position w:val="-1"/>
          <w:sz w:val="15"/>
          <w:szCs w:val="15"/>
          <w:lang w:val="en-US" w:eastAsia="en-US" w:bidi="ar-SA"/>
        </w:rPr>
        <w:t>i</w:t>
      </w:r>
      <w:r>
        <w:rPr>
          <w:rFonts w:ascii="Times New Roman" w:hAnsi="Times New Roman" w:eastAsia="Times New Roman" w:cs="Times New Roman"/>
          <w:snapToGrid w:val="0"/>
          <w:color w:val="auto"/>
          <w:spacing w:val="-1"/>
          <w:kern w:val="0"/>
          <w:sz w:val="24"/>
          <w:szCs w:val="24"/>
          <w:lang w:val="en-US" w:eastAsia="en-US" w:bidi="ar-SA"/>
        </w:rPr>
        <w:t>——</w:t>
      </w:r>
      <w:r>
        <w:rPr>
          <w:rFonts w:ascii="宋体" w:hAnsi="宋体" w:eastAsia="宋体" w:cs="宋体"/>
          <w:snapToGrid w:val="0"/>
          <w:color w:val="auto"/>
          <w:spacing w:val="-1"/>
          <w:kern w:val="0"/>
          <w:sz w:val="24"/>
          <w:szCs w:val="24"/>
          <w:lang w:val="en-US" w:eastAsia="en-US" w:bidi="ar-SA"/>
        </w:rPr>
        <w:t>产流降雨量，</w:t>
      </w:r>
      <w:r>
        <w:rPr>
          <w:rFonts w:ascii="Times New Roman" w:hAnsi="Times New Roman" w:eastAsia="Times New Roman" w:cs="Times New Roman"/>
          <w:snapToGrid w:val="0"/>
          <w:color w:val="auto"/>
          <w:spacing w:val="-1"/>
          <w:kern w:val="0"/>
          <w:sz w:val="24"/>
          <w:szCs w:val="24"/>
          <w:lang w:val="en-US" w:eastAsia="en-US" w:bidi="ar-SA"/>
        </w:rPr>
        <w:t>mm/a</w:t>
      </w:r>
      <w:r>
        <w:rPr>
          <w:rFonts w:ascii="Times New Roman" w:hAnsi="Times New Roman" w:eastAsia="Times New Roman" w:cs="Times New Roman"/>
          <w:snapToGrid w:val="0"/>
          <w:color w:val="auto"/>
          <w:spacing w:val="-32"/>
          <w:kern w:val="0"/>
          <w:sz w:val="24"/>
          <w:szCs w:val="24"/>
          <w:lang w:val="en-US" w:eastAsia="en-US" w:bidi="ar-SA"/>
        </w:rPr>
        <w:t xml:space="preserve"> </w:t>
      </w:r>
      <w:r>
        <w:rPr>
          <w:rFonts w:ascii="宋体" w:hAnsi="宋体" w:eastAsia="宋体" w:cs="宋体"/>
          <w:snapToGrid w:val="0"/>
          <w:color w:val="auto"/>
          <w:spacing w:val="-1"/>
          <w:kern w:val="0"/>
          <w:sz w:val="24"/>
          <w:szCs w:val="24"/>
          <w:lang w:val="en-US" w:eastAsia="en-US" w:bidi="ar-SA"/>
        </w:rPr>
        <w:t>，</w:t>
      </w:r>
      <w:r>
        <w:rPr>
          <w:rFonts w:ascii="Times New Roman" w:hAnsi="Times New Roman" w:eastAsia="Times New Roman" w:cs="Times New Roman"/>
          <w:snapToGrid w:val="0"/>
          <w:color w:val="auto"/>
          <w:spacing w:val="-1"/>
          <w:kern w:val="0"/>
          <w:sz w:val="24"/>
          <w:szCs w:val="24"/>
          <w:lang w:val="en-US" w:eastAsia="en-US" w:bidi="ar-SA"/>
        </w:rPr>
        <w:t>499.</w:t>
      </w:r>
      <w:r>
        <w:rPr>
          <w:rFonts w:ascii="Times New Roman" w:hAnsi="Times New Roman" w:eastAsia="Times New Roman" w:cs="Times New Roman"/>
          <w:snapToGrid w:val="0"/>
          <w:color w:val="auto"/>
          <w:spacing w:val="-2"/>
          <w:kern w:val="0"/>
          <w:sz w:val="24"/>
          <w:szCs w:val="24"/>
          <w:lang w:val="en-US" w:eastAsia="en-US" w:bidi="ar-SA"/>
        </w:rPr>
        <w:t>7mm/a</w:t>
      </w:r>
      <w:r>
        <w:rPr>
          <w:rFonts w:ascii="宋体" w:hAnsi="宋体" w:eastAsia="宋体" w:cs="宋体"/>
          <w:snapToGrid w:val="0"/>
          <w:color w:val="auto"/>
          <w:spacing w:val="-2"/>
          <w:kern w:val="0"/>
          <w:sz w:val="24"/>
          <w:szCs w:val="24"/>
          <w:lang w:val="en-US" w:eastAsia="en-US" w:bidi="ar-SA"/>
        </w:rPr>
        <w:t>；</w:t>
      </w:r>
    </w:p>
    <w:p w14:paraId="4304C010">
      <w:pPr>
        <w:kinsoku w:val="0"/>
        <w:autoSpaceDE w:val="0"/>
        <w:autoSpaceDN w:val="0"/>
        <w:adjustRightInd w:val="0"/>
        <w:snapToGrid w:val="0"/>
        <w:spacing w:before="181" w:line="219" w:lineRule="auto"/>
        <w:ind w:left="733"/>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2"/>
          <w:kern w:val="0"/>
          <w:sz w:val="24"/>
          <w:szCs w:val="24"/>
          <w:lang w:val="en-US" w:eastAsia="en-US" w:bidi="ar-SA"/>
        </w:rPr>
        <w:t>Ri——</w:t>
      </w:r>
      <w:r>
        <w:rPr>
          <w:rFonts w:ascii="宋体" w:hAnsi="宋体" w:eastAsia="宋体" w:cs="宋体"/>
          <w:snapToGrid w:val="0"/>
          <w:color w:val="auto"/>
          <w:spacing w:val="-2"/>
          <w:kern w:val="0"/>
          <w:sz w:val="24"/>
          <w:szCs w:val="24"/>
          <w:lang w:val="en-US" w:eastAsia="en-US" w:bidi="ar-SA"/>
        </w:rPr>
        <w:t>地表径流量，</w:t>
      </w:r>
      <w:r>
        <w:rPr>
          <w:rFonts w:ascii="Times New Roman" w:hAnsi="Times New Roman" w:eastAsia="Times New Roman" w:cs="Times New Roman"/>
          <w:snapToGrid w:val="0"/>
          <w:color w:val="auto"/>
          <w:spacing w:val="-2"/>
          <w:kern w:val="0"/>
          <w:sz w:val="24"/>
          <w:szCs w:val="24"/>
          <w:lang w:val="en-US" w:eastAsia="en-US" w:bidi="ar-SA"/>
        </w:rPr>
        <w:t>mm/a</w:t>
      </w:r>
      <w:r>
        <w:rPr>
          <w:rFonts w:ascii="Times New Roman" w:hAnsi="Times New Roman" w:eastAsia="Times New Roman" w:cs="Times New Roman"/>
          <w:snapToGrid w:val="0"/>
          <w:color w:val="auto"/>
          <w:spacing w:val="-17"/>
          <w:kern w:val="0"/>
          <w:sz w:val="24"/>
          <w:szCs w:val="24"/>
          <w:lang w:val="en-US" w:eastAsia="en-US" w:bidi="ar-SA"/>
        </w:rPr>
        <w:t xml:space="preserve"> </w:t>
      </w:r>
      <w:r>
        <w:rPr>
          <w:rFonts w:ascii="宋体" w:hAnsi="宋体" w:eastAsia="宋体" w:cs="宋体"/>
          <w:snapToGrid w:val="0"/>
          <w:color w:val="auto"/>
          <w:spacing w:val="-2"/>
          <w:kern w:val="0"/>
          <w:sz w:val="24"/>
          <w:szCs w:val="24"/>
          <w:lang w:val="en-US" w:eastAsia="en-US" w:bidi="ar-SA"/>
        </w:rPr>
        <w:t>，</w:t>
      </w:r>
      <w:r>
        <w:rPr>
          <w:rFonts w:ascii="Times New Roman" w:hAnsi="Times New Roman" w:eastAsia="Times New Roman" w:cs="Times New Roman"/>
          <w:snapToGrid w:val="0"/>
          <w:color w:val="auto"/>
          <w:spacing w:val="-2"/>
          <w:kern w:val="0"/>
          <w:sz w:val="24"/>
          <w:szCs w:val="24"/>
          <w:lang w:val="en-US" w:eastAsia="en-US" w:bidi="ar-SA"/>
        </w:rPr>
        <w:t>36.9mm/a</w:t>
      </w:r>
      <w:r>
        <w:rPr>
          <w:rFonts w:ascii="宋体" w:hAnsi="宋体" w:eastAsia="宋体" w:cs="宋体"/>
          <w:snapToGrid w:val="0"/>
          <w:color w:val="auto"/>
          <w:spacing w:val="-2"/>
          <w:kern w:val="0"/>
          <w:sz w:val="24"/>
          <w:szCs w:val="24"/>
          <w:lang w:val="en-US" w:eastAsia="en-US" w:bidi="ar-SA"/>
        </w:rPr>
        <w:t>；</w:t>
      </w:r>
    </w:p>
    <w:p w14:paraId="5EC7D5FA">
      <w:pPr>
        <w:kinsoku w:val="0"/>
        <w:autoSpaceDE w:val="0"/>
        <w:autoSpaceDN w:val="0"/>
        <w:adjustRightInd w:val="0"/>
        <w:snapToGrid w:val="0"/>
        <w:spacing w:before="183" w:line="219" w:lineRule="auto"/>
        <w:ind w:left="734"/>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1"/>
          <w:kern w:val="0"/>
          <w:sz w:val="24"/>
          <w:szCs w:val="24"/>
          <w:lang w:val="en-US" w:eastAsia="en-US" w:bidi="ar-SA"/>
        </w:rPr>
        <w:t>ET</w:t>
      </w:r>
      <w:r>
        <w:rPr>
          <w:rFonts w:ascii="Times New Roman" w:hAnsi="Times New Roman" w:eastAsia="Times New Roman" w:cs="Times New Roman"/>
          <w:snapToGrid w:val="0"/>
          <w:color w:val="auto"/>
          <w:spacing w:val="-1"/>
          <w:kern w:val="0"/>
          <w:position w:val="-1"/>
          <w:sz w:val="15"/>
          <w:szCs w:val="15"/>
          <w:lang w:val="en-US" w:eastAsia="en-US" w:bidi="ar-SA"/>
        </w:rPr>
        <w:t>i</w:t>
      </w:r>
      <w:r>
        <w:rPr>
          <w:rFonts w:ascii="Times New Roman" w:hAnsi="Times New Roman" w:eastAsia="Times New Roman" w:cs="Times New Roman"/>
          <w:snapToGrid w:val="0"/>
          <w:color w:val="auto"/>
          <w:spacing w:val="-1"/>
          <w:kern w:val="0"/>
          <w:sz w:val="24"/>
          <w:szCs w:val="24"/>
          <w:lang w:val="en-US" w:eastAsia="en-US" w:bidi="ar-SA"/>
        </w:rPr>
        <w:t>——</w:t>
      </w:r>
      <w:r>
        <w:rPr>
          <w:rFonts w:ascii="宋体" w:hAnsi="宋体" w:eastAsia="宋体" w:cs="宋体"/>
          <w:snapToGrid w:val="0"/>
          <w:color w:val="auto"/>
          <w:spacing w:val="-1"/>
          <w:kern w:val="0"/>
          <w:sz w:val="24"/>
          <w:szCs w:val="24"/>
          <w:lang w:val="en-US" w:eastAsia="en-US" w:bidi="ar-SA"/>
        </w:rPr>
        <w:t>蒸散发量，</w:t>
      </w:r>
      <w:r>
        <w:rPr>
          <w:rFonts w:ascii="Times New Roman" w:hAnsi="Times New Roman" w:eastAsia="Times New Roman" w:cs="Times New Roman"/>
          <w:snapToGrid w:val="0"/>
          <w:color w:val="auto"/>
          <w:spacing w:val="-1"/>
          <w:kern w:val="0"/>
          <w:sz w:val="24"/>
          <w:szCs w:val="24"/>
          <w:lang w:val="en-US" w:eastAsia="en-US" w:bidi="ar-SA"/>
        </w:rPr>
        <w:t>mm/a</w:t>
      </w:r>
      <w:r>
        <w:rPr>
          <w:rFonts w:ascii="Times New Roman" w:hAnsi="Times New Roman" w:eastAsia="Times New Roman" w:cs="Times New Roman"/>
          <w:snapToGrid w:val="0"/>
          <w:color w:val="auto"/>
          <w:spacing w:val="-35"/>
          <w:kern w:val="0"/>
          <w:sz w:val="24"/>
          <w:szCs w:val="24"/>
          <w:lang w:val="en-US" w:eastAsia="en-US" w:bidi="ar-SA"/>
        </w:rPr>
        <w:t xml:space="preserve"> </w:t>
      </w:r>
      <w:r>
        <w:rPr>
          <w:rFonts w:ascii="宋体" w:hAnsi="宋体" w:eastAsia="宋体" w:cs="宋体"/>
          <w:snapToGrid w:val="0"/>
          <w:color w:val="auto"/>
          <w:spacing w:val="-1"/>
          <w:kern w:val="0"/>
          <w:sz w:val="24"/>
          <w:szCs w:val="24"/>
          <w:lang w:val="en-US" w:eastAsia="en-US" w:bidi="ar-SA"/>
        </w:rPr>
        <w:t>，</w:t>
      </w:r>
      <w:r>
        <w:rPr>
          <w:rFonts w:ascii="Times New Roman" w:hAnsi="Times New Roman" w:eastAsia="Times New Roman" w:cs="Times New Roman"/>
          <w:snapToGrid w:val="0"/>
          <w:color w:val="auto"/>
          <w:spacing w:val="-1"/>
          <w:kern w:val="0"/>
          <w:sz w:val="24"/>
          <w:szCs w:val="24"/>
          <w:lang w:val="en-US" w:eastAsia="en-US" w:bidi="ar-SA"/>
        </w:rPr>
        <w:t>1364.44m</w:t>
      </w:r>
      <w:r>
        <w:rPr>
          <w:rFonts w:ascii="Times New Roman" w:hAnsi="Times New Roman" w:eastAsia="Times New Roman" w:cs="Times New Roman"/>
          <w:snapToGrid w:val="0"/>
          <w:color w:val="auto"/>
          <w:spacing w:val="-2"/>
          <w:kern w:val="0"/>
          <w:sz w:val="24"/>
          <w:szCs w:val="24"/>
          <w:lang w:val="en-US" w:eastAsia="en-US" w:bidi="ar-SA"/>
        </w:rPr>
        <w:t>m/a</w:t>
      </w:r>
      <w:r>
        <w:rPr>
          <w:rFonts w:ascii="宋体" w:hAnsi="宋体" w:eastAsia="宋体" w:cs="宋体"/>
          <w:snapToGrid w:val="0"/>
          <w:color w:val="auto"/>
          <w:spacing w:val="-2"/>
          <w:kern w:val="0"/>
          <w:sz w:val="24"/>
          <w:szCs w:val="24"/>
          <w:lang w:val="en-US" w:eastAsia="en-US" w:bidi="ar-SA"/>
        </w:rPr>
        <w:t>。</w:t>
      </w:r>
    </w:p>
    <w:p w14:paraId="75D7F55B">
      <w:pPr>
        <w:keepNext w:val="0"/>
        <w:keepLines w:val="0"/>
        <w:pageBreakBefore w:val="0"/>
        <w:widowControl w:val="0"/>
        <w:kinsoku w:val="0"/>
        <w:wordWrap/>
        <w:overflowPunct/>
        <w:topLinePunct w:val="0"/>
        <w:autoSpaceDE w:val="0"/>
        <w:autoSpaceDN w:val="0"/>
        <w:bidi w:val="0"/>
        <w:adjustRightInd w:val="0"/>
        <w:snapToGrid w:val="0"/>
        <w:spacing w:before="0" w:beforeLines="50" w:line="219" w:lineRule="auto"/>
        <w:jc w:val="center"/>
        <w:textAlignment w:val="baseline"/>
        <w:rPr>
          <w:rFonts w:ascii="宋体" w:hAnsi="宋体" w:eastAsia="宋体" w:cs="宋体"/>
          <w:snapToGrid w:val="0"/>
          <w:color w:val="auto"/>
          <w:kern w:val="0"/>
          <w:sz w:val="24"/>
          <w:szCs w:val="24"/>
          <w:lang w:val="en-US" w:eastAsia="en-US" w:bidi="ar-SA"/>
        </w:rPr>
      </w:pPr>
      <w:r>
        <w:rPr>
          <w:rFonts w:hint="eastAsia" w:ascii="宋体" w:hAnsi="宋体" w:cs="宋体"/>
          <w:b/>
          <w:bCs/>
          <w:snapToGrid w:val="0"/>
          <w:color w:val="auto"/>
          <w:spacing w:val="-1"/>
          <w:kern w:val="0"/>
          <w:sz w:val="24"/>
          <w:szCs w:val="24"/>
          <w:lang w:val="en-US" w:eastAsia="zh-CN" w:bidi="ar-SA"/>
        </w:rPr>
        <w:t>专题</w:t>
      </w:r>
      <w:r>
        <w:rPr>
          <w:rFonts w:ascii="宋体" w:hAnsi="宋体" w:eastAsia="宋体" w:cs="宋体"/>
          <w:b/>
          <w:bCs/>
          <w:snapToGrid w:val="0"/>
          <w:color w:val="auto"/>
          <w:spacing w:val="-1"/>
          <w:kern w:val="0"/>
          <w:sz w:val="24"/>
          <w:szCs w:val="24"/>
          <w:lang w:val="en-US" w:eastAsia="en-US" w:bidi="ar-SA"/>
        </w:rPr>
        <w:t>表</w:t>
      </w:r>
      <w:r>
        <w:rPr>
          <w:rFonts w:ascii="宋体" w:hAnsi="宋体" w:eastAsia="宋体" w:cs="宋体"/>
          <w:snapToGrid w:val="0"/>
          <w:color w:val="auto"/>
          <w:spacing w:val="-57"/>
          <w:kern w:val="0"/>
          <w:sz w:val="24"/>
          <w:szCs w:val="24"/>
          <w:lang w:val="en-US" w:eastAsia="en-US" w:bidi="ar-SA"/>
        </w:rPr>
        <w:t xml:space="preserve"> </w:t>
      </w:r>
      <w:r>
        <w:rPr>
          <w:rFonts w:hint="eastAsia" w:eastAsia="宋体" w:cs="Times New Roman"/>
          <w:b/>
          <w:bCs/>
          <w:snapToGrid w:val="0"/>
          <w:color w:val="auto"/>
          <w:spacing w:val="-1"/>
          <w:kern w:val="0"/>
          <w:sz w:val="24"/>
          <w:szCs w:val="24"/>
          <w:lang w:val="en-US" w:eastAsia="zh-CN" w:bidi="ar-SA"/>
        </w:rPr>
        <w:t>2</w:t>
      </w:r>
      <w:r>
        <w:rPr>
          <w:rFonts w:ascii="Times New Roman" w:hAnsi="Times New Roman" w:eastAsia="Times New Roman" w:cs="Times New Roman"/>
          <w:b/>
          <w:bCs/>
          <w:snapToGrid w:val="0"/>
          <w:color w:val="auto"/>
          <w:spacing w:val="-1"/>
          <w:kern w:val="0"/>
          <w:sz w:val="24"/>
          <w:szCs w:val="24"/>
          <w:lang w:val="en-US" w:eastAsia="en-US" w:bidi="ar-SA"/>
        </w:rPr>
        <w:t>-1</w:t>
      </w:r>
      <w:r>
        <w:rPr>
          <w:rFonts w:hint="eastAsia" w:eastAsia="宋体" w:cs="Times New Roman"/>
          <w:b/>
          <w:bCs/>
          <w:snapToGrid w:val="0"/>
          <w:color w:val="auto"/>
          <w:spacing w:val="-1"/>
          <w:kern w:val="0"/>
          <w:sz w:val="24"/>
          <w:szCs w:val="24"/>
          <w:lang w:val="en-US" w:eastAsia="zh-CN" w:bidi="ar-SA"/>
        </w:rPr>
        <w:t>2</w:t>
      </w:r>
      <w:r>
        <w:rPr>
          <w:rFonts w:ascii="Times New Roman" w:hAnsi="Times New Roman" w:eastAsia="Times New Roman" w:cs="Times New Roman"/>
          <w:b/>
          <w:bCs/>
          <w:snapToGrid w:val="0"/>
          <w:color w:val="auto"/>
          <w:spacing w:val="-1"/>
          <w:kern w:val="0"/>
          <w:sz w:val="24"/>
          <w:szCs w:val="24"/>
          <w:lang w:val="en-US" w:eastAsia="en-US" w:bidi="ar-SA"/>
        </w:rPr>
        <w:t xml:space="preserve">   </w:t>
      </w:r>
      <w:r>
        <w:rPr>
          <w:rFonts w:ascii="宋体" w:hAnsi="宋体" w:eastAsia="宋体" w:cs="宋体"/>
          <w:b/>
          <w:bCs/>
          <w:snapToGrid w:val="0"/>
          <w:color w:val="auto"/>
          <w:spacing w:val="-1"/>
          <w:kern w:val="0"/>
          <w:sz w:val="24"/>
          <w:szCs w:val="24"/>
          <w:lang w:val="en-US" w:eastAsia="en-US" w:bidi="ar-SA"/>
        </w:rPr>
        <w:t>评价区各</w:t>
      </w:r>
      <w:r>
        <w:rPr>
          <w:rFonts w:ascii="宋体" w:hAnsi="宋体" w:eastAsia="宋体" w:cs="宋体"/>
          <w:b/>
          <w:bCs/>
          <w:snapToGrid w:val="0"/>
          <w:color w:val="auto"/>
          <w:spacing w:val="-2"/>
          <w:kern w:val="0"/>
          <w:sz w:val="24"/>
          <w:szCs w:val="24"/>
          <w:lang w:val="en-US" w:eastAsia="en-US" w:bidi="ar-SA"/>
        </w:rPr>
        <w:t>生态系统面积表</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96"/>
        <w:gridCol w:w="4718"/>
      </w:tblGrid>
      <w:tr w14:paraId="7CE7CB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4195" w:type="dxa"/>
            <w:tcBorders>
              <w:top w:val="single" w:color="000000" w:sz="10" w:space="0"/>
              <w:left w:val="nil"/>
            </w:tcBorders>
            <w:vAlign w:val="center"/>
          </w:tcPr>
          <w:p w14:paraId="32AC1258">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snapToGrid w:val="0"/>
                <w:color w:val="auto"/>
                <w:kern w:val="0"/>
                <w:sz w:val="20"/>
                <w:szCs w:val="20"/>
                <w:lang w:val="en-US" w:eastAsia="en-US" w:bidi="ar-SA"/>
              </w:rPr>
            </w:pPr>
            <w:r>
              <w:rPr>
                <w:rFonts w:ascii="宋体" w:hAnsi="宋体" w:eastAsia="宋体" w:cs="宋体"/>
                <w:b/>
                <w:bCs/>
                <w:snapToGrid w:val="0"/>
                <w:color w:val="auto"/>
                <w:spacing w:val="6"/>
                <w:kern w:val="0"/>
                <w:sz w:val="20"/>
                <w:szCs w:val="20"/>
                <w:lang w:val="en-US" w:eastAsia="en-US" w:bidi="ar-SA"/>
              </w:rPr>
              <w:t>生态系统</w:t>
            </w:r>
          </w:p>
        </w:tc>
        <w:tc>
          <w:tcPr>
            <w:tcW w:w="4607" w:type="dxa"/>
            <w:tcBorders>
              <w:top w:val="single" w:color="000000" w:sz="10" w:space="0"/>
              <w:right w:val="nil"/>
            </w:tcBorders>
            <w:vAlign w:val="center"/>
          </w:tcPr>
          <w:p w14:paraId="4263512B">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snapToGrid w:val="0"/>
                <w:color w:val="auto"/>
                <w:kern w:val="0"/>
                <w:sz w:val="20"/>
                <w:szCs w:val="20"/>
                <w:lang w:val="en-US" w:eastAsia="en-US" w:bidi="ar-SA"/>
              </w:rPr>
            </w:pPr>
            <w:r>
              <w:rPr>
                <w:rFonts w:ascii="宋体" w:hAnsi="宋体" w:eastAsia="宋体" w:cs="宋体"/>
                <w:b/>
                <w:bCs/>
                <w:snapToGrid w:val="0"/>
                <w:color w:val="auto"/>
                <w:spacing w:val="7"/>
                <w:kern w:val="0"/>
                <w:sz w:val="20"/>
                <w:szCs w:val="20"/>
                <w:lang w:val="en-US" w:eastAsia="en-US" w:bidi="ar-SA"/>
              </w:rPr>
              <w:t>面积（</w:t>
            </w:r>
            <w:r>
              <w:rPr>
                <w:rFonts w:ascii="Times New Roman" w:hAnsi="Times New Roman" w:eastAsia="Times New Roman" w:cs="Times New Roman"/>
                <w:b/>
                <w:bCs/>
                <w:snapToGrid w:val="0"/>
                <w:color w:val="auto"/>
                <w:kern w:val="0"/>
                <w:sz w:val="20"/>
                <w:szCs w:val="20"/>
                <w:lang w:val="en-US" w:eastAsia="en-US" w:bidi="ar-SA"/>
              </w:rPr>
              <w:t>hm</w:t>
            </w:r>
            <w:r>
              <w:rPr>
                <w:rFonts w:ascii="Times New Roman" w:hAnsi="Times New Roman" w:eastAsia="Times New Roman" w:cs="Times New Roman"/>
                <w:b/>
                <w:bCs/>
                <w:snapToGrid w:val="0"/>
                <w:color w:val="auto"/>
                <w:spacing w:val="7"/>
                <w:kern w:val="0"/>
                <w:sz w:val="20"/>
                <w:szCs w:val="20"/>
                <w:vertAlign w:val="superscript"/>
                <w:lang w:val="en-US" w:eastAsia="en-US" w:bidi="ar-SA"/>
              </w:rPr>
              <w:t>2</w:t>
            </w:r>
            <w:r>
              <w:rPr>
                <w:rFonts w:ascii="宋体" w:hAnsi="宋体" w:eastAsia="宋体" w:cs="宋体"/>
                <w:b/>
                <w:bCs/>
                <w:snapToGrid w:val="0"/>
                <w:color w:val="auto"/>
                <w:spacing w:val="7"/>
                <w:kern w:val="0"/>
                <w:sz w:val="20"/>
                <w:szCs w:val="20"/>
                <w:lang w:val="en-US" w:eastAsia="en-US" w:bidi="ar-SA"/>
              </w:rPr>
              <w:t>）</w:t>
            </w:r>
          </w:p>
        </w:tc>
      </w:tr>
      <w:tr w14:paraId="4C4419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4195" w:type="dxa"/>
            <w:tcBorders>
              <w:left w:val="nil"/>
            </w:tcBorders>
            <w:vAlign w:val="center"/>
          </w:tcPr>
          <w:p w14:paraId="47EEBCDD">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8"/>
                <w:kern w:val="0"/>
                <w:sz w:val="20"/>
                <w:szCs w:val="20"/>
                <w:lang w:val="en-US" w:eastAsia="en-US" w:bidi="ar-SA"/>
              </w:rPr>
              <w:t>森林生态系统</w:t>
            </w:r>
          </w:p>
        </w:tc>
        <w:tc>
          <w:tcPr>
            <w:tcW w:w="4607" w:type="dxa"/>
            <w:tcBorders>
              <w:right w:val="nil"/>
            </w:tcBorders>
            <w:vAlign w:val="center"/>
          </w:tcPr>
          <w:p w14:paraId="2CD2A50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2"/>
                <w:kern w:val="0"/>
                <w:sz w:val="20"/>
                <w:szCs w:val="20"/>
                <w:lang w:val="en-US" w:eastAsia="zh-CN"/>
              </w:rPr>
              <w:t>2994.59</w:t>
            </w:r>
          </w:p>
        </w:tc>
      </w:tr>
      <w:tr w14:paraId="23ACF9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4195" w:type="dxa"/>
            <w:tcBorders>
              <w:left w:val="nil"/>
            </w:tcBorders>
            <w:vAlign w:val="center"/>
          </w:tcPr>
          <w:p w14:paraId="7C052FCC">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7"/>
                <w:kern w:val="0"/>
                <w:sz w:val="20"/>
                <w:szCs w:val="20"/>
                <w:lang w:val="en-US" w:eastAsia="en-US" w:bidi="ar-SA"/>
              </w:rPr>
              <w:t>草地生态系统</w:t>
            </w:r>
          </w:p>
        </w:tc>
        <w:tc>
          <w:tcPr>
            <w:tcW w:w="4607" w:type="dxa"/>
            <w:tcBorders>
              <w:right w:val="nil"/>
            </w:tcBorders>
            <w:vAlign w:val="center"/>
          </w:tcPr>
          <w:p w14:paraId="4ADE780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2"/>
                <w:kern w:val="0"/>
                <w:sz w:val="20"/>
                <w:szCs w:val="20"/>
                <w:lang w:val="en-US" w:eastAsia="zh-CN"/>
              </w:rPr>
              <w:t>401.94</w:t>
            </w:r>
          </w:p>
        </w:tc>
      </w:tr>
      <w:tr w14:paraId="08B5B8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4195" w:type="dxa"/>
            <w:tcBorders>
              <w:left w:val="nil"/>
            </w:tcBorders>
            <w:vAlign w:val="center"/>
          </w:tcPr>
          <w:p w14:paraId="5E42E0F7">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8"/>
                <w:kern w:val="0"/>
                <w:sz w:val="20"/>
                <w:szCs w:val="20"/>
                <w:lang w:val="en-US" w:eastAsia="en-US" w:bidi="ar-SA"/>
              </w:rPr>
              <w:t>农田生态系统</w:t>
            </w:r>
          </w:p>
        </w:tc>
        <w:tc>
          <w:tcPr>
            <w:tcW w:w="4607" w:type="dxa"/>
            <w:tcBorders>
              <w:right w:val="nil"/>
            </w:tcBorders>
            <w:vAlign w:val="center"/>
          </w:tcPr>
          <w:p w14:paraId="693CEF9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2"/>
                <w:kern w:val="0"/>
                <w:sz w:val="20"/>
                <w:szCs w:val="20"/>
                <w:lang w:val="en-US" w:eastAsia="zh-CN"/>
              </w:rPr>
              <w:t>1484.28</w:t>
            </w:r>
          </w:p>
        </w:tc>
      </w:tr>
      <w:tr w14:paraId="336FD0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4195" w:type="dxa"/>
            <w:tcBorders>
              <w:left w:val="nil"/>
            </w:tcBorders>
            <w:vAlign w:val="center"/>
          </w:tcPr>
          <w:p w14:paraId="46E876DC">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8"/>
                <w:kern w:val="0"/>
                <w:sz w:val="20"/>
                <w:szCs w:val="20"/>
                <w:lang w:val="en-US" w:eastAsia="en-US" w:bidi="ar-SA"/>
              </w:rPr>
              <w:t>湿地生态系统</w:t>
            </w:r>
          </w:p>
        </w:tc>
        <w:tc>
          <w:tcPr>
            <w:tcW w:w="4607" w:type="dxa"/>
            <w:tcBorders>
              <w:right w:val="nil"/>
            </w:tcBorders>
            <w:vAlign w:val="center"/>
          </w:tcPr>
          <w:p w14:paraId="5589BAC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3"/>
                <w:kern w:val="0"/>
                <w:sz w:val="20"/>
                <w:szCs w:val="20"/>
                <w:lang w:val="en-US" w:eastAsia="zh-CN"/>
              </w:rPr>
              <w:t>8.28</w:t>
            </w:r>
          </w:p>
        </w:tc>
      </w:tr>
      <w:tr w14:paraId="32C324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4195" w:type="dxa"/>
            <w:tcBorders>
              <w:left w:val="nil"/>
            </w:tcBorders>
            <w:vAlign w:val="center"/>
          </w:tcPr>
          <w:p w14:paraId="3D9BF17F">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8"/>
                <w:kern w:val="0"/>
                <w:sz w:val="20"/>
                <w:szCs w:val="20"/>
                <w:lang w:val="en-US" w:eastAsia="en-US" w:bidi="ar-SA"/>
              </w:rPr>
              <w:t>城镇生态系统</w:t>
            </w:r>
          </w:p>
        </w:tc>
        <w:tc>
          <w:tcPr>
            <w:tcW w:w="4607" w:type="dxa"/>
            <w:tcBorders>
              <w:right w:val="nil"/>
            </w:tcBorders>
            <w:vAlign w:val="center"/>
          </w:tcPr>
          <w:p w14:paraId="017F06E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ascii="Times New Roman" w:hAnsi="Times New Roman" w:eastAsia="Times New Roman" w:cs="Times New Roman"/>
                <w:snapToGrid w:val="0"/>
                <w:color w:val="auto"/>
                <w:spacing w:val="4"/>
                <w:kern w:val="0"/>
                <w:sz w:val="20"/>
                <w:szCs w:val="20"/>
                <w:lang w:eastAsia="en-US"/>
              </w:rPr>
              <w:t>2</w:t>
            </w:r>
            <w:r>
              <w:rPr>
                <w:rFonts w:hint="eastAsia" w:eastAsia="宋体" w:cs="Times New Roman"/>
                <w:snapToGrid w:val="0"/>
                <w:color w:val="auto"/>
                <w:spacing w:val="4"/>
                <w:kern w:val="0"/>
                <w:sz w:val="20"/>
                <w:szCs w:val="20"/>
                <w:lang w:val="en-US" w:eastAsia="zh-CN"/>
              </w:rPr>
              <w:t>31.09</w:t>
            </w:r>
          </w:p>
        </w:tc>
      </w:tr>
      <w:tr w14:paraId="490D87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4195" w:type="dxa"/>
            <w:tcBorders>
              <w:left w:val="nil"/>
              <w:bottom w:val="single" w:color="000000" w:sz="10" w:space="0"/>
            </w:tcBorders>
            <w:vAlign w:val="center"/>
          </w:tcPr>
          <w:p w14:paraId="33755BB9">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4"/>
                <w:kern w:val="0"/>
                <w:sz w:val="20"/>
                <w:szCs w:val="20"/>
                <w:lang w:val="en-US" w:eastAsia="en-US" w:bidi="ar-SA"/>
              </w:rPr>
              <w:t>其他</w:t>
            </w:r>
          </w:p>
        </w:tc>
        <w:tc>
          <w:tcPr>
            <w:tcW w:w="4607" w:type="dxa"/>
            <w:tcBorders>
              <w:bottom w:val="single" w:color="000000" w:sz="10" w:space="0"/>
              <w:right w:val="nil"/>
            </w:tcBorders>
            <w:vAlign w:val="center"/>
          </w:tcPr>
          <w:p w14:paraId="7CFC1C1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rPr>
            </w:pPr>
            <w:r>
              <w:rPr>
                <w:rFonts w:hint="eastAsia" w:eastAsia="宋体" w:cs="Times New Roman"/>
                <w:snapToGrid w:val="0"/>
                <w:color w:val="auto"/>
                <w:spacing w:val="3"/>
                <w:kern w:val="0"/>
                <w:sz w:val="20"/>
                <w:szCs w:val="20"/>
                <w:lang w:val="en-US" w:eastAsia="zh-CN"/>
              </w:rPr>
              <w:t>12.42</w:t>
            </w:r>
          </w:p>
        </w:tc>
      </w:tr>
    </w:tbl>
    <w:p w14:paraId="52849982">
      <w:pPr>
        <w:keepNext w:val="0"/>
        <w:keepLines w:val="0"/>
        <w:pageBreakBefore w:val="0"/>
        <w:widowControl w:val="0"/>
        <w:kinsoku w:val="0"/>
        <w:wordWrap/>
        <w:overflowPunct/>
        <w:topLinePunct w:val="0"/>
        <w:autoSpaceDE w:val="0"/>
        <w:autoSpaceDN w:val="0"/>
        <w:bidi w:val="0"/>
        <w:adjustRightInd w:val="0"/>
        <w:snapToGrid w:val="0"/>
        <w:spacing w:before="0" w:beforeLines="50" w:line="360" w:lineRule="auto"/>
        <w:ind w:left="0" w:right="0" w:firstLine="48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经计算，项目区水源涵养量为</w:t>
      </w:r>
      <w:r>
        <w:rPr>
          <w:rFonts w:ascii="Times New Roman" w:hAnsi="Times New Roman" w:eastAsia="Times New Roman" w:cs="Times New Roman"/>
          <w:snapToGrid w:val="0"/>
          <w:color w:val="auto"/>
          <w:spacing w:val="2"/>
          <w:kern w:val="0"/>
          <w:sz w:val="24"/>
          <w:szCs w:val="24"/>
          <w:lang w:val="en-US" w:eastAsia="en-US" w:bidi="ar-SA"/>
        </w:rPr>
        <w:t>-</w:t>
      </w:r>
      <w:r>
        <w:rPr>
          <w:rFonts w:hint="eastAsia" w:eastAsia="宋体" w:cs="Times New Roman"/>
          <w:snapToGrid w:val="0"/>
          <w:color w:val="auto"/>
          <w:spacing w:val="2"/>
          <w:kern w:val="0"/>
          <w:sz w:val="24"/>
          <w:szCs w:val="24"/>
          <w:lang w:val="en-US" w:eastAsia="zh-CN" w:bidi="ar-SA"/>
        </w:rPr>
        <w:t>3685</w:t>
      </w:r>
      <w:r>
        <w:rPr>
          <w:rFonts w:ascii="Times New Roman" w:hAnsi="Times New Roman" w:eastAsia="Times New Roman" w:cs="Times New Roman"/>
          <w:snapToGrid w:val="0"/>
          <w:color w:val="auto"/>
          <w:spacing w:val="2"/>
          <w:kern w:val="0"/>
          <w:sz w:val="24"/>
          <w:szCs w:val="24"/>
          <w:lang w:val="en-US" w:eastAsia="en-US" w:bidi="ar-SA"/>
        </w:rPr>
        <w:t>m</w:t>
      </w:r>
      <w:r>
        <w:rPr>
          <w:rFonts w:ascii="Times New Roman" w:hAnsi="Times New Roman" w:eastAsia="Times New Roman" w:cs="Times New Roman"/>
          <w:snapToGrid w:val="0"/>
          <w:color w:val="auto"/>
          <w:spacing w:val="2"/>
          <w:kern w:val="0"/>
          <w:position w:val="8"/>
          <w:sz w:val="15"/>
          <w:szCs w:val="15"/>
          <w:lang w:val="en-US" w:eastAsia="en-US" w:bidi="ar-SA"/>
        </w:rPr>
        <w:t>3</w:t>
      </w:r>
      <w:r>
        <w:rPr>
          <w:rFonts w:ascii="Times New Roman" w:hAnsi="Times New Roman" w:eastAsia="Times New Roman" w:cs="Times New Roman"/>
          <w:snapToGrid w:val="0"/>
          <w:color w:val="auto"/>
          <w:spacing w:val="2"/>
          <w:kern w:val="0"/>
          <w:sz w:val="24"/>
          <w:szCs w:val="24"/>
          <w:lang w:val="en-US" w:eastAsia="en-US" w:bidi="ar-SA"/>
        </w:rPr>
        <w:t>/a</w:t>
      </w:r>
      <w:r>
        <w:rPr>
          <w:rFonts w:ascii="宋体" w:hAnsi="宋体" w:eastAsia="宋体" w:cs="宋体"/>
          <w:snapToGrid w:val="0"/>
          <w:color w:val="auto"/>
          <w:spacing w:val="2"/>
          <w:kern w:val="0"/>
          <w:sz w:val="24"/>
          <w:szCs w:val="24"/>
          <w:lang w:val="en-US" w:eastAsia="en-US" w:bidi="ar-SA"/>
        </w:rPr>
        <w:t>；项目区水源主要来源于降水，且</w:t>
      </w:r>
      <w:r>
        <w:rPr>
          <w:rFonts w:ascii="宋体" w:hAnsi="宋体" w:eastAsia="宋体" w:cs="宋体"/>
          <w:snapToGrid w:val="0"/>
          <w:color w:val="auto"/>
          <w:spacing w:val="-2"/>
          <w:kern w:val="0"/>
          <w:sz w:val="24"/>
          <w:szCs w:val="24"/>
          <w:lang w:val="en-US" w:eastAsia="en-US" w:bidi="ar-SA"/>
        </w:rPr>
        <w:t>蒸发量较大，降雨冲刷后大部分以蒸发形式损</w:t>
      </w:r>
      <w:r>
        <w:rPr>
          <w:rFonts w:ascii="宋体" w:hAnsi="宋体" w:eastAsia="宋体" w:cs="宋体"/>
          <w:snapToGrid w:val="0"/>
          <w:color w:val="auto"/>
          <w:spacing w:val="-3"/>
          <w:kern w:val="0"/>
          <w:sz w:val="24"/>
          <w:szCs w:val="24"/>
          <w:lang w:val="en-US" w:eastAsia="en-US" w:bidi="ar-SA"/>
        </w:rPr>
        <w:t>失。</w:t>
      </w:r>
    </w:p>
    <w:p w14:paraId="71F38AA4">
      <w:pPr>
        <w:kinsoku w:val="0"/>
        <w:autoSpaceDE w:val="0"/>
        <w:autoSpaceDN w:val="0"/>
        <w:adjustRightInd w:val="0"/>
        <w:snapToGrid w:val="0"/>
        <w:spacing w:before="1" w:line="219" w:lineRule="auto"/>
        <w:ind w:left="747"/>
        <w:jc w:val="left"/>
        <w:textAlignment w:val="baseline"/>
        <w:rPr>
          <w:rFonts w:ascii="宋体" w:hAnsi="宋体" w:eastAsia="宋体" w:cs="宋体"/>
          <w:snapToGrid w:val="0"/>
          <w:color w:val="auto"/>
          <w:kern w:val="0"/>
          <w:sz w:val="24"/>
          <w:szCs w:val="24"/>
          <w:lang w:val="en-US" w:eastAsia="en-US" w:bidi="ar-SA"/>
        </w:rPr>
      </w:pPr>
      <w:r>
        <w:rPr>
          <w:rFonts w:hint="default" w:ascii="宋体" w:hAnsi="宋体" w:eastAsia="宋体" w:cs="宋体"/>
          <w:b/>
          <w:bCs/>
          <w:snapToGrid w:val="0"/>
          <w:color w:val="auto"/>
          <w:spacing w:val="-4"/>
          <w:kern w:val="0"/>
          <w:sz w:val="24"/>
          <w:szCs w:val="24"/>
          <w:lang w:val="en-US" w:eastAsia="en-US" w:bidi="ar-SA"/>
        </w:rPr>
        <w:t>⑷</w:t>
      </w:r>
      <w:r>
        <w:rPr>
          <w:rFonts w:ascii="宋体" w:hAnsi="宋体" w:eastAsia="宋体" w:cs="宋体"/>
          <w:b/>
          <w:bCs/>
          <w:snapToGrid w:val="0"/>
          <w:color w:val="auto"/>
          <w:spacing w:val="-4"/>
          <w:kern w:val="0"/>
          <w:sz w:val="24"/>
          <w:szCs w:val="24"/>
          <w:lang w:val="en-US" w:eastAsia="en-US" w:bidi="ar-SA"/>
        </w:rPr>
        <w:t>植被覆盖度</w:t>
      </w:r>
    </w:p>
    <w:p w14:paraId="386B4C3A">
      <w:pPr>
        <w:kinsoku w:val="0"/>
        <w:autoSpaceDE w:val="0"/>
        <w:autoSpaceDN w:val="0"/>
        <w:adjustRightInd w:val="0"/>
        <w:snapToGrid w:val="0"/>
        <w:spacing w:before="182" w:line="218" w:lineRule="auto"/>
        <w:ind w:left="737"/>
        <w:jc w:val="left"/>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采用归一化植被指数（</w:t>
      </w:r>
      <w:r>
        <w:rPr>
          <w:rFonts w:ascii="Times New Roman" w:hAnsi="Times New Roman" w:eastAsia="Times New Roman" w:cs="Times New Roman"/>
          <w:snapToGrid w:val="0"/>
          <w:color w:val="auto"/>
          <w:spacing w:val="-2"/>
          <w:kern w:val="0"/>
          <w:sz w:val="24"/>
          <w:szCs w:val="24"/>
          <w:lang w:val="en-US" w:eastAsia="en-US" w:bidi="ar-SA"/>
        </w:rPr>
        <w:t>NDVI</w:t>
      </w:r>
      <w:r>
        <w:rPr>
          <w:rFonts w:ascii="宋体" w:hAnsi="宋体" w:eastAsia="宋体" w:cs="宋体"/>
          <w:snapToGrid w:val="0"/>
          <w:color w:val="auto"/>
          <w:spacing w:val="-2"/>
          <w:kern w:val="0"/>
          <w:sz w:val="24"/>
          <w:szCs w:val="24"/>
          <w:lang w:val="en-US" w:eastAsia="en-US" w:bidi="ar-SA"/>
        </w:rPr>
        <w:t>）估算植被覆盖度的</w:t>
      </w:r>
      <w:r>
        <w:rPr>
          <w:rFonts w:ascii="宋体" w:hAnsi="宋体" w:eastAsia="宋体" w:cs="宋体"/>
          <w:snapToGrid w:val="0"/>
          <w:color w:val="auto"/>
          <w:spacing w:val="-3"/>
          <w:kern w:val="0"/>
          <w:sz w:val="24"/>
          <w:szCs w:val="24"/>
          <w:lang w:val="en-US" w:eastAsia="en-US" w:bidi="ar-SA"/>
        </w:rPr>
        <w:t>方法如下：</w:t>
      </w:r>
    </w:p>
    <w:p w14:paraId="79ECE4DF">
      <w:pPr>
        <w:widowControl/>
        <w:kinsoku w:val="0"/>
        <w:autoSpaceDE w:val="0"/>
        <w:autoSpaceDN w:val="0"/>
        <w:adjustRightInd w:val="0"/>
        <w:snapToGrid w:val="0"/>
        <w:spacing w:before="203" w:line="192" w:lineRule="auto"/>
        <w:ind w:left="732"/>
        <w:jc w:val="left"/>
        <w:textAlignment w:val="baseline"/>
        <w:rPr>
          <w:rFonts w:ascii="Times New Roman" w:hAnsi="Times New Roman" w:eastAsia="Times New Roman" w:cs="Times New Roman"/>
          <w:snapToGrid w:val="0"/>
          <w:color w:val="auto"/>
          <w:kern w:val="0"/>
          <w:sz w:val="24"/>
          <w:szCs w:val="24"/>
          <w:lang w:eastAsia="en-US"/>
        </w:rPr>
      </w:pPr>
      <w:r>
        <w:rPr>
          <w:rFonts w:ascii="Times New Roman" w:hAnsi="Times New Roman" w:eastAsia="Times New Roman" w:cs="Times New Roman"/>
          <w:snapToGrid w:val="0"/>
          <w:color w:val="auto"/>
          <w:kern w:val="0"/>
          <w:sz w:val="24"/>
          <w:szCs w:val="24"/>
          <w:lang w:eastAsia="en-US"/>
        </w:rPr>
        <w:t>FVC=(NDVI-NDVIs)/(NDVI</w:t>
      </w:r>
      <w:r>
        <w:rPr>
          <w:rFonts w:ascii="Times New Roman" w:hAnsi="Times New Roman" w:eastAsia="Times New Roman" w:cs="Times New Roman"/>
          <w:snapToGrid w:val="0"/>
          <w:color w:val="auto"/>
          <w:spacing w:val="-1"/>
          <w:kern w:val="0"/>
          <w:sz w:val="24"/>
          <w:szCs w:val="24"/>
          <w:lang w:eastAsia="en-US"/>
        </w:rPr>
        <w:t>v-NDVIs)</w:t>
      </w:r>
    </w:p>
    <w:p w14:paraId="62623B66">
      <w:pPr>
        <w:kinsoku w:val="0"/>
        <w:autoSpaceDE w:val="0"/>
        <w:autoSpaceDN w:val="0"/>
        <w:adjustRightInd w:val="0"/>
        <w:snapToGrid w:val="0"/>
        <w:spacing w:before="174" w:line="219" w:lineRule="auto"/>
        <w:ind w:left="743"/>
        <w:jc w:val="left"/>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4"/>
          <w:kern w:val="0"/>
          <w:sz w:val="24"/>
          <w:szCs w:val="24"/>
          <w:lang w:val="en-US" w:eastAsia="en-US" w:bidi="ar-SA"/>
        </w:rPr>
        <w:t>式中：</w:t>
      </w:r>
      <w:r>
        <w:rPr>
          <w:rFonts w:ascii="Times New Roman" w:hAnsi="Times New Roman" w:eastAsia="Times New Roman" w:cs="Times New Roman"/>
          <w:snapToGrid w:val="0"/>
          <w:color w:val="auto"/>
          <w:spacing w:val="-4"/>
          <w:kern w:val="0"/>
          <w:sz w:val="24"/>
          <w:szCs w:val="24"/>
          <w:lang w:val="en-US" w:eastAsia="en-US" w:bidi="ar-SA"/>
        </w:rPr>
        <w:t>FVC——</w:t>
      </w:r>
      <w:r>
        <w:rPr>
          <w:rFonts w:ascii="宋体" w:hAnsi="宋体" w:eastAsia="宋体" w:cs="宋体"/>
          <w:snapToGrid w:val="0"/>
          <w:color w:val="auto"/>
          <w:spacing w:val="-4"/>
          <w:kern w:val="0"/>
          <w:sz w:val="24"/>
          <w:szCs w:val="24"/>
          <w:lang w:val="en-US" w:eastAsia="en-US" w:bidi="ar-SA"/>
        </w:rPr>
        <w:t>所计算像元的植被覆盖度；</w:t>
      </w:r>
    </w:p>
    <w:p w14:paraId="61F7B760">
      <w:pPr>
        <w:kinsoku w:val="0"/>
        <w:autoSpaceDE w:val="0"/>
        <w:autoSpaceDN w:val="0"/>
        <w:adjustRightInd w:val="0"/>
        <w:snapToGrid w:val="0"/>
        <w:spacing w:before="184" w:line="219" w:lineRule="auto"/>
        <w:ind w:left="726"/>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1"/>
          <w:kern w:val="0"/>
          <w:sz w:val="24"/>
          <w:szCs w:val="24"/>
          <w:lang w:val="en-US" w:eastAsia="en-US" w:bidi="ar-SA"/>
        </w:rPr>
        <w:t>NDVI——</w:t>
      </w:r>
      <w:r>
        <w:rPr>
          <w:rFonts w:ascii="宋体" w:hAnsi="宋体" w:eastAsia="宋体" w:cs="宋体"/>
          <w:snapToGrid w:val="0"/>
          <w:color w:val="auto"/>
          <w:spacing w:val="-1"/>
          <w:kern w:val="0"/>
          <w:sz w:val="24"/>
          <w:szCs w:val="24"/>
          <w:lang w:val="en-US" w:eastAsia="en-US" w:bidi="ar-SA"/>
        </w:rPr>
        <w:t>所计算像元的</w:t>
      </w:r>
      <w:r>
        <w:rPr>
          <w:rFonts w:ascii="宋体" w:hAnsi="宋体" w:eastAsia="宋体" w:cs="宋体"/>
          <w:snapToGrid w:val="0"/>
          <w:color w:val="auto"/>
          <w:spacing w:val="-63"/>
          <w:kern w:val="0"/>
          <w:sz w:val="24"/>
          <w:szCs w:val="24"/>
          <w:lang w:val="en-US" w:eastAsia="en-US" w:bidi="ar-SA"/>
        </w:rPr>
        <w:t xml:space="preserve"> </w:t>
      </w:r>
      <w:r>
        <w:rPr>
          <w:rFonts w:ascii="Times New Roman" w:hAnsi="Times New Roman" w:eastAsia="Times New Roman" w:cs="Times New Roman"/>
          <w:snapToGrid w:val="0"/>
          <w:color w:val="auto"/>
          <w:spacing w:val="-1"/>
          <w:kern w:val="0"/>
          <w:sz w:val="24"/>
          <w:szCs w:val="24"/>
          <w:lang w:val="en-US" w:eastAsia="en-US" w:bidi="ar-SA"/>
        </w:rPr>
        <w:t xml:space="preserve">NDVI </w:t>
      </w:r>
      <w:r>
        <w:rPr>
          <w:rFonts w:ascii="宋体" w:hAnsi="宋体" w:eastAsia="宋体" w:cs="宋体"/>
          <w:snapToGrid w:val="0"/>
          <w:color w:val="auto"/>
          <w:spacing w:val="-1"/>
          <w:kern w:val="0"/>
          <w:sz w:val="24"/>
          <w:szCs w:val="24"/>
          <w:lang w:val="en-US" w:eastAsia="en-US" w:bidi="ar-SA"/>
        </w:rPr>
        <w:t>值；</w:t>
      </w:r>
    </w:p>
    <w:p w14:paraId="7D99B2D5">
      <w:pPr>
        <w:kinsoku w:val="0"/>
        <w:autoSpaceDE w:val="0"/>
        <w:autoSpaceDN w:val="0"/>
        <w:adjustRightInd w:val="0"/>
        <w:snapToGrid w:val="0"/>
        <w:spacing w:before="181" w:line="219" w:lineRule="auto"/>
        <w:ind w:left="726"/>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1"/>
          <w:kern w:val="0"/>
          <w:sz w:val="24"/>
          <w:szCs w:val="24"/>
          <w:lang w:val="en-US" w:eastAsia="en-US" w:bidi="ar-SA"/>
        </w:rPr>
        <w:t>NDVIv——</w:t>
      </w:r>
      <w:r>
        <w:rPr>
          <w:rFonts w:ascii="宋体" w:hAnsi="宋体" w:eastAsia="宋体" w:cs="宋体"/>
          <w:snapToGrid w:val="0"/>
          <w:color w:val="auto"/>
          <w:spacing w:val="-1"/>
          <w:kern w:val="0"/>
          <w:sz w:val="24"/>
          <w:szCs w:val="24"/>
          <w:lang w:val="en-US" w:eastAsia="en-US" w:bidi="ar-SA"/>
        </w:rPr>
        <w:t>纯植物像元的</w:t>
      </w:r>
      <w:r>
        <w:rPr>
          <w:rFonts w:ascii="宋体" w:hAnsi="宋体" w:eastAsia="宋体" w:cs="宋体"/>
          <w:snapToGrid w:val="0"/>
          <w:color w:val="auto"/>
          <w:spacing w:val="-62"/>
          <w:kern w:val="0"/>
          <w:sz w:val="24"/>
          <w:szCs w:val="24"/>
          <w:lang w:val="en-US" w:eastAsia="en-US" w:bidi="ar-SA"/>
        </w:rPr>
        <w:t xml:space="preserve"> </w:t>
      </w:r>
      <w:r>
        <w:rPr>
          <w:rFonts w:ascii="Times New Roman" w:hAnsi="Times New Roman" w:eastAsia="Times New Roman" w:cs="Times New Roman"/>
          <w:snapToGrid w:val="0"/>
          <w:color w:val="auto"/>
          <w:spacing w:val="-1"/>
          <w:kern w:val="0"/>
          <w:sz w:val="24"/>
          <w:szCs w:val="24"/>
          <w:lang w:val="en-US" w:eastAsia="en-US" w:bidi="ar-SA"/>
        </w:rPr>
        <w:t xml:space="preserve">NDVI </w:t>
      </w:r>
      <w:r>
        <w:rPr>
          <w:rFonts w:ascii="宋体" w:hAnsi="宋体" w:eastAsia="宋体" w:cs="宋体"/>
          <w:snapToGrid w:val="0"/>
          <w:color w:val="auto"/>
          <w:spacing w:val="-1"/>
          <w:kern w:val="0"/>
          <w:sz w:val="24"/>
          <w:szCs w:val="24"/>
          <w:lang w:val="en-US" w:eastAsia="en-US" w:bidi="ar-SA"/>
        </w:rPr>
        <w:t>值；</w:t>
      </w:r>
    </w:p>
    <w:p w14:paraId="1310A089">
      <w:pPr>
        <w:kinsoku w:val="0"/>
        <w:autoSpaceDE w:val="0"/>
        <w:autoSpaceDN w:val="0"/>
        <w:adjustRightInd w:val="0"/>
        <w:snapToGrid w:val="0"/>
        <w:spacing w:before="181" w:line="219" w:lineRule="auto"/>
        <w:ind w:left="726"/>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1"/>
          <w:kern w:val="0"/>
          <w:sz w:val="24"/>
          <w:szCs w:val="24"/>
          <w:lang w:val="en-US" w:eastAsia="en-US" w:bidi="ar-SA"/>
        </w:rPr>
        <w:t>NDVIs——</w:t>
      </w:r>
      <w:r>
        <w:rPr>
          <w:rFonts w:ascii="宋体" w:hAnsi="宋体" w:eastAsia="宋体" w:cs="宋体"/>
          <w:snapToGrid w:val="0"/>
          <w:color w:val="auto"/>
          <w:spacing w:val="-1"/>
          <w:kern w:val="0"/>
          <w:sz w:val="24"/>
          <w:szCs w:val="24"/>
          <w:lang w:val="en-US" w:eastAsia="en-US" w:bidi="ar-SA"/>
        </w:rPr>
        <w:t>完全无植被覆盖像元的</w:t>
      </w:r>
      <w:r>
        <w:rPr>
          <w:rFonts w:ascii="宋体" w:hAnsi="宋体" w:eastAsia="宋体" w:cs="宋体"/>
          <w:snapToGrid w:val="0"/>
          <w:color w:val="auto"/>
          <w:spacing w:val="-47"/>
          <w:kern w:val="0"/>
          <w:sz w:val="24"/>
          <w:szCs w:val="24"/>
          <w:lang w:val="en-US" w:eastAsia="en-US" w:bidi="ar-SA"/>
        </w:rPr>
        <w:t xml:space="preserve"> </w:t>
      </w:r>
      <w:r>
        <w:rPr>
          <w:rFonts w:ascii="Times New Roman" w:hAnsi="Times New Roman" w:eastAsia="Times New Roman" w:cs="Times New Roman"/>
          <w:snapToGrid w:val="0"/>
          <w:color w:val="auto"/>
          <w:spacing w:val="-1"/>
          <w:kern w:val="0"/>
          <w:sz w:val="24"/>
          <w:szCs w:val="24"/>
          <w:lang w:val="en-US" w:eastAsia="en-US" w:bidi="ar-SA"/>
        </w:rPr>
        <w:t xml:space="preserve">NDVI </w:t>
      </w:r>
      <w:r>
        <w:rPr>
          <w:rFonts w:ascii="宋体" w:hAnsi="宋体" w:eastAsia="宋体" w:cs="宋体"/>
          <w:snapToGrid w:val="0"/>
          <w:color w:val="auto"/>
          <w:spacing w:val="-1"/>
          <w:kern w:val="0"/>
          <w:sz w:val="24"/>
          <w:szCs w:val="24"/>
          <w:lang w:val="en-US" w:eastAsia="en-US" w:bidi="ar-SA"/>
        </w:rPr>
        <w:t>值。</w:t>
      </w:r>
    </w:p>
    <w:p w14:paraId="392F60E5">
      <w:pPr>
        <w:kinsoku w:val="0"/>
        <w:autoSpaceDE w:val="0"/>
        <w:autoSpaceDN w:val="0"/>
        <w:adjustRightInd w:val="0"/>
        <w:snapToGrid w:val="0"/>
        <w:spacing w:before="183" w:line="360" w:lineRule="auto"/>
        <w:ind w:left="258" w:right="265" w:firstLine="48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植被覆盖因子（</w:t>
      </w:r>
      <w:r>
        <w:rPr>
          <w:rFonts w:ascii="Times New Roman" w:hAnsi="Times New Roman" w:eastAsia="Times New Roman" w:cs="Times New Roman"/>
          <w:i/>
          <w:iCs/>
          <w:snapToGrid w:val="0"/>
          <w:color w:val="auto"/>
          <w:spacing w:val="-1"/>
          <w:kern w:val="0"/>
          <w:sz w:val="24"/>
          <w:szCs w:val="24"/>
          <w:lang w:val="en-US" w:eastAsia="en-US" w:bidi="ar-SA"/>
        </w:rPr>
        <w:t>C</w:t>
      </w:r>
      <w:r>
        <w:rPr>
          <w:rFonts w:ascii="宋体" w:hAnsi="宋体" w:eastAsia="宋体" w:cs="宋体"/>
          <w:snapToGrid w:val="0"/>
          <w:color w:val="auto"/>
          <w:spacing w:val="-1"/>
          <w:kern w:val="0"/>
          <w:sz w:val="24"/>
          <w:szCs w:val="24"/>
          <w:lang w:val="en-US" w:eastAsia="en-US" w:bidi="ar-SA"/>
        </w:rPr>
        <w:t>）反映了生态系统对土壤侵蚀的</w:t>
      </w:r>
      <w:r>
        <w:rPr>
          <w:rFonts w:ascii="宋体" w:hAnsi="宋体" w:eastAsia="宋体" w:cs="宋体"/>
          <w:snapToGrid w:val="0"/>
          <w:color w:val="auto"/>
          <w:spacing w:val="-2"/>
          <w:kern w:val="0"/>
          <w:sz w:val="24"/>
          <w:szCs w:val="24"/>
          <w:lang w:val="en-US" w:eastAsia="en-US" w:bidi="ar-SA"/>
        </w:rPr>
        <w:t>影响，是控制土壤侵蚀的</w:t>
      </w:r>
      <w:r>
        <w:rPr>
          <w:rFonts w:ascii="宋体" w:hAnsi="宋体" w:eastAsia="宋体" w:cs="宋体"/>
          <w:snapToGrid w:val="0"/>
          <w:color w:val="auto"/>
          <w:kern w:val="0"/>
          <w:sz w:val="24"/>
          <w:szCs w:val="24"/>
          <w:lang w:val="en-US" w:eastAsia="en-US" w:bidi="ar-SA"/>
        </w:rPr>
        <w:t>积极因素。农田、湿地和城镇分别赋值为</w:t>
      </w:r>
      <w:r>
        <w:rPr>
          <w:rFonts w:ascii="宋体" w:hAnsi="宋体" w:eastAsia="宋体" w:cs="宋体"/>
          <w:snapToGrid w:val="0"/>
          <w:color w:val="auto"/>
          <w:spacing w:val="-48"/>
          <w:kern w:val="0"/>
          <w:sz w:val="24"/>
          <w:szCs w:val="24"/>
          <w:lang w:val="en-US" w:eastAsia="en-US" w:bidi="ar-SA"/>
        </w:rPr>
        <w:t xml:space="preserve"> </w:t>
      </w:r>
      <w:r>
        <w:rPr>
          <w:rFonts w:ascii="Times New Roman" w:hAnsi="Times New Roman" w:eastAsia="Times New Roman" w:cs="Times New Roman"/>
          <w:snapToGrid w:val="0"/>
          <w:color w:val="auto"/>
          <w:kern w:val="0"/>
          <w:sz w:val="24"/>
          <w:szCs w:val="24"/>
          <w:lang w:val="en-US" w:eastAsia="en-US" w:bidi="ar-SA"/>
        </w:rPr>
        <w:t>0.1</w:t>
      </w:r>
      <w:r>
        <w:rPr>
          <w:rFonts w:ascii="Times New Roman" w:hAnsi="Times New Roman" w:eastAsia="Times New Roman" w:cs="Times New Roman"/>
          <w:snapToGrid w:val="0"/>
          <w:color w:val="auto"/>
          <w:spacing w:val="-28"/>
          <w:kern w:val="0"/>
          <w:sz w:val="24"/>
          <w:szCs w:val="24"/>
          <w:lang w:val="en-US" w:eastAsia="en-US" w:bidi="ar-SA"/>
        </w:rPr>
        <w:t xml:space="preserve"> </w:t>
      </w:r>
      <w:r>
        <w:rPr>
          <w:rFonts w:ascii="宋体" w:hAnsi="宋体" w:eastAsia="宋体" w:cs="宋体"/>
          <w:snapToGrid w:val="0"/>
          <w:color w:val="auto"/>
          <w:kern w:val="0"/>
          <w:sz w:val="24"/>
          <w:szCs w:val="24"/>
          <w:lang w:val="en-US" w:eastAsia="en-US" w:bidi="ar-SA"/>
        </w:rPr>
        <w:t>，</w:t>
      </w:r>
      <w:r>
        <w:rPr>
          <w:rFonts w:ascii="Times New Roman" w:hAnsi="Times New Roman" w:eastAsia="Times New Roman" w:cs="Times New Roman"/>
          <w:snapToGrid w:val="0"/>
          <w:color w:val="auto"/>
          <w:kern w:val="0"/>
          <w:sz w:val="24"/>
          <w:szCs w:val="24"/>
          <w:lang w:val="en-US" w:eastAsia="en-US" w:bidi="ar-SA"/>
        </w:rPr>
        <w:t xml:space="preserve">0 </w:t>
      </w:r>
      <w:r>
        <w:rPr>
          <w:rFonts w:ascii="宋体" w:hAnsi="宋体" w:eastAsia="宋体" w:cs="宋体"/>
          <w:snapToGrid w:val="0"/>
          <w:color w:val="auto"/>
          <w:kern w:val="0"/>
          <w:sz w:val="24"/>
          <w:szCs w:val="24"/>
          <w:lang w:val="en-US" w:eastAsia="en-US" w:bidi="ar-SA"/>
        </w:rPr>
        <w:t>和</w:t>
      </w:r>
      <w:r>
        <w:rPr>
          <w:rFonts w:ascii="宋体" w:hAnsi="宋体" w:eastAsia="宋体" w:cs="宋体"/>
          <w:snapToGrid w:val="0"/>
          <w:color w:val="auto"/>
          <w:spacing w:val="-47"/>
          <w:kern w:val="0"/>
          <w:sz w:val="24"/>
          <w:szCs w:val="24"/>
          <w:lang w:val="en-US" w:eastAsia="en-US" w:bidi="ar-SA"/>
        </w:rPr>
        <w:t xml:space="preserve"> </w:t>
      </w:r>
      <w:r>
        <w:rPr>
          <w:rFonts w:ascii="Times New Roman" w:hAnsi="Times New Roman" w:eastAsia="Times New Roman" w:cs="Times New Roman"/>
          <w:snapToGrid w:val="0"/>
          <w:color w:val="auto"/>
          <w:kern w:val="0"/>
          <w:sz w:val="24"/>
          <w:szCs w:val="24"/>
          <w:lang w:val="en-US" w:eastAsia="en-US" w:bidi="ar-SA"/>
        </w:rPr>
        <w:t>0.01</w:t>
      </w:r>
      <w:r>
        <w:rPr>
          <w:rFonts w:ascii="宋体" w:hAnsi="宋体" w:eastAsia="宋体" w:cs="宋体"/>
          <w:snapToGrid w:val="0"/>
          <w:color w:val="auto"/>
          <w:kern w:val="0"/>
          <w:sz w:val="24"/>
          <w:szCs w:val="24"/>
          <w:lang w:val="en-US" w:eastAsia="en-US" w:bidi="ar-SA"/>
        </w:rPr>
        <w:t>，其余各生态系统类型</w:t>
      </w:r>
      <w:r>
        <w:rPr>
          <w:rFonts w:ascii="宋体" w:hAnsi="宋体" w:eastAsia="宋体" w:cs="宋体"/>
          <w:snapToGrid w:val="0"/>
          <w:color w:val="auto"/>
          <w:spacing w:val="1"/>
          <w:kern w:val="0"/>
          <w:sz w:val="24"/>
          <w:szCs w:val="24"/>
          <w:lang w:val="en-US" w:eastAsia="en-US" w:bidi="ar-SA"/>
        </w:rPr>
        <w:t>按不同植被覆盖度进行赋值，详见</w:t>
      </w:r>
      <w:r>
        <w:rPr>
          <w:rFonts w:hint="eastAsia" w:ascii="宋体" w:hAnsi="宋体" w:cs="宋体"/>
          <w:snapToGrid w:val="0"/>
          <w:color w:val="auto"/>
          <w:spacing w:val="1"/>
          <w:kern w:val="0"/>
          <w:sz w:val="24"/>
          <w:szCs w:val="24"/>
          <w:lang w:val="en-US" w:eastAsia="zh-CN" w:bidi="ar-SA"/>
        </w:rPr>
        <w:t>专题</w:t>
      </w:r>
      <w:r>
        <w:rPr>
          <w:rFonts w:ascii="宋体" w:hAnsi="宋体" w:eastAsia="宋体" w:cs="宋体"/>
          <w:snapToGrid w:val="0"/>
          <w:color w:val="auto"/>
          <w:spacing w:val="1"/>
          <w:kern w:val="0"/>
          <w:sz w:val="24"/>
          <w:szCs w:val="24"/>
          <w:lang w:val="en-US" w:eastAsia="en-US" w:bidi="ar-SA"/>
        </w:rPr>
        <w:t>表</w:t>
      </w:r>
      <w:r>
        <w:rPr>
          <w:rFonts w:ascii="宋体" w:hAnsi="宋体" w:eastAsia="宋体" w:cs="宋体"/>
          <w:snapToGrid w:val="0"/>
          <w:color w:val="auto"/>
          <w:spacing w:val="-54"/>
          <w:kern w:val="0"/>
          <w:sz w:val="24"/>
          <w:szCs w:val="24"/>
          <w:lang w:val="en-US" w:eastAsia="en-US" w:bidi="ar-SA"/>
        </w:rPr>
        <w:t xml:space="preserve"> </w:t>
      </w:r>
      <w:r>
        <w:rPr>
          <w:rFonts w:hint="eastAsia" w:eastAsia="宋体" w:cs="Times New Roman"/>
          <w:snapToGrid w:val="0"/>
          <w:color w:val="auto"/>
          <w:spacing w:val="1"/>
          <w:kern w:val="0"/>
          <w:sz w:val="24"/>
          <w:szCs w:val="24"/>
          <w:lang w:val="en-US" w:eastAsia="zh-CN" w:bidi="ar-SA"/>
        </w:rPr>
        <w:t>2</w:t>
      </w:r>
      <w:r>
        <w:rPr>
          <w:rFonts w:ascii="Times New Roman" w:hAnsi="Times New Roman" w:eastAsia="Times New Roman" w:cs="Times New Roman"/>
          <w:snapToGrid w:val="0"/>
          <w:color w:val="auto"/>
          <w:spacing w:val="1"/>
          <w:kern w:val="0"/>
          <w:sz w:val="24"/>
          <w:szCs w:val="24"/>
          <w:lang w:val="en-US" w:eastAsia="en-US" w:bidi="ar-SA"/>
        </w:rPr>
        <w:t>-</w:t>
      </w:r>
      <w:r>
        <w:rPr>
          <w:rFonts w:hint="eastAsia" w:eastAsia="宋体" w:cs="Times New Roman"/>
          <w:snapToGrid w:val="0"/>
          <w:color w:val="auto"/>
          <w:spacing w:val="1"/>
          <w:kern w:val="0"/>
          <w:sz w:val="24"/>
          <w:szCs w:val="24"/>
          <w:lang w:val="en-US" w:eastAsia="zh-CN" w:bidi="ar-SA"/>
        </w:rPr>
        <w:t>14</w:t>
      </w:r>
      <w:r>
        <w:rPr>
          <w:rFonts w:ascii="宋体" w:hAnsi="宋体" w:eastAsia="宋体" w:cs="宋体"/>
          <w:snapToGrid w:val="0"/>
          <w:color w:val="auto"/>
          <w:spacing w:val="1"/>
          <w:kern w:val="0"/>
          <w:sz w:val="24"/>
          <w:szCs w:val="24"/>
          <w:lang w:val="en-US" w:eastAsia="en-US" w:bidi="ar-SA"/>
        </w:rPr>
        <w:t>。旱地（含基本农田）</w:t>
      </w:r>
      <w:r>
        <w:rPr>
          <w:rFonts w:ascii="宋体" w:hAnsi="宋体" w:eastAsia="宋体" w:cs="宋体"/>
          <w:snapToGrid w:val="0"/>
          <w:color w:val="auto"/>
          <w:kern w:val="0"/>
          <w:sz w:val="24"/>
          <w:szCs w:val="24"/>
          <w:lang w:val="en-US" w:eastAsia="en-US" w:bidi="ar-SA"/>
        </w:rPr>
        <w:t>的植被覆盖因</w:t>
      </w:r>
      <w:r>
        <w:rPr>
          <w:rFonts w:ascii="宋体" w:hAnsi="宋体" w:eastAsia="宋体" w:cs="宋体"/>
          <w:snapToGrid w:val="0"/>
          <w:color w:val="auto"/>
          <w:spacing w:val="-6"/>
          <w:kern w:val="0"/>
          <w:sz w:val="24"/>
          <w:szCs w:val="24"/>
          <w:lang w:val="en-US" w:eastAsia="en-US" w:bidi="ar-SA"/>
        </w:rPr>
        <w:t>子按照以下公式计算：</w:t>
      </w:r>
    </w:p>
    <w:p w14:paraId="0BE5D7C4">
      <w:pPr>
        <w:widowControl/>
        <w:kinsoku w:val="0"/>
        <w:autoSpaceDE w:val="0"/>
        <w:autoSpaceDN w:val="0"/>
        <w:adjustRightInd w:val="0"/>
        <w:snapToGrid w:val="0"/>
        <w:spacing w:before="216" w:line="194" w:lineRule="auto"/>
        <w:ind w:left="2819"/>
        <w:jc w:val="left"/>
        <w:textAlignment w:val="baseline"/>
        <w:rPr>
          <w:rFonts w:ascii="Times New Roman" w:hAnsi="Times New Roman" w:eastAsia="Times New Roman" w:cs="Times New Roman"/>
          <w:snapToGrid w:val="0"/>
          <w:color w:val="auto"/>
          <w:kern w:val="0"/>
          <w:sz w:val="24"/>
          <w:szCs w:val="24"/>
          <w:lang w:eastAsia="en-US"/>
        </w:rPr>
      </w:pPr>
      <w:r>
        <w:rPr>
          <w:rFonts w:ascii="Times New Roman" w:hAnsi="Times New Roman" w:eastAsia="Times New Roman" w:cs="Times New Roman"/>
          <w:i/>
          <w:iCs/>
          <w:snapToGrid w:val="0"/>
          <w:color w:val="auto"/>
          <w:spacing w:val="4"/>
          <w:kern w:val="0"/>
          <w:sz w:val="24"/>
          <w:szCs w:val="24"/>
          <w:lang w:eastAsia="en-US"/>
        </w:rPr>
        <w:t xml:space="preserve">C </w:t>
      </w:r>
      <w:r>
        <w:rPr>
          <w:rFonts w:ascii="Arial" w:hAnsi="Arial" w:eastAsia="Arial" w:cs="Arial"/>
          <w:snapToGrid w:val="0"/>
          <w:color w:val="auto"/>
          <w:spacing w:val="4"/>
          <w:kern w:val="0"/>
          <w:sz w:val="24"/>
          <w:szCs w:val="24"/>
          <w:lang w:eastAsia="en-US"/>
        </w:rPr>
        <w:t xml:space="preserve">= </w:t>
      </w:r>
      <w:r>
        <w:rPr>
          <w:rFonts w:ascii="Times New Roman" w:hAnsi="Times New Roman" w:eastAsia="Times New Roman" w:cs="Times New Roman"/>
          <w:snapToGrid w:val="0"/>
          <w:color w:val="auto"/>
          <w:spacing w:val="4"/>
          <w:kern w:val="0"/>
          <w:sz w:val="24"/>
          <w:szCs w:val="24"/>
          <w:lang w:eastAsia="en-US"/>
        </w:rPr>
        <w:t>0.221</w:t>
      </w:r>
      <w:r>
        <w:rPr>
          <w:rFonts w:ascii="Times New Roman" w:hAnsi="Times New Roman" w:eastAsia="Times New Roman" w:cs="Times New Roman"/>
          <w:snapToGrid w:val="0"/>
          <w:color w:val="auto"/>
          <w:spacing w:val="-22"/>
          <w:kern w:val="0"/>
          <w:sz w:val="24"/>
          <w:szCs w:val="24"/>
          <w:lang w:eastAsia="en-US"/>
        </w:rPr>
        <w:t xml:space="preserve"> </w:t>
      </w:r>
      <w:r>
        <w:rPr>
          <w:rFonts w:ascii="Arial" w:hAnsi="Arial" w:eastAsia="Arial" w:cs="Arial"/>
          <w:snapToGrid w:val="0"/>
          <w:color w:val="auto"/>
          <w:spacing w:val="4"/>
          <w:kern w:val="0"/>
          <w:sz w:val="24"/>
          <w:szCs w:val="24"/>
          <w:lang w:eastAsia="en-US"/>
        </w:rPr>
        <w:t>-</w:t>
      </w:r>
      <w:r>
        <w:rPr>
          <w:rFonts w:ascii="Arial" w:hAnsi="Arial" w:eastAsia="Arial" w:cs="Arial"/>
          <w:snapToGrid w:val="0"/>
          <w:color w:val="auto"/>
          <w:spacing w:val="-19"/>
          <w:kern w:val="0"/>
          <w:sz w:val="24"/>
          <w:szCs w:val="24"/>
          <w:lang w:eastAsia="en-US"/>
        </w:rPr>
        <w:t xml:space="preserve"> </w:t>
      </w:r>
      <w:r>
        <w:rPr>
          <w:rFonts w:ascii="Times New Roman" w:hAnsi="Times New Roman" w:eastAsia="Times New Roman" w:cs="Times New Roman"/>
          <w:snapToGrid w:val="0"/>
          <w:color w:val="auto"/>
          <w:spacing w:val="4"/>
          <w:kern w:val="0"/>
          <w:sz w:val="24"/>
          <w:szCs w:val="24"/>
          <w:lang w:eastAsia="en-US"/>
        </w:rPr>
        <w:t>0.595</w:t>
      </w:r>
      <w:r>
        <w:rPr>
          <w:rFonts w:ascii="Times New Roman" w:hAnsi="Times New Roman" w:eastAsia="Times New Roman" w:cs="Times New Roman"/>
          <w:snapToGrid w:val="0"/>
          <w:color w:val="auto"/>
          <w:spacing w:val="-25"/>
          <w:kern w:val="0"/>
          <w:sz w:val="24"/>
          <w:szCs w:val="24"/>
          <w:lang w:eastAsia="en-US"/>
        </w:rPr>
        <w:t xml:space="preserve"> </w:t>
      </w:r>
      <w:r>
        <w:rPr>
          <w:rFonts w:ascii="Times New Roman" w:hAnsi="Times New Roman" w:eastAsia="Times New Roman" w:cs="Times New Roman"/>
          <w:snapToGrid w:val="0"/>
          <w:color w:val="auto"/>
          <w:kern w:val="0"/>
          <w:sz w:val="24"/>
          <w:szCs w:val="24"/>
          <w:lang w:eastAsia="en-US"/>
        </w:rPr>
        <w:t>log</w:t>
      </w:r>
      <w:r>
        <w:rPr>
          <w:rFonts w:ascii="Times New Roman" w:hAnsi="Times New Roman" w:eastAsia="Times New Roman" w:cs="Times New Roman"/>
          <w:snapToGrid w:val="0"/>
          <w:color w:val="auto"/>
          <w:spacing w:val="-16"/>
          <w:kern w:val="0"/>
          <w:sz w:val="24"/>
          <w:szCs w:val="24"/>
          <w:lang w:eastAsia="en-US"/>
        </w:rPr>
        <w:t xml:space="preserve"> </w:t>
      </w:r>
      <w:r>
        <w:rPr>
          <w:rFonts w:ascii="Times New Roman" w:hAnsi="Times New Roman" w:eastAsia="Times New Roman" w:cs="Times New Roman"/>
          <w:i/>
          <w:iCs/>
          <w:snapToGrid w:val="0"/>
          <w:color w:val="auto"/>
          <w:kern w:val="0"/>
          <w:sz w:val="24"/>
          <w:szCs w:val="24"/>
          <w:lang w:eastAsia="en-US"/>
        </w:rPr>
        <w:t>c</w:t>
      </w:r>
    </w:p>
    <w:p w14:paraId="563E3D32">
      <w:pPr>
        <w:kinsoku w:val="0"/>
        <w:autoSpaceDE w:val="0"/>
        <w:autoSpaceDN w:val="0"/>
        <w:adjustRightInd w:val="0"/>
        <w:snapToGrid w:val="0"/>
        <w:spacing w:before="238" w:line="220" w:lineRule="auto"/>
        <w:ind w:left="602"/>
        <w:jc w:val="left"/>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6"/>
          <w:kern w:val="0"/>
          <w:sz w:val="24"/>
          <w:szCs w:val="24"/>
          <w:lang w:val="en-US" w:eastAsia="en-US" w:bidi="ar-SA"/>
        </w:rPr>
        <w:t>式中：</w:t>
      </w:r>
    </w:p>
    <w:p w14:paraId="49700884">
      <w:pPr>
        <w:kinsoku w:val="0"/>
        <w:autoSpaceDE w:val="0"/>
        <w:autoSpaceDN w:val="0"/>
        <w:adjustRightInd w:val="0"/>
        <w:snapToGrid w:val="0"/>
        <w:spacing w:before="179" w:line="360" w:lineRule="auto"/>
        <w:ind w:left="596"/>
        <w:jc w:val="left"/>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5"/>
          <w:kern w:val="0"/>
          <w:sz w:val="24"/>
          <w:szCs w:val="24"/>
          <w:lang w:val="en-US" w:eastAsia="en-US" w:bidi="ar-SA"/>
        </w:rPr>
        <w:t>C——</w:t>
      </w:r>
      <w:r>
        <w:rPr>
          <w:rFonts w:ascii="宋体" w:hAnsi="宋体" w:eastAsia="宋体" w:cs="宋体"/>
          <w:snapToGrid w:val="0"/>
          <w:color w:val="auto"/>
          <w:spacing w:val="-5"/>
          <w:kern w:val="0"/>
          <w:sz w:val="24"/>
          <w:szCs w:val="24"/>
          <w:lang w:val="en-US" w:eastAsia="en-US" w:bidi="ar-SA"/>
        </w:rPr>
        <w:t>旱地的植被覆盖因子；</w:t>
      </w:r>
    </w:p>
    <w:p w14:paraId="1521D17D">
      <w:pPr>
        <w:keepNext w:val="0"/>
        <w:keepLines w:val="0"/>
        <w:pageBreakBefore w:val="0"/>
        <w:widowControl w:val="0"/>
        <w:kinsoku w:val="0"/>
        <w:wordWrap/>
        <w:overflowPunct/>
        <w:topLinePunct w:val="0"/>
        <w:autoSpaceDE w:val="0"/>
        <w:autoSpaceDN w:val="0"/>
        <w:bidi w:val="0"/>
        <w:adjustRightInd w:val="0"/>
        <w:snapToGrid w:val="0"/>
        <w:spacing w:line="360" w:lineRule="auto"/>
        <w:ind w:firstLine="702" w:firstLineChars="300"/>
        <w:jc w:val="both"/>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3"/>
          <w:kern w:val="0"/>
          <w:sz w:val="24"/>
          <w:szCs w:val="24"/>
          <w:lang w:val="en-US" w:eastAsia="en-US" w:bidi="ar-SA"/>
        </w:rPr>
        <w:t>c——</w:t>
      </w:r>
      <w:r>
        <w:rPr>
          <w:rFonts w:ascii="宋体" w:hAnsi="宋体" w:eastAsia="宋体" w:cs="宋体"/>
          <w:snapToGrid w:val="0"/>
          <w:color w:val="auto"/>
          <w:spacing w:val="-3"/>
          <w:kern w:val="0"/>
          <w:sz w:val="24"/>
          <w:szCs w:val="24"/>
          <w:lang w:val="en-US" w:eastAsia="en-US" w:bidi="ar-SA"/>
        </w:rPr>
        <w:t>小数形式的植被覆盖度。</w:t>
      </w:r>
    </w:p>
    <w:p w14:paraId="3426CCA3">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eastAsiaTheme="minorEastAsia"/>
          <w:b/>
          <w:bCs/>
          <w:snapToGrid w:val="0"/>
          <w:color w:val="auto"/>
          <w:spacing w:val="-1"/>
          <w:kern w:val="0"/>
          <w:sz w:val="24"/>
          <w:szCs w:val="24"/>
          <w:lang w:val="en-US" w:eastAsia="zh-CN" w:bidi="ar-SA"/>
        </w:rPr>
        <w:t>专题</w:t>
      </w:r>
      <w:r>
        <w:rPr>
          <w:rFonts w:hint="default" w:ascii="Times New Roman" w:hAnsi="Times New Roman" w:cs="Times New Roman" w:eastAsiaTheme="minorEastAsia"/>
          <w:b/>
          <w:bCs/>
          <w:snapToGrid w:val="0"/>
          <w:color w:val="auto"/>
          <w:spacing w:val="-1"/>
          <w:kern w:val="0"/>
          <w:sz w:val="24"/>
          <w:szCs w:val="24"/>
          <w:lang w:val="en-US" w:eastAsia="en-US" w:bidi="ar-SA"/>
        </w:rPr>
        <w:t>表</w:t>
      </w:r>
      <w:r>
        <w:rPr>
          <w:rFonts w:hint="default" w:ascii="Times New Roman" w:hAnsi="Times New Roman" w:cs="Times New Roman" w:eastAsiaTheme="minorEastAsia"/>
          <w:b/>
          <w:bCs/>
          <w:snapToGrid w:val="0"/>
          <w:color w:val="auto"/>
          <w:spacing w:val="-1"/>
          <w:kern w:val="0"/>
          <w:sz w:val="24"/>
          <w:szCs w:val="24"/>
          <w:lang w:val="en-US" w:eastAsia="zh-CN" w:bidi="ar-SA"/>
        </w:rPr>
        <w:t>2</w:t>
      </w:r>
      <w:r>
        <w:rPr>
          <w:rFonts w:hint="default" w:ascii="Times New Roman" w:hAnsi="Times New Roman" w:cs="Times New Roman" w:eastAsiaTheme="minorEastAsia"/>
          <w:b/>
          <w:bCs/>
          <w:snapToGrid w:val="0"/>
          <w:color w:val="auto"/>
          <w:spacing w:val="-1"/>
          <w:kern w:val="0"/>
          <w:sz w:val="24"/>
          <w:szCs w:val="24"/>
          <w:lang w:val="en-US" w:eastAsia="en-US" w:bidi="ar-SA"/>
        </w:rPr>
        <w:t>-1</w:t>
      </w:r>
      <w:r>
        <w:rPr>
          <w:rFonts w:hint="eastAsia" w:ascii="Times New Roman" w:hAnsi="Times New Roman" w:cs="Times New Roman" w:eastAsiaTheme="minorEastAsia"/>
          <w:b/>
          <w:bCs/>
          <w:snapToGrid w:val="0"/>
          <w:color w:val="auto"/>
          <w:spacing w:val="-1"/>
          <w:kern w:val="0"/>
          <w:sz w:val="24"/>
          <w:szCs w:val="24"/>
          <w:lang w:val="en-US" w:eastAsia="zh-CN" w:bidi="ar-SA"/>
        </w:rPr>
        <w:t>3</w:t>
      </w:r>
      <w:r>
        <w:rPr>
          <w:rFonts w:hint="default" w:ascii="Times New Roman" w:hAnsi="Times New Roman" w:cs="Times New Roman" w:eastAsiaTheme="minorEastAsia"/>
          <w:b/>
          <w:bCs/>
          <w:snapToGrid w:val="0"/>
          <w:color w:val="auto"/>
          <w:spacing w:val="-1"/>
          <w:kern w:val="0"/>
          <w:sz w:val="24"/>
          <w:szCs w:val="24"/>
          <w:lang w:val="en-US" w:eastAsia="en-US" w:bidi="ar-SA"/>
        </w:rPr>
        <w:t xml:space="preserve">  不同植被覆盖的</w:t>
      </w:r>
      <w:r>
        <w:rPr>
          <w:rFonts w:hint="default" w:ascii="Times New Roman" w:hAnsi="Times New Roman" w:cs="Times New Roman" w:eastAsiaTheme="minorEastAsia"/>
          <w:b/>
          <w:bCs/>
          <w:snapToGrid w:val="0"/>
          <w:color w:val="auto"/>
          <w:spacing w:val="-48"/>
          <w:kern w:val="0"/>
          <w:sz w:val="24"/>
          <w:szCs w:val="24"/>
          <w:lang w:val="en-US" w:eastAsia="en-US" w:bidi="ar-SA"/>
        </w:rPr>
        <w:t xml:space="preserve"> </w:t>
      </w:r>
      <w:r>
        <w:rPr>
          <w:rFonts w:hint="default" w:ascii="Times New Roman" w:hAnsi="Times New Roman" w:cs="Times New Roman" w:eastAsiaTheme="minorEastAsia"/>
          <w:b/>
          <w:bCs/>
          <w:snapToGrid w:val="0"/>
          <w:color w:val="auto"/>
          <w:spacing w:val="-1"/>
          <w:kern w:val="0"/>
          <w:sz w:val="24"/>
          <w:szCs w:val="24"/>
          <w:lang w:val="en-US" w:eastAsia="en-US" w:bidi="ar-SA"/>
        </w:rPr>
        <w:t>C值</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92"/>
        <w:gridCol w:w="1204"/>
        <w:gridCol w:w="1200"/>
        <w:gridCol w:w="1202"/>
        <w:gridCol w:w="1203"/>
        <w:gridCol w:w="1201"/>
        <w:gridCol w:w="1212"/>
      </w:tblGrid>
      <w:tr w14:paraId="15EB6C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750" w:type="dxa"/>
            <w:vMerge w:val="restart"/>
            <w:tcBorders>
              <w:top w:val="single" w:color="000000" w:sz="10" w:space="0"/>
              <w:left w:val="nil"/>
              <w:bottom w:val="nil"/>
            </w:tcBorders>
            <w:vAlign w:val="center"/>
          </w:tcPr>
          <w:p w14:paraId="3BCE8456">
            <w:pPr>
              <w:kinsoku w:val="0"/>
              <w:autoSpaceDE w:val="0"/>
              <w:autoSpaceDN w:val="0"/>
              <w:adjustRightInd w:val="0"/>
              <w:snapToGrid w:val="0"/>
              <w:spacing w:before="180" w:line="228" w:lineRule="auto"/>
              <w:ind w:left="252"/>
              <w:jc w:val="left"/>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b/>
                <w:bCs/>
                <w:snapToGrid w:val="0"/>
                <w:color w:val="auto"/>
                <w:spacing w:val="6"/>
                <w:kern w:val="0"/>
                <w:sz w:val="20"/>
                <w:szCs w:val="20"/>
                <w:lang w:val="en-US" w:eastAsia="en-US" w:bidi="ar-SA"/>
              </w:rPr>
              <w:t>生态系统类型</w:t>
            </w:r>
          </w:p>
        </w:tc>
        <w:tc>
          <w:tcPr>
            <w:tcW w:w="7053" w:type="dxa"/>
            <w:gridSpan w:val="6"/>
            <w:tcBorders>
              <w:top w:val="single" w:color="000000" w:sz="10" w:space="0"/>
              <w:right w:val="nil"/>
            </w:tcBorders>
            <w:vAlign w:val="center"/>
          </w:tcPr>
          <w:p w14:paraId="25699A12">
            <w:pPr>
              <w:kinsoku w:val="0"/>
              <w:autoSpaceDE w:val="0"/>
              <w:autoSpaceDN w:val="0"/>
              <w:adjustRightInd w:val="0"/>
              <w:snapToGrid w:val="0"/>
              <w:spacing w:before="37" w:line="211" w:lineRule="auto"/>
              <w:ind w:left="2871"/>
              <w:jc w:val="left"/>
              <w:textAlignment w:val="baseline"/>
              <w:rPr>
                <w:rFonts w:ascii="Times New Roman" w:hAnsi="Times New Roman" w:eastAsia="Times New Roman" w:cs="Times New Roman"/>
                <w:snapToGrid w:val="0"/>
                <w:color w:val="auto"/>
                <w:kern w:val="0"/>
                <w:sz w:val="20"/>
                <w:szCs w:val="20"/>
                <w:lang w:val="en-US" w:eastAsia="en-US" w:bidi="ar-SA"/>
              </w:rPr>
            </w:pPr>
            <w:r>
              <w:rPr>
                <w:rFonts w:ascii="宋体" w:hAnsi="宋体" w:eastAsia="宋体" w:cs="宋体"/>
                <w:b/>
                <w:bCs/>
                <w:snapToGrid w:val="0"/>
                <w:color w:val="auto"/>
                <w:spacing w:val="6"/>
                <w:kern w:val="0"/>
                <w:sz w:val="20"/>
                <w:szCs w:val="20"/>
                <w:lang w:val="en-US" w:eastAsia="en-US" w:bidi="ar-SA"/>
              </w:rPr>
              <w:t>植被覆盖度</w:t>
            </w:r>
            <w:r>
              <w:rPr>
                <w:rFonts w:ascii="Times New Roman" w:hAnsi="Times New Roman" w:eastAsia="Times New Roman" w:cs="Times New Roman"/>
                <w:b/>
                <w:bCs/>
                <w:snapToGrid w:val="0"/>
                <w:color w:val="auto"/>
                <w:spacing w:val="6"/>
                <w:kern w:val="0"/>
                <w:sz w:val="20"/>
                <w:szCs w:val="20"/>
                <w:lang w:val="en-US" w:eastAsia="en-US" w:bidi="ar-SA"/>
              </w:rPr>
              <w:t>/%</w:t>
            </w:r>
          </w:p>
        </w:tc>
      </w:tr>
      <w:tr w14:paraId="2F86EB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750" w:type="dxa"/>
            <w:vMerge w:val="continue"/>
            <w:tcBorders>
              <w:top w:val="nil"/>
              <w:left w:val="nil"/>
            </w:tcBorders>
            <w:vAlign w:val="center"/>
          </w:tcPr>
          <w:p w14:paraId="6CAE6861">
            <w:pPr>
              <w:widowControl/>
              <w:kinsoku w:val="0"/>
              <w:autoSpaceDE w:val="0"/>
              <w:autoSpaceDN w:val="0"/>
              <w:adjustRightInd w:val="0"/>
              <w:snapToGrid w:val="0"/>
              <w:spacing w:line="240" w:lineRule="auto"/>
              <w:jc w:val="left"/>
              <w:textAlignment w:val="baseline"/>
              <w:rPr>
                <w:rFonts w:ascii="Arial" w:hAnsi="Arial" w:eastAsia="Arial" w:cs="Arial"/>
                <w:snapToGrid w:val="0"/>
                <w:color w:val="auto"/>
                <w:kern w:val="0"/>
                <w:sz w:val="21"/>
                <w:szCs w:val="21"/>
                <w:lang w:eastAsia="en-US"/>
              </w:rPr>
            </w:pPr>
          </w:p>
        </w:tc>
        <w:tc>
          <w:tcPr>
            <w:tcW w:w="1176" w:type="dxa"/>
            <w:vAlign w:val="center"/>
          </w:tcPr>
          <w:p w14:paraId="5FFD6785">
            <w:pPr>
              <w:kinsoku w:val="0"/>
              <w:autoSpaceDE w:val="0"/>
              <w:autoSpaceDN w:val="0"/>
              <w:adjustRightInd w:val="0"/>
              <w:snapToGrid w:val="0"/>
              <w:spacing w:before="40" w:line="216" w:lineRule="auto"/>
              <w:ind w:left="397"/>
              <w:jc w:val="left"/>
              <w:textAlignment w:val="baseline"/>
              <w:rPr>
                <w:rFonts w:ascii="Times New Roman" w:hAnsi="Times New Roman" w:eastAsia="Times New Roman" w:cs="Times New Roman"/>
                <w:snapToGrid w:val="0"/>
                <w:color w:val="auto"/>
                <w:kern w:val="0"/>
                <w:sz w:val="20"/>
                <w:szCs w:val="20"/>
                <w:lang w:val="en-US" w:eastAsia="en-US" w:bidi="ar-SA"/>
              </w:rPr>
            </w:pPr>
            <w:r>
              <w:rPr>
                <w:rFonts w:ascii="宋体" w:hAnsi="宋体" w:eastAsia="宋体" w:cs="宋体"/>
                <w:b/>
                <w:bCs/>
                <w:snapToGrid w:val="0"/>
                <w:color w:val="auto"/>
                <w:spacing w:val="22"/>
                <w:w w:val="109"/>
                <w:kern w:val="0"/>
                <w:sz w:val="20"/>
                <w:szCs w:val="20"/>
                <w:lang w:val="en-US" w:eastAsia="en-US" w:bidi="ar-SA"/>
              </w:rPr>
              <w:t>&lt;</w:t>
            </w:r>
            <w:r>
              <w:rPr>
                <w:rFonts w:ascii="Times New Roman" w:hAnsi="Times New Roman" w:eastAsia="Times New Roman" w:cs="Times New Roman"/>
                <w:b/>
                <w:bCs/>
                <w:snapToGrid w:val="0"/>
                <w:color w:val="auto"/>
                <w:spacing w:val="22"/>
                <w:w w:val="109"/>
                <w:kern w:val="0"/>
                <w:sz w:val="20"/>
                <w:szCs w:val="20"/>
                <w:lang w:val="en-US" w:eastAsia="en-US" w:bidi="ar-SA"/>
              </w:rPr>
              <w:t>10</w:t>
            </w:r>
          </w:p>
        </w:tc>
        <w:tc>
          <w:tcPr>
            <w:tcW w:w="1172" w:type="dxa"/>
            <w:vAlign w:val="center"/>
          </w:tcPr>
          <w:p w14:paraId="13A264DB">
            <w:pPr>
              <w:kinsoku w:val="0"/>
              <w:autoSpaceDE w:val="0"/>
              <w:autoSpaceDN w:val="0"/>
              <w:adjustRightInd w:val="0"/>
              <w:snapToGrid w:val="0"/>
              <w:spacing w:before="40" w:line="216" w:lineRule="auto"/>
              <w:ind w:left="282"/>
              <w:jc w:val="left"/>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2"/>
                <w:kern w:val="0"/>
                <w:sz w:val="20"/>
                <w:szCs w:val="20"/>
                <w:lang w:val="en-US" w:eastAsia="en-US" w:bidi="ar-SA"/>
              </w:rPr>
              <w:t>10</w:t>
            </w:r>
            <w:r>
              <w:rPr>
                <w:rFonts w:ascii="宋体" w:hAnsi="宋体" w:eastAsia="宋体" w:cs="宋体"/>
                <w:b/>
                <w:bCs/>
                <w:snapToGrid w:val="0"/>
                <w:color w:val="auto"/>
                <w:spacing w:val="2"/>
                <w:kern w:val="0"/>
                <w:sz w:val="20"/>
                <w:szCs w:val="20"/>
                <w:lang w:val="en-US" w:eastAsia="en-US" w:bidi="ar-SA"/>
              </w:rPr>
              <w:t>～</w:t>
            </w:r>
            <w:r>
              <w:rPr>
                <w:rFonts w:ascii="Times New Roman" w:hAnsi="Times New Roman" w:eastAsia="Times New Roman" w:cs="Times New Roman"/>
                <w:b/>
                <w:bCs/>
                <w:snapToGrid w:val="0"/>
                <w:color w:val="auto"/>
                <w:spacing w:val="2"/>
                <w:kern w:val="0"/>
                <w:sz w:val="20"/>
                <w:szCs w:val="20"/>
                <w:lang w:val="en-US" w:eastAsia="en-US" w:bidi="ar-SA"/>
              </w:rPr>
              <w:t>30</w:t>
            </w:r>
          </w:p>
        </w:tc>
        <w:tc>
          <w:tcPr>
            <w:tcW w:w="1174" w:type="dxa"/>
            <w:vAlign w:val="center"/>
          </w:tcPr>
          <w:p w14:paraId="1EA4DE6C">
            <w:pPr>
              <w:kinsoku w:val="0"/>
              <w:autoSpaceDE w:val="0"/>
              <w:autoSpaceDN w:val="0"/>
              <w:adjustRightInd w:val="0"/>
              <w:snapToGrid w:val="0"/>
              <w:spacing w:before="40" w:line="216" w:lineRule="auto"/>
              <w:ind w:left="270"/>
              <w:jc w:val="left"/>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4"/>
                <w:kern w:val="0"/>
                <w:sz w:val="20"/>
                <w:szCs w:val="20"/>
                <w:lang w:val="en-US" w:eastAsia="en-US" w:bidi="ar-SA"/>
              </w:rPr>
              <w:t>30</w:t>
            </w:r>
            <w:r>
              <w:rPr>
                <w:rFonts w:ascii="宋体" w:hAnsi="宋体" w:eastAsia="宋体" w:cs="宋体"/>
                <w:b/>
                <w:bCs/>
                <w:snapToGrid w:val="0"/>
                <w:color w:val="auto"/>
                <w:spacing w:val="4"/>
                <w:kern w:val="0"/>
                <w:sz w:val="20"/>
                <w:szCs w:val="20"/>
                <w:lang w:val="en-US" w:eastAsia="en-US" w:bidi="ar-SA"/>
              </w:rPr>
              <w:t>～</w:t>
            </w:r>
            <w:r>
              <w:rPr>
                <w:rFonts w:ascii="Times New Roman" w:hAnsi="Times New Roman" w:eastAsia="Times New Roman" w:cs="Times New Roman"/>
                <w:b/>
                <w:bCs/>
                <w:snapToGrid w:val="0"/>
                <w:color w:val="auto"/>
                <w:spacing w:val="4"/>
                <w:kern w:val="0"/>
                <w:sz w:val="20"/>
                <w:szCs w:val="20"/>
                <w:lang w:val="en-US" w:eastAsia="en-US" w:bidi="ar-SA"/>
              </w:rPr>
              <w:t>50</w:t>
            </w:r>
          </w:p>
        </w:tc>
        <w:tc>
          <w:tcPr>
            <w:tcW w:w="1175" w:type="dxa"/>
            <w:vAlign w:val="center"/>
          </w:tcPr>
          <w:p w14:paraId="6B1620DC">
            <w:pPr>
              <w:kinsoku w:val="0"/>
              <w:autoSpaceDE w:val="0"/>
              <w:autoSpaceDN w:val="0"/>
              <w:adjustRightInd w:val="0"/>
              <w:snapToGrid w:val="0"/>
              <w:spacing w:before="40" w:line="216" w:lineRule="auto"/>
              <w:ind w:left="276"/>
              <w:jc w:val="left"/>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4"/>
                <w:kern w:val="0"/>
                <w:sz w:val="20"/>
                <w:szCs w:val="20"/>
                <w:lang w:val="en-US" w:eastAsia="en-US" w:bidi="ar-SA"/>
              </w:rPr>
              <w:t>50</w:t>
            </w:r>
            <w:r>
              <w:rPr>
                <w:rFonts w:ascii="宋体" w:hAnsi="宋体" w:eastAsia="宋体" w:cs="宋体"/>
                <w:b/>
                <w:bCs/>
                <w:snapToGrid w:val="0"/>
                <w:color w:val="auto"/>
                <w:spacing w:val="4"/>
                <w:kern w:val="0"/>
                <w:sz w:val="20"/>
                <w:szCs w:val="20"/>
                <w:lang w:val="en-US" w:eastAsia="en-US" w:bidi="ar-SA"/>
              </w:rPr>
              <w:t>～</w:t>
            </w:r>
            <w:r>
              <w:rPr>
                <w:rFonts w:ascii="Times New Roman" w:hAnsi="Times New Roman" w:eastAsia="Times New Roman" w:cs="Times New Roman"/>
                <w:b/>
                <w:bCs/>
                <w:snapToGrid w:val="0"/>
                <w:color w:val="auto"/>
                <w:spacing w:val="4"/>
                <w:kern w:val="0"/>
                <w:sz w:val="20"/>
                <w:szCs w:val="20"/>
                <w:lang w:val="en-US" w:eastAsia="en-US" w:bidi="ar-SA"/>
              </w:rPr>
              <w:t>70</w:t>
            </w:r>
          </w:p>
        </w:tc>
        <w:tc>
          <w:tcPr>
            <w:tcW w:w="1173" w:type="dxa"/>
            <w:vAlign w:val="center"/>
          </w:tcPr>
          <w:p w14:paraId="48F37FF7">
            <w:pPr>
              <w:kinsoku w:val="0"/>
              <w:autoSpaceDE w:val="0"/>
              <w:autoSpaceDN w:val="0"/>
              <w:adjustRightInd w:val="0"/>
              <w:snapToGrid w:val="0"/>
              <w:spacing w:before="40" w:line="216" w:lineRule="auto"/>
              <w:ind w:left="275"/>
              <w:jc w:val="left"/>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4"/>
                <w:kern w:val="0"/>
                <w:sz w:val="20"/>
                <w:szCs w:val="20"/>
                <w:lang w:val="en-US" w:eastAsia="en-US" w:bidi="ar-SA"/>
              </w:rPr>
              <w:t>70</w:t>
            </w:r>
            <w:r>
              <w:rPr>
                <w:rFonts w:ascii="宋体" w:hAnsi="宋体" w:eastAsia="宋体" w:cs="宋体"/>
                <w:b/>
                <w:bCs/>
                <w:snapToGrid w:val="0"/>
                <w:color w:val="auto"/>
                <w:spacing w:val="4"/>
                <w:kern w:val="0"/>
                <w:sz w:val="20"/>
                <w:szCs w:val="20"/>
                <w:lang w:val="en-US" w:eastAsia="en-US" w:bidi="ar-SA"/>
              </w:rPr>
              <w:t>～</w:t>
            </w:r>
            <w:r>
              <w:rPr>
                <w:rFonts w:ascii="Times New Roman" w:hAnsi="Times New Roman" w:eastAsia="Times New Roman" w:cs="Times New Roman"/>
                <w:b/>
                <w:bCs/>
                <w:snapToGrid w:val="0"/>
                <w:color w:val="auto"/>
                <w:spacing w:val="4"/>
                <w:kern w:val="0"/>
                <w:sz w:val="20"/>
                <w:szCs w:val="20"/>
                <w:lang w:val="en-US" w:eastAsia="en-US" w:bidi="ar-SA"/>
              </w:rPr>
              <w:t>90</w:t>
            </w:r>
          </w:p>
        </w:tc>
        <w:tc>
          <w:tcPr>
            <w:tcW w:w="1183" w:type="dxa"/>
            <w:tcBorders>
              <w:right w:val="nil"/>
            </w:tcBorders>
            <w:vAlign w:val="center"/>
          </w:tcPr>
          <w:p w14:paraId="1DB61622">
            <w:pPr>
              <w:kinsoku w:val="0"/>
              <w:autoSpaceDE w:val="0"/>
              <w:autoSpaceDN w:val="0"/>
              <w:adjustRightInd w:val="0"/>
              <w:snapToGrid w:val="0"/>
              <w:spacing w:before="40" w:line="216" w:lineRule="auto"/>
              <w:ind w:left="406"/>
              <w:jc w:val="left"/>
              <w:textAlignment w:val="baseline"/>
              <w:rPr>
                <w:rFonts w:ascii="Times New Roman" w:hAnsi="Times New Roman" w:eastAsia="Times New Roman" w:cs="Times New Roman"/>
                <w:snapToGrid w:val="0"/>
                <w:color w:val="auto"/>
                <w:kern w:val="0"/>
                <w:sz w:val="20"/>
                <w:szCs w:val="20"/>
                <w:lang w:val="en-US" w:eastAsia="en-US" w:bidi="ar-SA"/>
              </w:rPr>
            </w:pPr>
            <w:r>
              <w:rPr>
                <w:rFonts w:ascii="宋体" w:hAnsi="宋体" w:eastAsia="宋体" w:cs="宋体"/>
                <w:b/>
                <w:bCs/>
                <w:snapToGrid w:val="0"/>
                <w:color w:val="auto"/>
                <w:spacing w:val="17"/>
                <w:w w:val="112"/>
                <w:kern w:val="0"/>
                <w:sz w:val="20"/>
                <w:szCs w:val="20"/>
                <w:lang w:val="en-US" w:eastAsia="en-US" w:bidi="ar-SA"/>
              </w:rPr>
              <w:t>&gt;</w:t>
            </w:r>
            <w:r>
              <w:rPr>
                <w:rFonts w:ascii="Times New Roman" w:hAnsi="Times New Roman" w:eastAsia="Times New Roman" w:cs="Times New Roman"/>
                <w:b/>
                <w:bCs/>
                <w:snapToGrid w:val="0"/>
                <w:color w:val="auto"/>
                <w:spacing w:val="17"/>
                <w:w w:val="112"/>
                <w:kern w:val="0"/>
                <w:sz w:val="20"/>
                <w:szCs w:val="20"/>
                <w:lang w:val="en-US" w:eastAsia="en-US" w:bidi="ar-SA"/>
              </w:rPr>
              <w:t>90</w:t>
            </w:r>
          </w:p>
        </w:tc>
      </w:tr>
      <w:tr w14:paraId="7F9519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750" w:type="dxa"/>
            <w:tcBorders>
              <w:left w:val="nil"/>
            </w:tcBorders>
            <w:vAlign w:val="center"/>
          </w:tcPr>
          <w:p w14:paraId="175DB37E">
            <w:pPr>
              <w:kinsoku w:val="0"/>
              <w:autoSpaceDE w:val="0"/>
              <w:autoSpaceDN w:val="0"/>
              <w:adjustRightInd w:val="0"/>
              <w:snapToGrid w:val="0"/>
              <w:spacing w:before="43" w:line="215" w:lineRule="auto"/>
              <w:ind w:left="672"/>
              <w:jc w:val="left"/>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4"/>
                <w:kern w:val="0"/>
                <w:sz w:val="20"/>
                <w:szCs w:val="20"/>
                <w:lang w:val="en-US" w:eastAsia="en-US" w:bidi="ar-SA"/>
              </w:rPr>
              <w:t>森林</w:t>
            </w:r>
          </w:p>
        </w:tc>
        <w:tc>
          <w:tcPr>
            <w:tcW w:w="1176" w:type="dxa"/>
            <w:vAlign w:val="center"/>
          </w:tcPr>
          <w:p w14:paraId="1443C554">
            <w:pPr>
              <w:widowControl/>
              <w:kinsoku w:val="0"/>
              <w:autoSpaceDE w:val="0"/>
              <w:autoSpaceDN w:val="0"/>
              <w:adjustRightInd w:val="0"/>
              <w:snapToGrid w:val="0"/>
              <w:spacing w:before="79"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0.10</w:t>
            </w:r>
          </w:p>
        </w:tc>
        <w:tc>
          <w:tcPr>
            <w:tcW w:w="1172" w:type="dxa"/>
            <w:vAlign w:val="center"/>
          </w:tcPr>
          <w:p w14:paraId="08F8161E">
            <w:pPr>
              <w:widowControl/>
              <w:kinsoku w:val="0"/>
              <w:autoSpaceDE w:val="0"/>
              <w:autoSpaceDN w:val="0"/>
              <w:adjustRightInd w:val="0"/>
              <w:snapToGrid w:val="0"/>
              <w:spacing w:before="79"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0.08</w:t>
            </w:r>
          </w:p>
        </w:tc>
        <w:tc>
          <w:tcPr>
            <w:tcW w:w="1174" w:type="dxa"/>
            <w:vAlign w:val="center"/>
          </w:tcPr>
          <w:p w14:paraId="221D50DB">
            <w:pPr>
              <w:widowControl/>
              <w:kinsoku w:val="0"/>
              <w:autoSpaceDE w:val="0"/>
              <w:autoSpaceDN w:val="0"/>
              <w:adjustRightInd w:val="0"/>
              <w:snapToGrid w:val="0"/>
              <w:spacing w:before="79"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0.06</w:t>
            </w:r>
          </w:p>
        </w:tc>
        <w:tc>
          <w:tcPr>
            <w:tcW w:w="1175" w:type="dxa"/>
            <w:vAlign w:val="center"/>
          </w:tcPr>
          <w:p w14:paraId="46986BD6">
            <w:pPr>
              <w:widowControl/>
              <w:kinsoku w:val="0"/>
              <w:autoSpaceDE w:val="0"/>
              <w:autoSpaceDN w:val="0"/>
              <w:adjustRightInd w:val="0"/>
              <w:snapToGrid w:val="0"/>
              <w:spacing w:before="79" w:line="195" w:lineRule="auto"/>
              <w:ind w:left="409"/>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0.02</w:t>
            </w:r>
          </w:p>
        </w:tc>
        <w:tc>
          <w:tcPr>
            <w:tcW w:w="1173" w:type="dxa"/>
            <w:vAlign w:val="center"/>
          </w:tcPr>
          <w:p w14:paraId="2EB07EFE">
            <w:pPr>
              <w:widowControl/>
              <w:kinsoku w:val="0"/>
              <w:autoSpaceDE w:val="0"/>
              <w:autoSpaceDN w:val="0"/>
              <w:adjustRightInd w:val="0"/>
              <w:snapToGrid w:val="0"/>
              <w:spacing w:before="79" w:line="195" w:lineRule="auto"/>
              <w:ind w:left="354"/>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0.004</w:t>
            </w:r>
          </w:p>
        </w:tc>
        <w:tc>
          <w:tcPr>
            <w:tcW w:w="1183" w:type="dxa"/>
            <w:tcBorders>
              <w:right w:val="nil"/>
            </w:tcBorders>
            <w:vAlign w:val="center"/>
          </w:tcPr>
          <w:p w14:paraId="3F2CC7D6">
            <w:pPr>
              <w:widowControl/>
              <w:kinsoku w:val="0"/>
              <w:autoSpaceDE w:val="0"/>
              <w:autoSpaceDN w:val="0"/>
              <w:adjustRightInd w:val="0"/>
              <w:snapToGrid w:val="0"/>
              <w:spacing w:before="79" w:line="195" w:lineRule="auto"/>
              <w:ind w:left="360"/>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0.001</w:t>
            </w:r>
          </w:p>
        </w:tc>
      </w:tr>
      <w:tr w14:paraId="34367D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750" w:type="dxa"/>
            <w:tcBorders>
              <w:left w:val="nil"/>
            </w:tcBorders>
            <w:vAlign w:val="center"/>
          </w:tcPr>
          <w:p w14:paraId="2C53F97A">
            <w:pPr>
              <w:kinsoku w:val="0"/>
              <w:autoSpaceDE w:val="0"/>
              <w:autoSpaceDN w:val="0"/>
              <w:adjustRightInd w:val="0"/>
              <w:snapToGrid w:val="0"/>
              <w:spacing w:before="47" w:line="211" w:lineRule="auto"/>
              <w:ind w:left="675"/>
              <w:jc w:val="left"/>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3"/>
                <w:kern w:val="0"/>
                <w:sz w:val="20"/>
                <w:szCs w:val="20"/>
                <w:lang w:val="en-US" w:eastAsia="en-US" w:bidi="ar-SA"/>
              </w:rPr>
              <w:t>灌丛</w:t>
            </w:r>
          </w:p>
        </w:tc>
        <w:tc>
          <w:tcPr>
            <w:tcW w:w="1176" w:type="dxa"/>
            <w:vAlign w:val="center"/>
          </w:tcPr>
          <w:p w14:paraId="0BE06917">
            <w:pPr>
              <w:widowControl/>
              <w:kinsoku w:val="0"/>
              <w:autoSpaceDE w:val="0"/>
              <w:autoSpaceDN w:val="0"/>
              <w:adjustRightInd w:val="0"/>
              <w:snapToGrid w:val="0"/>
              <w:spacing w:before="83"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0.40</w:t>
            </w:r>
          </w:p>
        </w:tc>
        <w:tc>
          <w:tcPr>
            <w:tcW w:w="1172" w:type="dxa"/>
            <w:vAlign w:val="center"/>
          </w:tcPr>
          <w:p w14:paraId="723D3947">
            <w:pPr>
              <w:widowControl/>
              <w:kinsoku w:val="0"/>
              <w:autoSpaceDE w:val="0"/>
              <w:autoSpaceDN w:val="0"/>
              <w:adjustRightInd w:val="0"/>
              <w:snapToGrid w:val="0"/>
              <w:spacing w:before="83"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0.22</w:t>
            </w:r>
          </w:p>
        </w:tc>
        <w:tc>
          <w:tcPr>
            <w:tcW w:w="1174" w:type="dxa"/>
            <w:vAlign w:val="center"/>
          </w:tcPr>
          <w:p w14:paraId="695DD32E">
            <w:pPr>
              <w:widowControl/>
              <w:kinsoku w:val="0"/>
              <w:autoSpaceDE w:val="0"/>
              <w:autoSpaceDN w:val="0"/>
              <w:adjustRightInd w:val="0"/>
              <w:snapToGrid w:val="0"/>
              <w:spacing w:before="83"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0.14</w:t>
            </w:r>
          </w:p>
        </w:tc>
        <w:tc>
          <w:tcPr>
            <w:tcW w:w="1175" w:type="dxa"/>
            <w:vAlign w:val="center"/>
          </w:tcPr>
          <w:p w14:paraId="1AD7334A">
            <w:pPr>
              <w:widowControl/>
              <w:kinsoku w:val="0"/>
              <w:autoSpaceDE w:val="0"/>
              <w:autoSpaceDN w:val="0"/>
              <w:adjustRightInd w:val="0"/>
              <w:snapToGrid w:val="0"/>
              <w:spacing w:before="83" w:line="195" w:lineRule="auto"/>
              <w:ind w:left="356"/>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0.085</w:t>
            </w:r>
          </w:p>
        </w:tc>
        <w:tc>
          <w:tcPr>
            <w:tcW w:w="1173" w:type="dxa"/>
            <w:vAlign w:val="center"/>
          </w:tcPr>
          <w:p w14:paraId="0432E09A">
            <w:pPr>
              <w:widowControl/>
              <w:kinsoku w:val="0"/>
              <w:autoSpaceDE w:val="0"/>
              <w:autoSpaceDN w:val="0"/>
              <w:adjustRightInd w:val="0"/>
              <w:snapToGrid w:val="0"/>
              <w:spacing w:before="83" w:line="195" w:lineRule="auto"/>
              <w:ind w:left="354"/>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0.040</w:t>
            </w:r>
          </w:p>
        </w:tc>
        <w:tc>
          <w:tcPr>
            <w:tcW w:w="1183" w:type="dxa"/>
            <w:tcBorders>
              <w:right w:val="nil"/>
            </w:tcBorders>
            <w:vAlign w:val="center"/>
          </w:tcPr>
          <w:p w14:paraId="294D0FFE">
            <w:pPr>
              <w:widowControl/>
              <w:kinsoku w:val="0"/>
              <w:autoSpaceDE w:val="0"/>
              <w:autoSpaceDN w:val="0"/>
              <w:adjustRightInd w:val="0"/>
              <w:snapToGrid w:val="0"/>
              <w:spacing w:before="83" w:line="195" w:lineRule="auto"/>
              <w:ind w:left="360"/>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0.011</w:t>
            </w:r>
          </w:p>
        </w:tc>
      </w:tr>
      <w:tr w14:paraId="7860FB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750" w:type="dxa"/>
            <w:tcBorders>
              <w:left w:val="nil"/>
            </w:tcBorders>
            <w:vAlign w:val="center"/>
          </w:tcPr>
          <w:p w14:paraId="093A5FAF">
            <w:pPr>
              <w:kinsoku w:val="0"/>
              <w:autoSpaceDE w:val="0"/>
              <w:autoSpaceDN w:val="0"/>
              <w:adjustRightInd w:val="0"/>
              <w:snapToGrid w:val="0"/>
              <w:spacing w:before="51" w:line="207" w:lineRule="auto"/>
              <w:ind w:left="674"/>
              <w:jc w:val="left"/>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3"/>
                <w:kern w:val="0"/>
                <w:sz w:val="20"/>
                <w:szCs w:val="20"/>
                <w:lang w:val="en-US" w:eastAsia="en-US" w:bidi="ar-SA"/>
              </w:rPr>
              <w:t>草地</w:t>
            </w:r>
          </w:p>
        </w:tc>
        <w:tc>
          <w:tcPr>
            <w:tcW w:w="1176" w:type="dxa"/>
            <w:vAlign w:val="center"/>
          </w:tcPr>
          <w:p w14:paraId="601F6108">
            <w:pPr>
              <w:widowControl/>
              <w:kinsoku w:val="0"/>
              <w:autoSpaceDE w:val="0"/>
              <w:autoSpaceDN w:val="0"/>
              <w:adjustRightInd w:val="0"/>
              <w:snapToGrid w:val="0"/>
              <w:spacing w:before="87"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0.45</w:t>
            </w:r>
          </w:p>
        </w:tc>
        <w:tc>
          <w:tcPr>
            <w:tcW w:w="1172" w:type="dxa"/>
            <w:vAlign w:val="center"/>
          </w:tcPr>
          <w:p w14:paraId="7BC13029">
            <w:pPr>
              <w:widowControl/>
              <w:kinsoku w:val="0"/>
              <w:autoSpaceDE w:val="0"/>
              <w:autoSpaceDN w:val="0"/>
              <w:adjustRightInd w:val="0"/>
              <w:snapToGrid w:val="0"/>
              <w:spacing w:before="87"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0.24</w:t>
            </w:r>
          </w:p>
        </w:tc>
        <w:tc>
          <w:tcPr>
            <w:tcW w:w="1174" w:type="dxa"/>
            <w:vAlign w:val="center"/>
          </w:tcPr>
          <w:p w14:paraId="0F6D36F5">
            <w:pPr>
              <w:widowControl/>
              <w:kinsoku w:val="0"/>
              <w:autoSpaceDE w:val="0"/>
              <w:autoSpaceDN w:val="0"/>
              <w:adjustRightInd w:val="0"/>
              <w:snapToGrid w:val="0"/>
              <w:spacing w:before="87"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0.15</w:t>
            </w:r>
          </w:p>
        </w:tc>
        <w:tc>
          <w:tcPr>
            <w:tcW w:w="1175" w:type="dxa"/>
            <w:vAlign w:val="center"/>
          </w:tcPr>
          <w:p w14:paraId="1D1884B3">
            <w:pPr>
              <w:widowControl/>
              <w:kinsoku w:val="0"/>
              <w:autoSpaceDE w:val="0"/>
              <w:autoSpaceDN w:val="0"/>
              <w:adjustRightInd w:val="0"/>
              <w:snapToGrid w:val="0"/>
              <w:spacing w:before="87" w:line="195" w:lineRule="auto"/>
              <w:ind w:left="409"/>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0.09</w:t>
            </w:r>
          </w:p>
        </w:tc>
        <w:tc>
          <w:tcPr>
            <w:tcW w:w="1173" w:type="dxa"/>
            <w:vAlign w:val="center"/>
          </w:tcPr>
          <w:p w14:paraId="7460258B">
            <w:pPr>
              <w:widowControl/>
              <w:kinsoku w:val="0"/>
              <w:autoSpaceDE w:val="0"/>
              <w:autoSpaceDN w:val="0"/>
              <w:adjustRightInd w:val="0"/>
              <w:snapToGrid w:val="0"/>
              <w:spacing w:before="87" w:line="195" w:lineRule="auto"/>
              <w:ind w:left="354"/>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0.043</w:t>
            </w:r>
          </w:p>
        </w:tc>
        <w:tc>
          <w:tcPr>
            <w:tcW w:w="1183" w:type="dxa"/>
            <w:tcBorders>
              <w:right w:val="nil"/>
            </w:tcBorders>
            <w:vAlign w:val="center"/>
          </w:tcPr>
          <w:p w14:paraId="080584DE">
            <w:pPr>
              <w:widowControl/>
              <w:kinsoku w:val="0"/>
              <w:autoSpaceDE w:val="0"/>
              <w:autoSpaceDN w:val="0"/>
              <w:adjustRightInd w:val="0"/>
              <w:snapToGrid w:val="0"/>
              <w:spacing w:before="87" w:line="195" w:lineRule="auto"/>
              <w:ind w:left="360"/>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0.011</w:t>
            </w:r>
          </w:p>
        </w:tc>
      </w:tr>
      <w:tr w14:paraId="28BCA3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750" w:type="dxa"/>
            <w:tcBorders>
              <w:left w:val="nil"/>
            </w:tcBorders>
            <w:vAlign w:val="center"/>
          </w:tcPr>
          <w:p w14:paraId="5F6B1F29">
            <w:pPr>
              <w:kinsoku w:val="0"/>
              <w:autoSpaceDE w:val="0"/>
              <w:autoSpaceDN w:val="0"/>
              <w:adjustRightInd w:val="0"/>
              <w:snapToGrid w:val="0"/>
              <w:spacing w:before="55" w:line="204" w:lineRule="auto"/>
              <w:ind w:left="464"/>
              <w:jc w:val="left"/>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7"/>
                <w:kern w:val="0"/>
                <w:sz w:val="20"/>
                <w:szCs w:val="20"/>
                <w:lang w:val="en-US" w:eastAsia="en-US" w:bidi="ar-SA"/>
              </w:rPr>
              <w:t>乔木园地</w:t>
            </w:r>
          </w:p>
        </w:tc>
        <w:tc>
          <w:tcPr>
            <w:tcW w:w="1176" w:type="dxa"/>
            <w:vAlign w:val="center"/>
          </w:tcPr>
          <w:p w14:paraId="1DD63CC7">
            <w:pPr>
              <w:widowControl/>
              <w:kinsoku w:val="0"/>
              <w:autoSpaceDE w:val="0"/>
              <w:autoSpaceDN w:val="0"/>
              <w:adjustRightInd w:val="0"/>
              <w:snapToGrid w:val="0"/>
              <w:spacing w:before="92" w:line="193"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0.42</w:t>
            </w:r>
          </w:p>
        </w:tc>
        <w:tc>
          <w:tcPr>
            <w:tcW w:w="1172" w:type="dxa"/>
            <w:vAlign w:val="center"/>
          </w:tcPr>
          <w:p w14:paraId="1077DE47">
            <w:pPr>
              <w:widowControl/>
              <w:kinsoku w:val="0"/>
              <w:autoSpaceDE w:val="0"/>
              <w:autoSpaceDN w:val="0"/>
              <w:adjustRightInd w:val="0"/>
              <w:snapToGrid w:val="0"/>
              <w:spacing w:before="92" w:line="193"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0.23</w:t>
            </w:r>
          </w:p>
        </w:tc>
        <w:tc>
          <w:tcPr>
            <w:tcW w:w="1174" w:type="dxa"/>
            <w:vAlign w:val="center"/>
          </w:tcPr>
          <w:p w14:paraId="7D8E801D">
            <w:pPr>
              <w:widowControl/>
              <w:kinsoku w:val="0"/>
              <w:autoSpaceDE w:val="0"/>
              <w:autoSpaceDN w:val="0"/>
              <w:adjustRightInd w:val="0"/>
              <w:snapToGrid w:val="0"/>
              <w:spacing w:before="92" w:line="193"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0.14</w:t>
            </w:r>
          </w:p>
        </w:tc>
        <w:tc>
          <w:tcPr>
            <w:tcW w:w="1175" w:type="dxa"/>
            <w:vAlign w:val="center"/>
          </w:tcPr>
          <w:p w14:paraId="66BAD5F8">
            <w:pPr>
              <w:widowControl/>
              <w:kinsoku w:val="0"/>
              <w:autoSpaceDE w:val="0"/>
              <w:autoSpaceDN w:val="0"/>
              <w:adjustRightInd w:val="0"/>
              <w:snapToGrid w:val="0"/>
              <w:spacing w:before="92" w:line="193" w:lineRule="auto"/>
              <w:ind w:left="356"/>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0.089</w:t>
            </w:r>
          </w:p>
        </w:tc>
        <w:tc>
          <w:tcPr>
            <w:tcW w:w="1173" w:type="dxa"/>
            <w:vAlign w:val="center"/>
          </w:tcPr>
          <w:p w14:paraId="6980CDAA">
            <w:pPr>
              <w:widowControl/>
              <w:kinsoku w:val="0"/>
              <w:autoSpaceDE w:val="0"/>
              <w:autoSpaceDN w:val="0"/>
              <w:adjustRightInd w:val="0"/>
              <w:snapToGrid w:val="0"/>
              <w:spacing w:before="92" w:line="193" w:lineRule="auto"/>
              <w:ind w:left="354"/>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0.042</w:t>
            </w:r>
          </w:p>
        </w:tc>
        <w:tc>
          <w:tcPr>
            <w:tcW w:w="1183" w:type="dxa"/>
            <w:tcBorders>
              <w:right w:val="nil"/>
            </w:tcBorders>
            <w:vAlign w:val="center"/>
          </w:tcPr>
          <w:p w14:paraId="0D6F134E">
            <w:pPr>
              <w:widowControl/>
              <w:kinsoku w:val="0"/>
              <w:autoSpaceDE w:val="0"/>
              <w:autoSpaceDN w:val="0"/>
              <w:adjustRightInd w:val="0"/>
              <w:snapToGrid w:val="0"/>
              <w:spacing w:before="92" w:line="193" w:lineRule="auto"/>
              <w:ind w:left="360"/>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0.011</w:t>
            </w:r>
          </w:p>
        </w:tc>
      </w:tr>
      <w:tr w14:paraId="5B8ECA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750" w:type="dxa"/>
            <w:tcBorders>
              <w:left w:val="nil"/>
              <w:bottom w:val="single" w:color="000000" w:sz="10" w:space="0"/>
            </w:tcBorders>
            <w:vAlign w:val="center"/>
          </w:tcPr>
          <w:p w14:paraId="68A40C07">
            <w:pPr>
              <w:kinsoku w:val="0"/>
              <w:autoSpaceDE w:val="0"/>
              <w:autoSpaceDN w:val="0"/>
              <w:adjustRightInd w:val="0"/>
              <w:snapToGrid w:val="0"/>
              <w:spacing w:before="61" w:line="225" w:lineRule="auto"/>
              <w:ind w:left="466"/>
              <w:jc w:val="left"/>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snapToGrid w:val="0"/>
                <w:color w:val="auto"/>
                <w:spacing w:val="6"/>
                <w:kern w:val="0"/>
                <w:sz w:val="20"/>
                <w:szCs w:val="20"/>
                <w:lang w:val="en-US" w:eastAsia="en-US" w:bidi="ar-SA"/>
              </w:rPr>
              <w:t>灌木园地</w:t>
            </w:r>
          </w:p>
        </w:tc>
        <w:tc>
          <w:tcPr>
            <w:tcW w:w="1176" w:type="dxa"/>
            <w:tcBorders>
              <w:bottom w:val="single" w:color="000000" w:sz="10" w:space="0"/>
            </w:tcBorders>
            <w:vAlign w:val="center"/>
          </w:tcPr>
          <w:p w14:paraId="088BADAC">
            <w:pPr>
              <w:widowControl/>
              <w:kinsoku w:val="0"/>
              <w:autoSpaceDE w:val="0"/>
              <w:autoSpaceDN w:val="0"/>
              <w:adjustRightInd w:val="0"/>
              <w:snapToGrid w:val="0"/>
              <w:spacing w:before="97"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0.40</w:t>
            </w:r>
          </w:p>
        </w:tc>
        <w:tc>
          <w:tcPr>
            <w:tcW w:w="1172" w:type="dxa"/>
            <w:tcBorders>
              <w:bottom w:val="single" w:color="000000" w:sz="10" w:space="0"/>
            </w:tcBorders>
            <w:vAlign w:val="center"/>
          </w:tcPr>
          <w:p w14:paraId="6D12A451">
            <w:pPr>
              <w:widowControl/>
              <w:kinsoku w:val="0"/>
              <w:autoSpaceDE w:val="0"/>
              <w:autoSpaceDN w:val="0"/>
              <w:adjustRightInd w:val="0"/>
              <w:snapToGrid w:val="0"/>
              <w:spacing w:before="97"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0.22</w:t>
            </w:r>
          </w:p>
        </w:tc>
        <w:tc>
          <w:tcPr>
            <w:tcW w:w="1174" w:type="dxa"/>
            <w:tcBorders>
              <w:bottom w:val="single" w:color="000000" w:sz="10" w:space="0"/>
            </w:tcBorders>
            <w:vAlign w:val="center"/>
          </w:tcPr>
          <w:p w14:paraId="54EB1438">
            <w:pPr>
              <w:widowControl/>
              <w:kinsoku w:val="0"/>
              <w:autoSpaceDE w:val="0"/>
              <w:autoSpaceDN w:val="0"/>
              <w:adjustRightInd w:val="0"/>
              <w:snapToGrid w:val="0"/>
              <w:spacing w:before="97" w:line="195" w:lineRule="auto"/>
              <w:ind w:left="407"/>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2"/>
                <w:kern w:val="0"/>
                <w:sz w:val="20"/>
                <w:szCs w:val="20"/>
                <w:lang w:eastAsia="en-US"/>
              </w:rPr>
              <w:t>0.14</w:t>
            </w:r>
          </w:p>
        </w:tc>
        <w:tc>
          <w:tcPr>
            <w:tcW w:w="1175" w:type="dxa"/>
            <w:tcBorders>
              <w:bottom w:val="single" w:color="000000" w:sz="10" w:space="0"/>
            </w:tcBorders>
            <w:vAlign w:val="center"/>
          </w:tcPr>
          <w:p w14:paraId="21D53D71">
            <w:pPr>
              <w:widowControl/>
              <w:kinsoku w:val="0"/>
              <w:autoSpaceDE w:val="0"/>
              <w:autoSpaceDN w:val="0"/>
              <w:adjustRightInd w:val="0"/>
              <w:snapToGrid w:val="0"/>
              <w:spacing w:before="97" w:line="195" w:lineRule="auto"/>
              <w:ind w:left="356"/>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0.087</w:t>
            </w:r>
          </w:p>
        </w:tc>
        <w:tc>
          <w:tcPr>
            <w:tcW w:w="1173" w:type="dxa"/>
            <w:tcBorders>
              <w:bottom w:val="single" w:color="000000" w:sz="10" w:space="0"/>
            </w:tcBorders>
            <w:vAlign w:val="center"/>
          </w:tcPr>
          <w:p w14:paraId="69B9E542">
            <w:pPr>
              <w:widowControl/>
              <w:kinsoku w:val="0"/>
              <w:autoSpaceDE w:val="0"/>
              <w:autoSpaceDN w:val="0"/>
              <w:adjustRightInd w:val="0"/>
              <w:snapToGrid w:val="0"/>
              <w:spacing w:before="97" w:line="195" w:lineRule="auto"/>
              <w:ind w:left="354"/>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0.042</w:t>
            </w:r>
          </w:p>
        </w:tc>
        <w:tc>
          <w:tcPr>
            <w:tcW w:w="1183" w:type="dxa"/>
            <w:tcBorders>
              <w:bottom w:val="single" w:color="000000" w:sz="10" w:space="0"/>
              <w:right w:val="nil"/>
            </w:tcBorders>
            <w:vAlign w:val="center"/>
          </w:tcPr>
          <w:p w14:paraId="59116F1B">
            <w:pPr>
              <w:widowControl/>
              <w:kinsoku w:val="0"/>
              <w:autoSpaceDE w:val="0"/>
              <w:autoSpaceDN w:val="0"/>
              <w:adjustRightInd w:val="0"/>
              <w:snapToGrid w:val="0"/>
              <w:spacing w:before="97" w:line="195" w:lineRule="auto"/>
              <w:ind w:left="360"/>
              <w:jc w:val="left"/>
              <w:textAlignment w:val="baseline"/>
              <w:rPr>
                <w:rFonts w:ascii="Times New Roman" w:hAnsi="Times New Roman" w:eastAsia="Times New Roman" w:cs="Times New Roman"/>
                <w:snapToGrid w:val="0"/>
                <w:color w:val="auto"/>
                <w:kern w:val="0"/>
                <w:sz w:val="20"/>
                <w:szCs w:val="20"/>
                <w:lang w:eastAsia="en-US"/>
              </w:rPr>
            </w:pPr>
            <w:r>
              <w:rPr>
                <w:rFonts w:ascii="Times New Roman" w:hAnsi="Times New Roman" w:eastAsia="Times New Roman" w:cs="Times New Roman"/>
                <w:snapToGrid w:val="0"/>
                <w:color w:val="auto"/>
                <w:spacing w:val="3"/>
                <w:kern w:val="0"/>
                <w:sz w:val="20"/>
                <w:szCs w:val="20"/>
                <w:lang w:eastAsia="en-US"/>
              </w:rPr>
              <w:t>0.011</w:t>
            </w:r>
          </w:p>
        </w:tc>
      </w:tr>
    </w:tbl>
    <w:p w14:paraId="0370F25D">
      <w:pPr>
        <w:kinsoku w:val="0"/>
        <w:autoSpaceDE w:val="0"/>
        <w:autoSpaceDN w:val="0"/>
        <w:adjustRightInd w:val="0"/>
        <w:snapToGrid w:val="0"/>
        <w:spacing w:before="179" w:line="360" w:lineRule="auto"/>
        <w:ind w:left="23" w:firstLine="482"/>
        <w:jc w:val="both"/>
        <w:textAlignment w:val="baseline"/>
        <w:rPr>
          <w:rFonts w:hint="default" w:ascii="宋体" w:hAnsi="宋体" w:eastAsia="宋体" w:cs="宋体"/>
          <w:snapToGrid w:val="0"/>
          <w:color w:val="auto"/>
          <w:kern w:val="0"/>
          <w:sz w:val="24"/>
          <w:szCs w:val="24"/>
          <w:lang w:val="en-US" w:eastAsia="zh-CN" w:bidi="ar-SA"/>
        </w:rPr>
      </w:pPr>
      <w:r>
        <w:rPr>
          <w:rFonts w:ascii="宋体" w:hAnsi="宋体" w:eastAsia="宋体" w:cs="宋体"/>
          <w:snapToGrid w:val="0"/>
          <w:color w:val="auto"/>
          <w:kern w:val="0"/>
          <w:sz w:val="24"/>
          <w:szCs w:val="24"/>
          <w:lang w:val="en-US" w:eastAsia="en-US" w:bidi="ar-SA"/>
        </w:rPr>
        <w:t>根据中国年度植被指数（</w:t>
      </w:r>
      <w:r>
        <w:rPr>
          <w:rFonts w:ascii="Times New Roman" w:hAnsi="Times New Roman" w:eastAsia="Times New Roman" w:cs="Times New Roman"/>
          <w:snapToGrid w:val="0"/>
          <w:color w:val="auto"/>
          <w:kern w:val="0"/>
          <w:sz w:val="24"/>
          <w:szCs w:val="24"/>
          <w:lang w:val="en-US" w:eastAsia="en-US" w:bidi="ar-SA"/>
        </w:rPr>
        <w:t>NDVI</w:t>
      </w:r>
      <w:r>
        <w:rPr>
          <w:rFonts w:ascii="宋体" w:hAnsi="宋体" w:eastAsia="宋体" w:cs="宋体"/>
          <w:snapToGrid w:val="0"/>
          <w:color w:val="auto"/>
          <w:kern w:val="0"/>
          <w:sz w:val="24"/>
          <w:szCs w:val="24"/>
          <w:lang w:val="en-US" w:eastAsia="en-US" w:bidi="ar-SA"/>
        </w:rPr>
        <w:t>）空间分布数据集及植被覆盖因子可知，项</w:t>
      </w:r>
      <w:r>
        <w:rPr>
          <w:rFonts w:ascii="宋体" w:hAnsi="宋体" w:eastAsia="宋体" w:cs="宋体"/>
          <w:snapToGrid w:val="0"/>
          <w:color w:val="auto"/>
          <w:spacing w:val="-5"/>
          <w:kern w:val="0"/>
          <w:sz w:val="24"/>
          <w:szCs w:val="24"/>
          <w:lang w:val="en-US" w:eastAsia="en-US" w:bidi="ar-SA"/>
        </w:rPr>
        <w:t>目区森林被覆盖因子为</w:t>
      </w:r>
      <w:r>
        <w:rPr>
          <w:rFonts w:ascii="Times New Roman" w:hAnsi="Times New Roman" w:eastAsia="Times New Roman" w:cs="Times New Roman"/>
          <w:snapToGrid w:val="0"/>
          <w:color w:val="auto"/>
          <w:spacing w:val="-5"/>
          <w:kern w:val="0"/>
          <w:sz w:val="24"/>
          <w:szCs w:val="24"/>
          <w:lang w:val="en-US" w:eastAsia="en-US" w:bidi="ar-SA"/>
        </w:rPr>
        <w:t>0.02</w:t>
      </w:r>
      <w:r>
        <w:rPr>
          <w:rFonts w:ascii="宋体" w:hAnsi="宋体" w:eastAsia="宋体" w:cs="宋体"/>
          <w:snapToGrid w:val="0"/>
          <w:color w:val="auto"/>
          <w:spacing w:val="-5"/>
          <w:kern w:val="0"/>
          <w:sz w:val="24"/>
          <w:szCs w:val="24"/>
          <w:lang w:val="en-US" w:eastAsia="en-US" w:bidi="ar-SA"/>
        </w:rPr>
        <w:t>，植被覆盖盖在</w:t>
      </w:r>
      <w:r>
        <w:rPr>
          <w:rFonts w:ascii="Times New Roman" w:hAnsi="Times New Roman" w:eastAsia="Times New Roman" w:cs="Times New Roman"/>
          <w:snapToGrid w:val="0"/>
          <w:color w:val="auto"/>
          <w:spacing w:val="-5"/>
          <w:kern w:val="0"/>
          <w:sz w:val="24"/>
          <w:szCs w:val="24"/>
          <w:lang w:val="en-US" w:eastAsia="en-US" w:bidi="ar-SA"/>
        </w:rPr>
        <w:t>50%~70%</w:t>
      </w:r>
      <w:r>
        <w:rPr>
          <w:rFonts w:ascii="宋体" w:hAnsi="宋体" w:eastAsia="宋体" w:cs="宋体"/>
          <w:snapToGrid w:val="0"/>
          <w:color w:val="auto"/>
          <w:spacing w:val="-5"/>
          <w:kern w:val="0"/>
          <w:sz w:val="24"/>
          <w:szCs w:val="24"/>
          <w:lang w:val="en-US" w:eastAsia="en-US" w:bidi="ar-SA"/>
        </w:rPr>
        <w:t>；灌丛植被覆盖因子为</w:t>
      </w:r>
      <w:r>
        <w:rPr>
          <w:rFonts w:ascii="Times New Roman" w:hAnsi="Times New Roman" w:eastAsia="Times New Roman" w:cs="Times New Roman"/>
          <w:snapToGrid w:val="0"/>
          <w:color w:val="auto"/>
          <w:spacing w:val="-5"/>
          <w:kern w:val="0"/>
          <w:sz w:val="24"/>
          <w:szCs w:val="24"/>
          <w:lang w:val="en-US" w:eastAsia="en-US" w:bidi="ar-SA"/>
        </w:rPr>
        <w:t>0.14</w:t>
      </w:r>
      <w:r>
        <w:rPr>
          <w:rFonts w:ascii="宋体" w:hAnsi="宋体" w:eastAsia="宋体" w:cs="宋体"/>
          <w:snapToGrid w:val="0"/>
          <w:color w:val="auto"/>
          <w:spacing w:val="-5"/>
          <w:kern w:val="0"/>
          <w:sz w:val="24"/>
          <w:szCs w:val="24"/>
          <w:lang w:val="en-US" w:eastAsia="en-US" w:bidi="ar-SA"/>
        </w:rPr>
        <w:t>，</w:t>
      </w:r>
      <w:r>
        <w:rPr>
          <w:rFonts w:ascii="宋体" w:hAnsi="宋体" w:eastAsia="宋体" w:cs="宋体"/>
          <w:snapToGrid w:val="0"/>
          <w:color w:val="auto"/>
          <w:spacing w:val="-7"/>
          <w:kern w:val="0"/>
          <w:sz w:val="24"/>
          <w:szCs w:val="24"/>
          <w:lang w:val="en-US" w:eastAsia="en-US" w:bidi="ar-SA"/>
        </w:rPr>
        <w:t>植被覆盖在</w:t>
      </w:r>
      <w:r>
        <w:rPr>
          <w:rFonts w:ascii="宋体" w:hAnsi="宋体" w:eastAsia="宋体" w:cs="宋体"/>
          <w:snapToGrid w:val="0"/>
          <w:color w:val="auto"/>
          <w:spacing w:val="-36"/>
          <w:kern w:val="0"/>
          <w:sz w:val="24"/>
          <w:szCs w:val="24"/>
          <w:lang w:val="en-US" w:eastAsia="en-US" w:bidi="ar-SA"/>
        </w:rPr>
        <w:t xml:space="preserve"> </w:t>
      </w:r>
      <w:r>
        <w:rPr>
          <w:rFonts w:ascii="Times New Roman" w:hAnsi="Times New Roman" w:eastAsia="Times New Roman" w:cs="Times New Roman"/>
          <w:snapToGrid w:val="0"/>
          <w:color w:val="auto"/>
          <w:spacing w:val="-7"/>
          <w:kern w:val="0"/>
          <w:sz w:val="24"/>
          <w:szCs w:val="24"/>
          <w:lang w:val="en-US" w:eastAsia="en-US" w:bidi="ar-SA"/>
        </w:rPr>
        <w:t>30%~50%</w:t>
      </w:r>
      <w:r>
        <w:rPr>
          <w:rFonts w:ascii="宋体" w:hAnsi="宋体" w:eastAsia="宋体" w:cs="宋体"/>
          <w:snapToGrid w:val="0"/>
          <w:color w:val="auto"/>
          <w:spacing w:val="-7"/>
          <w:kern w:val="0"/>
          <w:sz w:val="24"/>
          <w:szCs w:val="24"/>
          <w:lang w:val="en-US" w:eastAsia="en-US" w:bidi="ar-SA"/>
        </w:rPr>
        <w:t>；项目区草地植被覆盖因子为</w:t>
      </w:r>
      <w:r>
        <w:rPr>
          <w:rFonts w:ascii="宋体" w:hAnsi="宋体" w:eastAsia="宋体" w:cs="宋体"/>
          <w:snapToGrid w:val="0"/>
          <w:color w:val="auto"/>
          <w:spacing w:val="-51"/>
          <w:kern w:val="0"/>
          <w:sz w:val="24"/>
          <w:szCs w:val="24"/>
          <w:lang w:val="en-US" w:eastAsia="en-US" w:bidi="ar-SA"/>
        </w:rPr>
        <w:t xml:space="preserve"> </w:t>
      </w:r>
      <w:r>
        <w:rPr>
          <w:rFonts w:ascii="Times New Roman" w:hAnsi="Times New Roman" w:eastAsia="Times New Roman" w:cs="Times New Roman"/>
          <w:snapToGrid w:val="0"/>
          <w:color w:val="auto"/>
          <w:spacing w:val="-7"/>
          <w:kern w:val="0"/>
          <w:sz w:val="24"/>
          <w:szCs w:val="24"/>
          <w:lang w:val="en-US" w:eastAsia="en-US" w:bidi="ar-SA"/>
        </w:rPr>
        <w:t>0.15</w:t>
      </w:r>
      <w:r>
        <w:rPr>
          <w:rFonts w:ascii="宋体" w:hAnsi="宋体" w:eastAsia="宋体" w:cs="宋体"/>
          <w:snapToGrid w:val="0"/>
          <w:color w:val="auto"/>
          <w:spacing w:val="-7"/>
          <w:kern w:val="0"/>
          <w:sz w:val="24"/>
          <w:szCs w:val="24"/>
          <w:lang w:val="en-US" w:eastAsia="en-US" w:bidi="ar-SA"/>
        </w:rPr>
        <w:t>，植被覆盖在</w:t>
      </w:r>
      <w:r>
        <w:rPr>
          <w:rFonts w:ascii="宋体" w:hAnsi="宋体" w:eastAsia="宋体" w:cs="宋体"/>
          <w:snapToGrid w:val="0"/>
          <w:color w:val="auto"/>
          <w:spacing w:val="-50"/>
          <w:kern w:val="0"/>
          <w:sz w:val="24"/>
          <w:szCs w:val="24"/>
          <w:lang w:val="en-US" w:eastAsia="en-US" w:bidi="ar-SA"/>
        </w:rPr>
        <w:t xml:space="preserve"> </w:t>
      </w:r>
      <w:r>
        <w:rPr>
          <w:rFonts w:ascii="Times New Roman" w:hAnsi="Times New Roman" w:eastAsia="Times New Roman" w:cs="Times New Roman"/>
          <w:snapToGrid w:val="0"/>
          <w:color w:val="auto"/>
          <w:spacing w:val="-7"/>
          <w:kern w:val="0"/>
          <w:sz w:val="24"/>
          <w:szCs w:val="24"/>
          <w:lang w:val="en-US" w:eastAsia="en-US" w:bidi="ar-SA"/>
        </w:rPr>
        <w:t>30%~50%</w:t>
      </w:r>
      <w:r>
        <w:rPr>
          <w:rFonts w:ascii="宋体" w:hAnsi="宋体" w:eastAsia="宋体" w:cs="宋体"/>
          <w:snapToGrid w:val="0"/>
          <w:color w:val="auto"/>
          <w:spacing w:val="-7"/>
          <w:kern w:val="0"/>
          <w:sz w:val="24"/>
          <w:szCs w:val="24"/>
          <w:lang w:val="en-US" w:eastAsia="en-US" w:bidi="ar-SA"/>
        </w:rPr>
        <w:t>；</w:t>
      </w:r>
      <w:r>
        <w:rPr>
          <w:rFonts w:ascii="宋体" w:hAnsi="宋体" w:eastAsia="宋体" w:cs="宋体"/>
          <w:snapToGrid w:val="0"/>
          <w:color w:val="auto"/>
          <w:spacing w:val="-3"/>
          <w:kern w:val="0"/>
          <w:sz w:val="24"/>
          <w:szCs w:val="24"/>
          <w:lang w:val="en-US" w:eastAsia="en-US" w:bidi="ar-SA"/>
        </w:rPr>
        <w:t>项目所在区域植被覆盖度为中等水平。</w:t>
      </w:r>
      <w:r>
        <w:rPr>
          <w:rFonts w:hint="eastAsia" w:ascii="宋体" w:hAnsi="宋体" w:cs="宋体"/>
          <w:snapToGrid w:val="0"/>
          <w:color w:val="auto"/>
          <w:spacing w:val="-1"/>
          <w:kern w:val="0"/>
          <w:sz w:val="24"/>
          <w:szCs w:val="24"/>
          <w:lang w:val="en-US" w:eastAsia="zh-CN" w:bidi="ar-SA"/>
        </w:rPr>
        <w:t>评价区植被覆盖类型见专题图</w:t>
      </w:r>
      <w:r>
        <w:rPr>
          <w:rFonts w:hint="default" w:ascii="Times New Roman" w:hAnsi="Times New Roman" w:cs="Times New Roman"/>
          <w:snapToGrid w:val="0"/>
          <w:color w:val="auto"/>
          <w:spacing w:val="-1"/>
          <w:kern w:val="0"/>
          <w:sz w:val="24"/>
          <w:szCs w:val="24"/>
          <w:lang w:val="en-US" w:eastAsia="zh-CN" w:bidi="ar-SA"/>
        </w:rPr>
        <w:t>2-</w:t>
      </w:r>
      <w:r>
        <w:rPr>
          <w:rFonts w:hint="eastAsia" w:cs="Times New Roman"/>
          <w:snapToGrid w:val="0"/>
          <w:color w:val="auto"/>
          <w:spacing w:val="-1"/>
          <w:kern w:val="0"/>
          <w:sz w:val="24"/>
          <w:szCs w:val="24"/>
          <w:lang w:val="en-US" w:eastAsia="zh-CN" w:bidi="ar-SA"/>
        </w:rPr>
        <w:t>5</w:t>
      </w:r>
      <w:r>
        <w:rPr>
          <w:rFonts w:hint="eastAsia" w:ascii="Times New Roman" w:hAnsi="Times New Roman" w:cs="Times New Roman"/>
          <w:snapToGrid w:val="0"/>
          <w:color w:val="auto"/>
          <w:spacing w:val="-1"/>
          <w:kern w:val="0"/>
          <w:sz w:val="24"/>
          <w:szCs w:val="24"/>
          <w:lang w:val="en-US" w:eastAsia="zh-CN" w:bidi="ar-SA"/>
        </w:rPr>
        <w:t>。</w:t>
      </w:r>
    </w:p>
    <w:p w14:paraId="35F6B2FD">
      <w:pPr>
        <w:widowControl/>
        <w:kinsoku w:val="0"/>
        <w:autoSpaceDE w:val="0"/>
        <w:autoSpaceDN w:val="0"/>
        <w:adjustRightInd w:val="0"/>
        <w:snapToGrid w:val="0"/>
        <w:spacing w:line="6307" w:lineRule="exact"/>
        <w:ind w:firstLine="110"/>
        <w:jc w:val="left"/>
        <w:textAlignment w:val="baseline"/>
        <w:rPr>
          <w:rFonts w:ascii="Arial" w:hAnsi="Arial" w:eastAsia="Arial" w:cs="Arial"/>
          <w:snapToGrid w:val="0"/>
          <w:color w:val="auto"/>
          <w:kern w:val="0"/>
          <w:szCs w:val="21"/>
          <w:lang w:eastAsia="en-US"/>
        </w:rPr>
      </w:pPr>
      <w:r>
        <w:rPr>
          <w:rFonts w:ascii="Arial" w:hAnsi="Arial" w:eastAsia="Arial" w:cs="Arial"/>
          <w:snapToGrid w:val="0"/>
          <w:color w:val="auto"/>
          <w:kern w:val="0"/>
          <w:position w:val="-126"/>
          <w:szCs w:val="21"/>
          <w:lang w:eastAsia="en-US"/>
        </w:rPr>
        <w:drawing>
          <wp:inline distT="0" distB="0" distL="0" distR="0">
            <wp:extent cx="5269865" cy="4004945"/>
            <wp:effectExtent l="0" t="0" r="635" b="8255"/>
            <wp:docPr id="30" name="IM 14"/>
            <wp:cNvGraphicFramePr/>
            <a:graphic xmlns:a="http://schemas.openxmlformats.org/drawingml/2006/main">
              <a:graphicData uri="http://schemas.openxmlformats.org/drawingml/2006/picture">
                <pic:pic xmlns:pic="http://schemas.openxmlformats.org/drawingml/2006/picture">
                  <pic:nvPicPr>
                    <pic:cNvPr id="30" name="IM 14"/>
                    <pic:cNvPicPr/>
                  </pic:nvPicPr>
                  <pic:blipFill>
                    <a:blip r:embed="rId125"/>
                    <a:stretch>
                      <a:fillRect/>
                    </a:stretch>
                  </pic:blipFill>
                  <pic:spPr>
                    <a:xfrm>
                      <a:off x="0" y="0"/>
                      <a:ext cx="5269992" cy="4005072"/>
                    </a:xfrm>
                    <a:prstGeom prst="rect">
                      <a:avLst/>
                    </a:prstGeom>
                  </pic:spPr>
                </pic:pic>
              </a:graphicData>
            </a:graphic>
          </wp:inline>
        </w:drawing>
      </w:r>
    </w:p>
    <w:p w14:paraId="69B374A1">
      <w:pPr>
        <w:pageBreakBefore w:val="0"/>
        <w:widowControl w:val="0"/>
        <w:kinsoku w:val="0"/>
        <w:wordWrap/>
        <w:overflowPunct/>
        <w:topLinePunct w:val="0"/>
        <w:autoSpaceDE w:val="0"/>
        <w:autoSpaceDN w:val="0"/>
        <w:bidi w:val="0"/>
        <w:adjustRightInd w:val="0"/>
        <w:snapToGrid w:val="0"/>
        <w:spacing w:line="360" w:lineRule="auto"/>
        <w:ind w:left="0" w:right="0"/>
        <w:jc w:val="center"/>
        <w:textAlignment w:val="baseline"/>
        <w:rPr>
          <w:rFonts w:ascii="宋体" w:hAnsi="宋体" w:eastAsia="宋体" w:cs="宋体"/>
          <w:b/>
          <w:bCs/>
          <w:snapToGrid w:val="0"/>
          <w:color w:val="auto"/>
          <w:spacing w:val="-4"/>
          <w:kern w:val="0"/>
          <w:sz w:val="24"/>
          <w:szCs w:val="24"/>
          <w:lang w:val="en-US" w:eastAsia="en-US" w:bidi="ar-SA"/>
        </w:rPr>
      </w:pPr>
      <w:r>
        <w:rPr>
          <w:rFonts w:ascii="宋体" w:hAnsi="宋体" w:eastAsia="宋体" w:cs="宋体"/>
          <w:b/>
          <w:bCs/>
          <w:snapToGrid w:val="0"/>
          <w:color w:val="auto"/>
          <w:spacing w:val="-4"/>
          <w:kern w:val="0"/>
          <w:sz w:val="24"/>
          <w:szCs w:val="24"/>
          <w:lang w:val="en-US" w:eastAsia="en-US" w:bidi="ar-SA"/>
        </w:rPr>
        <w:t>图</w:t>
      </w:r>
      <w:r>
        <w:rPr>
          <w:rFonts w:hint="default" w:ascii="Times New Roman" w:hAnsi="Times New Roman" w:cs="Times New Roman"/>
          <w:b/>
          <w:bCs/>
          <w:snapToGrid w:val="0"/>
          <w:color w:val="auto"/>
          <w:spacing w:val="-4"/>
          <w:kern w:val="0"/>
          <w:sz w:val="24"/>
          <w:szCs w:val="24"/>
          <w:lang w:val="en-US" w:eastAsia="zh-CN" w:bidi="ar-SA"/>
        </w:rPr>
        <w:t>2</w:t>
      </w:r>
      <w:r>
        <w:rPr>
          <w:rFonts w:hint="default" w:ascii="Times New Roman" w:hAnsi="Times New Roman" w:eastAsia="宋体" w:cs="Times New Roman"/>
          <w:snapToGrid w:val="0"/>
          <w:color w:val="auto"/>
          <w:spacing w:val="-49"/>
          <w:kern w:val="0"/>
          <w:sz w:val="24"/>
          <w:szCs w:val="24"/>
          <w:lang w:val="en-US" w:eastAsia="en-US" w:bidi="ar-SA"/>
        </w:rPr>
        <w:t xml:space="preserve"> </w:t>
      </w:r>
      <w:r>
        <w:rPr>
          <w:rFonts w:ascii="Times New Roman" w:hAnsi="Times New Roman" w:eastAsia="Times New Roman" w:cs="Times New Roman"/>
          <w:b/>
          <w:bCs/>
          <w:snapToGrid w:val="0"/>
          <w:color w:val="auto"/>
          <w:spacing w:val="-4"/>
          <w:kern w:val="0"/>
          <w:sz w:val="24"/>
          <w:szCs w:val="24"/>
          <w:lang w:val="en-US" w:eastAsia="en-US" w:bidi="ar-SA"/>
        </w:rPr>
        <w:t>-2</w:t>
      </w:r>
      <w:r>
        <w:rPr>
          <w:rFonts w:ascii="Times New Roman" w:hAnsi="Times New Roman" w:eastAsia="Times New Roman" w:cs="Times New Roman"/>
          <w:b/>
          <w:bCs/>
          <w:snapToGrid w:val="0"/>
          <w:color w:val="auto"/>
          <w:spacing w:val="17"/>
          <w:kern w:val="0"/>
          <w:sz w:val="24"/>
          <w:szCs w:val="24"/>
          <w:lang w:val="en-US" w:eastAsia="en-US" w:bidi="ar-SA"/>
        </w:rPr>
        <w:t xml:space="preserve">  </w:t>
      </w:r>
      <w:r>
        <w:rPr>
          <w:rFonts w:ascii="宋体" w:hAnsi="宋体" w:eastAsia="宋体" w:cs="宋体"/>
          <w:b/>
          <w:bCs/>
          <w:snapToGrid w:val="0"/>
          <w:color w:val="auto"/>
          <w:spacing w:val="-4"/>
          <w:kern w:val="0"/>
          <w:sz w:val="24"/>
          <w:szCs w:val="24"/>
          <w:lang w:val="en-US" w:eastAsia="en-US" w:bidi="ar-SA"/>
        </w:rPr>
        <w:t>中国年度植被指数（</w:t>
      </w:r>
      <w:r>
        <w:rPr>
          <w:rFonts w:ascii="Times New Roman" w:hAnsi="Times New Roman" w:eastAsia="Times New Roman" w:cs="Times New Roman"/>
          <w:b/>
          <w:bCs/>
          <w:snapToGrid w:val="0"/>
          <w:color w:val="auto"/>
          <w:spacing w:val="-4"/>
          <w:kern w:val="0"/>
          <w:sz w:val="24"/>
          <w:szCs w:val="24"/>
          <w:lang w:val="en-US" w:eastAsia="en-US" w:bidi="ar-SA"/>
        </w:rPr>
        <w:t>NDVI</w:t>
      </w:r>
      <w:r>
        <w:rPr>
          <w:rFonts w:ascii="宋体" w:hAnsi="宋体" w:eastAsia="宋体" w:cs="宋体"/>
          <w:b/>
          <w:bCs/>
          <w:snapToGrid w:val="0"/>
          <w:color w:val="auto"/>
          <w:spacing w:val="-4"/>
          <w:kern w:val="0"/>
          <w:sz w:val="24"/>
          <w:szCs w:val="24"/>
          <w:lang w:val="en-US" w:eastAsia="en-US" w:bidi="ar-SA"/>
        </w:rPr>
        <w:t>）空间分布数据集</w:t>
      </w:r>
    </w:p>
    <w:p w14:paraId="0F585A9F">
      <w:pPr>
        <w:pStyle w:val="3"/>
        <w:keepNext/>
        <w:keepLines/>
        <w:pageBreakBefore w:val="0"/>
        <w:widowControl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eastAsia" w:ascii="Times New Roman" w:hAnsi="Times New Roman" w:cs="Times New Roman"/>
          <w:bCs/>
          <w:color w:val="auto"/>
          <w:spacing w:val="0"/>
          <w:kern w:val="2"/>
          <w:sz w:val="24"/>
          <w:szCs w:val="24"/>
          <w:lang w:val="en-US" w:eastAsia="en-US"/>
        </w:rPr>
      </w:pPr>
      <w:bookmarkStart w:id="486" w:name="_Toc10974"/>
      <w:bookmarkStart w:id="487" w:name="_Toc7769"/>
      <w:r>
        <w:rPr>
          <w:rFonts w:hint="eastAsia" w:ascii="Times New Roman" w:hAnsi="Times New Roman" w:cs="Times New Roman"/>
          <w:bCs/>
          <w:color w:val="auto"/>
          <w:spacing w:val="0"/>
          <w:kern w:val="2"/>
          <w:sz w:val="24"/>
          <w:szCs w:val="24"/>
          <w:lang w:val="en-US" w:eastAsia="zh-CN"/>
        </w:rPr>
        <w:t>2.3</w:t>
      </w:r>
      <w:r>
        <w:rPr>
          <w:rFonts w:ascii="宋体" w:hAnsi="宋体" w:eastAsia="宋体" w:cs="宋体"/>
          <w:b/>
          <w:bCs/>
          <w:snapToGrid w:val="0"/>
          <w:color w:val="auto"/>
          <w:spacing w:val="-3"/>
          <w:kern w:val="0"/>
          <w:sz w:val="24"/>
          <w:szCs w:val="24"/>
          <w:lang w:val="en-US" w:eastAsia="en-US" w:bidi="ar-SA"/>
        </w:rPr>
        <w:t>生态保护红线</w:t>
      </w:r>
      <w:r>
        <w:rPr>
          <w:rFonts w:hint="eastAsia" w:ascii="Times New Roman" w:hAnsi="Times New Roman" w:cs="Times New Roman"/>
          <w:bCs/>
          <w:color w:val="auto"/>
          <w:spacing w:val="0"/>
          <w:kern w:val="2"/>
          <w:sz w:val="24"/>
          <w:szCs w:val="24"/>
          <w:lang w:val="en-US" w:eastAsia="en-US"/>
        </w:rPr>
        <w:t>现状调查</w:t>
      </w:r>
      <w:bookmarkEnd w:id="486"/>
      <w:bookmarkEnd w:id="487"/>
    </w:p>
    <w:p w14:paraId="488FE8F8">
      <w:pPr>
        <w:pageBreakBefore w:val="0"/>
        <w:widowControl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color w:val="auto"/>
          <w:kern w:val="0"/>
          <w:sz w:val="24"/>
          <w:highlight w:val="none"/>
          <w:lang w:eastAsia="zh-CN" w:bidi="ar"/>
        </w:rPr>
        <w:t>⑴</w:t>
      </w:r>
      <w:r>
        <w:rPr>
          <w:rFonts w:ascii="宋体" w:hAnsi="宋体" w:eastAsia="宋体" w:cs="宋体"/>
          <w:b/>
          <w:bCs/>
          <w:snapToGrid w:val="0"/>
          <w:color w:val="auto"/>
          <w:spacing w:val="-3"/>
          <w:kern w:val="0"/>
          <w:sz w:val="24"/>
          <w:szCs w:val="24"/>
          <w:lang w:val="en-US" w:eastAsia="en-US" w:bidi="ar-SA"/>
        </w:rPr>
        <w:t>生态保护红线基本情况</w:t>
      </w:r>
    </w:p>
    <w:p w14:paraId="13664483">
      <w:pPr>
        <w:pageBreakBefore w:val="0"/>
        <w:widowControl w:val="0"/>
        <w:kinsoku w:val="0"/>
        <w:wordWrap/>
        <w:overflowPunct/>
        <w:topLinePunct w:val="0"/>
        <w:autoSpaceDE w:val="0"/>
        <w:autoSpaceDN w:val="0"/>
        <w:bidi w:val="0"/>
        <w:adjustRightInd w:val="0"/>
        <w:snapToGrid w:val="0"/>
        <w:spacing w:line="360" w:lineRule="auto"/>
        <w:ind w:left="0" w:right="0" w:firstLine="47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4"/>
          <w:kern w:val="0"/>
          <w:sz w:val="24"/>
          <w:szCs w:val="24"/>
          <w:lang w:val="en-US" w:eastAsia="en-US" w:bidi="ar-SA"/>
        </w:rPr>
        <w:t>根据宁夏回族自治区人民政府《关于发布宁夏回族自治区生态保护红线的通</w:t>
      </w:r>
      <w:r>
        <w:rPr>
          <w:rFonts w:ascii="宋体" w:hAnsi="宋体" w:eastAsia="宋体" w:cs="宋体"/>
          <w:snapToGrid w:val="0"/>
          <w:color w:val="auto"/>
          <w:spacing w:val="-9"/>
          <w:kern w:val="0"/>
          <w:sz w:val="24"/>
          <w:szCs w:val="24"/>
          <w:lang w:val="en-US" w:eastAsia="en-US" w:bidi="ar-SA"/>
        </w:rPr>
        <w:t>知》（宁政发（</w:t>
      </w:r>
      <w:r>
        <w:rPr>
          <w:rFonts w:ascii="Times New Roman" w:hAnsi="Times New Roman" w:eastAsia="Times New Roman" w:cs="Times New Roman"/>
          <w:snapToGrid w:val="0"/>
          <w:color w:val="auto"/>
          <w:spacing w:val="-9"/>
          <w:kern w:val="0"/>
          <w:sz w:val="24"/>
          <w:szCs w:val="24"/>
          <w:lang w:val="en-US" w:eastAsia="en-US" w:bidi="ar-SA"/>
        </w:rPr>
        <w:t>2018</w:t>
      </w:r>
      <w:r>
        <w:rPr>
          <w:rFonts w:ascii="宋体" w:hAnsi="宋体" w:eastAsia="宋体" w:cs="宋体"/>
          <w:snapToGrid w:val="0"/>
          <w:color w:val="auto"/>
          <w:spacing w:val="-9"/>
          <w:kern w:val="0"/>
          <w:sz w:val="24"/>
          <w:szCs w:val="24"/>
          <w:lang w:val="en-US" w:eastAsia="en-US" w:bidi="ar-SA"/>
        </w:rPr>
        <w:t>）</w:t>
      </w:r>
      <w:r>
        <w:rPr>
          <w:rFonts w:ascii="Times New Roman" w:hAnsi="Times New Roman" w:eastAsia="Times New Roman" w:cs="Times New Roman"/>
          <w:snapToGrid w:val="0"/>
          <w:color w:val="auto"/>
          <w:spacing w:val="-9"/>
          <w:kern w:val="0"/>
          <w:sz w:val="24"/>
          <w:szCs w:val="24"/>
          <w:lang w:val="en-US" w:eastAsia="en-US" w:bidi="ar-SA"/>
        </w:rPr>
        <w:t>23</w:t>
      </w:r>
      <w:r>
        <w:rPr>
          <w:rFonts w:ascii="Times New Roman" w:hAnsi="Times New Roman" w:eastAsia="Times New Roman" w:cs="Times New Roman"/>
          <w:snapToGrid w:val="0"/>
          <w:color w:val="auto"/>
          <w:spacing w:val="16"/>
          <w:w w:val="101"/>
          <w:kern w:val="0"/>
          <w:sz w:val="24"/>
          <w:szCs w:val="24"/>
          <w:lang w:val="en-US" w:eastAsia="en-US" w:bidi="ar-SA"/>
        </w:rPr>
        <w:t xml:space="preserve"> </w:t>
      </w:r>
      <w:r>
        <w:rPr>
          <w:rFonts w:ascii="宋体" w:hAnsi="宋体" w:eastAsia="宋体" w:cs="宋体"/>
          <w:snapToGrid w:val="0"/>
          <w:color w:val="auto"/>
          <w:spacing w:val="-9"/>
          <w:kern w:val="0"/>
          <w:sz w:val="24"/>
          <w:szCs w:val="24"/>
          <w:lang w:val="en-US" w:eastAsia="en-US" w:bidi="ar-SA"/>
        </w:rPr>
        <w:t>号</w:t>
      </w:r>
      <w:r>
        <w:rPr>
          <w:rFonts w:ascii="宋体" w:hAnsi="宋体" w:eastAsia="宋体" w:cs="宋体"/>
          <w:snapToGrid w:val="0"/>
          <w:color w:val="auto"/>
          <w:spacing w:val="-54"/>
          <w:kern w:val="0"/>
          <w:sz w:val="24"/>
          <w:szCs w:val="24"/>
          <w:lang w:val="en-US" w:eastAsia="en-US" w:bidi="ar-SA"/>
        </w:rPr>
        <w:t>），</w:t>
      </w:r>
      <w:r>
        <w:rPr>
          <w:rFonts w:ascii="宋体" w:hAnsi="宋体" w:eastAsia="宋体" w:cs="宋体"/>
          <w:snapToGrid w:val="0"/>
          <w:color w:val="auto"/>
          <w:spacing w:val="-9"/>
          <w:kern w:val="0"/>
          <w:sz w:val="24"/>
          <w:szCs w:val="24"/>
          <w:lang w:val="en-US" w:eastAsia="en-US" w:bidi="ar-SA"/>
        </w:rPr>
        <w:t>宁夏回族自治区生态保护红线总面积</w:t>
      </w:r>
      <w:r>
        <w:rPr>
          <w:rFonts w:ascii="宋体" w:hAnsi="宋体" w:eastAsia="宋体" w:cs="宋体"/>
          <w:snapToGrid w:val="0"/>
          <w:color w:val="auto"/>
          <w:spacing w:val="-32"/>
          <w:kern w:val="0"/>
          <w:sz w:val="24"/>
          <w:szCs w:val="24"/>
          <w:lang w:val="en-US" w:eastAsia="en-US" w:bidi="ar-SA"/>
        </w:rPr>
        <w:t xml:space="preserve"> </w:t>
      </w:r>
      <w:r>
        <w:rPr>
          <w:rFonts w:ascii="Times New Roman" w:hAnsi="Times New Roman" w:eastAsia="Times New Roman" w:cs="Times New Roman"/>
          <w:snapToGrid w:val="0"/>
          <w:color w:val="auto"/>
          <w:spacing w:val="-9"/>
          <w:kern w:val="0"/>
          <w:sz w:val="24"/>
          <w:szCs w:val="24"/>
          <w:lang w:val="en-US" w:eastAsia="en-US" w:bidi="ar-SA"/>
        </w:rPr>
        <w:t>12863.77km</w:t>
      </w:r>
      <w:r>
        <w:rPr>
          <w:rFonts w:ascii="Times New Roman" w:hAnsi="Times New Roman" w:eastAsia="Times New Roman" w:cs="Times New Roman"/>
          <w:snapToGrid w:val="0"/>
          <w:color w:val="auto"/>
          <w:spacing w:val="-9"/>
          <w:kern w:val="0"/>
          <w:position w:val="8"/>
          <w:sz w:val="15"/>
          <w:szCs w:val="15"/>
          <w:lang w:val="en-US" w:eastAsia="en-US" w:bidi="ar-SA"/>
        </w:rPr>
        <w:t>2</w:t>
      </w:r>
      <w:r>
        <w:rPr>
          <w:rFonts w:ascii="宋体" w:hAnsi="宋体" w:eastAsia="宋体" w:cs="宋体"/>
          <w:snapToGrid w:val="0"/>
          <w:color w:val="auto"/>
          <w:spacing w:val="-38"/>
          <w:kern w:val="0"/>
          <w:sz w:val="24"/>
          <w:szCs w:val="24"/>
          <w:lang w:val="en-US" w:eastAsia="en-US" w:bidi="ar-SA"/>
        </w:rPr>
        <w:t>，</w:t>
      </w:r>
      <w:r>
        <w:rPr>
          <w:rFonts w:ascii="宋体" w:hAnsi="宋体" w:eastAsia="宋体" w:cs="宋体"/>
          <w:snapToGrid w:val="0"/>
          <w:color w:val="auto"/>
          <w:kern w:val="0"/>
          <w:sz w:val="24"/>
          <w:szCs w:val="24"/>
          <w:lang w:val="en-US" w:eastAsia="en-US" w:bidi="ar-SA"/>
        </w:rPr>
        <w:t>占国土总面积的</w:t>
      </w:r>
      <w:r>
        <w:rPr>
          <w:rFonts w:ascii="宋体" w:hAnsi="宋体" w:eastAsia="宋体" w:cs="宋体"/>
          <w:snapToGrid w:val="0"/>
          <w:color w:val="auto"/>
          <w:spacing w:val="-42"/>
          <w:kern w:val="0"/>
          <w:sz w:val="24"/>
          <w:szCs w:val="24"/>
          <w:lang w:val="en-US" w:eastAsia="en-US" w:bidi="ar-SA"/>
        </w:rPr>
        <w:t xml:space="preserve"> </w:t>
      </w:r>
      <w:r>
        <w:rPr>
          <w:rFonts w:ascii="Times New Roman" w:hAnsi="Times New Roman" w:eastAsia="Times New Roman" w:cs="Times New Roman"/>
          <w:snapToGrid w:val="0"/>
          <w:color w:val="auto"/>
          <w:kern w:val="0"/>
          <w:sz w:val="24"/>
          <w:szCs w:val="24"/>
          <w:lang w:val="en-US" w:eastAsia="en-US" w:bidi="ar-SA"/>
        </w:rPr>
        <w:t>24.76%</w:t>
      </w:r>
      <w:r>
        <w:rPr>
          <w:rFonts w:ascii="宋体" w:hAnsi="宋体" w:eastAsia="宋体" w:cs="宋体"/>
          <w:snapToGrid w:val="0"/>
          <w:color w:val="auto"/>
          <w:kern w:val="0"/>
          <w:sz w:val="24"/>
          <w:szCs w:val="24"/>
          <w:lang w:val="en-US" w:eastAsia="en-US" w:bidi="ar-SA"/>
        </w:rPr>
        <w:t>。宁夏回族自治区生态保护红线包括生物多样性维护、</w:t>
      </w:r>
      <w:r>
        <w:rPr>
          <w:rFonts w:ascii="宋体" w:hAnsi="宋体" w:eastAsia="宋体" w:cs="宋体"/>
          <w:snapToGrid w:val="0"/>
          <w:color w:val="auto"/>
          <w:spacing w:val="-3"/>
          <w:kern w:val="0"/>
          <w:sz w:val="24"/>
          <w:szCs w:val="24"/>
          <w:lang w:val="en-US" w:eastAsia="en-US" w:bidi="ar-SA"/>
        </w:rPr>
        <w:t>水源涵养、防风固沙、水土流失、水土保持</w:t>
      </w:r>
      <w:r>
        <w:rPr>
          <w:rFonts w:ascii="宋体" w:hAnsi="宋体" w:eastAsia="宋体" w:cs="宋体"/>
          <w:snapToGrid w:val="0"/>
          <w:color w:val="auto"/>
          <w:spacing w:val="-48"/>
          <w:kern w:val="0"/>
          <w:sz w:val="24"/>
          <w:szCs w:val="24"/>
          <w:lang w:val="en-US" w:eastAsia="en-US" w:bidi="ar-SA"/>
        </w:rPr>
        <w:t xml:space="preserve"> </w:t>
      </w:r>
      <w:r>
        <w:rPr>
          <w:rFonts w:ascii="Times New Roman" w:hAnsi="Times New Roman" w:eastAsia="Times New Roman" w:cs="Times New Roman"/>
          <w:snapToGrid w:val="0"/>
          <w:color w:val="auto"/>
          <w:spacing w:val="-3"/>
          <w:kern w:val="0"/>
          <w:sz w:val="24"/>
          <w:szCs w:val="24"/>
          <w:lang w:val="en-US" w:eastAsia="en-US" w:bidi="ar-SA"/>
        </w:rPr>
        <w:t xml:space="preserve">5 </w:t>
      </w:r>
      <w:r>
        <w:rPr>
          <w:rFonts w:ascii="宋体" w:hAnsi="宋体" w:eastAsia="宋体" w:cs="宋体"/>
          <w:snapToGrid w:val="0"/>
          <w:color w:val="auto"/>
          <w:spacing w:val="-3"/>
          <w:kern w:val="0"/>
          <w:sz w:val="24"/>
          <w:szCs w:val="24"/>
          <w:lang w:val="en-US" w:eastAsia="en-US" w:bidi="ar-SA"/>
        </w:rPr>
        <w:t>种</w:t>
      </w:r>
      <w:r>
        <w:rPr>
          <w:rFonts w:ascii="宋体" w:hAnsi="宋体" w:eastAsia="宋体" w:cs="宋体"/>
          <w:snapToGrid w:val="0"/>
          <w:color w:val="auto"/>
          <w:spacing w:val="-4"/>
          <w:kern w:val="0"/>
          <w:sz w:val="24"/>
          <w:szCs w:val="24"/>
          <w:lang w:val="en-US" w:eastAsia="en-US" w:bidi="ar-SA"/>
        </w:rPr>
        <w:t>生态功能类型，呈现</w:t>
      </w:r>
      <w:r>
        <w:rPr>
          <w:rFonts w:ascii="宋体" w:hAnsi="宋体" w:eastAsia="宋体" w:cs="宋体"/>
          <w:snapToGrid w:val="0"/>
          <w:color w:val="auto"/>
          <w:spacing w:val="-50"/>
          <w:kern w:val="0"/>
          <w:sz w:val="24"/>
          <w:szCs w:val="24"/>
          <w:lang w:val="en-US" w:eastAsia="en-US" w:bidi="ar-SA"/>
        </w:rPr>
        <w:t xml:space="preserve"> </w:t>
      </w:r>
      <w:r>
        <w:rPr>
          <w:rFonts w:ascii="Times New Roman" w:hAnsi="Times New Roman" w:eastAsia="Times New Roman" w:cs="Times New Roman"/>
          <w:snapToGrid w:val="0"/>
          <w:color w:val="auto"/>
          <w:spacing w:val="-4"/>
          <w:kern w:val="0"/>
          <w:sz w:val="24"/>
          <w:szCs w:val="24"/>
          <w:lang w:val="en-US" w:eastAsia="en-US" w:bidi="ar-SA"/>
        </w:rPr>
        <w:t xml:space="preserve">9 </w:t>
      </w:r>
      <w:r>
        <w:rPr>
          <w:rFonts w:ascii="宋体" w:hAnsi="宋体" w:eastAsia="宋体" w:cs="宋体"/>
          <w:snapToGrid w:val="0"/>
          <w:color w:val="auto"/>
          <w:spacing w:val="-4"/>
          <w:kern w:val="0"/>
          <w:sz w:val="24"/>
          <w:szCs w:val="24"/>
          <w:lang w:val="en-US" w:eastAsia="en-US" w:bidi="ar-SA"/>
        </w:rPr>
        <w:t>个片区分</w:t>
      </w:r>
      <w:r>
        <w:rPr>
          <w:rFonts w:ascii="宋体" w:hAnsi="宋体" w:eastAsia="宋体" w:cs="宋体"/>
          <w:snapToGrid w:val="0"/>
          <w:color w:val="auto"/>
          <w:spacing w:val="-3"/>
          <w:kern w:val="0"/>
          <w:sz w:val="24"/>
          <w:szCs w:val="24"/>
          <w:lang w:val="en-US" w:eastAsia="en-US" w:bidi="ar-SA"/>
        </w:rPr>
        <w:t>布。本项目涉及</w:t>
      </w:r>
      <w:r>
        <w:rPr>
          <w:rFonts w:hint="eastAsia" w:ascii="宋体" w:hAnsi="宋体" w:cs="宋体"/>
          <w:snapToGrid w:val="0"/>
          <w:color w:val="auto"/>
          <w:spacing w:val="-3"/>
          <w:kern w:val="0"/>
          <w:sz w:val="24"/>
          <w:szCs w:val="24"/>
          <w:lang w:val="en-US" w:eastAsia="zh-CN" w:bidi="ar-SA"/>
        </w:rPr>
        <w:t>穿越</w:t>
      </w:r>
      <w:r>
        <w:rPr>
          <w:rFonts w:ascii="宋体" w:hAnsi="宋体" w:eastAsia="宋体" w:cs="宋体"/>
          <w:snapToGrid w:val="0"/>
          <w:color w:val="auto"/>
          <w:spacing w:val="-3"/>
          <w:kern w:val="0"/>
          <w:sz w:val="24"/>
          <w:szCs w:val="24"/>
          <w:lang w:val="en-US" w:eastAsia="en-US" w:bidi="ar-SA"/>
        </w:rPr>
        <w:t>东南黄土高原丘陵水土保持生态保</w:t>
      </w:r>
      <w:r>
        <w:rPr>
          <w:rFonts w:ascii="宋体" w:hAnsi="宋体" w:eastAsia="宋体" w:cs="宋体"/>
          <w:snapToGrid w:val="0"/>
          <w:color w:val="auto"/>
          <w:spacing w:val="-5"/>
          <w:kern w:val="0"/>
          <w:sz w:val="24"/>
          <w:szCs w:val="24"/>
          <w:lang w:val="en-US" w:eastAsia="en-US" w:bidi="ar-SA"/>
        </w:rPr>
        <w:t>护红线。东南黄土高原丘陵水土保持位于宁夏回族自治区东南部，</w:t>
      </w:r>
      <w:r>
        <w:rPr>
          <w:rFonts w:ascii="宋体" w:hAnsi="宋体" w:eastAsia="宋体" w:cs="宋体"/>
          <w:snapToGrid w:val="0"/>
          <w:color w:val="auto"/>
          <w:spacing w:val="-47"/>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属于水土</w:t>
      </w:r>
      <w:r>
        <w:rPr>
          <w:rFonts w:ascii="宋体" w:hAnsi="宋体" w:eastAsia="宋体" w:cs="宋体"/>
          <w:snapToGrid w:val="0"/>
          <w:color w:val="auto"/>
          <w:spacing w:val="-6"/>
          <w:kern w:val="0"/>
          <w:sz w:val="24"/>
          <w:szCs w:val="24"/>
          <w:lang w:val="en-US" w:eastAsia="en-US" w:bidi="ar-SA"/>
        </w:rPr>
        <w:t>保持</w:t>
      </w:r>
      <w:r>
        <w:rPr>
          <w:rFonts w:ascii="宋体" w:hAnsi="宋体" w:eastAsia="宋体" w:cs="宋体"/>
          <w:snapToGrid w:val="0"/>
          <w:color w:val="auto"/>
          <w:spacing w:val="-3"/>
          <w:kern w:val="0"/>
          <w:sz w:val="24"/>
          <w:szCs w:val="24"/>
          <w:lang w:val="en-US" w:eastAsia="en-US" w:bidi="ar-SA"/>
        </w:rPr>
        <w:t>重要区，主布在彭阳县、原州区。生态系统类型为黄土丘陵沟壑区林农复合生态系统</w:t>
      </w:r>
      <w:r>
        <w:rPr>
          <w:rFonts w:ascii="宋体" w:hAnsi="宋体" w:eastAsia="宋体" w:cs="宋体"/>
          <w:snapToGrid w:val="0"/>
          <w:color w:val="auto"/>
          <w:spacing w:val="-4"/>
          <w:kern w:val="0"/>
          <w:sz w:val="24"/>
          <w:szCs w:val="24"/>
          <w:lang w:val="en-US" w:eastAsia="en-US" w:bidi="ar-SA"/>
        </w:rPr>
        <w:t>。</w:t>
      </w:r>
    </w:p>
    <w:p w14:paraId="2861A898">
      <w:pPr>
        <w:kinsoku w:val="0"/>
        <w:autoSpaceDE w:val="0"/>
        <w:autoSpaceDN w:val="0"/>
        <w:adjustRightInd w:val="0"/>
        <w:snapToGrid w:val="0"/>
        <w:spacing w:line="218" w:lineRule="auto"/>
        <w:ind w:left="510"/>
        <w:jc w:val="left"/>
        <w:textAlignment w:val="baseline"/>
        <w:rPr>
          <w:rFonts w:ascii="宋体" w:hAnsi="宋体" w:eastAsia="宋体" w:cs="宋体"/>
          <w:snapToGrid w:val="0"/>
          <w:color w:val="auto"/>
          <w:kern w:val="0"/>
          <w:sz w:val="24"/>
          <w:szCs w:val="24"/>
          <w:lang w:val="en-US" w:eastAsia="en-US" w:bidi="ar-SA"/>
        </w:rPr>
      </w:pPr>
      <w:r>
        <w:rPr>
          <w:rFonts w:hint="default" w:ascii="宋体" w:hAnsi="宋体" w:eastAsia="宋体" w:cs="宋体"/>
          <w:b/>
          <w:bCs/>
          <w:snapToGrid w:val="0"/>
          <w:color w:val="auto"/>
          <w:spacing w:val="-3"/>
          <w:kern w:val="0"/>
          <w:sz w:val="24"/>
          <w:szCs w:val="24"/>
          <w:lang w:val="en-US" w:eastAsia="en-US" w:bidi="ar-SA"/>
        </w:rPr>
        <w:t>⑵</w:t>
      </w:r>
      <w:r>
        <w:rPr>
          <w:rFonts w:ascii="宋体" w:hAnsi="宋体" w:eastAsia="宋体" w:cs="宋体"/>
          <w:b/>
          <w:bCs/>
          <w:snapToGrid w:val="0"/>
          <w:color w:val="auto"/>
          <w:spacing w:val="-3"/>
          <w:kern w:val="0"/>
          <w:sz w:val="24"/>
          <w:szCs w:val="24"/>
          <w:lang w:val="en-US" w:eastAsia="en-US" w:bidi="ar-SA"/>
        </w:rPr>
        <w:t>本项目与生态保护红线相对位置关系</w:t>
      </w:r>
    </w:p>
    <w:p w14:paraId="12E84501">
      <w:pPr>
        <w:kinsoku w:val="0"/>
        <w:autoSpaceDE w:val="0"/>
        <w:autoSpaceDN w:val="0"/>
        <w:adjustRightInd w:val="0"/>
        <w:snapToGrid w:val="0"/>
        <w:spacing w:before="186" w:line="359" w:lineRule="auto"/>
        <w:ind w:left="26" w:right="240" w:firstLine="47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4"/>
          <w:kern w:val="0"/>
          <w:sz w:val="24"/>
          <w:szCs w:val="24"/>
          <w:lang w:val="en-US" w:eastAsia="en-US" w:bidi="ar-SA"/>
        </w:rPr>
        <w:t>本</w:t>
      </w:r>
      <w:r>
        <w:rPr>
          <w:rFonts w:hint="default" w:ascii="Times New Roman" w:hAnsi="Times New Roman" w:eastAsia="宋体" w:cs="Times New Roman"/>
          <w:snapToGrid w:val="0"/>
          <w:color w:val="auto"/>
          <w:spacing w:val="4"/>
          <w:kern w:val="0"/>
          <w:sz w:val="24"/>
          <w:szCs w:val="24"/>
          <w:lang w:val="en-US" w:eastAsia="en-US" w:bidi="ar-SA"/>
        </w:rPr>
        <w:t>项目拟建线路经优化后仍无法避免的穿越了东南黄土高原丘陵水土保持</w:t>
      </w:r>
      <w:r>
        <w:rPr>
          <w:rFonts w:hint="default" w:ascii="Times New Roman" w:hAnsi="Times New Roman" w:eastAsia="宋体" w:cs="Times New Roman"/>
          <w:snapToGrid w:val="0"/>
          <w:color w:val="auto"/>
          <w:spacing w:val="7"/>
          <w:kern w:val="0"/>
          <w:sz w:val="24"/>
          <w:szCs w:val="24"/>
          <w:lang w:val="en-US" w:eastAsia="en-US" w:bidi="ar-SA"/>
        </w:rPr>
        <w:t>生态保护红线</w:t>
      </w:r>
      <w:r>
        <w:rPr>
          <w:rFonts w:hint="eastAsia" w:cs="Times New Roman"/>
          <w:snapToGrid w:val="0"/>
          <w:color w:val="auto"/>
          <w:spacing w:val="-12"/>
          <w:kern w:val="0"/>
          <w:sz w:val="24"/>
          <w:szCs w:val="24"/>
          <w:lang w:val="en-US" w:eastAsia="zh-CN" w:bidi="ar-SA"/>
        </w:rPr>
        <w:t>10.514</w:t>
      </w:r>
      <w:r>
        <w:rPr>
          <w:rFonts w:hint="default" w:ascii="Times New Roman" w:hAnsi="Times New Roman" w:eastAsia="Times New Roman" w:cs="Times New Roman"/>
          <w:snapToGrid w:val="0"/>
          <w:color w:val="auto"/>
          <w:kern w:val="0"/>
          <w:sz w:val="24"/>
          <w:szCs w:val="24"/>
          <w:lang w:val="en-US" w:eastAsia="en-US" w:bidi="ar-SA"/>
        </w:rPr>
        <w:t>km</w:t>
      </w:r>
      <w:r>
        <w:rPr>
          <w:rFonts w:hint="default" w:ascii="Times New Roman" w:hAnsi="Times New Roman" w:eastAsia="宋体" w:cs="Times New Roman"/>
          <w:snapToGrid w:val="0"/>
          <w:color w:val="auto"/>
          <w:spacing w:val="7"/>
          <w:kern w:val="0"/>
          <w:sz w:val="24"/>
          <w:szCs w:val="24"/>
          <w:lang w:val="en-US" w:eastAsia="en-US" w:bidi="ar-SA"/>
        </w:rPr>
        <w:t>，立塔</w:t>
      </w:r>
      <w:r>
        <w:rPr>
          <w:rFonts w:hint="default" w:ascii="Times New Roman" w:hAnsi="Times New Roman" w:eastAsia="宋体" w:cs="Times New Roman"/>
          <w:snapToGrid w:val="0"/>
          <w:color w:val="auto"/>
          <w:spacing w:val="-44"/>
          <w:kern w:val="0"/>
          <w:sz w:val="24"/>
          <w:szCs w:val="24"/>
          <w:lang w:val="en-US" w:eastAsia="en-US" w:bidi="ar-SA"/>
        </w:rPr>
        <w:t xml:space="preserve"> </w:t>
      </w:r>
      <w:r>
        <w:rPr>
          <w:rFonts w:hint="default" w:ascii="Times New Roman" w:hAnsi="Times New Roman" w:eastAsia="宋体" w:cs="Times New Roman"/>
          <w:snapToGrid w:val="0"/>
          <w:color w:val="auto"/>
          <w:spacing w:val="7"/>
          <w:kern w:val="0"/>
          <w:sz w:val="24"/>
          <w:szCs w:val="24"/>
          <w:lang w:val="en-US" w:eastAsia="zh-CN" w:bidi="ar-SA"/>
        </w:rPr>
        <w:t>3</w:t>
      </w:r>
      <w:r>
        <w:rPr>
          <w:rFonts w:hint="eastAsia" w:cs="Times New Roman"/>
          <w:snapToGrid w:val="0"/>
          <w:color w:val="auto"/>
          <w:spacing w:val="7"/>
          <w:kern w:val="0"/>
          <w:sz w:val="24"/>
          <w:szCs w:val="24"/>
          <w:lang w:val="en-US" w:eastAsia="zh-CN" w:bidi="ar-SA"/>
        </w:rPr>
        <w:t>5</w:t>
      </w:r>
      <w:r>
        <w:rPr>
          <w:rFonts w:hint="default" w:ascii="Times New Roman" w:hAnsi="Times New Roman" w:eastAsia="宋体" w:cs="Times New Roman"/>
          <w:snapToGrid w:val="0"/>
          <w:color w:val="auto"/>
          <w:spacing w:val="7"/>
          <w:kern w:val="0"/>
          <w:sz w:val="24"/>
          <w:szCs w:val="24"/>
          <w:lang w:val="en-US" w:eastAsia="en-US" w:bidi="ar-SA"/>
        </w:rPr>
        <w:t>基</w:t>
      </w:r>
      <w:r>
        <w:rPr>
          <w:rFonts w:hint="default" w:ascii="Times New Roman" w:hAnsi="Times New Roman" w:eastAsia="宋体" w:cs="Times New Roman"/>
          <w:snapToGrid w:val="0"/>
          <w:color w:val="auto"/>
          <w:spacing w:val="-4"/>
          <w:kern w:val="0"/>
          <w:sz w:val="24"/>
          <w:szCs w:val="24"/>
          <w:lang w:val="en-US" w:eastAsia="en-US" w:bidi="ar-SA"/>
        </w:rPr>
        <w:t>。</w:t>
      </w:r>
    </w:p>
    <w:p w14:paraId="350D6C65">
      <w:pPr>
        <w:keepNext w:val="0"/>
        <w:keepLines w:val="0"/>
        <w:pageBreakBefore w:val="0"/>
        <w:widowControl/>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kern w:val="0"/>
          <w:sz w:val="24"/>
          <w:highlight w:val="none"/>
          <w:lang w:eastAsia="zh-CN" w:bidi="ar"/>
        </w:rPr>
      </w:pPr>
      <w:r>
        <w:rPr>
          <w:rFonts w:hint="default" w:ascii="Times New Roman" w:hAnsi="Times New Roman" w:cs="Times New Roman"/>
          <w:b/>
          <w:bCs/>
          <w:color w:val="auto"/>
          <w:kern w:val="0"/>
          <w:sz w:val="24"/>
          <w:highlight w:val="none"/>
          <w:lang w:eastAsia="zh-CN" w:bidi="ar"/>
        </w:rPr>
        <w:t>⑶本项目穿越生态保护红线段情况</w:t>
      </w:r>
    </w:p>
    <w:p w14:paraId="6E89F3F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kern w:val="0"/>
          <w:sz w:val="24"/>
          <w:highlight w:val="none"/>
          <w:lang w:eastAsia="zh-CN" w:bidi="ar"/>
        </w:rPr>
      </w:pPr>
      <w:r>
        <w:rPr>
          <w:rFonts w:hint="default" w:ascii="Times New Roman" w:hAnsi="Times New Roman" w:cs="Times New Roman"/>
          <w:b w:val="0"/>
          <w:bCs w:val="0"/>
          <w:color w:val="auto"/>
          <w:kern w:val="0"/>
          <w:sz w:val="24"/>
          <w:highlight w:val="none"/>
          <w:lang w:eastAsia="zh-CN" w:bidi="ar"/>
        </w:rPr>
        <w:t>本项目在生态保护红线内共占地约</w:t>
      </w:r>
      <w:r>
        <w:rPr>
          <w:rFonts w:hint="eastAsia" w:cs="Times New Roman"/>
          <w:b w:val="0"/>
          <w:bCs w:val="0"/>
          <w:color w:val="auto"/>
          <w:kern w:val="0"/>
          <w:sz w:val="24"/>
          <w:highlight w:val="none"/>
          <w:lang w:val="en-US" w:eastAsia="zh-CN" w:bidi="ar"/>
        </w:rPr>
        <w:t>3.1696</w:t>
      </w:r>
      <w:r>
        <w:rPr>
          <w:rFonts w:hint="default" w:ascii="Times New Roman" w:hAnsi="Times New Roman" w:cs="Times New Roman"/>
          <w:b w:val="0"/>
          <w:bCs w:val="0"/>
          <w:color w:val="auto"/>
          <w:kern w:val="0"/>
          <w:sz w:val="24"/>
          <w:highlight w:val="none"/>
          <w:lang w:eastAsia="zh-CN" w:bidi="ar"/>
        </w:rPr>
        <w:t>hm</w:t>
      </w:r>
      <w:r>
        <w:rPr>
          <w:rFonts w:hint="default" w:ascii="Times New Roman" w:hAnsi="Times New Roman" w:cs="Times New Roman"/>
          <w:b w:val="0"/>
          <w:bCs w:val="0"/>
          <w:color w:val="auto"/>
          <w:kern w:val="0"/>
          <w:sz w:val="24"/>
          <w:highlight w:val="none"/>
          <w:vertAlign w:val="superscript"/>
          <w:lang w:eastAsia="zh-CN" w:bidi="ar"/>
        </w:rPr>
        <w:t>2</w:t>
      </w:r>
      <w:r>
        <w:rPr>
          <w:rFonts w:hint="default" w:ascii="Times New Roman" w:hAnsi="Times New Roman" w:cs="Times New Roman"/>
          <w:b w:val="0"/>
          <w:bCs w:val="0"/>
          <w:color w:val="auto"/>
          <w:kern w:val="0"/>
          <w:sz w:val="24"/>
          <w:highlight w:val="none"/>
          <w:lang w:eastAsia="zh-CN" w:bidi="ar"/>
        </w:rPr>
        <w:t xml:space="preserve"> ，其中永久占地面积约0.</w:t>
      </w:r>
      <w:r>
        <w:rPr>
          <w:rFonts w:hint="eastAsia" w:cs="Times New Roman"/>
          <w:b w:val="0"/>
          <w:bCs w:val="0"/>
          <w:color w:val="auto"/>
          <w:kern w:val="0"/>
          <w:sz w:val="24"/>
          <w:highlight w:val="none"/>
          <w:lang w:val="en-US" w:eastAsia="zh-CN" w:bidi="ar"/>
        </w:rPr>
        <w:t>1187</w:t>
      </w:r>
      <w:r>
        <w:rPr>
          <w:rFonts w:hint="default" w:ascii="Times New Roman" w:hAnsi="Times New Roman" w:cs="Times New Roman"/>
          <w:b w:val="0"/>
          <w:bCs w:val="0"/>
          <w:color w:val="auto"/>
          <w:kern w:val="0"/>
          <w:sz w:val="24"/>
          <w:highlight w:val="none"/>
          <w:lang w:eastAsia="zh-CN" w:bidi="ar"/>
        </w:rPr>
        <w:t>hm</w:t>
      </w:r>
      <w:r>
        <w:rPr>
          <w:rFonts w:hint="default" w:ascii="Times New Roman" w:hAnsi="Times New Roman" w:cs="Times New Roman"/>
          <w:b w:val="0"/>
          <w:bCs w:val="0"/>
          <w:color w:val="auto"/>
          <w:kern w:val="0"/>
          <w:sz w:val="24"/>
          <w:highlight w:val="none"/>
          <w:vertAlign w:val="superscript"/>
          <w:lang w:eastAsia="zh-CN" w:bidi="ar"/>
        </w:rPr>
        <w:t>2</w:t>
      </w:r>
      <w:r>
        <w:rPr>
          <w:rFonts w:hint="default" w:ascii="Times New Roman" w:hAnsi="Times New Roman" w:cs="Times New Roman"/>
          <w:b w:val="0"/>
          <w:bCs w:val="0"/>
          <w:color w:val="auto"/>
          <w:kern w:val="0"/>
          <w:sz w:val="24"/>
          <w:highlight w:val="none"/>
          <w:lang w:eastAsia="zh-CN" w:bidi="ar"/>
        </w:rPr>
        <w:t>，临时占地面积</w:t>
      </w:r>
      <w:r>
        <w:rPr>
          <w:rFonts w:hint="eastAsia" w:cs="Times New Roman"/>
          <w:b w:val="0"/>
          <w:bCs w:val="0"/>
          <w:color w:val="auto"/>
          <w:kern w:val="0"/>
          <w:sz w:val="24"/>
          <w:highlight w:val="none"/>
          <w:lang w:val="en-US" w:eastAsia="zh-CN" w:bidi="ar"/>
        </w:rPr>
        <w:t>3.0509</w:t>
      </w:r>
      <w:r>
        <w:rPr>
          <w:rFonts w:hint="default" w:ascii="Times New Roman" w:hAnsi="Times New Roman" w:cs="Times New Roman"/>
          <w:b w:val="0"/>
          <w:bCs w:val="0"/>
          <w:color w:val="auto"/>
          <w:kern w:val="0"/>
          <w:sz w:val="24"/>
          <w:highlight w:val="none"/>
          <w:lang w:eastAsia="zh-CN" w:bidi="ar"/>
        </w:rPr>
        <w:t>hm</w:t>
      </w:r>
      <w:r>
        <w:rPr>
          <w:rFonts w:hint="default" w:ascii="Times New Roman" w:hAnsi="Times New Roman" w:cs="Times New Roman"/>
          <w:b w:val="0"/>
          <w:bCs w:val="0"/>
          <w:color w:val="auto"/>
          <w:kern w:val="0"/>
          <w:sz w:val="24"/>
          <w:highlight w:val="none"/>
          <w:vertAlign w:val="superscript"/>
          <w:lang w:eastAsia="zh-CN" w:bidi="ar"/>
        </w:rPr>
        <w:t>2</w:t>
      </w:r>
      <w:r>
        <w:rPr>
          <w:rFonts w:hint="default" w:ascii="Times New Roman" w:hAnsi="Times New Roman" w:cs="Times New Roman"/>
          <w:b w:val="0"/>
          <w:bCs w:val="0"/>
          <w:color w:val="auto"/>
          <w:kern w:val="0"/>
          <w:sz w:val="24"/>
          <w:highlight w:val="none"/>
          <w:lang w:eastAsia="zh-CN" w:bidi="ar"/>
        </w:rPr>
        <w:t>。本项目在生态保护红线内的具体占地情况见</w:t>
      </w:r>
      <w:r>
        <w:rPr>
          <w:rFonts w:hint="eastAsia" w:cs="Times New Roman"/>
          <w:b w:val="0"/>
          <w:bCs w:val="0"/>
          <w:color w:val="auto"/>
          <w:kern w:val="0"/>
          <w:sz w:val="24"/>
          <w:highlight w:val="none"/>
          <w:lang w:val="en-US" w:eastAsia="zh-CN" w:bidi="ar"/>
        </w:rPr>
        <w:t>专题</w:t>
      </w:r>
      <w:r>
        <w:rPr>
          <w:rFonts w:hint="default" w:ascii="Times New Roman" w:hAnsi="Times New Roman" w:cs="Times New Roman"/>
          <w:b w:val="0"/>
          <w:bCs w:val="0"/>
          <w:color w:val="auto"/>
          <w:kern w:val="0"/>
          <w:sz w:val="24"/>
          <w:highlight w:val="none"/>
          <w:lang w:eastAsia="zh-CN" w:bidi="ar"/>
        </w:rPr>
        <w:t>表</w:t>
      </w:r>
      <w:r>
        <w:rPr>
          <w:rFonts w:hint="eastAsia" w:cs="Times New Roman"/>
          <w:b w:val="0"/>
          <w:bCs w:val="0"/>
          <w:color w:val="auto"/>
          <w:kern w:val="0"/>
          <w:sz w:val="24"/>
          <w:highlight w:val="none"/>
          <w:lang w:val="en-US" w:eastAsia="zh-CN" w:bidi="ar"/>
        </w:rPr>
        <w:t>2</w:t>
      </w:r>
      <w:r>
        <w:rPr>
          <w:rFonts w:hint="default" w:ascii="Times New Roman" w:hAnsi="Times New Roman" w:cs="Times New Roman"/>
          <w:b w:val="0"/>
          <w:bCs w:val="0"/>
          <w:color w:val="auto"/>
          <w:kern w:val="0"/>
          <w:sz w:val="24"/>
          <w:highlight w:val="none"/>
          <w:lang w:eastAsia="zh-CN" w:bidi="ar"/>
        </w:rPr>
        <w:t>-1</w:t>
      </w:r>
      <w:r>
        <w:rPr>
          <w:rFonts w:hint="eastAsia" w:cs="Times New Roman"/>
          <w:b w:val="0"/>
          <w:bCs w:val="0"/>
          <w:color w:val="auto"/>
          <w:kern w:val="0"/>
          <w:sz w:val="24"/>
          <w:highlight w:val="none"/>
          <w:lang w:val="en-US" w:eastAsia="zh-CN" w:bidi="ar"/>
        </w:rPr>
        <w:t>4、2-15</w:t>
      </w:r>
      <w:r>
        <w:rPr>
          <w:rFonts w:hint="default" w:ascii="Times New Roman" w:hAnsi="Times New Roman" w:cs="Times New Roman"/>
          <w:b w:val="0"/>
          <w:bCs w:val="0"/>
          <w:color w:val="auto"/>
          <w:kern w:val="0"/>
          <w:sz w:val="24"/>
          <w:highlight w:val="none"/>
          <w:lang w:eastAsia="zh-CN" w:bidi="ar"/>
        </w:rPr>
        <w:t>。</w:t>
      </w:r>
    </w:p>
    <w:p w14:paraId="144A3DF0">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eastAsiaTheme="minorEastAsia"/>
          <w:b/>
          <w:bCs/>
          <w:snapToGrid w:val="0"/>
          <w:color w:val="auto"/>
          <w:spacing w:val="-1"/>
          <w:kern w:val="0"/>
          <w:sz w:val="24"/>
          <w:szCs w:val="24"/>
          <w:lang w:val="en-US" w:eastAsia="en-US" w:bidi="ar-SA"/>
        </w:rPr>
      </w:pPr>
      <w:r>
        <w:rPr>
          <w:rFonts w:hint="default" w:ascii="Times New Roman" w:hAnsi="Times New Roman" w:cs="Times New Roman" w:eastAsiaTheme="minorEastAsia"/>
          <w:b/>
          <w:bCs/>
          <w:snapToGrid w:val="0"/>
          <w:color w:val="auto"/>
          <w:spacing w:val="-1"/>
          <w:kern w:val="0"/>
          <w:sz w:val="24"/>
          <w:szCs w:val="24"/>
          <w:lang w:val="en-US" w:eastAsia="en-US" w:bidi="ar-SA"/>
        </w:rPr>
        <w:t>表</w:t>
      </w:r>
      <w:r>
        <w:rPr>
          <w:rFonts w:hint="eastAsia" w:ascii="Times New Roman" w:hAnsi="Times New Roman" w:cs="Times New Roman" w:eastAsiaTheme="minorEastAsia"/>
          <w:b/>
          <w:bCs/>
          <w:snapToGrid w:val="0"/>
          <w:color w:val="auto"/>
          <w:spacing w:val="-1"/>
          <w:kern w:val="0"/>
          <w:sz w:val="24"/>
          <w:szCs w:val="24"/>
          <w:lang w:val="en-US" w:eastAsia="zh-CN" w:bidi="ar-SA"/>
        </w:rPr>
        <w:t>2</w:t>
      </w:r>
      <w:r>
        <w:rPr>
          <w:rFonts w:hint="default" w:ascii="Times New Roman" w:hAnsi="Times New Roman" w:cs="Times New Roman" w:eastAsiaTheme="minorEastAsia"/>
          <w:b/>
          <w:bCs/>
          <w:snapToGrid w:val="0"/>
          <w:color w:val="auto"/>
          <w:spacing w:val="-1"/>
          <w:kern w:val="0"/>
          <w:sz w:val="24"/>
          <w:szCs w:val="24"/>
          <w:lang w:val="en-US" w:eastAsia="en-US" w:bidi="ar-SA"/>
        </w:rPr>
        <w:t>-</w:t>
      </w:r>
      <w:r>
        <w:rPr>
          <w:rFonts w:hint="eastAsia" w:ascii="Times New Roman" w:hAnsi="Times New Roman" w:cs="Times New Roman" w:eastAsiaTheme="minorEastAsia"/>
          <w:b/>
          <w:bCs/>
          <w:snapToGrid w:val="0"/>
          <w:color w:val="auto"/>
          <w:spacing w:val="-1"/>
          <w:kern w:val="0"/>
          <w:sz w:val="24"/>
          <w:szCs w:val="24"/>
          <w:lang w:val="en-US" w:eastAsia="zh-CN" w:bidi="ar-SA"/>
        </w:rPr>
        <w:t>14</w:t>
      </w:r>
      <w:r>
        <w:rPr>
          <w:rFonts w:hint="default" w:ascii="Times New Roman" w:hAnsi="Times New Roman" w:cs="Times New Roman" w:eastAsiaTheme="minorEastAsia"/>
          <w:b/>
          <w:bCs/>
          <w:snapToGrid w:val="0"/>
          <w:color w:val="auto"/>
          <w:spacing w:val="-1"/>
          <w:kern w:val="0"/>
          <w:sz w:val="24"/>
          <w:szCs w:val="24"/>
          <w:lang w:val="en-US" w:eastAsia="en-US" w:bidi="ar-SA"/>
        </w:rPr>
        <w:t xml:space="preserve"> </w:t>
      </w:r>
      <w:r>
        <w:rPr>
          <w:rFonts w:hint="eastAsia" w:ascii="Times New Roman" w:hAnsi="Times New Roman" w:cs="Times New Roman" w:eastAsiaTheme="minorEastAsia"/>
          <w:b/>
          <w:bCs/>
          <w:snapToGrid w:val="0"/>
          <w:color w:val="auto"/>
          <w:spacing w:val="-1"/>
          <w:kern w:val="0"/>
          <w:sz w:val="24"/>
          <w:szCs w:val="24"/>
          <w:lang w:val="en-US" w:eastAsia="zh-CN" w:bidi="ar-SA"/>
        </w:rPr>
        <w:t xml:space="preserve"> </w:t>
      </w:r>
      <w:r>
        <w:rPr>
          <w:rFonts w:hint="default" w:ascii="Times New Roman" w:hAnsi="Times New Roman" w:cs="Times New Roman" w:eastAsiaTheme="minorEastAsia"/>
          <w:b/>
          <w:bCs/>
          <w:snapToGrid w:val="0"/>
          <w:color w:val="auto"/>
          <w:spacing w:val="-1"/>
          <w:kern w:val="0"/>
          <w:sz w:val="24"/>
          <w:szCs w:val="24"/>
          <w:lang w:val="en-US" w:eastAsia="zh-CN" w:bidi="ar-SA"/>
        </w:rPr>
        <w:t>项目在生态</w:t>
      </w:r>
      <w:r>
        <w:rPr>
          <w:rFonts w:hint="eastAsia" w:ascii="Times New Roman" w:hAnsi="Times New Roman" w:cs="Times New Roman" w:eastAsiaTheme="minorEastAsia"/>
          <w:b/>
          <w:bCs/>
          <w:snapToGrid w:val="0"/>
          <w:color w:val="auto"/>
          <w:spacing w:val="-1"/>
          <w:kern w:val="0"/>
          <w:sz w:val="24"/>
          <w:szCs w:val="24"/>
          <w:lang w:val="en-US" w:eastAsia="zh-CN" w:bidi="ar-SA"/>
        </w:rPr>
        <w:t>保护</w:t>
      </w:r>
      <w:r>
        <w:rPr>
          <w:rFonts w:hint="default" w:ascii="Times New Roman" w:hAnsi="Times New Roman" w:cs="Times New Roman" w:eastAsiaTheme="minorEastAsia"/>
          <w:b/>
          <w:bCs/>
          <w:snapToGrid w:val="0"/>
          <w:color w:val="auto"/>
          <w:spacing w:val="-1"/>
          <w:kern w:val="0"/>
          <w:sz w:val="24"/>
          <w:szCs w:val="24"/>
          <w:lang w:val="en-US" w:eastAsia="zh-CN" w:bidi="ar-SA"/>
        </w:rPr>
        <w:t xml:space="preserve">红线内永久用地情况表 </w:t>
      </w:r>
      <w:r>
        <w:rPr>
          <w:rFonts w:hint="eastAsia" w:ascii="Times New Roman" w:hAnsi="Times New Roman" w:cs="Times New Roman" w:eastAsiaTheme="minorEastAsia"/>
          <w:b/>
          <w:bCs/>
          <w:snapToGrid w:val="0"/>
          <w:color w:val="auto"/>
          <w:spacing w:val="-1"/>
          <w:kern w:val="0"/>
          <w:sz w:val="24"/>
          <w:szCs w:val="24"/>
          <w:lang w:val="en-US" w:eastAsia="zh-CN" w:bidi="ar-SA"/>
        </w:rPr>
        <w:t xml:space="preserve">  </w:t>
      </w:r>
      <w:r>
        <w:rPr>
          <w:rFonts w:hint="default" w:ascii="Times New Roman" w:hAnsi="Times New Roman" w:cs="Times New Roman" w:eastAsiaTheme="minorEastAsia"/>
          <w:b/>
          <w:bCs/>
          <w:snapToGrid w:val="0"/>
          <w:color w:val="auto"/>
          <w:spacing w:val="-1"/>
          <w:kern w:val="0"/>
          <w:sz w:val="24"/>
          <w:szCs w:val="24"/>
          <w:lang w:val="en-US" w:eastAsia="zh-CN" w:bidi="ar-SA"/>
        </w:rPr>
        <w:t>单位：</w:t>
      </w:r>
      <w:r>
        <w:rPr>
          <w:rFonts w:hint="default" w:ascii="Times New Roman" w:hAnsi="Times New Roman" w:cs="Times New Roman" w:eastAsiaTheme="minorEastAsia"/>
          <w:b/>
          <w:bCs/>
          <w:snapToGrid w:val="0"/>
          <w:color w:val="auto"/>
          <w:spacing w:val="-1"/>
          <w:kern w:val="0"/>
          <w:sz w:val="24"/>
          <w:szCs w:val="24"/>
          <w:lang w:val="en-US" w:eastAsia="en-US" w:bidi="ar-SA"/>
        </w:rPr>
        <w:t>hm</w:t>
      </w:r>
      <w:r>
        <w:rPr>
          <w:rFonts w:hint="default" w:ascii="Times New Roman" w:hAnsi="Times New Roman" w:cs="Times New Roman" w:eastAsiaTheme="minorEastAsia"/>
          <w:b/>
          <w:bCs/>
          <w:snapToGrid w:val="0"/>
          <w:color w:val="auto"/>
          <w:spacing w:val="-1"/>
          <w:kern w:val="0"/>
          <w:sz w:val="24"/>
          <w:szCs w:val="24"/>
          <w:vertAlign w:val="superscript"/>
          <w:lang w:val="en-US" w:eastAsia="en-US" w:bidi="ar-SA"/>
        </w:rPr>
        <w:t>2</w:t>
      </w:r>
    </w:p>
    <w:tbl>
      <w:tblPr>
        <w:tblStyle w:val="31"/>
        <w:tblW w:w="901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041"/>
        <w:gridCol w:w="1165"/>
        <w:gridCol w:w="1868"/>
        <w:gridCol w:w="1815"/>
        <w:gridCol w:w="1657"/>
        <w:gridCol w:w="1468"/>
      </w:tblGrid>
      <w:tr w14:paraId="455D00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0" w:hRule="atLeast"/>
          <w:jc w:val="center"/>
        </w:trPr>
        <w:tc>
          <w:tcPr>
            <w:tcW w:w="1041" w:type="dxa"/>
            <w:vMerge w:val="restart"/>
            <w:tcBorders>
              <w:tl2br w:val="nil"/>
              <w:tr2bl w:val="nil"/>
            </w:tcBorders>
            <w:shd w:val="clear" w:color="auto" w:fill="auto"/>
            <w:vAlign w:val="center"/>
          </w:tcPr>
          <w:p w14:paraId="6AF7E23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color w:val="auto"/>
                <w:sz w:val="21"/>
                <w:szCs w:val="21"/>
                <w:u w:val="none"/>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县名</w:t>
            </w:r>
          </w:p>
        </w:tc>
        <w:tc>
          <w:tcPr>
            <w:tcW w:w="3033" w:type="dxa"/>
            <w:gridSpan w:val="2"/>
            <w:tcBorders>
              <w:tl2br w:val="nil"/>
              <w:tr2bl w:val="nil"/>
            </w:tcBorders>
            <w:shd w:val="clear" w:color="auto" w:fill="auto"/>
            <w:vAlign w:val="center"/>
          </w:tcPr>
          <w:p w14:paraId="73521A9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color w:val="auto"/>
                <w:sz w:val="21"/>
                <w:szCs w:val="21"/>
                <w:u w:val="none"/>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用地类型</w:t>
            </w:r>
          </w:p>
        </w:tc>
        <w:tc>
          <w:tcPr>
            <w:tcW w:w="3472" w:type="dxa"/>
            <w:gridSpan w:val="2"/>
            <w:tcBorders>
              <w:tl2br w:val="nil"/>
              <w:tr2bl w:val="nil"/>
            </w:tcBorders>
            <w:shd w:val="clear" w:color="auto" w:fill="auto"/>
            <w:vAlign w:val="center"/>
          </w:tcPr>
          <w:p w14:paraId="679562B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color w:val="auto"/>
                <w:sz w:val="21"/>
                <w:szCs w:val="21"/>
                <w:u w:val="none"/>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用地性质及面积</w:t>
            </w:r>
          </w:p>
        </w:tc>
        <w:tc>
          <w:tcPr>
            <w:tcW w:w="1468" w:type="dxa"/>
            <w:vMerge w:val="restart"/>
            <w:tcBorders>
              <w:tl2br w:val="nil"/>
              <w:tr2bl w:val="nil"/>
            </w:tcBorders>
            <w:shd w:val="clear" w:color="auto" w:fill="auto"/>
            <w:noWrap/>
            <w:vAlign w:val="center"/>
          </w:tcPr>
          <w:p w14:paraId="4B830DC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color w:val="auto"/>
                <w:sz w:val="21"/>
                <w:szCs w:val="21"/>
                <w:u w:val="none"/>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总计</w:t>
            </w:r>
          </w:p>
        </w:tc>
      </w:tr>
      <w:tr w14:paraId="465CF1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63" w:hRule="atLeast"/>
          <w:jc w:val="center"/>
        </w:trPr>
        <w:tc>
          <w:tcPr>
            <w:tcW w:w="1041" w:type="dxa"/>
            <w:vMerge w:val="continue"/>
            <w:tcBorders>
              <w:tl2br w:val="nil"/>
              <w:tr2bl w:val="nil"/>
            </w:tcBorders>
            <w:shd w:val="clear" w:color="auto" w:fill="auto"/>
            <w:vAlign w:val="center"/>
          </w:tcPr>
          <w:p w14:paraId="4CEADAAB">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ajorEastAsia"/>
                <w:b/>
                <w:bCs/>
                <w:i w:val="0"/>
                <w:iCs w:val="0"/>
                <w:color w:val="auto"/>
                <w:sz w:val="21"/>
                <w:szCs w:val="21"/>
                <w:u w:val="none"/>
              </w:rPr>
            </w:pPr>
          </w:p>
        </w:tc>
        <w:tc>
          <w:tcPr>
            <w:tcW w:w="1165" w:type="dxa"/>
            <w:tcBorders>
              <w:tl2br w:val="nil"/>
              <w:tr2bl w:val="nil"/>
            </w:tcBorders>
            <w:shd w:val="clear" w:color="auto" w:fill="auto"/>
            <w:vAlign w:val="center"/>
          </w:tcPr>
          <w:p w14:paraId="0F4C67B5">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color w:val="auto"/>
                <w:sz w:val="21"/>
                <w:szCs w:val="21"/>
                <w:u w:val="none"/>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一级类</w:t>
            </w:r>
          </w:p>
        </w:tc>
        <w:tc>
          <w:tcPr>
            <w:tcW w:w="1868" w:type="dxa"/>
            <w:tcBorders>
              <w:tl2br w:val="nil"/>
              <w:tr2bl w:val="nil"/>
            </w:tcBorders>
            <w:shd w:val="clear" w:color="auto" w:fill="auto"/>
            <w:vAlign w:val="center"/>
          </w:tcPr>
          <w:p w14:paraId="1CFA062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color w:val="auto"/>
                <w:sz w:val="21"/>
                <w:szCs w:val="21"/>
                <w:u w:val="none"/>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二级类</w:t>
            </w:r>
          </w:p>
        </w:tc>
        <w:tc>
          <w:tcPr>
            <w:tcW w:w="1815" w:type="dxa"/>
            <w:tcBorders>
              <w:tl2br w:val="nil"/>
              <w:tr2bl w:val="nil"/>
            </w:tcBorders>
            <w:shd w:val="clear" w:color="auto" w:fill="auto"/>
            <w:vAlign w:val="center"/>
          </w:tcPr>
          <w:p w14:paraId="2000D3E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color w:val="auto"/>
                <w:sz w:val="21"/>
                <w:szCs w:val="21"/>
                <w:u w:val="none"/>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塔基编号</w:t>
            </w:r>
          </w:p>
        </w:tc>
        <w:tc>
          <w:tcPr>
            <w:tcW w:w="1657" w:type="dxa"/>
            <w:tcBorders>
              <w:tl2br w:val="nil"/>
              <w:tr2bl w:val="nil"/>
            </w:tcBorders>
            <w:shd w:val="clear" w:color="auto" w:fill="auto"/>
            <w:vAlign w:val="center"/>
          </w:tcPr>
          <w:p w14:paraId="160A7EF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snapToGrid w:val="0"/>
                <w:color w:val="auto"/>
                <w:kern w:val="0"/>
                <w:sz w:val="21"/>
                <w:szCs w:val="21"/>
                <w:u w:val="none"/>
                <w:lang w:val="en-US" w:eastAsia="zh-CN" w:bidi="ar"/>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塔基用地</w:t>
            </w:r>
          </w:p>
        </w:tc>
        <w:tc>
          <w:tcPr>
            <w:tcW w:w="1468" w:type="dxa"/>
            <w:vMerge w:val="continue"/>
            <w:tcBorders>
              <w:tl2br w:val="nil"/>
              <w:tr2bl w:val="nil"/>
            </w:tcBorders>
            <w:shd w:val="clear" w:color="auto" w:fill="auto"/>
            <w:noWrap/>
            <w:vAlign w:val="center"/>
          </w:tcPr>
          <w:p w14:paraId="59C23804">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ajorEastAsia"/>
                <w:b/>
                <w:bCs/>
                <w:i w:val="0"/>
                <w:iCs w:val="0"/>
                <w:color w:val="auto"/>
                <w:sz w:val="21"/>
                <w:szCs w:val="21"/>
                <w:u w:val="none"/>
              </w:rPr>
            </w:pPr>
          </w:p>
        </w:tc>
      </w:tr>
      <w:tr w14:paraId="5570E1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041" w:type="dxa"/>
            <w:tcBorders>
              <w:tl2br w:val="nil"/>
              <w:tr2bl w:val="nil"/>
            </w:tcBorders>
            <w:shd w:val="clear" w:color="auto" w:fill="auto"/>
            <w:vAlign w:val="center"/>
          </w:tcPr>
          <w:p w14:paraId="0C10949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i w:val="0"/>
                <w:iCs w:val="0"/>
                <w:color w:val="auto"/>
                <w:sz w:val="21"/>
                <w:szCs w:val="21"/>
                <w:u w:val="none"/>
              </w:rPr>
            </w:pPr>
            <w:r>
              <w:rPr>
                <w:rFonts w:hint="default" w:ascii="Times New Roman" w:hAnsi="Times New Roman" w:cs="Times New Roman" w:eastAsiaTheme="majorEastAsia"/>
                <w:i w:val="0"/>
                <w:iCs w:val="0"/>
                <w:snapToGrid w:val="0"/>
                <w:color w:val="auto"/>
                <w:kern w:val="0"/>
                <w:sz w:val="21"/>
                <w:szCs w:val="21"/>
                <w:u w:val="none"/>
                <w:lang w:val="en-US" w:eastAsia="zh-CN" w:bidi="ar"/>
              </w:rPr>
              <w:t>原州区</w:t>
            </w:r>
          </w:p>
        </w:tc>
        <w:tc>
          <w:tcPr>
            <w:tcW w:w="1165" w:type="dxa"/>
            <w:tcBorders>
              <w:tl2br w:val="nil"/>
              <w:tr2bl w:val="nil"/>
            </w:tcBorders>
            <w:shd w:val="clear" w:color="auto" w:fill="auto"/>
            <w:noWrap/>
            <w:vAlign w:val="center"/>
          </w:tcPr>
          <w:p w14:paraId="6AA4D1CF">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i w:val="0"/>
                <w:iCs w:val="0"/>
                <w:snapToGrid w:val="0"/>
                <w:color w:val="auto"/>
                <w:kern w:val="0"/>
                <w:sz w:val="21"/>
                <w:szCs w:val="21"/>
                <w:u w:val="none"/>
                <w:lang w:val="en-US" w:eastAsia="zh-CN" w:bidi="ar"/>
              </w:rPr>
            </w:pPr>
            <w:r>
              <w:rPr>
                <w:rFonts w:hint="default" w:ascii="Times New Roman" w:hAnsi="Times New Roman" w:cs="Times New Roman" w:eastAsiaTheme="majorEastAsia"/>
                <w:i w:val="0"/>
                <w:iCs w:val="0"/>
                <w:snapToGrid w:val="0"/>
                <w:color w:val="auto"/>
                <w:kern w:val="0"/>
                <w:sz w:val="21"/>
                <w:szCs w:val="21"/>
                <w:u w:val="none"/>
                <w:lang w:val="en-US" w:eastAsia="zh-CN" w:bidi="ar"/>
              </w:rPr>
              <w:t>林地</w:t>
            </w:r>
          </w:p>
        </w:tc>
        <w:tc>
          <w:tcPr>
            <w:tcW w:w="1868" w:type="dxa"/>
            <w:tcBorders>
              <w:tl2br w:val="nil"/>
              <w:tr2bl w:val="nil"/>
            </w:tcBorders>
            <w:shd w:val="clear" w:color="auto" w:fill="auto"/>
            <w:noWrap/>
            <w:vAlign w:val="center"/>
          </w:tcPr>
          <w:p w14:paraId="45DF85F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i w:val="0"/>
                <w:iCs w:val="0"/>
                <w:snapToGrid w:val="0"/>
                <w:color w:val="auto"/>
                <w:kern w:val="0"/>
                <w:sz w:val="21"/>
                <w:szCs w:val="21"/>
                <w:u w:val="none"/>
                <w:lang w:val="en-US" w:eastAsia="zh-CN" w:bidi="ar"/>
              </w:rPr>
            </w:pPr>
            <w:r>
              <w:rPr>
                <w:rFonts w:hint="default" w:ascii="Times New Roman" w:hAnsi="Times New Roman" w:cs="Times New Roman" w:eastAsiaTheme="majorEastAsia"/>
                <w:i w:val="0"/>
                <w:iCs w:val="0"/>
                <w:snapToGrid w:val="0"/>
                <w:color w:val="auto"/>
                <w:kern w:val="0"/>
                <w:sz w:val="21"/>
                <w:szCs w:val="21"/>
                <w:u w:val="none"/>
                <w:lang w:val="en-US" w:eastAsia="zh-CN" w:bidi="ar"/>
              </w:rPr>
              <w:t>灌木林地</w:t>
            </w:r>
          </w:p>
        </w:tc>
        <w:tc>
          <w:tcPr>
            <w:tcW w:w="1815" w:type="dxa"/>
            <w:tcBorders>
              <w:tl2br w:val="nil"/>
              <w:tr2bl w:val="nil"/>
            </w:tcBorders>
            <w:shd w:val="clear" w:color="auto" w:fill="auto"/>
            <w:noWrap/>
            <w:vAlign w:val="center"/>
          </w:tcPr>
          <w:p w14:paraId="44ADFDC6">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ajorEastAsia"/>
                <w:i w:val="0"/>
                <w:iCs w:val="0"/>
                <w:color w:val="auto"/>
                <w:sz w:val="21"/>
                <w:szCs w:val="21"/>
                <w:u w:val="none"/>
                <w:lang w:val="en-US" w:eastAsia="zh-CN"/>
              </w:rPr>
            </w:pPr>
            <w:r>
              <w:rPr>
                <w:rFonts w:hint="default" w:ascii="Times New Roman" w:hAnsi="Times New Roman" w:cs="Times New Roman" w:eastAsiaTheme="majorEastAsia"/>
                <w:i w:val="0"/>
                <w:iCs w:val="0"/>
                <w:snapToGrid w:val="0"/>
                <w:color w:val="auto"/>
                <w:kern w:val="0"/>
                <w:sz w:val="21"/>
                <w:szCs w:val="21"/>
                <w:u w:val="none"/>
                <w:lang w:val="en-US" w:eastAsia="zh-CN" w:bidi="ar"/>
              </w:rPr>
              <w:t>N</w:t>
            </w:r>
            <w:r>
              <w:rPr>
                <w:rFonts w:hint="eastAsia" w:cs="Times New Roman" w:eastAsiaTheme="majorEastAsia"/>
                <w:i w:val="0"/>
                <w:iCs w:val="0"/>
                <w:snapToGrid w:val="0"/>
                <w:color w:val="auto"/>
                <w:kern w:val="0"/>
                <w:sz w:val="21"/>
                <w:szCs w:val="21"/>
                <w:u w:val="none"/>
                <w:lang w:val="en-US" w:eastAsia="zh-CN" w:bidi="ar"/>
              </w:rPr>
              <w:t>65</w:t>
            </w:r>
            <w:r>
              <w:rPr>
                <w:rFonts w:hint="default" w:ascii="Times New Roman" w:hAnsi="Times New Roman" w:cs="Times New Roman" w:eastAsiaTheme="majorEastAsia"/>
                <w:i w:val="0"/>
                <w:iCs w:val="0"/>
                <w:snapToGrid w:val="0"/>
                <w:color w:val="auto"/>
                <w:kern w:val="0"/>
                <w:sz w:val="21"/>
                <w:szCs w:val="21"/>
                <w:u w:val="none"/>
                <w:lang w:val="en-US" w:eastAsia="zh-CN" w:bidi="ar"/>
              </w:rPr>
              <w:t>~N</w:t>
            </w:r>
            <w:r>
              <w:rPr>
                <w:rFonts w:hint="eastAsia" w:cs="Times New Roman" w:eastAsiaTheme="majorEastAsia"/>
                <w:i w:val="0"/>
                <w:iCs w:val="0"/>
                <w:snapToGrid w:val="0"/>
                <w:color w:val="auto"/>
                <w:kern w:val="0"/>
                <w:sz w:val="21"/>
                <w:szCs w:val="21"/>
                <w:u w:val="none"/>
                <w:lang w:val="en-US" w:eastAsia="zh-CN" w:bidi="ar"/>
              </w:rPr>
              <w:t>80</w:t>
            </w:r>
          </w:p>
        </w:tc>
        <w:tc>
          <w:tcPr>
            <w:tcW w:w="1657" w:type="dxa"/>
            <w:tcBorders>
              <w:tl2br w:val="nil"/>
              <w:tr2bl w:val="nil"/>
            </w:tcBorders>
            <w:shd w:val="clear" w:color="auto" w:fill="auto"/>
            <w:noWrap/>
            <w:vAlign w:val="center"/>
          </w:tcPr>
          <w:p w14:paraId="60B7B8FF">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ajorEastAsia"/>
                <w:i w:val="0"/>
                <w:iCs w:val="0"/>
                <w:color w:val="auto"/>
                <w:sz w:val="21"/>
                <w:szCs w:val="21"/>
                <w:u w:val="none"/>
                <w:lang w:val="en-US" w:eastAsia="zh-CN"/>
              </w:rPr>
            </w:pPr>
            <w:r>
              <w:rPr>
                <w:rFonts w:hint="default" w:ascii="Times New Roman" w:hAnsi="Times New Roman" w:cs="Times New Roman" w:eastAsiaTheme="majorEastAsia"/>
                <w:i w:val="0"/>
                <w:iCs w:val="0"/>
                <w:color w:val="auto"/>
                <w:sz w:val="21"/>
                <w:szCs w:val="21"/>
                <w:u w:val="none"/>
                <w:lang w:val="en-US" w:eastAsia="zh-CN"/>
              </w:rPr>
              <w:t>0.0524</w:t>
            </w:r>
          </w:p>
        </w:tc>
        <w:tc>
          <w:tcPr>
            <w:tcW w:w="1468" w:type="dxa"/>
            <w:tcBorders>
              <w:tl2br w:val="nil"/>
              <w:tr2bl w:val="nil"/>
            </w:tcBorders>
            <w:shd w:val="clear" w:color="auto" w:fill="auto"/>
            <w:noWrap/>
            <w:vAlign w:val="center"/>
          </w:tcPr>
          <w:p w14:paraId="3F7A1A1F">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ajorEastAsia"/>
                <w:i w:val="0"/>
                <w:iCs w:val="0"/>
                <w:snapToGrid w:val="0"/>
                <w:color w:val="auto"/>
                <w:kern w:val="0"/>
                <w:sz w:val="21"/>
                <w:szCs w:val="21"/>
                <w:u w:val="none"/>
                <w:lang w:val="en-US" w:eastAsia="zh-CN" w:bidi="ar-SA"/>
              </w:rPr>
            </w:pPr>
            <w:r>
              <w:rPr>
                <w:rFonts w:hint="default" w:ascii="Times New Roman" w:hAnsi="Times New Roman" w:cs="Times New Roman" w:eastAsiaTheme="majorEastAsia"/>
                <w:i w:val="0"/>
                <w:iCs w:val="0"/>
                <w:color w:val="auto"/>
                <w:sz w:val="21"/>
                <w:szCs w:val="21"/>
                <w:u w:val="none"/>
                <w:lang w:val="en-US" w:eastAsia="zh-CN"/>
              </w:rPr>
              <w:t>0.0524</w:t>
            </w:r>
          </w:p>
        </w:tc>
      </w:tr>
      <w:tr w14:paraId="338DF2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074" w:type="dxa"/>
            <w:gridSpan w:val="3"/>
            <w:tcBorders>
              <w:tl2br w:val="nil"/>
              <w:tr2bl w:val="nil"/>
            </w:tcBorders>
            <w:shd w:val="clear" w:color="auto" w:fill="auto"/>
            <w:vAlign w:val="center"/>
          </w:tcPr>
          <w:p w14:paraId="2FB3EFD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snapToGrid w:val="0"/>
                <w:color w:val="auto"/>
                <w:kern w:val="0"/>
                <w:sz w:val="21"/>
                <w:szCs w:val="21"/>
                <w:u w:val="none"/>
                <w:lang w:val="en-US" w:eastAsia="zh-CN" w:bidi="ar"/>
              </w:rPr>
            </w:pPr>
            <w:r>
              <w:rPr>
                <w:rFonts w:hint="eastAsia" w:ascii="Times New Roman" w:hAnsi="Times New Roman" w:cs="Times New Roman" w:eastAsiaTheme="majorEastAsia"/>
                <w:b/>
                <w:bCs/>
                <w:i w:val="0"/>
                <w:iCs w:val="0"/>
                <w:snapToGrid w:val="0"/>
                <w:color w:val="auto"/>
                <w:kern w:val="0"/>
                <w:sz w:val="21"/>
                <w:szCs w:val="21"/>
                <w:u w:val="none"/>
                <w:lang w:val="en-US" w:eastAsia="zh-CN" w:bidi="ar"/>
              </w:rPr>
              <w:t>合</w:t>
            </w:r>
            <w:r>
              <w:rPr>
                <w:rFonts w:hint="default" w:ascii="Times New Roman" w:hAnsi="Times New Roman" w:cs="Times New Roman" w:eastAsiaTheme="majorEastAsia"/>
                <w:b/>
                <w:bCs/>
                <w:i w:val="0"/>
                <w:iCs w:val="0"/>
                <w:snapToGrid w:val="0"/>
                <w:color w:val="auto"/>
                <w:kern w:val="0"/>
                <w:sz w:val="21"/>
                <w:szCs w:val="21"/>
                <w:u w:val="none"/>
                <w:lang w:val="en-US" w:eastAsia="zh-CN" w:bidi="ar"/>
              </w:rPr>
              <w:t>计</w:t>
            </w:r>
          </w:p>
        </w:tc>
        <w:tc>
          <w:tcPr>
            <w:tcW w:w="1815" w:type="dxa"/>
            <w:tcBorders>
              <w:tl2br w:val="nil"/>
              <w:tr2bl w:val="nil"/>
            </w:tcBorders>
            <w:shd w:val="clear" w:color="auto" w:fill="auto"/>
            <w:vAlign w:val="center"/>
          </w:tcPr>
          <w:p w14:paraId="3E47F33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color w:val="auto"/>
                <w:sz w:val="21"/>
                <w:szCs w:val="21"/>
                <w:u w:val="none"/>
                <w:lang w:val="en-US" w:eastAsia="zh-CN"/>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共1</w:t>
            </w:r>
            <w:r>
              <w:rPr>
                <w:rFonts w:hint="eastAsia" w:cs="Times New Roman" w:eastAsiaTheme="majorEastAsia"/>
                <w:b/>
                <w:bCs/>
                <w:i w:val="0"/>
                <w:iCs w:val="0"/>
                <w:snapToGrid w:val="0"/>
                <w:color w:val="auto"/>
                <w:kern w:val="0"/>
                <w:sz w:val="21"/>
                <w:szCs w:val="21"/>
                <w:u w:val="none"/>
                <w:lang w:val="en-US" w:eastAsia="zh-CN" w:bidi="ar"/>
              </w:rPr>
              <w:t>6</w:t>
            </w:r>
            <w:r>
              <w:rPr>
                <w:rFonts w:hint="default" w:ascii="Times New Roman" w:hAnsi="Times New Roman" w:cs="Times New Roman" w:eastAsiaTheme="majorEastAsia"/>
                <w:b/>
                <w:bCs/>
                <w:i w:val="0"/>
                <w:iCs w:val="0"/>
                <w:snapToGrid w:val="0"/>
                <w:color w:val="auto"/>
                <w:kern w:val="0"/>
                <w:sz w:val="21"/>
                <w:szCs w:val="21"/>
                <w:u w:val="none"/>
                <w:lang w:val="en-US" w:eastAsia="zh-CN" w:bidi="ar"/>
              </w:rPr>
              <w:t>基</w:t>
            </w:r>
          </w:p>
        </w:tc>
        <w:tc>
          <w:tcPr>
            <w:tcW w:w="1657" w:type="dxa"/>
            <w:tcBorders>
              <w:tl2br w:val="nil"/>
              <w:tr2bl w:val="nil"/>
            </w:tcBorders>
            <w:shd w:val="clear" w:color="auto" w:fill="auto"/>
            <w:noWrap/>
            <w:vAlign w:val="center"/>
          </w:tcPr>
          <w:p w14:paraId="616CDB98">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ajorEastAsia"/>
                <w:b/>
                <w:bCs/>
                <w:i w:val="0"/>
                <w:iCs w:val="0"/>
                <w:color w:val="auto"/>
                <w:sz w:val="21"/>
                <w:szCs w:val="21"/>
                <w:u w:val="none"/>
                <w:lang w:val="en-US" w:eastAsia="zh-CN"/>
              </w:rPr>
            </w:pPr>
            <w:r>
              <w:rPr>
                <w:rFonts w:hint="default" w:ascii="Times New Roman" w:hAnsi="Times New Roman" w:cs="Times New Roman" w:eastAsiaTheme="majorEastAsia"/>
                <w:i w:val="0"/>
                <w:iCs w:val="0"/>
                <w:color w:val="auto"/>
                <w:sz w:val="21"/>
                <w:szCs w:val="21"/>
                <w:u w:val="none"/>
                <w:lang w:val="en-US" w:eastAsia="zh-CN"/>
              </w:rPr>
              <w:t>0.0524</w:t>
            </w:r>
          </w:p>
        </w:tc>
        <w:tc>
          <w:tcPr>
            <w:tcW w:w="1468" w:type="dxa"/>
            <w:tcBorders>
              <w:tl2br w:val="nil"/>
              <w:tr2bl w:val="nil"/>
            </w:tcBorders>
            <w:shd w:val="clear" w:color="auto" w:fill="auto"/>
            <w:noWrap/>
            <w:vAlign w:val="center"/>
          </w:tcPr>
          <w:p w14:paraId="4688F07D">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ajorEastAsia"/>
                <w:b/>
                <w:bCs/>
                <w:i w:val="0"/>
                <w:iCs w:val="0"/>
                <w:color w:val="auto"/>
                <w:sz w:val="21"/>
                <w:szCs w:val="21"/>
                <w:u w:val="none"/>
                <w:lang w:val="en-US" w:eastAsia="zh-CN"/>
              </w:rPr>
            </w:pPr>
            <w:r>
              <w:rPr>
                <w:rFonts w:hint="default" w:ascii="Times New Roman" w:hAnsi="Times New Roman" w:cs="Times New Roman" w:eastAsiaTheme="majorEastAsia"/>
                <w:i w:val="0"/>
                <w:iCs w:val="0"/>
                <w:color w:val="auto"/>
                <w:sz w:val="21"/>
                <w:szCs w:val="21"/>
                <w:u w:val="none"/>
                <w:lang w:val="en-US" w:eastAsia="zh-CN"/>
              </w:rPr>
              <w:t>0.0524</w:t>
            </w:r>
          </w:p>
        </w:tc>
      </w:tr>
      <w:tr w14:paraId="39F1B9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041" w:type="dxa"/>
            <w:vMerge w:val="restart"/>
            <w:tcBorders>
              <w:tl2br w:val="nil"/>
              <w:tr2bl w:val="nil"/>
            </w:tcBorders>
            <w:shd w:val="clear" w:color="auto" w:fill="auto"/>
            <w:vAlign w:val="center"/>
          </w:tcPr>
          <w:p w14:paraId="045942E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彭阳县</w:t>
            </w:r>
          </w:p>
        </w:tc>
        <w:tc>
          <w:tcPr>
            <w:tcW w:w="1165" w:type="dxa"/>
            <w:vMerge w:val="restart"/>
            <w:tcBorders>
              <w:tl2br w:val="nil"/>
              <w:tr2bl w:val="nil"/>
            </w:tcBorders>
            <w:shd w:val="clear" w:color="auto" w:fill="auto"/>
            <w:noWrap/>
            <w:vAlign w:val="center"/>
          </w:tcPr>
          <w:p w14:paraId="606966A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林地</w:t>
            </w:r>
          </w:p>
        </w:tc>
        <w:tc>
          <w:tcPr>
            <w:tcW w:w="1868" w:type="dxa"/>
            <w:tcBorders>
              <w:tl2br w:val="nil"/>
              <w:tr2bl w:val="nil"/>
            </w:tcBorders>
            <w:shd w:val="clear" w:color="auto" w:fill="auto"/>
            <w:noWrap/>
            <w:vAlign w:val="center"/>
          </w:tcPr>
          <w:p w14:paraId="2EC670D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灌木林地</w:t>
            </w:r>
          </w:p>
        </w:tc>
        <w:tc>
          <w:tcPr>
            <w:tcW w:w="1815" w:type="dxa"/>
            <w:tcBorders>
              <w:tl2br w:val="nil"/>
              <w:tr2bl w:val="nil"/>
            </w:tcBorders>
            <w:shd w:val="clear" w:color="auto" w:fill="auto"/>
            <w:noWrap/>
            <w:vAlign w:val="center"/>
          </w:tcPr>
          <w:p w14:paraId="300A67D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N55、N48-N53</w:t>
            </w:r>
          </w:p>
        </w:tc>
        <w:tc>
          <w:tcPr>
            <w:tcW w:w="1657" w:type="dxa"/>
            <w:tcBorders>
              <w:tl2br w:val="nil"/>
              <w:tr2bl w:val="nil"/>
            </w:tcBorders>
            <w:shd w:val="clear" w:color="auto" w:fill="auto"/>
            <w:noWrap/>
            <w:vAlign w:val="center"/>
          </w:tcPr>
          <w:p w14:paraId="5802AD6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0.0214</w:t>
            </w:r>
          </w:p>
        </w:tc>
        <w:tc>
          <w:tcPr>
            <w:tcW w:w="1468" w:type="dxa"/>
            <w:tcBorders>
              <w:tl2br w:val="nil"/>
              <w:tr2bl w:val="nil"/>
            </w:tcBorders>
            <w:shd w:val="clear" w:color="auto" w:fill="auto"/>
            <w:noWrap/>
            <w:vAlign w:val="center"/>
          </w:tcPr>
          <w:p w14:paraId="470FFA7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0.0214</w:t>
            </w:r>
          </w:p>
        </w:tc>
      </w:tr>
      <w:tr w14:paraId="28550C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0" w:hRule="atLeast"/>
          <w:jc w:val="center"/>
        </w:trPr>
        <w:tc>
          <w:tcPr>
            <w:tcW w:w="1041" w:type="dxa"/>
            <w:vMerge w:val="continue"/>
            <w:tcBorders>
              <w:tl2br w:val="nil"/>
              <w:tr2bl w:val="nil"/>
            </w:tcBorders>
            <w:shd w:val="clear" w:color="auto" w:fill="auto"/>
            <w:vAlign w:val="center"/>
          </w:tcPr>
          <w:p w14:paraId="58EF743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165" w:type="dxa"/>
            <w:vMerge w:val="continue"/>
            <w:tcBorders>
              <w:tl2br w:val="nil"/>
              <w:tr2bl w:val="nil"/>
            </w:tcBorders>
            <w:shd w:val="clear" w:color="auto" w:fill="auto"/>
            <w:noWrap/>
            <w:vAlign w:val="center"/>
          </w:tcPr>
          <w:p w14:paraId="2F68E21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868" w:type="dxa"/>
            <w:tcBorders>
              <w:tl2br w:val="nil"/>
              <w:tr2bl w:val="nil"/>
            </w:tcBorders>
            <w:shd w:val="clear" w:color="auto" w:fill="auto"/>
            <w:noWrap/>
            <w:vAlign w:val="center"/>
          </w:tcPr>
          <w:p w14:paraId="4B713F6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其他林地</w:t>
            </w:r>
          </w:p>
        </w:tc>
        <w:tc>
          <w:tcPr>
            <w:tcW w:w="1815" w:type="dxa"/>
            <w:tcBorders>
              <w:tl2br w:val="nil"/>
              <w:tr2bl w:val="nil"/>
            </w:tcBorders>
            <w:shd w:val="clear" w:color="auto" w:fill="auto"/>
            <w:noWrap/>
            <w:vAlign w:val="center"/>
          </w:tcPr>
          <w:p w14:paraId="38E91E6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N43</w:t>
            </w:r>
          </w:p>
        </w:tc>
        <w:tc>
          <w:tcPr>
            <w:tcW w:w="1657" w:type="dxa"/>
            <w:tcBorders>
              <w:tl2br w:val="nil"/>
              <w:tr2bl w:val="nil"/>
            </w:tcBorders>
            <w:shd w:val="clear" w:color="auto" w:fill="auto"/>
            <w:noWrap/>
            <w:vAlign w:val="center"/>
          </w:tcPr>
          <w:p w14:paraId="3AD5F2C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0.0044</w:t>
            </w:r>
          </w:p>
        </w:tc>
        <w:tc>
          <w:tcPr>
            <w:tcW w:w="1468" w:type="dxa"/>
            <w:tcBorders>
              <w:tl2br w:val="nil"/>
              <w:tr2bl w:val="nil"/>
            </w:tcBorders>
            <w:shd w:val="clear" w:color="auto" w:fill="auto"/>
            <w:noWrap/>
            <w:vAlign w:val="center"/>
          </w:tcPr>
          <w:p w14:paraId="1BCBF828">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0.0044</w:t>
            </w:r>
          </w:p>
        </w:tc>
      </w:tr>
      <w:tr w14:paraId="216F88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041" w:type="dxa"/>
            <w:vMerge w:val="continue"/>
            <w:tcBorders>
              <w:tl2br w:val="nil"/>
              <w:tr2bl w:val="nil"/>
            </w:tcBorders>
            <w:shd w:val="clear" w:color="auto" w:fill="auto"/>
            <w:vAlign w:val="center"/>
          </w:tcPr>
          <w:p w14:paraId="7D06972F">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165" w:type="dxa"/>
            <w:tcBorders>
              <w:tl2br w:val="nil"/>
              <w:tr2bl w:val="nil"/>
            </w:tcBorders>
            <w:shd w:val="clear" w:color="auto" w:fill="auto"/>
            <w:noWrap/>
            <w:vAlign w:val="center"/>
          </w:tcPr>
          <w:p w14:paraId="3C04DBC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草地</w:t>
            </w:r>
          </w:p>
        </w:tc>
        <w:tc>
          <w:tcPr>
            <w:tcW w:w="1868" w:type="dxa"/>
            <w:tcBorders>
              <w:tl2br w:val="nil"/>
              <w:tr2bl w:val="nil"/>
            </w:tcBorders>
            <w:shd w:val="clear" w:color="auto" w:fill="auto"/>
            <w:noWrap/>
            <w:vAlign w:val="center"/>
          </w:tcPr>
          <w:p w14:paraId="5F467AE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天然牧草地</w:t>
            </w:r>
          </w:p>
        </w:tc>
        <w:tc>
          <w:tcPr>
            <w:tcW w:w="1815" w:type="dxa"/>
            <w:tcBorders>
              <w:tl2br w:val="nil"/>
              <w:tr2bl w:val="nil"/>
            </w:tcBorders>
            <w:shd w:val="clear" w:color="auto" w:fill="auto"/>
            <w:noWrap/>
            <w:vAlign w:val="center"/>
          </w:tcPr>
          <w:p w14:paraId="7F70B94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N46</w:t>
            </w:r>
          </w:p>
        </w:tc>
        <w:tc>
          <w:tcPr>
            <w:tcW w:w="1657" w:type="dxa"/>
            <w:tcBorders>
              <w:tl2br w:val="nil"/>
              <w:tr2bl w:val="nil"/>
            </w:tcBorders>
            <w:shd w:val="clear" w:color="auto" w:fill="auto"/>
            <w:noWrap/>
            <w:vAlign w:val="center"/>
          </w:tcPr>
          <w:p w14:paraId="604039A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0.0044</w:t>
            </w:r>
          </w:p>
        </w:tc>
        <w:tc>
          <w:tcPr>
            <w:tcW w:w="1468" w:type="dxa"/>
            <w:tcBorders>
              <w:tl2br w:val="nil"/>
              <w:tr2bl w:val="nil"/>
            </w:tcBorders>
            <w:shd w:val="clear" w:color="auto" w:fill="auto"/>
            <w:noWrap/>
            <w:vAlign w:val="center"/>
          </w:tcPr>
          <w:p w14:paraId="1A39DA2F">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0.0044</w:t>
            </w:r>
          </w:p>
        </w:tc>
      </w:tr>
      <w:tr w14:paraId="31F1D6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041" w:type="dxa"/>
            <w:vMerge w:val="continue"/>
            <w:tcBorders>
              <w:tl2br w:val="nil"/>
              <w:tr2bl w:val="nil"/>
            </w:tcBorders>
            <w:shd w:val="clear" w:color="auto" w:fill="auto"/>
            <w:vAlign w:val="center"/>
          </w:tcPr>
          <w:p w14:paraId="6247928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165" w:type="dxa"/>
            <w:vMerge w:val="restart"/>
            <w:tcBorders>
              <w:tl2br w:val="nil"/>
              <w:tr2bl w:val="nil"/>
            </w:tcBorders>
            <w:shd w:val="clear" w:color="auto" w:fill="auto"/>
            <w:noWrap/>
            <w:vAlign w:val="center"/>
          </w:tcPr>
          <w:p w14:paraId="4B78F2B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林地</w:t>
            </w:r>
          </w:p>
        </w:tc>
        <w:tc>
          <w:tcPr>
            <w:tcW w:w="1868" w:type="dxa"/>
            <w:tcBorders>
              <w:tl2br w:val="nil"/>
              <w:tr2bl w:val="nil"/>
            </w:tcBorders>
            <w:shd w:val="clear" w:color="auto" w:fill="auto"/>
            <w:noWrap/>
            <w:vAlign w:val="center"/>
          </w:tcPr>
          <w:p w14:paraId="2361DA8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灌木林地</w:t>
            </w:r>
          </w:p>
        </w:tc>
        <w:tc>
          <w:tcPr>
            <w:tcW w:w="1815" w:type="dxa"/>
            <w:tcBorders>
              <w:tl2br w:val="nil"/>
              <w:tr2bl w:val="nil"/>
            </w:tcBorders>
            <w:shd w:val="clear" w:color="auto" w:fill="auto"/>
            <w:noWrap/>
            <w:vAlign w:val="center"/>
          </w:tcPr>
          <w:p w14:paraId="53AD356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N33</w:t>
            </w:r>
          </w:p>
        </w:tc>
        <w:tc>
          <w:tcPr>
            <w:tcW w:w="1657" w:type="dxa"/>
            <w:tcBorders>
              <w:tl2br w:val="nil"/>
              <w:tr2bl w:val="nil"/>
            </w:tcBorders>
            <w:shd w:val="clear" w:color="auto" w:fill="auto"/>
            <w:noWrap/>
            <w:vAlign w:val="center"/>
          </w:tcPr>
          <w:p w14:paraId="5691BD36">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0.0038</w:t>
            </w:r>
          </w:p>
        </w:tc>
        <w:tc>
          <w:tcPr>
            <w:tcW w:w="1468" w:type="dxa"/>
            <w:tcBorders>
              <w:tl2br w:val="nil"/>
              <w:tr2bl w:val="nil"/>
            </w:tcBorders>
            <w:shd w:val="clear" w:color="auto" w:fill="auto"/>
            <w:noWrap/>
            <w:vAlign w:val="center"/>
          </w:tcPr>
          <w:p w14:paraId="03D48EC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0.0038</w:t>
            </w:r>
          </w:p>
        </w:tc>
      </w:tr>
      <w:tr w14:paraId="2E37D2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041" w:type="dxa"/>
            <w:vMerge w:val="continue"/>
            <w:tcBorders>
              <w:tl2br w:val="nil"/>
              <w:tr2bl w:val="nil"/>
            </w:tcBorders>
            <w:shd w:val="clear" w:color="auto" w:fill="auto"/>
            <w:vAlign w:val="center"/>
          </w:tcPr>
          <w:p w14:paraId="734F7DF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165" w:type="dxa"/>
            <w:vMerge w:val="continue"/>
            <w:tcBorders>
              <w:tl2br w:val="nil"/>
              <w:tr2bl w:val="nil"/>
            </w:tcBorders>
            <w:shd w:val="clear" w:color="auto" w:fill="auto"/>
            <w:noWrap/>
            <w:vAlign w:val="center"/>
          </w:tcPr>
          <w:p w14:paraId="2F2417C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868" w:type="dxa"/>
            <w:tcBorders>
              <w:tl2br w:val="nil"/>
              <w:tr2bl w:val="nil"/>
            </w:tcBorders>
            <w:shd w:val="clear" w:color="auto" w:fill="auto"/>
            <w:noWrap/>
            <w:vAlign w:val="center"/>
          </w:tcPr>
          <w:p w14:paraId="4662AFD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乔木林地</w:t>
            </w:r>
          </w:p>
        </w:tc>
        <w:tc>
          <w:tcPr>
            <w:tcW w:w="1815" w:type="dxa"/>
            <w:tcBorders>
              <w:tl2br w:val="nil"/>
              <w:tr2bl w:val="nil"/>
            </w:tcBorders>
            <w:shd w:val="clear" w:color="auto" w:fill="auto"/>
            <w:noWrap/>
            <w:vAlign w:val="center"/>
          </w:tcPr>
          <w:p w14:paraId="7A7F710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N31</w:t>
            </w:r>
          </w:p>
        </w:tc>
        <w:tc>
          <w:tcPr>
            <w:tcW w:w="1657" w:type="dxa"/>
            <w:tcBorders>
              <w:tl2br w:val="nil"/>
              <w:tr2bl w:val="nil"/>
            </w:tcBorders>
            <w:shd w:val="clear" w:color="auto" w:fill="auto"/>
            <w:noWrap/>
            <w:vAlign w:val="center"/>
          </w:tcPr>
          <w:p w14:paraId="585607B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0.0031</w:t>
            </w:r>
          </w:p>
        </w:tc>
        <w:tc>
          <w:tcPr>
            <w:tcW w:w="1468" w:type="dxa"/>
            <w:tcBorders>
              <w:tl2br w:val="nil"/>
              <w:tr2bl w:val="nil"/>
            </w:tcBorders>
            <w:shd w:val="clear" w:color="auto" w:fill="auto"/>
            <w:noWrap/>
            <w:vAlign w:val="center"/>
          </w:tcPr>
          <w:p w14:paraId="3DF6CE3F">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0.0031</w:t>
            </w:r>
          </w:p>
        </w:tc>
      </w:tr>
      <w:tr w14:paraId="6858EB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041" w:type="dxa"/>
            <w:vMerge w:val="continue"/>
            <w:tcBorders>
              <w:tl2br w:val="nil"/>
              <w:tr2bl w:val="nil"/>
            </w:tcBorders>
            <w:shd w:val="clear" w:color="auto" w:fill="auto"/>
            <w:vAlign w:val="center"/>
          </w:tcPr>
          <w:p w14:paraId="42E2341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165" w:type="dxa"/>
            <w:vMerge w:val="continue"/>
            <w:tcBorders>
              <w:tl2br w:val="nil"/>
              <w:tr2bl w:val="nil"/>
            </w:tcBorders>
            <w:shd w:val="clear" w:color="auto" w:fill="auto"/>
            <w:noWrap/>
            <w:vAlign w:val="center"/>
          </w:tcPr>
          <w:p w14:paraId="51F959D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868" w:type="dxa"/>
            <w:tcBorders>
              <w:tl2br w:val="nil"/>
              <w:tr2bl w:val="nil"/>
            </w:tcBorders>
            <w:shd w:val="clear" w:color="auto" w:fill="auto"/>
            <w:noWrap/>
            <w:vAlign w:val="center"/>
          </w:tcPr>
          <w:p w14:paraId="0142F95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其他林地</w:t>
            </w:r>
          </w:p>
        </w:tc>
        <w:tc>
          <w:tcPr>
            <w:tcW w:w="1815" w:type="dxa"/>
            <w:tcBorders>
              <w:tl2br w:val="nil"/>
              <w:tr2bl w:val="nil"/>
            </w:tcBorders>
            <w:shd w:val="clear" w:color="auto" w:fill="auto"/>
            <w:noWrap/>
            <w:vAlign w:val="center"/>
          </w:tcPr>
          <w:p w14:paraId="48E8D0B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N29</w:t>
            </w:r>
          </w:p>
        </w:tc>
        <w:tc>
          <w:tcPr>
            <w:tcW w:w="1657" w:type="dxa"/>
            <w:tcBorders>
              <w:tl2br w:val="nil"/>
              <w:tr2bl w:val="nil"/>
            </w:tcBorders>
            <w:shd w:val="clear" w:color="auto" w:fill="auto"/>
            <w:noWrap/>
            <w:vAlign w:val="center"/>
          </w:tcPr>
          <w:p w14:paraId="77F19EE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0.0051</w:t>
            </w:r>
          </w:p>
        </w:tc>
        <w:tc>
          <w:tcPr>
            <w:tcW w:w="1468" w:type="dxa"/>
            <w:tcBorders>
              <w:tl2br w:val="nil"/>
              <w:tr2bl w:val="nil"/>
            </w:tcBorders>
            <w:shd w:val="clear" w:color="auto" w:fill="auto"/>
            <w:noWrap/>
            <w:vAlign w:val="center"/>
          </w:tcPr>
          <w:p w14:paraId="2997CF0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0.0051</w:t>
            </w:r>
          </w:p>
        </w:tc>
      </w:tr>
      <w:tr w14:paraId="295BD0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041" w:type="dxa"/>
            <w:vMerge w:val="continue"/>
            <w:tcBorders>
              <w:tl2br w:val="nil"/>
              <w:tr2bl w:val="nil"/>
            </w:tcBorders>
            <w:shd w:val="clear" w:color="auto" w:fill="auto"/>
            <w:vAlign w:val="center"/>
          </w:tcPr>
          <w:p w14:paraId="08B3D26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165" w:type="dxa"/>
            <w:tcBorders>
              <w:tl2br w:val="nil"/>
              <w:tr2bl w:val="nil"/>
            </w:tcBorders>
            <w:shd w:val="clear" w:color="auto" w:fill="auto"/>
            <w:noWrap/>
            <w:vAlign w:val="center"/>
          </w:tcPr>
          <w:p w14:paraId="76978D2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草地</w:t>
            </w:r>
          </w:p>
        </w:tc>
        <w:tc>
          <w:tcPr>
            <w:tcW w:w="1868" w:type="dxa"/>
            <w:tcBorders>
              <w:tl2br w:val="nil"/>
              <w:tr2bl w:val="nil"/>
            </w:tcBorders>
            <w:shd w:val="clear" w:color="auto" w:fill="auto"/>
            <w:noWrap/>
            <w:vAlign w:val="center"/>
          </w:tcPr>
          <w:p w14:paraId="6CC52B71">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人工牧草地</w:t>
            </w:r>
          </w:p>
        </w:tc>
        <w:tc>
          <w:tcPr>
            <w:tcW w:w="1815" w:type="dxa"/>
            <w:tcBorders>
              <w:tl2br w:val="nil"/>
              <w:tr2bl w:val="nil"/>
            </w:tcBorders>
            <w:shd w:val="clear" w:color="auto" w:fill="auto"/>
            <w:noWrap/>
            <w:vAlign w:val="center"/>
          </w:tcPr>
          <w:p w14:paraId="7611DCC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N30</w:t>
            </w:r>
          </w:p>
        </w:tc>
        <w:tc>
          <w:tcPr>
            <w:tcW w:w="1657" w:type="dxa"/>
            <w:tcBorders>
              <w:tl2br w:val="nil"/>
              <w:tr2bl w:val="nil"/>
            </w:tcBorders>
            <w:shd w:val="clear" w:color="auto" w:fill="auto"/>
            <w:noWrap/>
            <w:vAlign w:val="center"/>
          </w:tcPr>
          <w:p w14:paraId="413E7185">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0.0031</w:t>
            </w:r>
          </w:p>
        </w:tc>
        <w:tc>
          <w:tcPr>
            <w:tcW w:w="1468" w:type="dxa"/>
            <w:tcBorders>
              <w:tl2br w:val="nil"/>
              <w:tr2bl w:val="nil"/>
            </w:tcBorders>
            <w:shd w:val="clear" w:color="auto" w:fill="auto"/>
            <w:noWrap/>
            <w:vAlign w:val="center"/>
          </w:tcPr>
          <w:p w14:paraId="2208FA7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0.0031</w:t>
            </w:r>
          </w:p>
        </w:tc>
      </w:tr>
      <w:tr w14:paraId="54D206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041" w:type="dxa"/>
            <w:vMerge w:val="continue"/>
            <w:tcBorders>
              <w:tl2br w:val="nil"/>
              <w:tr2bl w:val="nil"/>
            </w:tcBorders>
            <w:shd w:val="clear" w:color="auto" w:fill="auto"/>
            <w:vAlign w:val="center"/>
          </w:tcPr>
          <w:p w14:paraId="1B4F782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165" w:type="dxa"/>
            <w:tcBorders>
              <w:tl2br w:val="nil"/>
              <w:tr2bl w:val="nil"/>
            </w:tcBorders>
            <w:shd w:val="clear" w:color="auto" w:fill="auto"/>
            <w:noWrap/>
            <w:vAlign w:val="center"/>
          </w:tcPr>
          <w:p w14:paraId="537F7D0A">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林地</w:t>
            </w:r>
          </w:p>
        </w:tc>
        <w:tc>
          <w:tcPr>
            <w:tcW w:w="1868" w:type="dxa"/>
            <w:tcBorders>
              <w:tl2br w:val="nil"/>
              <w:tr2bl w:val="nil"/>
            </w:tcBorders>
            <w:shd w:val="clear" w:color="auto" w:fill="auto"/>
            <w:noWrap/>
            <w:vAlign w:val="center"/>
          </w:tcPr>
          <w:p w14:paraId="2B5E531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灌木林地</w:t>
            </w:r>
          </w:p>
        </w:tc>
        <w:tc>
          <w:tcPr>
            <w:tcW w:w="1815" w:type="dxa"/>
            <w:tcBorders>
              <w:tl2br w:val="nil"/>
              <w:tr2bl w:val="nil"/>
            </w:tcBorders>
            <w:shd w:val="clear" w:color="auto" w:fill="auto"/>
            <w:noWrap/>
            <w:vAlign w:val="center"/>
          </w:tcPr>
          <w:p w14:paraId="6743B70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N14、N13</w:t>
            </w:r>
          </w:p>
        </w:tc>
        <w:tc>
          <w:tcPr>
            <w:tcW w:w="1657" w:type="dxa"/>
            <w:tcBorders>
              <w:tl2br w:val="nil"/>
              <w:tr2bl w:val="nil"/>
            </w:tcBorders>
            <w:shd w:val="clear" w:color="auto" w:fill="auto"/>
            <w:noWrap/>
            <w:vAlign w:val="center"/>
          </w:tcPr>
          <w:p w14:paraId="48F11D6D">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0.0082</w:t>
            </w:r>
          </w:p>
        </w:tc>
        <w:tc>
          <w:tcPr>
            <w:tcW w:w="1468" w:type="dxa"/>
            <w:tcBorders>
              <w:tl2br w:val="nil"/>
              <w:tr2bl w:val="nil"/>
            </w:tcBorders>
            <w:shd w:val="clear" w:color="auto" w:fill="auto"/>
            <w:noWrap/>
            <w:vAlign w:val="center"/>
          </w:tcPr>
          <w:p w14:paraId="6B81718F">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0.0082</w:t>
            </w:r>
          </w:p>
        </w:tc>
      </w:tr>
      <w:tr w14:paraId="630E3E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1041" w:type="dxa"/>
            <w:vMerge w:val="continue"/>
            <w:tcBorders>
              <w:tl2br w:val="nil"/>
              <w:tr2bl w:val="nil"/>
            </w:tcBorders>
            <w:shd w:val="clear" w:color="auto" w:fill="auto"/>
            <w:vAlign w:val="center"/>
          </w:tcPr>
          <w:p w14:paraId="2648E46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165" w:type="dxa"/>
            <w:tcBorders>
              <w:tl2br w:val="nil"/>
              <w:tr2bl w:val="nil"/>
            </w:tcBorders>
            <w:shd w:val="clear" w:color="auto" w:fill="auto"/>
            <w:noWrap/>
            <w:vAlign w:val="center"/>
          </w:tcPr>
          <w:p w14:paraId="5A0B0987">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林地</w:t>
            </w:r>
          </w:p>
        </w:tc>
        <w:tc>
          <w:tcPr>
            <w:tcW w:w="1868" w:type="dxa"/>
            <w:tcBorders>
              <w:tl2br w:val="nil"/>
              <w:tr2bl w:val="nil"/>
            </w:tcBorders>
            <w:shd w:val="clear" w:color="auto" w:fill="auto"/>
            <w:noWrap/>
            <w:vAlign w:val="center"/>
          </w:tcPr>
          <w:p w14:paraId="75B12CB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灌木林地</w:t>
            </w:r>
          </w:p>
        </w:tc>
        <w:tc>
          <w:tcPr>
            <w:tcW w:w="1815" w:type="dxa"/>
            <w:tcBorders>
              <w:tl2br w:val="nil"/>
              <w:tr2bl w:val="nil"/>
            </w:tcBorders>
            <w:shd w:val="clear" w:color="auto" w:fill="auto"/>
            <w:noWrap/>
            <w:vAlign w:val="center"/>
          </w:tcPr>
          <w:p w14:paraId="0978A00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N7、N6</w:t>
            </w:r>
          </w:p>
        </w:tc>
        <w:tc>
          <w:tcPr>
            <w:tcW w:w="1657" w:type="dxa"/>
            <w:tcBorders>
              <w:tl2br w:val="nil"/>
              <w:tr2bl w:val="nil"/>
            </w:tcBorders>
            <w:shd w:val="clear" w:color="auto" w:fill="auto"/>
            <w:noWrap/>
            <w:vAlign w:val="center"/>
          </w:tcPr>
          <w:p w14:paraId="20F1D325">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0.0084</w:t>
            </w:r>
          </w:p>
        </w:tc>
        <w:tc>
          <w:tcPr>
            <w:tcW w:w="1468" w:type="dxa"/>
            <w:tcBorders>
              <w:tl2br w:val="nil"/>
              <w:tr2bl w:val="nil"/>
            </w:tcBorders>
            <w:shd w:val="clear" w:color="auto" w:fill="auto"/>
            <w:noWrap/>
            <w:vAlign w:val="center"/>
          </w:tcPr>
          <w:p w14:paraId="0404E32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0.0084</w:t>
            </w:r>
          </w:p>
        </w:tc>
      </w:tr>
      <w:tr w14:paraId="190A46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1041" w:type="dxa"/>
            <w:vMerge w:val="continue"/>
            <w:tcBorders>
              <w:tl2br w:val="nil"/>
              <w:tr2bl w:val="nil"/>
            </w:tcBorders>
            <w:shd w:val="clear" w:color="auto" w:fill="auto"/>
            <w:vAlign w:val="center"/>
          </w:tcPr>
          <w:p w14:paraId="21380135">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p>
        </w:tc>
        <w:tc>
          <w:tcPr>
            <w:tcW w:w="1165" w:type="dxa"/>
            <w:tcBorders>
              <w:tl2br w:val="nil"/>
              <w:tr2bl w:val="nil"/>
            </w:tcBorders>
            <w:shd w:val="clear" w:color="auto" w:fill="auto"/>
            <w:noWrap/>
            <w:vAlign w:val="center"/>
          </w:tcPr>
          <w:p w14:paraId="3F3BC32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林地</w:t>
            </w:r>
          </w:p>
        </w:tc>
        <w:tc>
          <w:tcPr>
            <w:tcW w:w="1868" w:type="dxa"/>
            <w:tcBorders>
              <w:tl2br w:val="nil"/>
              <w:tr2bl w:val="nil"/>
            </w:tcBorders>
            <w:shd w:val="clear" w:color="auto" w:fill="auto"/>
            <w:noWrap/>
            <w:vAlign w:val="center"/>
          </w:tcPr>
          <w:p w14:paraId="7D65077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乔木林地</w:t>
            </w:r>
          </w:p>
        </w:tc>
        <w:tc>
          <w:tcPr>
            <w:tcW w:w="1815" w:type="dxa"/>
            <w:tcBorders>
              <w:tl2br w:val="nil"/>
              <w:tr2bl w:val="nil"/>
            </w:tcBorders>
            <w:shd w:val="clear" w:color="auto" w:fill="auto"/>
            <w:noWrap/>
            <w:vAlign w:val="center"/>
          </w:tcPr>
          <w:p w14:paraId="56A26E3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N28</w:t>
            </w:r>
          </w:p>
        </w:tc>
        <w:tc>
          <w:tcPr>
            <w:tcW w:w="1657" w:type="dxa"/>
            <w:tcBorders>
              <w:tl2br w:val="nil"/>
              <w:tr2bl w:val="nil"/>
            </w:tcBorders>
            <w:shd w:val="clear" w:color="auto" w:fill="auto"/>
            <w:noWrap/>
            <w:vAlign w:val="center"/>
          </w:tcPr>
          <w:p w14:paraId="7B96BC3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0.0044</w:t>
            </w:r>
          </w:p>
        </w:tc>
        <w:tc>
          <w:tcPr>
            <w:tcW w:w="1468" w:type="dxa"/>
            <w:tcBorders>
              <w:tl2br w:val="nil"/>
              <w:tr2bl w:val="nil"/>
            </w:tcBorders>
            <w:shd w:val="clear" w:color="auto" w:fill="auto"/>
            <w:noWrap/>
            <w:vAlign w:val="center"/>
          </w:tcPr>
          <w:p w14:paraId="35D1B1B0">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t>0.0044</w:t>
            </w:r>
          </w:p>
        </w:tc>
      </w:tr>
      <w:tr w14:paraId="18F11F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jc w:val="center"/>
        </w:trPr>
        <w:tc>
          <w:tcPr>
            <w:tcW w:w="4074" w:type="dxa"/>
            <w:gridSpan w:val="3"/>
            <w:tcBorders>
              <w:tl2br w:val="nil"/>
              <w:tr2bl w:val="nil"/>
            </w:tcBorders>
            <w:shd w:val="clear" w:color="auto" w:fill="auto"/>
            <w:vAlign w:val="center"/>
          </w:tcPr>
          <w:p w14:paraId="2A5D44F3">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cs="Times New Roman" w:eastAsiaTheme="majorEastAsia"/>
                <w:b/>
                <w:bCs/>
                <w:i w:val="0"/>
                <w:iCs w:val="0"/>
                <w:snapToGrid w:val="0"/>
                <w:color w:val="auto"/>
                <w:kern w:val="0"/>
                <w:sz w:val="21"/>
                <w:szCs w:val="21"/>
                <w:u w:val="none"/>
                <w:lang w:val="en-US" w:eastAsia="zh-CN" w:bidi="ar"/>
              </w:rPr>
            </w:pPr>
            <w:r>
              <w:rPr>
                <w:rFonts w:hint="eastAsia" w:ascii="Times New Roman" w:hAnsi="Times New Roman" w:cs="Times New Roman" w:eastAsiaTheme="majorEastAsia"/>
                <w:b/>
                <w:bCs/>
                <w:i w:val="0"/>
                <w:iCs w:val="0"/>
                <w:snapToGrid w:val="0"/>
                <w:color w:val="auto"/>
                <w:kern w:val="0"/>
                <w:sz w:val="21"/>
                <w:szCs w:val="21"/>
                <w:u w:val="none"/>
                <w:lang w:val="en-US" w:eastAsia="zh-CN" w:bidi="ar"/>
              </w:rPr>
              <w:t>合</w:t>
            </w:r>
            <w:r>
              <w:rPr>
                <w:rFonts w:hint="default" w:ascii="Times New Roman" w:hAnsi="Times New Roman" w:cs="Times New Roman" w:eastAsiaTheme="majorEastAsia"/>
                <w:b/>
                <w:bCs/>
                <w:i w:val="0"/>
                <w:iCs w:val="0"/>
                <w:snapToGrid w:val="0"/>
                <w:color w:val="auto"/>
                <w:kern w:val="0"/>
                <w:sz w:val="21"/>
                <w:szCs w:val="21"/>
                <w:u w:val="none"/>
                <w:lang w:val="en-US" w:eastAsia="zh-CN" w:bidi="ar"/>
              </w:rPr>
              <w:t>计</w:t>
            </w:r>
          </w:p>
        </w:tc>
        <w:tc>
          <w:tcPr>
            <w:tcW w:w="1815" w:type="dxa"/>
            <w:tcBorders>
              <w:tl2br w:val="nil"/>
              <w:tr2bl w:val="nil"/>
            </w:tcBorders>
            <w:shd w:val="clear" w:color="auto" w:fill="auto"/>
            <w:vAlign w:val="center"/>
          </w:tcPr>
          <w:p w14:paraId="3C3CC344">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snapToGrid w:val="0"/>
                <w:color w:val="auto"/>
                <w:kern w:val="0"/>
                <w:sz w:val="21"/>
                <w:szCs w:val="21"/>
                <w:u w:val="none"/>
                <w:lang w:val="en-US" w:eastAsia="zh-CN" w:bidi="ar"/>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共1</w:t>
            </w:r>
            <w:r>
              <w:rPr>
                <w:rFonts w:hint="eastAsia" w:cs="Times New Roman" w:eastAsiaTheme="majorEastAsia"/>
                <w:b/>
                <w:bCs/>
                <w:i w:val="0"/>
                <w:iCs w:val="0"/>
                <w:snapToGrid w:val="0"/>
                <w:color w:val="auto"/>
                <w:kern w:val="0"/>
                <w:sz w:val="21"/>
                <w:szCs w:val="21"/>
                <w:u w:val="none"/>
                <w:lang w:val="en-US" w:eastAsia="zh-CN" w:bidi="ar"/>
              </w:rPr>
              <w:t>9</w:t>
            </w:r>
            <w:r>
              <w:rPr>
                <w:rFonts w:hint="default" w:ascii="Times New Roman" w:hAnsi="Times New Roman" w:cs="Times New Roman" w:eastAsiaTheme="majorEastAsia"/>
                <w:b/>
                <w:bCs/>
                <w:i w:val="0"/>
                <w:iCs w:val="0"/>
                <w:snapToGrid w:val="0"/>
                <w:color w:val="auto"/>
                <w:kern w:val="0"/>
                <w:sz w:val="21"/>
                <w:szCs w:val="21"/>
                <w:u w:val="none"/>
                <w:lang w:val="en-US" w:eastAsia="zh-CN" w:bidi="ar"/>
              </w:rPr>
              <w:t>基</w:t>
            </w:r>
          </w:p>
        </w:tc>
        <w:tc>
          <w:tcPr>
            <w:tcW w:w="1657" w:type="dxa"/>
            <w:tcBorders>
              <w:tl2br w:val="nil"/>
              <w:tr2bl w:val="nil"/>
            </w:tcBorders>
            <w:shd w:val="clear" w:color="auto" w:fill="auto"/>
            <w:vAlign w:val="center"/>
          </w:tcPr>
          <w:p w14:paraId="6ED29EEC">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snapToGrid w:val="0"/>
                <w:color w:val="auto"/>
                <w:kern w:val="0"/>
                <w:sz w:val="21"/>
                <w:szCs w:val="21"/>
                <w:u w:val="none"/>
                <w:lang w:val="en-US" w:eastAsia="zh-CN" w:bidi="ar"/>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0.0663</w:t>
            </w:r>
          </w:p>
        </w:tc>
        <w:tc>
          <w:tcPr>
            <w:tcW w:w="1468" w:type="dxa"/>
            <w:tcBorders>
              <w:tl2br w:val="nil"/>
              <w:tr2bl w:val="nil"/>
            </w:tcBorders>
            <w:shd w:val="clear" w:color="auto" w:fill="auto"/>
            <w:noWrap/>
            <w:vAlign w:val="center"/>
          </w:tcPr>
          <w:p w14:paraId="4305469B">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snapToGrid w:val="0"/>
                <w:color w:val="auto"/>
                <w:kern w:val="0"/>
                <w:sz w:val="21"/>
                <w:szCs w:val="21"/>
                <w:u w:val="none"/>
                <w:lang w:val="en-US" w:eastAsia="zh-CN" w:bidi="ar"/>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0.0663</w:t>
            </w:r>
          </w:p>
        </w:tc>
      </w:tr>
      <w:tr w14:paraId="74B288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0" w:hRule="atLeast"/>
          <w:jc w:val="center"/>
        </w:trPr>
        <w:tc>
          <w:tcPr>
            <w:tcW w:w="4074" w:type="dxa"/>
            <w:gridSpan w:val="3"/>
            <w:tcBorders>
              <w:tl2br w:val="nil"/>
              <w:tr2bl w:val="nil"/>
            </w:tcBorders>
            <w:shd w:val="clear" w:color="auto" w:fill="auto"/>
            <w:vAlign w:val="center"/>
          </w:tcPr>
          <w:p w14:paraId="4AD97D4E">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cs="Times New Roman" w:eastAsiaTheme="majorEastAsia"/>
                <w:b/>
                <w:bCs/>
                <w:i w:val="0"/>
                <w:iCs w:val="0"/>
                <w:snapToGrid w:val="0"/>
                <w:color w:val="auto"/>
                <w:kern w:val="0"/>
                <w:sz w:val="21"/>
                <w:szCs w:val="21"/>
                <w:u w:val="none"/>
                <w:lang w:val="en-US" w:eastAsia="zh-CN" w:bidi="ar"/>
              </w:rPr>
            </w:pPr>
            <w:r>
              <w:rPr>
                <w:rFonts w:hint="eastAsia" w:ascii="Times New Roman" w:hAnsi="Times New Roman" w:cs="Times New Roman" w:eastAsiaTheme="majorEastAsia"/>
                <w:b/>
                <w:bCs/>
                <w:i w:val="0"/>
                <w:iCs w:val="0"/>
                <w:snapToGrid w:val="0"/>
                <w:color w:val="auto"/>
                <w:kern w:val="0"/>
                <w:sz w:val="21"/>
                <w:szCs w:val="21"/>
                <w:u w:val="none"/>
                <w:lang w:val="en-US" w:eastAsia="zh-CN" w:bidi="ar"/>
              </w:rPr>
              <w:t>总计</w:t>
            </w:r>
          </w:p>
        </w:tc>
        <w:tc>
          <w:tcPr>
            <w:tcW w:w="1815" w:type="dxa"/>
            <w:tcBorders>
              <w:tl2br w:val="nil"/>
              <w:tr2bl w:val="nil"/>
            </w:tcBorders>
            <w:shd w:val="clear" w:color="auto" w:fill="auto"/>
            <w:vAlign w:val="center"/>
          </w:tcPr>
          <w:p w14:paraId="235A67D9">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bCs/>
                <w:i w:val="0"/>
                <w:iCs w:val="0"/>
                <w:snapToGrid w:val="0"/>
                <w:color w:val="auto"/>
                <w:kern w:val="0"/>
                <w:sz w:val="21"/>
                <w:szCs w:val="21"/>
                <w:u w:val="none"/>
                <w:lang w:val="en-US" w:eastAsia="zh-CN" w:bidi="ar"/>
              </w:rPr>
            </w:pPr>
            <w:r>
              <w:rPr>
                <w:rFonts w:hint="default" w:ascii="Times New Roman" w:hAnsi="Times New Roman" w:cs="Times New Roman" w:eastAsiaTheme="majorEastAsia"/>
                <w:b/>
                <w:bCs/>
                <w:i w:val="0"/>
                <w:iCs w:val="0"/>
                <w:snapToGrid w:val="0"/>
                <w:color w:val="auto"/>
                <w:kern w:val="0"/>
                <w:sz w:val="21"/>
                <w:szCs w:val="21"/>
                <w:u w:val="none"/>
                <w:lang w:val="en-US" w:eastAsia="zh-CN" w:bidi="ar"/>
              </w:rPr>
              <w:t>共</w:t>
            </w:r>
            <w:r>
              <w:rPr>
                <w:rFonts w:hint="eastAsia" w:ascii="Times New Roman" w:hAnsi="Times New Roman" w:cs="Times New Roman" w:eastAsiaTheme="majorEastAsia"/>
                <w:b/>
                <w:bCs/>
                <w:i w:val="0"/>
                <w:iCs w:val="0"/>
                <w:snapToGrid w:val="0"/>
                <w:color w:val="auto"/>
                <w:kern w:val="0"/>
                <w:sz w:val="21"/>
                <w:szCs w:val="21"/>
                <w:u w:val="none"/>
                <w:lang w:val="en-US" w:eastAsia="zh-CN" w:bidi="ar"/>
              </w:rPr>
              <w:t>3</w:t>
            </w:r>
            <w:r>
              <w:rPr>
                <w:rFonts w:hint="eastAsia" w:cs="Times New Roman" w:eastAsiaTheme="majorEastAsia"/>
                <w:b/>
                <w:bCs/>
                <w:i w:val="0"/>
                <w:iCs w:val="0"/>
                <w:snapToGrid w:val="0"/>
                <w:color w:val="auto"/>
                <w:kern w:val="0"/>
                <w:sz w:val="21"/>
                <w:szCs w:val="21"/>
                <w:u w:val="none"/>
                <w:lang w:val="en-US" w:eastAsia="zh-CN" w:bidi="ar"/>
              </w:rPr>
              <w:t>5</w:t>
            </w:r>
            <w:r>
              <w:rPr>
                <w:rFonts w:hint="default" w:ascii="Times New Roman" w:hAnsi="Times New Roman" w:cs="Times New Roman" w:eastAsiaTheme="majorEastAsia"/>
                <w:b/>
                <w:bCs/>
                <w:i w:val="0"/>
                <w:iCs w:val="0"/>
                <w:snapToGrid w:val="0"/>
                <w:color w:val="auto"/>
                <w:kern w:val="0"/>
                <w:sz w:val="21"/>
                <w:szCs w:val="21"/>
                <w:u w:val="none"/>
                <w:lang w:val="en-US" w:eastAsia="zh-CN" w:bidi="ar"/>
              </w:rPr>
              <w:t>基</w:t>
            </w:r>
          </w:p>
        </w:tc>
        <w:tc>
          <w:tcPr>
            <w:tcW w:w="3125" w:type="dxa"/>
            <w:gridSpan w:val="2"/>
            <w:tcBorders>
              <w:tl2br w:val="nil"/>
              <w:tr2bl w:val="nil"/>
            </w:tcBorders>
            <w:shd w:val="clear" w:color="auto" w:fill="auto"/>
            <w:vAlign w:val="center"/>
          </w:tcPr>
          <w:p w14:paraId="6B2566A2">
            <w:pPr>
              <w:keepNext w:val="0"/>
              <w:keepLines w:val="0"/>
              <w:pageBreakBefore w:val="0"/>
              <w:widowControl w:val="0"/>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ajorEastAsia"/>
                <w:b w:val="0"/>
                <w:bCs w:val="0"/>
                <w:i w:val="0"/>
                <w:iCs w:val="0"/>
                <w:snapToGrid w:val="0"/>
                <w:color w:val="auto"/>
                <w:kern w:val="0"/>
                <w:sz w:val="21"/>
                <w:szCs w:val="21"/>
                <w:u w:val="none"/>
                <w:lang w:val="en-US" w:eastAsia="zh-CN" w:bidi="ar"/>
              </w:rPr>
            </w:pPr>
            <w:r>
              <w:rPr>
                <w:rFonts w:hint="eastAsia" w:ascii="Times New Roman" w:hAnsi="Times New Roman" w:cs="Times New Roman" w:eastAsiaTheme="majorEastAsia"/>
                <w:b/>
                <w:bCs/>
                <w:i w:val="0"/>
                <w:iCs w:val="0"/>
                <w:snapToGrid w:val="0"/>
                <w:color w:val="auto"/>
                <w:kern w:val="0"/>
                <w:sz w:val="21"/>
                <w:szCs w:val="21"/>
                <w:u w:val="none"/>
                <w:lang w:val="en-US" w:eastAsia="zh-CN" w:bidi="ar"/>
              </w:rPr>
              <w:t>0.1187</w:t>
            </w:r>
          </w:p>
        </w:tc>
      </w:tr>
    </w:tbl>
    <w:p w14:paraId="3366BD77">
      <w:pPr>
        <w:keepNext w:val="0"/>
        <w:keepLines w:val="0"/>
        <w:pageBreakBefore w:val="0"/>
        <w:widowControl w:val="0"/>
        <w:kinsoku w:val="0"/>
        <w:wordWrap/>
        <w:overflowPunct w:val="0"/>
        <w:topLinePunct w:val="0"/>
        <w:autoSpaceDE w:val="0"/>
        <w:autoSpaceDN w:val="0"/>
        <w:bidi w:val="0"/>
        <w:adjustRightInd w:val="0"/>
        <w:snapToGrid w:val="0"/>
        <w:spacing w:before="157" w:beforeLines="50" w:line="240" w:lineRule="auto"/>
        <w:ind w:left="0"/>
        <w:jc w:val="center"/>
        <w:textAlignment w:val="baseline"/>
        <w:rPr>
          <w:rFonts w:hint="default" w:ascii="Times New Roman" w:hAnsi="Times New Roman" w:cs="Times New Roman" w:eastAsiaTheme="minorEastAsia"/>
          <w:b/>
          <w:bCs/>
          <w:snapToGrid w:val="0"/>
          <w:color w:val="auto"/>
          <w:spacing w:val="-1"/>
          <w:kern w:val="0"/>
          <w:sz w:val="24"/>
          <w:szCs w:val="24"/>
          <w:lang w:val="en-US" w:eastAsia="en-US" w:bidi="ar-SA"/>
        </w:rPr>
      </w:pPr>
      <w:r>
        <w:rPr>
          <w:rFonts w:hint="eastAsia" w:ascii="Times New Roman" w:hAnsi="Times New Roman" w:cs="Times New Roman" w:eastAsiaTheme="minorEastAsia"/>
          <w:b/>
          <w:bCs/>
          <w:snapToGrid w:val="0"/>
          <w:color w:val="auto"/>
          <w:spacing w:val="-1"/>
          <w:kern w:val="0"/>
          <w:sz w:val="24"/>
          <w:szCs w:val="24"/>
          <w:lang w:val="en-US" w:eastAsia="zh-CN" w:bidi="ar-SA"/>
        </w:rPr>
        <w:t>专题</w:t>
      </w:r>
      <w:r>
        <w:rPr>
          <w:rFonts w:hint="default" w:ascii="Times New Roman" w:hAnsi="Times New Roman" w:cs="Times New Roman" w:eastAsiaTheme="minorEastAsia"/>
          <w:b/>
          <w:bCs/>
          <w:snapToGrid w:val="0"/>
          <w:color w:val="auto"/>
          <w:spacing w:val="-1"/>
          <w:kern w:val="0"/>
          <w:sz w:val="24"/>
          <w:szCs w:val="24"/>
          <w:lang w:val="en-US" w:eastAsia="en-US" w:bidi="ar-SA"/>
        </w:rPr>
        <w:t>表</w:t>
      </w:r>
      <w:r>
        <w:rPr>
          <w:rFonts w:hint="eastAsia" w:ascii="Times New Roman" w:hAnsi="Times New Roman" w:cs="Times New Roman" w:eastAsiaTheme="minorEastAsia"/>
          <w:b/>
          <w:bCs/>
          <w:snapToGrid w:val="0"/>
          <w:color w:val="auto"/>
          <w:spacing w:val="-1"/>
          <w:kern w:val="0"/>
          <w:sz w:val="24"/>
          <w:szCs w:val="24"/>
          <w:lang w:val="en-US" w:eastAsia="zh-CN" w:bidi="ar-SA"/>
        </w:rPr>
        <w:t>2</w:t>
      </w:r>
      <w:r>
        <w:rPr>
          <w:rFonts w:hint="default" w:ascii="Times New Roman" w:hAnsi="Times New Roman" w:cs="Times New Roman" w:eastAsiaTheme="minorEastAsia"/>
          <w:b/>
          <w:bCs/>
          <w:snapToGrid w:val="0"/>
          <w:color w:val="auto"/>
          <w:spacing w:val="-1"/>
          <w:kern w:val="0"/>
          <w:sz w:val="24"/>
          <w:szCs w:val="24"/>
          <w:lang w:val="en-US" w:eastAsia="en-US" w:bidi="ar-SA"/>
        </w:rPr>
        <w:t>-</w:t>
      </w:r>
      <w:r>
        <w:rPr>
          <w:rFonts w:hint="eastAsia" w:ascii="Times New Roman" w:hAnsi="Times New Roman" w:cs="Times New Roman" w:eastAsiaTheme="minorEastAsia"/>
          <w:b/>
          <w:bCs/>
          <w:snapToGrid w:val="0"/>
          <w:color w:val="auto"/>
          <w:spacing w:val="-1"/>
          <w:kern w:val="0"/>
          <w:sz w:val="24"/>
          <w:szCs w:val="24"/>
          <w:lang w:val="en-US" w:eastAsia="zh-CN" w:bidi="ar-SA"/>
        </w:rPr>
        <w:t>15</w:t>
      </w:r>
      <w:r>
        <w:rPr>
          <w:rFonts w:hint="default" w:ascii="Times New Roman" w:hAnsi="Times New Roman" w:cs="Times New Roman" w:eastAsiaTheme="minorEastAsia"/>
          <w:b/>
          <w:bCs/>
          <w:snapToGrid w:val="0"/>
          <w:color w:val="auto"/>
          <w:spacing w:val="-1"/>
          <w:kern w:val="0"/>
          <w:sz w:val="24"/>
          <w:szCs w:val="24"/>
          <w:lang w:val="en-US" w:eastAsia="zh-CN" w:bidi="ar-SA"/>
        </w:rPr>
        <w:t xml:space="preserve">  </w:t>
      </w:r>
      <w:r>
        <w:rPr>
          <w:rFonts w:hint="default" w:ascii="Times New Roman" w:hAnsi="Times New Roman" w:cs="Times New Roman" w:eastAsiaTheme="minorEastAsia"/>
          <w:b/>
          <w:bCs/>
          <w:snapToGrid w:val="0"/>
          <w:color w:val="auto"/>
          <w:spacing w:val="-1"/>
          <w:kern w:val="0"/>
          <w:sz w:val="24"/>
          <w:szCs w:val="24"/>
          <w:lang w:val="en-US" w:eastAsia="en-US" w:bidi="ar-SA"/>
        </w:rPr>
        <w:t xml:space="preserve"> </w:t>
      </w:r>
      <w:r>
        <w:rPr>
          <w:rFonts w:hint="default" w:ascii="Times New Roman" w:hAnsi="Times New Roman" w:cs="Times New Roman" w:eastAsiaTheme="minorEastAsia"/>
          <w:b/>
          <w:bCs/>
          <w:snapToGrid w:val="0"/>
          <w:color w:val="auto"/>
          <w:spacing w:val="-1"/>
          <w:kern w:val="0"/>
          <w:sz w:val="24"/>
          <w:szCs w:val="24"/>
          <w:lang w:val="en-US" w:eastAsia="zh-CN" w:bidi="ar-SA"/>
        </w:rPr>
        <w:t>项目在生态</w:t>
      </w:r>
      <w:r>
        <w:rPr>
          <w:rFonts w:hint="eastAsia" w:ascii="Times New Roman" w:hAnsi="Times New Roman" w:cs="Times New Roman" w:eastAsiaTheme="minorEastAsia"/>
          <w:b/>
          <w:bCs/>
          <w:snapToGrid w:val="0"/>
          <w:color w:val="auto"/>
          <w:spacing w:val="-1"/>
          <w:kern w:val="0"/>
          <w:sz w:val="24"/>
          <w:szCs w:val="24"/>
          <w:lang w:val="en-US" w:eastAsia="zh-CN" w:bidi="ar-SA"/>
        </w:rPr>
        <w:t>保护</w:t>
      </w:r>
      <w:r>
        <w:rPr>
          <w:rFonts w:hint="default" w:ascii="Times New Roman" w:hAnsi="Times New Roman" w:cs="Times New Roman" w:eastAsiaTheme="minorEastAsia"/>
          <w:b/>
          <w:bCs/>
          <w:snapToGrid w:val="0"/>
          <w:color w:val="auto"/>
          <w:spacing w:val="-1"/>
          <w:kern w:val="0"/>
          <w:sz w:val="24"/>
          <w:szCs w:val="24"/>
          <w:lang w:val="en-US" w:eastAsia="zh-CN" w:bidi="ar-SA"/>
        </w:rPr>
        <w:t>红线内临时用地情况表    单位：</w:t>
      </w:r>
      <w:r>
        <w:rPr>
          <w:rFonts w:hint="default" w:ascii="Times New Roman" w:hAnsi="Times New Roman" w:cs="Times New Roman" w:eastAsiaTheme="minorEastAsia"/>
          <w:b/>
          <w:bCs/>
          <w:snapToGrid w:val="0"/>
          <w:color w:val="auto"/>
          <w:spacing w:val="-1"/>
          <w:kern w:val="0"/>
          <w:sz w:val="24"/>
          <w:szCs w:val="24"/>
          <w:lang w:val="en-US" w:eastAsia="en-US" w:bidi="ar-SA"/>
        </w:rPr>
        <w:t>hm</w:t>
      </w:r>
      <w:r>
        <w:rPr>
          <w:rFonts w:hint="default" w:ascii="Times New Roman" w:hAnsi="Times New Roman" w:cs="Times New Roman" w:eastAsiaTheme="minorEastAsia"/>
          <w:b/>
          <w:bCs/>
          <w:snapToGrid w:val="0"/>
          <w:color w:val="auto"/>
          <w:spacing w:val="-1"/>
          <w:kern w:val="0"/>
          <w:sz w:val="24"/>
          <w:szCs w:val="24"/>
          <w:vertAlign w:val="superscript"/>
          <w:lang w:val="en-US" w:eastAsia="en-US" w:bidi="ar-SA"/>
        </w:rPr>
        <w:t>2</w:t>
      </w:r>
    </w:p>
    <w:tbl>
      <w:tblPr>
        <w:tblStyle w:val="31"/>
        <w:tblW w:w="901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28"/>
        <w:gridCol w:w="1319"/>
        <w:gridCol w:w="1318"/>
        <w:gridCol w:w="845"/>
        <w:gridCol w:w="1186"/>
        <w:gridCol w:w="882"/>
        <w:gridCol w:w="13"/>
        <w:gridCol w:w="934"/>
        <w:gridCol w:w="22"/>
        <w:gridCol w:w="1039"/>
        <w:gridCol w:w="1028"/>
      </w:tblGrid>
      <w:tr w14:paraId="0D67B5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428" w:type="dxa"/>
            <w:vMerge w:val="restart"/>
            <w:tcBorders>
              <w:tl2br w:val="nil"/>
              <w:tr2bl w:val="nil"/>
            </w:tcBorders>
            <w:shd w:val="clear" w:color="auto" w:fill="auto"/>
            <w:vAlign w:val="center"/>
          </w:tcPr>
          <w:p w14:paraId="46BF52F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县名</w:t>
            </w:r>
          </w:p>
        </w:tc>
        <w:tc>
          <w:tcPr>
            <w:tcW w:w="2637" w:type="dxa"/>
            <w:gridSpan w:val="2"/>
            <w:tcBorders>
              <w:tl2br w:val="nil"/>
              <w:tr2bl w:val="nil"/>
            </w:tcBorders>
            <w:shd w:val="clear" w:color="auto" w:fill="auto"/>
            <w:vAlign w:val="center"/>
          </w:tcPr>
          <w:p w14:paraId="56DECCA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占地类型</w:t>
            </w:r>
          </w:p>
        </w:tc>
        <w:tc>
          <w:tcPr>
            <w:tcW w:w="4921" w:type="dxa"/>
            <w:gridSpan w:val="7"/>
            <w:tcBorders>
              <w:tl2br w:val="nil"/>
              <w:tr2bl w:val="nil"/>
            </w:tcBorders>
            <w:shd w:val="clear" w:color="auto" w:fill="auto"/>
            <w:vAlign w:val="center"/>
          </w:tcPr>
          <w:p w14:paraId="4C1375A5">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用地性质及面积</w:t>
            </w:r>
          </w:p>
        </w:tc>
        <w:tc>
          <w:tcPr>
            <w:tcW w:w="1028" w:type="dxa"/>
            <w:vMerge w:val="restart"/>
            <w:tcBorders>
              <w:tl2br w:val="nil"/>
              <w:tr2bl w:val="nil"/>
            </w:tcBorders>
            <w:shd w:val="clear" w:color="auto" w:fill="auto"/>
            <w:noWrap/>
            <w:vAlign w:val="center"/>
          </w:tcPr>
          <w:p w14:paraId="7D40134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总计</w:t>
            </w:r>
          </w:p>
        </w:tc>
      </w:tr>
      <w:tr w14:paraId="351AF6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51D3B43C">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b/>
                <w:bCs/>
                <w:i w:val="0"/>
                <w:iCs w:val="0"/>
                <w:color w:val="auto"/>
                <w:sz w:val="21"/>
                <w:szCs w:val="21"/>
                <w:u w:val="none"/>
              </w:rPr>
            </w:pPr>
          </w:p>
        </w:tc>
        <w:tc>
          <w:tcPr>
            <w:tcW w:w="1319" w:type="dxa"/>
            <w:tcBorders>
              <w:tl2br w:val="nil"/>
              <w:tr2bl w:val="nil"/>
            </w:tcBorders>
            <w:shd w:val="clear" w:color="auto" w:fill="auto"/>
            <w:vAlign w:val="center"/>
          </w:tcPr>
          <w:p w14:paraId="7EAA6168">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一级类</w:t>
            </w:r>
          </w:p>
        </w:tc>
        <w:tc>
          <w:tcPr>
            <w:tcW w:w="1318" w:type="dxa"/>
            <w:tcBorders>
              <w:tl2br w:val="nil"/>
              <w:tr2bl w:val="nil"/>
            </w:tcBorders>
            <w:shd w:val="clear" w:color="auto" w:fill="auto"/>
            <w:vAlign w:val="center"/>
          </w:tcPr>
          <w:p w14:paraId="64512D7D">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二级类</w:t>
            </w:r>
          </w:p>
        </w:tc>
        <w:tc>
          <w:tcPr>
            <w:tcW w:w="845" w:type="dxa"/>
            <w:tcBorders>
              <w:tl2br w:val="nil"/>
              <w:tr2bl w:val="nil"/>
            </w:tcBorders>
            <w:shd w:val="clear" w:color="auto" w:fill="auto"/>
            <w:vAlign w:val="center"/>
          </w:tcPr>
          <w:p w14:paraId="06CF59A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跨越架</w:t>
            </w:r>
          </w:p>
        </w:tc>
        <w:tc>
          <w:tcPr>
            <w:tcW w:w="1186" w:type="dxa"/>
            <w:tcBorders>
              <w:tl2br w:val="nil"/>
              <w:tr2bl w:val="nil"/>
            </w:tcBorders>
            <w:shd w:val="clear" w:color="auto" w:fill="auto"/>
            <w:vAlign w:val="center"/>
          </w:tcPr>
          <w:p w14:paraId="3938D47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农用地表土剥离堆放场</w:t>
            </w:r>
          </w:p>
        </w:tc>
        <w:tc>
          <w:tcPr>
            <w:tcW w:w="895" w:type="dxa"/>
            <w:gridSpan w:val="2"/>
            <w:tcBorders>
              <w:tl2br w:val="nil"/>
              <w:tr2bl w:val="nil"/>
            </w:tcBorders>
            <w:shd w:val="clear" w:color="auto" w:fill="auto"/>
            <w:vAlign w:val="center"/>
          </w:tcPr>
          <w:p w14:paraId="05C26BA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牵张场</w:t>
            </w:r>
          </w:p>
        </w:tc>
        <w:tc>
          <w:tcPr>
            <w:tcW w:w="934" w:type="dxa"/>
            <w:tcBorders>
              <w:tl2br w:val="nil"/>
              <w:tr2bl w:val="nil"/>
            </w:tcBorders>
            <w:shd w:val="clear" w:color="auto" w:fill="auto"/>
            <w:vAlign w:val="center"/>
          </w:tcPr>
          <w:p w14:paraId="611CD98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施工</w:t>
            </w:r>
          </w:p>
          <w:p w14:paraId="1B8A515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便道</w:t>
            </w:r>
          </w:p>
        </w:tc>
        <w:tc>
          <w:tcPr>
            <w:tcW w:w="1061" w:type="dxa"/>
            <w:gridSpan w:val="2"/>
            <w:tcBorders>
              <w:tl2br w:val="nil"/>
              <w:tr2bl w:val="nil"/>
            </w:tcBorders>
            <w:shd w:val="clear" w:color="auto" w:fill="auto"/>
            <w:vAlign w:val="center"/>
          </w:tcPr>
          <w:p w14:paraId="53FF00CB">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地上线路架设区</w:t>
            </w:r>
          </w:p>
        </w:tc>
        <w:tc>
          <w:tcPr>
            <w:tcW w:w="1028" w:type="dxa"/>
            <w:vMerge w:val="continue"/>
            <w:tcBorders>
              <w:tl2br w:val="nil"/>
              <w:tr2bl w:val="nil"/>
            </w:tcBorders>
            <w:shd w:val="clear" w:color="auto" w:fill="auto"/>
            <w:noWrap/>
            <w:vAlign w:val="center"/>
          </w:tcPr>
          <w:p w14:paraId="27466B63">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b/>
                <w:bCs/>
                <w:i w:val="0"/>
                <w:iCs w:val="0"/>
                <w:color w:val="auto"/>
                <w:sz w:val="21"/>
                <w:szCs w:val="21"/>
                <w:u w:val="none"/>
              </w:rPr>
            </w:pPr>
          </w:p>
        </w:tc>
      </w:tr>
      <w:tr w14:paraId="10228A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restart"/>
            <w:tcBorders>
              <w:tl2br w:val="nil"/>
              <w:tr2bl w:val="nil"/>
            </w:tcBorders>
            <w:shd w:val="clear" w:color="auto" w:fill="auto"/>
            <w:vAlign w:val="center"/>
          </w:tcPr>
          <w:p w14:paraId="11E4B5BF">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snapToGrid w:val="0"/>
                <w:color w:val="auto"/>
                <w:kern w:val="0"/>
                <w:sz w:val="21"/>
                <w:szCs w:val="21"/>
                <w:u w:val="none"/>
                <w:lang w:val="en-US" w:eastAsia="zh-CN" w:bidi="ar"/>
              </w:rPr>
              <w:t>原州区</w:t>
            </w:r>
          </w:p>
        </w:tc>
        <w:tc>
          <w:tcPr>
            <w:tcW w:w="1319" w:type="dxa"/>
            <w:tcBorders>
              <w:tl2br w:val="nil"/>
              <w:tr2bl w:val="nil"/>
            </w:tcBorders>
            <w:shd w:val="clear" w:color="auto" w:fill="auto"/>
            <w:noWrap/>
            <w:vAlign w:val="center"/>
          </w:tcPr>
          <w:p w14:paraId="65DEE44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en-US" w:bidi="ar-SA"/>
              </w:rPr>
            </w:pPr>
            <w:r>
              <w:rPr>
                <w:rFonts w:hint="default" w:ascii="Times New Roman" w:hAnsi="Times New Roman" w:cs="Times New Roman" w:eastAsiaTheme="minorEastAsia"/>
                <w:i w:val="0"/>
                <w:iCs w:val="0"/>
                <w:snapToGrid w:val="0"/>
                <w:color w:val="auto"/>
                <w:kern w:val="0"/>
                <w:sz w:val="21"/>
                <w:szCs w:val="21"/>
                <w:u w:val="none"/>
                <w:lang w:val="en-US" w:eastAsia="zh-CN" w:bidi="ar"/>
              </w:rPr>
              <w:t>林地</w:t>
            </w:r>
          </w:p>
        </w:tc>
        <w:tc>
          <w:tcPr>
            <w:tcW w:w="1318" w:type="dxa"/>
            <w:tcBorders>
              <w:tl2br w:val="nil"/>
              <w:tr2bl w:val="nil"/>
            </w:tcBorders>
            <w:shd w:val="clear" w:color="auto" w:fill="auto"/>
            <w:noWrap/>
            <w:vAlign w:val="center"/>
          </w:tcPr>
          <w:p w14:paraId="23A3A00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en-US" w:bidi="ar-SA"/>
              </w:rPr>
            </w:pPr>
            <w:r>
              <w:rPr>
                <w:rFonts w:hint="default" w:ascii="Times New Roman" w:hAnsi="Times New Roman" w:cs="Times New Roman" w:eastAsiaTheme="minorEastAsia"/>
                <w:i w:val="0"/>
                <w:iCs w:val="0"/>
                <w:snapToGrid w:val="0"/>
                <w:color w:val="auto"/>
                <w:kern w:val="0"/>
                <w:sz w:val="21"/>
                <w:szCs w:val="21"/>
                <w:u w:val="none"/>
                <w:lang w:val="en-US" w:eastAsia="zh-CN" w:bidi="ar"/>
              </w:rPr>
              <w:t>灌木林地</w:t>
            </w:r>
          </w:p>
        </w:tc>
        <w:tc>
          <w:tcPr>
            <w:tcW w:w="845" w:type="dxa"/>
            <w:tcBorders>
              <w:tl2br w:val="nil"/>
              <w:tr2bl w:val="nil"/>
            </w:tcBorders>
            <w:shd w:val="clear" w:color="auto" w:fill="auto"/>
            <w:noWrap/>
            <w:vAlign w:val="center"/>
          </w:tcPr>
          <w:p w14:paraId="3A809D0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0.0144</w:t>
            </w:r>
          </w:p>
        </w:tc>
        <w:tc>
          <w:tcPr>
            <w:tcW w:w="1186" w:type="dxa"/>
            <w:tcBorders>
              <w:tl2br w:val="nil"/>
              <w:tr2bl w:val="nil"/>
            </w:tcBorders>
            <w:shd w:val="clear" w:color="auto" w:fill="auto"/>
            <w:noWrap/>
            <w:vAlign w:val="center"/>
          </w:tcPr>
          <w:p w14:paraId="6610520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0.1871</w:t>
            </w:r>
          </w:p>
        </w:tc>
        <w:tc>
          <w:tcPr>
            <w:tcW w:w="895" w:type="dxa"/>
            <w:gridSpan w:val="2"/>
            <w:tcBorders>
              <w:tl2br w:val="nil"/>
              <w:tr2bl w:val="nil"/>
            </w:tcBorders>
            <w:shd w:val="clear" w:color="auto" w:fill="auto"/>
            <w:noWrap/>
            <w:vAlign w:val="center"/>
          </w:tcPr>
          <w:p w14:paraId="1C6D883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0.0740</w:t>
            </w:r>
          </w:p>
        </w:tc>
        <w:tc>
          <w:tcPr>
            <w:tcW w:w="934" w:type="dxa"/>
            <w:tcBorders>
              <w:tl2br w:val="nil"/>
              <w:tr2bl w:val="nil"/>
            </w:tcBorders>
            <w:shd w:val="clear" w:color="auto" w:fill="auto"/>
            <w:noWrap/>
            <w:vAlign w:val="center"/>
          </w:tcPr>
          <w:p w14:paraId="1F63EB2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0.7440</w:t>
            </w:r>
          </w:p>
        </w:tc>
        <w:tc>
          <w:tcPr>
            <w:tcW w:w="1061" w:type="dxa"/>
            <w:gridSpan w:val="2"/>
            <w:tcBorders>
              <w:tl2br w:val="nil"/>
              <w:tr2bl w:val="nil"/>
            </w:tcBorders>
            <w:shd w:val="clear" w:color="auto" w:fill="auto"/>
            <w:noWrap/>
            <w:vAlign w:val="center"/>
          </w:tcPr>
          <w:p w14:paraId="1A963B92">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0.3628</w:t>
            </w:r>
          </w:p>
        </w:tc>
        <w:tc>
          <w:tcPr>
            <w:tcW w:w="1028" w:type="dxa"/>
            <w:tcBorders>
              <w:tl2br w:val="nil"/>
              <w:tr2bl w:val="nil"/>
            </w:tcBorders>
            <w:shd w:val="clear" w:color="auto" w:fill="auto"/>
            <w:noWrap/>
            <w:vAlign w:val="center"/>
          </w:tcPr>
          <w:p w14:paraId="5FFC4995">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1.3823</w:t>
            </w:r>
          </w:p>
        </w:tc>
      </w:tr>
      <w:tr w14:paraId="436D5A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2D057E7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p>
        </w:tc>
        <w:tc>
          <w:tcPr>
            <w:tcW w:w="1319" w:type="dxa"/>
            <w:tcBorders>
              <w:tl2br w:val="nil"/>
              <w:tr2bl w:val="nil"/>
            </w:tcBorders>
            <w:shd w:val="clear" w:color="auto" w:fill="auto"/>
            <w:noWrap/>
            <w:vAlign w:val="center"/>
          </w:tcPr>
          <w:p w14:paraId="37898355">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交通运输用地</w:t>
            </w:r>
          </w:p>
        </w:tc>
        <w:tc>
          <w:tcPr>
            <w:tcW w:w="1318" w:type="dxa"/>
            <w:tcBorders>
              <w:tl2br w:val="nil"/>
              <w:tr2bl w:val="nil"/>
            </w:tcBorders>
            <w:shd w:val="clear" w:color="auto" w:fill="auto"/>
            <w:noWrap/>
            <w:vAlign w:val="center"/>
          </w:tcPr>
          <w:p w14:paraId="0779E74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农村道路</w:t>
            </w:r>
          </w:p>
        </w:tc>
        <w:tc>
          <w:tcPr>
            <w:tcW w:w="845" w:type="dxa"/>
            <w:tcBorders>
              <w:tl2br w:val="nil"/>
              <w:tr2bl w:val="nil"/>
            </w:tcBorders>
            <w:shd w:val="clear" w:color="auto" w:fill="auto"/>
            <w:noWrap/>
            <w:vAlign w:val="center"/>
          </w:tcPr>
          <w:p w14:paraId="597BF0F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6D0A186D">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0.0003</w:t>
            </w:r>
          </w:p>
        </w:tc>
        <w:tc>
          <w:tcPr>
            <w:tcW w:w="895" w:type="dxa"/>
            <w:gridSpan w:val="2"/>
            <w:tcBorders>
              <w:tl2br w:val="nil"/>
              <w:tr2bl w:val="nil"/>
            </w:tcBorders>
            <w:shd w:val="clear" w:color="auto" w:fill="auto"/>
            <w:noWrap/>
            <w:vAlign w:val="center"/>
          </w:tcPr>
          <w:p w14:paraId="501F17F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934" w:type="dxa"/>
            <w:tcBorders>
              <w:tl2br w:val="nil"/>
              <w:tr2bl w:val="nil"/>
            </w:tcBorders>
            <w:shd w:val="clear" w:color="auto" w:fill="auto"/>
            <w:noWrap/>
            <w:vAlign w:val="center"/>
          </w:tcPr>
          <w:p w14:paraId="58179EFF">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0.0032</w:t>
            </w:r>
          </w:p>
        </w:tc>
        <w:tc>
          <w:tcPr>
            <w:tcW w:w="1061" w:type="dxa"/>
            <w:gridSpan w:val="2"/>
            <w:tcBorders>
              <w:tl2br w:val="nil"/>
              <w:tr2bl w:val="nil"/>
            </w:tcBorders>
            <w:shd w:val="clear" w:color="auto" w:fill="auto"/>
            <w:noWrap/>
            <w:vAlign w:val="center"/>
          </w:tcPr>
          <w:p w14:paraId="73347179">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1028" w:type="dxa"/>
            <w:tcBorders>
              <w:tl2br w:val="nil"/>
              <w:tr2bl w:val="nil"/>
            </w:tcBorders>
            <w:shd w:val="clear" w:color="auto" w:fill="auto"/>
            <w:noWrap/>
            <w:vAlign w:val="center"/>
          </w:tcPr>
          <w:p w14:paraId="542446B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0.0035</w:t>
            </w:r>
          </w:p>
        </w:tc>
      </w:tr>
      <w:tr w14:paraId="69B6B9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38E271D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p>
        </w:tc>
        <w:tc>
          <w:tcPr>
            <w:tcW w:w="2637" w:type="dxa"/>
            <w:gridSpan w:val="2"/>
            <w:tcBorders>
              <w:tl2br w:val="nil"/>
              <w:tr2bl w:val="nil"/>
            </w:tcBorders>
            <w:shd w:val="clear" w:color="auto" w:fill="auto"/>
            <w:noWrap/>
            <w:vAlign w:val="center"/>
          </w:tcPr>
          <w:p w14:paraId="1DDBE27F">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合计</w:t>
            </w:r>
          </w:p>
        </w:tc>
        <w:tc>
          <w:tcPr>
            <w:tcW w:w="845" w:type="dxa"/>
            <w:tcBorders>
              <w:tl2br w:val="nil"/>
              <w:tr2bl w:val="nil"/>
            </w:tcBorders>
            <w:shd w:val="clear" w:color="auto" w:fill="auto"/>
            <w:noWrap/>
            <w:vAlign w:val="center"/>
          </w:tcPr>
          <w:p w14:paraId="2BF20925">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0.0144</w:t>
            </w:r>
          </w:p>
        </w:tc>
        <w:tc>
          <w:tcPr>
            <w:tcW w:w="1186" w:type="dxa"/>
            <w:tcBorders>
              <w:tl2br w:val="nil"/>
              <w:tr2bl w:val="nil"/>
            </w:tcBorders>
            <w:shd w:val="clear" w:color="auto" w:fill="auto"/>
            <w:noWrap/>
            <w:vAlign w:val="center"/>
          </w:tcPr>
          <w:p w14:paraId="234C2A7D">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0.1874</w:t>
            </w:r>
          </w:p>
        </w:tc>
        <w:tc>
          <w:tcPr>
            <w:tcW w:w="895" w:type="dxa"/>
            <w:gridSpan w:val="2"/>
            <w:tcBorders>
              <w:tl2br w:val="nil"/>
              <w:tr2bl w:val="nil"/>
            </w:tcBorders>
            <w:shd w:val="clear" w:color="auto" w:fill="auto"/>
            <w:noWrap/>
            <w:vAlign w:val="center"/>
          </w:tcPr>
          <w:p w14:paraId="570A79A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0.0740</w:t>
            </w:r>
          </w:p>
        </w:tc>
        <w:tc>
          <w:tcPr>
            <w:tcW w:w="934" w:type="dxa"/>
            <w:tcBorders>
              <w:tl2br w:val="nil"/>
              <w:tr2bl w:val="nil"/>
            </w:tcBorders>
            <w:shd w:val="clear" w:color="auto" w:fill="auto"/>
            <w:noWrap/>
            <w:vAlign w:val="center"/>
          </w:tcPr>
          <w:p w14:paraId="76D8B36B">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0.7472</w:t>
            </w:r>
          </w:p>
        </w:tc>
        <w:tc>
          <w:tcPr>
            <w:tcW w:w="1061" w:type="dxa"/>
            <w:gridSpan w:val="2"/>
            <w:tcBorders>
              <w:tl2br w:val="nil"/>
              <w:tr2bl w:val="nil"/>
            </w:tcBorders>
            <w:shd w:val="clear" w:color="auto" w:fill="auto"/>
            <w:noWrap/>
            <w:vAlign w:val="center"/>
          </w:tcPr>
          <w:p w14:paraId="2664EC7E">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0.3628</w:t>
            </w:r>
          </w:p>
        </w:tc>
        <w:tc>
          <w:tcPr>
            <w:tcW w:w="1028" w:type="dxa"/>
            <w:tcBorders>
              <w:tl2br w:val="nil"/>
              <w:tr2bl w:val="nil"/>
            </w:tcBorders>
            <w:shd w:val="clear" w:color="auto" w:fill="auto"/>
            <w:noWrap/>
            <w:vAlign w:val="center"/>
          </w:tcPr>
          <w:p w14:paraId="76B4085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1.3858</w:t>
            </w:r>
          </w:p>
        </w:tc>
      </w:tr>
      <w:tr w14:paraId="6FB6D1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restart"/>
            <w:tcBorders>
              <w:tl2br w:val="nil"/>
              <w:tr2bl w:val="nil"/>
            </w:tcBorders>
            <w:shd w:val="clear" w:color="auto" w:fill="auto"/>
            <w:vAlign w:val="center"/>
          </w:tcPr>
          <w:p w14:paraId="6AB7C05B">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彭阳县</w:t>
            </w:r>
          </w:p>
        </w:tc>
        <w:tc>
          <w:tcPr>
            <w:tcW w:w="1319" w:type="dxa"/>
            <w:vMerge w:val="restart"/>
            <w:tcBorders>
              <w:tl2br w:val="nil"/>
              <w:tr2bl w:val="nil"/>
            </w:tcBorders>
            <w:shd w:val="clear" w:color="auto" w:fill="auto"/>
            <w:noWrap/>
            <w:vAlign w:val="center"/>
          </w:tcPr>
          <w:p w14:paraId="42D5E1D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en-US" w:bidi="ar-SA"/>
              </w:rPr>
            </w:pPr>
            <w:r>
              <w:rPr>
                <w:rFonts w:hint="default" w:ascii="Times New Roman" w:hAnsi="Times New Roman" w:cs="Times New Roman" w:eastAsiaTheme="minorEastAsia"/>
                <w:i w:val="0"/>
                <w:iCs w:val="0"/>
                <w:snapToGrid w:val="0"/>
                <w:color w:val="auto"/>
                <w:kern w:val="0"/>
                <w:sz w:val="21"/>
                <w:szCs w:val="21"/>
                <w:u w:val="none"/>
                <w:lang w:val="en-US" w:eastAsia="zh-CN" w:bidi="ar"/>
              </w:rPr>
              <w:t>林地</w:t>
            </w:r>
          </w:p>
        </w:tc>
        <w:tc>
          <w:tcPr>
            <w:tcW w:w="1318" w:type="dxa"/>
            <w:tcBorders>
              <w:tl2br w:val="nil"/>
              <w:tr2bl w:val="nil"/>
            </w:tcBorders>
            <w:shd w:val="clear" w:color="auto" w:fill="auto"/>
            <w:noWrap/>
            <w:vAlign w:val="center"/>
          </w:tcPr>
          <w:p w14:paraId="17A1F09F">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en-US" w:bidi="ar-SA"/>
              </w:rPr>
            </w:pPr>
            <w:r>
              <w:rPr>
                <w:rFonts w:hint="default" w:ascii="Times New Roman" w:hAnsi="Times New Roman" w:cs="Times New Roman" w:eastAsiaTheme="minorEastAsia"/>
                <w:i w:val="0"/>
                <w:iCs w:val="0"/>
                <w:snapToGrid w:val="0"/>
                <w:color w:val="auto"/>
                <w:kern w:val="0"/>
                <w:sz w:val="21"/>
                <w:szCs w:val="21"/>
                <w:u w:val="none"/>
                <w:lang w:val="en-US" w:eastAsia="zh-CN" w:bidi="ar"/>
              </w:rPr>
              <w:t>灌木林地</w:t>
            </w:r>
          </w:p>
        </w:tc>
        <w:tc>
          <w:tcPr>
            <w:tcW w:w="845" w:type="dxa"/>
            <w:tcBorders>
              <w:tl2br w:val="nil"/>
              <w:tr2bl w:val="nil"/>
            </w:tcBorders>
            <w:shd w:val="clear" w:color="auto" w:fill="auto"/>
            <w:noWrap/>
            <w:vAlign w:val="center"/>
          </w:tcPr>
          <w:p w14:paraId="6D14096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0.0072</w:t>
            </w:r>
          </w:p>
        </w:tc>
        <w:tc>
          <w:tcPr>
            <w:tcW w:w="1186" w:type="dxa"/>
            <w:tcBorders>
              <w:tl2br w:val="nil"/>
              <w:tr2bl w:val="nil"/>
            </w:tcBorders>
            <w:shd w:val="clear" w:color="auto" w:fill="auto"/>
            <w:noWrap/>
            <w:vAlign w:val="center"/>
          </w:tcPr>
          <w:p w14:paraId="66D88A92">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0.0736</w:t>
            </w:r>
          </w:p>
        </w:tc>
        <w:tc>
          <w:tcPr>
            <w:tcW w:w="882" w:type="dxa"/>
            <w:tcBorders>
              <w:tl2br w:val="nil"/>
              <w:tr2bl w:val="nil"/>
            </w:tcBorders>
            <w:shd w:val="clear" w:color="auto" w:fill="auto"/>
            <w:noWrap/>
            <w:vAlign w:val="center"/>
          </w:tcPr>
          <w:p w14:paraId="1DA7A388">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508CF1F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0.4903</w:t>
            </w:r>
          </w:p>
        </w:tc>
        <w:tc>
          <w:tcPr>
            <w:tcW w:w="1039" w:type="dxa"/>
            <w:tcBorders>
              <w:tl2br w:val="nil"/>
              <w:tr2bl w:val="nil"/>
            </w:tcBorders>
            <w:shd w:val="clear" w:color="auto" w:fill="auto"/>
            <w:noWrap/>
            <w:vAlign w:val="center"/>
          </w:tcPr>
          <w:p w14:paraId="75731410">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0.1419</w:t>
            </w:r>
          </w:p>
        </w:tc>
        <w:tc>
          <w:tcPr>
            <w:tcW w:w="1028" w:type="dxa"/>
            <w:tcBorders>
              <w:tl2br w:val="nil"/>
              <w:tr2bl w:val="nil"/>
            </w:tcBorders>
            <w:shd w:val="clear" w:color="auto" w:fill="auto"/>
            <w:noWrap/>
            <w:vAlign w:val="center"/>
          </w:tcPr>
          <w:p w14:paraId="1327974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0.5170</w:t>
            </w:r>
          </w:p>
        </w:tc>
      </w:tr>
      <w:tr w14:paraId="3A56D3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1485E2A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p>
        </w:tc>
        <w:tc>
          <w:tcPr>
            <w:tcW w:w="1319" w:type="dxa"/>
            <w:vMerge w:val="continue"/>
            <w:tcBorders>
              <w:tl2br w:val="nil"/>
              <w:tr2bl w:val="nil"/>
            </w:tcBorders>
            <w:shd w:val="clear" w:color="auto" w:fill="auto"/>
            <w:noWrap/>
            <w:vAlign w:val="center"/>
          </w:tcPr>
          <w:p w14:paraId="25BFC45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p>
        </w:tc>
        <w:tc>
          <w:tcPr>
            <w:tcW w:w="1318" w:type="dxa"/>
            <w:tcBorders>
              <w:tl2br w:val="nil"/>
              <w:tr2bl w:val="nil"/>
            </w:tcBorders>
            <w:shd w:val="clear" w:color="auto" w:fill="auto"/>
            <w:noWrap/>
            <w:vAlign w:val="center"/>
          </w:tcPr>
          <w:p w14:paraId="55BC6D2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其他林地</w:t>
            </w:r>
          </w:p>
        </w:tc>
        <w:tc>
          <w:tcPr>
            <w:tcW w:w="845" w:type="dxa"/>
            <w:tcBorders>
              <w:tl2br w:val="nil"/>
              <w:tr2bl w:val="nil"/>
            </w:tcBorders>
            <w:shd w:val="clear" w:color="auto" w:fill="auto"/>
            <w:noWrap/>
            <w:vAlign w:val="center"/>
          </w:tcPr>
          <w:p w14:paraId="01D1C53B">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48CD0B0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0.0339</w:t>
            </w:r>
          </w:p>
        </w:tc>
        <w:tc>
          <w:tcPr>
            <w:tcW w:w="882" w:type="dxa"/>
            <w:tcBorders>
              <w:tl2br w:val="nil"/>
              <w:tr2bl w:val="nil"/>
            </w:tcBorders>
            <w:shd w:val="clear" w:color="auto" w:fill="auto"/>
            <w:noWrap/>
            <w:vAlign w:val="center"/>
          </w:tcPr>
          <w:p w14:paraId="4F6C720B">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09C7DD5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0.0251</w:t>
            </w:r>
          </w:p>
        </w:tc>
        <w:tc>
          <w:tcPr>
            <w:tcW w:w="1039" w:type="dxa"/>
            <w:tcBorders>
              <w:tl2br w:val="nil"/>
              <w:tr2bl w:val="nil"/>
            </w:tcBorders>
            <w:shd w:val="clear" w:color="auto" w:fill="auto"/>
            <w:noWrap/>
            <w:vAlign w:val="center"/>
          </w:tcPr>
          <w:p w14:paraId="41649A38">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0.0211</w:t>
            </w:r>
          </w:p>
        </w:tc>
        <w:tc>
          <w:tcPr>
            <w:tcW w:w="1028" w:type="dxa"/>
            <w:tcBorders>
              <w:tl2br w:val="nil"/>
              <w:tr2bl w:val="nil"/>
            </w:tcBorders>
            <w:shd w:val="clear" w:color="auto" w:fill="auto"/>
            <w:noWrap/>
            <w:vAlign w:val="center"/>
          </w:tcPr>
          <w:p w14:paraId="38E21B6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0.2761</w:t>
            </w:r>
          </w:p>
        </w:tc>
      </w:tr>
      <w:tr w14:paraId="04EDE3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68111CF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p>
        </w:tc>
        <w:tc>
          <w:tcPr>
            <w:tcW w:w="1319" w:type="dxa"/>
            <w:tcBorders>
              <w:tl2br w:val="nil"/>
              <w:tr2bl w:val="nil"/>
            </w:tcBorders>
            <w:shd w:val="clear" w:color="auto" w:fill="auto"/>
            <w:noWrap/>
            <w:vAlign w:val="center"/>
          </w:tcPr>
          <w:p w14:paraId="29977042">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草地</w:t>
            </w:r>
          </w:p>
        </w:tc>
        <w:tc>
          <w:tcPr>
            <w:tcW w:w="1318" w:type="dxa"/>
            <w:tcBorders>
              <w:tl2br w:val="nil"/>
              <w:tr2bl w:val="nil"/>
            </w:tcBorders>
            <w:shd w:val="clear" w:color="auto" w:fill="auto"/>
            <w:noWrap/>
            <w:vAlign w:val="center"/>
          </w:tcPr>
          <w:p w14:paraId="2485BCA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天然牧草地</w:t>
            </w:r>
          </w:p>
        </w:tc>
        <w:tc>
          <w:tcPr>
            <w:tcW w:w="845" w:type="dxa"/>
            <w:tcBorders>
              <w:tl2br w:val="nil"/>
              <w:tr2bl w:val="nil"/>
            </w:tcBorders>
            <w:shd w:val="clear" w:color="auto" w:fill="auto"/>
            <w:noWrap/>
            <w:vAlign w:val="center"/>
          </w:tcPr>
          <w:p w14:paraId="0350C0C6">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0101372D">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0.0163</w:t>
            </w:r>
          </w:p>
        </w:tc>
        <w:tc>
          <w:tcPr>
            <w:tcW w:w="882" w:type="dxa"/>
            <w:tcBorders>
              <w:tl2br w:val="nil"/>
              <w:tr2bl w:val="nil"/>
            </w:tcBorders>
            <w:shd w:val="clear" w:color="auto" w:fill="auto"/>
            <w:noWrap/>
            <w:vAlign w:val="center"/>
          </w:tcPr>
          <w:p w14:paraId="38E9BE5F">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556B52E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0.0833</w:t>
            </w:r>
          </w:p>
        </w:tc>
        <w:tc>
          <w:tcPr>
            <w:tcW w:w="1039" w:type="dxa"/>
            <w:tcBorders>
              <w:tl2br w:val="nil"/>
              <w:tr2bl w:val="nil"/>
            </w:tcBorders>
            <w:shd w:val="clear" w:color="auto" w:fill="auto"/>
            <w:noWrap/>
            <w:vAlign w:val="center"/>
          </w:tcPr>
          <w:p w14:paraId="6D27A101">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0.0211</w:t>
            </w:r>
          </w:p>
        </w:tc>
        <w:tc>
          <w:tcPr>
            <w:tcW w:w="1028" w:type="dxa"/>
            <w:tcBorders>
              <w:tl2br w:val="nil"/>
              <w:tr2bl w:val="nil"/>
            </w:tcBorders>
            <w:shd w:val="clear" w:color="auto" w:fill="auto"/>
            <w:noWrap/>
            <w:vAlign w:val="center"/>
          </w:tcPr>
          <w:p w14:paraId="57AF994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0.1207</w:t>
            </w:r>
          </w:p>
        </w:tc>
      </w:tr>
      <w:tr w14:paraId="4C8493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4822B7F7">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p>
        </w:tc>
        <w:tc>
          <w:tcPr>
            <w:tcW w:w="2637" w:type="dxa"/>
            <w:gridSpan w:val="2"/>
            <w:tcBorders>
              <w:tl2br w:val="nil"/>
              <w:tr2bl w:val="nil"/>
            </w:tcBorders>
            <w:shd w:val="clear" w:color="auto" w:fill="auto"/>
            <w:noWrap/>
            <w:vAlign w:val="center"/>
          </w:tcPr>
          <w:p w14:paraId="510FDBF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小计</w:t>
            </w:r>
          </w:p>
        </w:tc>
        <w:tc>
          <w:tcPr>
            <w:tcW w:w="845" w:type="dxa"/>
            <w:tcBorders>
              <w:tl2br w:val="nil"/>
              <w:tr2bl w:val="nil"/>
            </w:tcBorders>
            <w:shd w:val="clear" w:color="auto" w:fill="auto"/>
            <w:noWrap/>
            <w:vAlign w:val="center"/>
          </w:tcPr>
          <w:p w14:paraId="00F587FB">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0.0072</w:t>
            </w:r>
          </w:p>
        </w:tc>
        <w:tc>
          <w:tcPr>
            <w:tcW w:w="1186" w:type="dxa"/>
            <w:tcBorders>
              <w:tl2br w:val="nil"/>
              <w:tr2bl w:val="nil"/>
            </w:tcBorders>
            <w:shd w:val="clear" w:color="auto" w:fill="auto"/>
            <w:noWrap/>
            <w:vAlign w:val="center"/>
          </w:tcPr>
          <w:p w14:paraId="4E844F78">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0.1238</w:t>
            </w:r>
          </w:p>
        </w:tc>
        <w:tc>
          <w:tcPr>
            <w:tcW w:w="882" w:type="dxa"/>
            <w:tcBorders>
              <w:tl2br w:val="nil"/>
              <w:tr2bl w:val="nil"/>
            </w:tcBorders>
            <w:shd w:val="clear" w:color="auto" w:fill="auto"/>
            <w:noWrap/>
            <w:vAlign w:val="center"/>
          </w:tcPr>
          <w:p w14:paraId="529ABEF5">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06D63D2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0.5987</w:t>
            </w:r>
          </w:p>
        </w:tc>
        <w:tc>
          <w:tcPr>
            <w:tcW w:w="1039" w:type="dxa"/>
            <w:tcBorders>
              <w:tl2br w:val="nil"/>
              <w:tr2bl w:val="nil"/>
            </w:tcBorders>
            <w:shd w:val="clear" w:color="auto" w:fill="auto"/>
            <w:noWrap/>
            <w:vAlign w:val="center"/>
          </w:tcPr>
          <w:p w14:paraId="24304AC7">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0.1841</w:t>
            </w:r>
          </w:p>
        </w:tc>
        <w:tc>
          <w:tcPr>
            <w:tcW w:w="1028" w:type="dxa"/>
            <w:tcBorders>
              <w:tl2br w:val="nil"/>
              <w:tr2bl w:val="nil"/>
            </w:tcBorders>
            <w:shd w:val="clear" w:color="auto" w:fill="auto"/>
            <w:noWrap/>
            <w:vAlign w:val="center"/>
          </w:tcPr>
          <w:p w14:paraId="020BA10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0.9138</w:t>
            </w:r>
          </w:p>
        </w:tc>
      </w:tr>
      <w:tr w14:paraId="4DA262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4CFBB2C9">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1319" w:type="dxa"/>
            <w:vMerge w:val="restart"/>
            <w:tcBorders>
              <w:tl2br w:val="nil"/>
              <w:tr2bl w:val="nil"/>
            </w:tcBorders>
            <w:shd w:val="clear" w:color="auto" w:fill="auto"/>
            <w:noWrap/>
            <w:vAlign w:val="center"/>
          </w:tcPr>
          <w:p w14:paraId="61F461D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snapToGrid w:val="0"/>
                <w:color w:val="auto"/>
                <w:kern w:val="0"/>
                <w:sz w:val="21"/>
                <w:szCs w:val="21"/>
                <w:u w:val="none"/>
                <w:lang w:val="en-US" w:eastAsia="zh-CN" w:bidi="ar"/>
              </w:rPr>
              <w:t>林地</w:t>
            </w:r>
          </w:p>
        </w:tc>
        <w:tc>
          <w:tcPr>
            <w:tcW w:w="1318" w:type="dxa"/>
            <w:tcBorders>
              <w:tl2br w:val="nil"/>
              <w:tr2bl w:val="nil"/>
            </w:tcBorders>
            <w:shd w:val="clear" w:color="auto" w:fill="auto"/>
            <w:noWrap/>
            <w:vAlign w:val="center"/>
          </w:tcPr>
          <w:p w14:paraId="397156E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snapToGrid w:val="0"/>
                <w:color w:val="auto"/>
                <w:kern w:val="0"/>
                <w:sz w:val="21"/>
                <w:szCs w:val="21"/>
                <w:u w:val="none"/>
                <w:lang w:val="en-US" w:eastAsia="zh-CN" w:bidi="ar"/>
              </w:rPr>
              <w:t>乔木林地</w:t>
            </w:r>
          </w:p>
        </w:tc>
        <w:tc>
          <w:tcPr>
            <w:tcW w:w="845" w:type="dxa"/>
            <w:tcBorders>
              <w:tl2br w:val="nil"/>
              <w:tr2bl w:val="nil"/>
            </w:tcBorders>
            <w:shd w:val="clear" w:color="auto" w:fill="auto"/>
            <w:noWrap/>
            <w:vAlign w:val="center"/>
          </w:tcPr>
          <w:p w14:paraId="1A129CC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3A19C82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0.0071</w:t>
            </w:r>
          </w:p>
        </w:tc>
        <w:tc>
          <w:tcPr>
            <w:tcW w:w="882" w:type="dxa"/>
            <w:tcBorders>
              <w:tl2br w:val="nil"/>
              <w:tr2bl w:val="nil"/>
            </w:tcBorders>
            <w:shd w:val="clear" w:color="auto" w:fill="auto"/>
            <w:noWrap/>
            <w:vAlign w:val="center"/>
          </w:tcPr>
          <w:p w14:paraId="4925770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SA"/>
              </w:rPr>
            </w:pPr>
            <w:r>
              <w:rPr>
                <w:rFonts w:hint="default" w:ascii="Times New Roman" w:hAnsi="Times New Roman" w:cs="Times New Roman" w:eastAsiaTheme="minorEastAsia"/>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0A8752F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0.0077</w:t>
            </w:r>
          </w:p>
        </w:tc>
        <w:tc>
          <w:tcPr>
            <w:tcW w:w="1039" w:type="dxa"/>
            <w:tcBorders>
              <w:tl2br w:val="nil"/>
              <w:tr2bl w:val="nil"/>
            </w:tcBorders>
            <w:shd w:val="clear" w:color="auto" w:fill="auto"/>
            <w:noWrap/>
            <w:vAlign w:val="center"/>
          </w:tcPr>
          <w:p w14:paraId="41BD0376">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0.0309</w:t>
            </w:r>
          </w:p>
        </w:tc>
        <w:tc>
          <w:tcPr>
            <w:tcW w:w="1028" w:type="dxa"/>
            <w:tcBorders>
              <w:tl2br w:val="nil"/>
              <w:tr2bl w:val="nil"/>
            </w:tcBorders>
            <w:shd w:val="clear" w:color="auto" w:fill="auto"/>
            <w:noWrap/>
            <w:vAlign w:val="center"/>
          </w:tcPr>
          <w:p w14:paraId="2258133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t>0.0457</w:t>
            </w:r>
          </w:p>
        </w:tc>
      </w:tr>
      <w:tr w14:paraId="668E40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5A7894A0">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1319" w:type="dxa"/>
            <w:vMerge w:val="continue"/>
            <w:tcBorders>
              <w:tl2br w:val="nil"/>
              <w:tr2bl w:val="nil"/>
            </w:tcBorders>
            <w:shd w:val="clear" w:color="auto" w:fill="auto"/>
            <w:noWrap/>
            <w:vAlign w:val="center"/>
          </w:tcPr>
          <w:p w14:paraId="103F7CC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p>
        </w:tc>
        <w:tc>
          <w:tcPr>
            <w:tcW w:w="1318" w:type="dxa"/>
            <w:tcBorders>
              <w:tl2br w:val="nil"/>
              <w:tr2bl w:val="nil"/>
            </w:tcBorders>
            <w:shd w:val="clear" w:color="auto" w:fill="auto"/>
            <w:noWrap/>
            <w:vAlign w:val="center"/>
          </w:tcPr>
          <w:p w14:paraId="0F2E6452">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其他林地</w:t>
            </w:r>
          </w:p>
        </w:tc>
        <w:tc>
          <w:tcPr>
            <w:tcW w:w="845" w:type="dxa"/>
            <w:tcBorders>
              <w:tl2br w:val="nil"/>
              <w:tr2bl w:val="nil"/>
            </w:tcBorders>
            <w:shd w:val="clear" w:color="auto" w:fill="auto"/>
            <w:noWrap/>
            <w:vAlign w:val="center"/>
          </w:tcPr>
          <w:p w14:paraId="3171E2D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0.0072</w:t>
            </w:r>
          </w:p>
        </w:tc>
        <w:tc>
          <w:tcPr>
            <w:tcW w:w="1186" w:type="dxa"/>
            <w:tcBorders>
              <w:tl2br w:val="nil"/>
              <w:tr2bl w:val="nil"/>
            </w:tcBorders>
            <w:shd w:val="clear" w:color="auto" w:fill="auto"/>
            <w:noWrap/>
            <w:vAlign w:val="center"/>
          </w:tcPr>
          <w:p w14:paraId="66D9C237">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0.0064</w:t>
            </w:r>
          </w:p>
        </w:tc>
        <w:tc>
          <w:tcPr>
            <w:tcW w:w="882" w:type="dxa"/>
            <w:tcBorders>
              <w:tl2br w:val="nil"/>
              <w:tr2bl w:val="nil"/>
            </w:tcBorders>
            <w:shd w:val="clear" w:color="auto" w:fill="auto"/>
            <w:noWrap/>
            <w:vAlign w:val="center"/>
          </w:tcPr>
          <w:p w14:paraId="17C93AE6">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SA"/>
              </w:rPr>
            </w:pPr>
            <w:r>
              <w:rPr>
                <w:rFonts w:hint="default" w:ascii="Times New Roman" w:hAnsi="Times New Roman" w:cs="Times New Roman" w:eastAsiaTheme="minorEastAsia"/>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4050730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0.0154</w:t>
            </w:r>
          </w:p>
        </w:tc>
        <w:tc>
          <w:tcPr>
            <w:tcW w:w="1039" w:type="dxa"/>
            <w:tcBorders>
              <w:tl2br w:val="nil"/>
              <w:tr2bl w:val="nil"/>
            </w:tcBorders>
            <w:shd w:val="clear" w:color="auto" w:fill="auto"/>
            <w:noWrap/>
            <w:vAlign w:val="center"/>
          </w:tcPr>
          <w:p w14:paraId="5CBBF284">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0.0190</w:t>
            </w:r>
          </w:p>
        </w:tc>
        <w:tc>
          <w:tcPr>
            <w:tcW w:w="1028" w:type="dxa"/>
            <w:tcBorders>
              <w:tl2br w:val="nil"/>
              <w:tr2bl w:val="nil"/>
            </w:tcBorders>
            <w:shd w:val="clear" w:color="auto" w:fill="auto"/>
            <w:noWrap/>
            <w:vAlign w:val="center"/>
          </w:tcPr>
          <w:p w14:paraId="6A1B7E3D">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t>0.0480</w:t>
            </w:r>
          </w:p>
        </w:tc>
      </w:tr>
      <w:tr w14:paraId="4A7F34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097C0F22">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1319" w:type="dxa"/>
            <w:tcBorders>
              <w:tl2br w:val="nil"/>
              <w:tr2bl w:val="nil"/>
            </w:tcBorders>
            <w:shd w:val="clear" w:color="auto" w:fill="auto"/>
            <w:noWrap/>
            <w:vAlign w:val="center"/>
          </w:tcPr>
          <w:p w14:paraId="73539026">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草地</w:t>
            </w:r>
          </w:p>
        </w:tc>
        <w:tc>
          <w:tcPr>
            <w:tcW w:w="1318" w:type="dxa"/>
            <w:tcBorders>
              <w:tl2br w:val="nil"/>
              <w:tr2bl w:val="nil"/>
            </w:tcBorders>
            <w:shd w:val="clear" w:color="auto" w:fill="auto"/>
            <w:noWrap/>
            <w:vAlign w:val="center"/>
          </w:tcPr>
          <w:p w14:paraId="00180AE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人工牧草地</w:t>
            </w:r>
          </w:p>
        </w:tc>
        <w:tc>
          <w:tcPr>
            <w:tcW w:w="845" w:type="dxa"/>
            <w:tcBorders>
              <w:tl2br w:val="nil"/>
              <w:tr2bl w:val="nil"/>
            </w:tcBorders>
            <w:shd w:val="clear" w:color="auto" w:fill="auto"/>
            <w:noWrap/>
            <w:vAlign w:val="center"/>
          </w:tcPr>
          <w:p w14:paraId="2784421D">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76668068">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0.0047</w:t>
            </w:r>
          </w:p>
        </w:tc>
        <w:tc>
          <w:tcPr>
            <w:tcW w:w="882" w:type="dxa"/>
            <w:tcBorders>
              <w:tl2br w:val="nil"/>
              <w:tr2bl w:val="nil"/>
            </w:tcBorders>
            <w:shd w:val="clear" w:color="auto" w:fill="auto"/>
            <w:noWrap/>
            <w:vAlign w:val="center"/>
          </w:tcPr>
          <w:p w14:paraId="03F28D2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SA"/>
              </w:rPr>
            </w:pPr>
            <w:r>
              <w:rPr>
                <w:rFonts w:hint="default" w:ascii="Times New Roman" w:hAnsi="Times New Roman" w:cs="Times New Roman" w:eastAsiaTheme="minorEastAsia"/>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1DF7462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0.0018</w:t>
            </w:r>
          </w:p>
        </w:tc>
        <w:tc>
          <w:tcPr>
            <w:tcW w:w="1039" w:type="dxa"/>
            <w:tcBorders>
              <w:tl2br w:val="nil"/>
              <w:tr2bl w:val="nil"/>
            </w:tcBorders>
            <w:shd w:val="clear" w:color="auto" w:fill="auto"/>
            <w:noWrap/>
            <w:vAlign w:val="center"/>
          </w:tcPr>
          <w:p w14:paraId="17C36971">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t>0.0220</w:t>
            </w:r>
          </w:p>
        </w:tc>
        <w:tc>
          <w:tcPr>
            <w:tcW w:w="1028" w:type="dxa"/>
            <w:tcBorders>
              <w:tl2br w:val="nil"/>
              <w:tr2bl w:val="nil"/>
            </w:tcBorders>
            <w:shd w:val="clear" w:color="auto" w:fill="auto"/>
            <w:noWrap/>
            <w:vAlign w:val="center"/>
          </w:tcPr>
          <w:p w14:paraId="5C8351E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t>0.0285</w:t>
            </w:r>
          </w:p>
        </w:tc>
      </w:tr>
      <w:tr w14:paraId="232E60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384E15AA">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2637" w:type="dxa"/>
            <w:gridSpan w:val="2"/>
            <w:tcBorders>
              <w:tl2br w:val="nil"/>
              <w:tr2bl w:val="nil"/>
            </w:tcBorders>
            <w:shd w:val="clear" w:color="auto" w:fill="auto"/>
            <w:noWrap/>
            <w:vAlign w:val="center"/>
          </w:tcPr>
          <w:p w14:paraId="016CECB7">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小计</w:t>
            </w:r>
          </w:p>
        </w:tc>
        <w:tc>
          <w:tcPr>
            <w:tcW w:w="845" w:type="dxa"/>
            <w:tcBorders>
              <w:tl2br w:val="nil"/>
              <w:tr2bl w:val="nil"/>
            </w:tcBorders>
            <w:shd w:val="clear" w:color="auto" w:fill="auto"/>
            <w:noWrap/>
            <w:vAlign w:val="center"/>
          </w:tcPr>
          <w:p w14:paraId="0C3F6AF5">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snapToGrid w:val="0"/>
                <w:color w:val="auto"/>
                <w:kern w:val="0"/>
                <w:sz w:val="21"/>
                <w:szCs w:val="21"/>
                <w:u w:val="none"/>
                <w:lang w:val="en-US" w:eastAsia="zh-CN" w:bidi="ar-SA"/>
              </w:rPr>
              <w:t>0.0072</w:t>
            </w:r>
          </w:p>
        </w:tc>
        <w:tc>
          <w:tcPr>
            <w:tcW w:w="1186" w:type="dxa"/>
            <w:tcBorders>
              <w:tl2br w:val="nil"/>
              <w:tr2bl w:val="nil"/>
            </w:tcBorders>
            <w:shd w:val="clear" w:color="auto" w:fill="auto"/>
            <w:noWrap/>
            <w:vAlign w:val="center"/>
          </w:tcPr>
          <w:p w14:paraId="0C93DE7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snapToGrid w:val="0"/>
                <w:color w:val="auto"/>
                <w:kern w:val="0"/>
                <w:sz w:val="21"/>
                <w:szCs w:val="21"/>
                <w:u w:val="none"/>
                <w:lang w:val="en-US" w:eastAsia="zh-CN" w:bidi="ar-SA"/>
              </w:rPr>
              <w:t>0.0182</w:t>
            </w:r>
          </w:p>
        </w:tc>
        <w:tc>
          <w:tcPr>
            <w:tcW w:w="882" w:type="dxa"/>
            <w:tcBorders>
              <w:tl2br w:val="nil"/>
              <w:tr2bl w:val="nil"/>
            </w:tcBorders>
            <w:shd w:val="clear" w:color="auto" w:fill="auto"/>
            <w:noWrap/>
            <w:vAlign w:val="center"/>
          </w:tcPr>
          <w:p w14:paraId="2F72715F">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2E55286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snapToGrid w:val="0"/>
                <w:color w:val="auto"/>
                <w:kern w:val="0"/>
                <w:sz w:val="21"/>
                <w:szCs w:val="21"/>
                <w:u w:val="none"/>
                <w:lang w:val="en-US" w:eastAsia="zh-CN" w:bidi="ar-SA"/>
              </w:rPr>
              <w:t>0.0249</w:t>
            </w:r>
          </w:p>
        </w:tc>
        <w:tc>
          <w:tcPr>
            <w:tcW w:w="1039" w:type="dxa"/>
            <w:tcBorders>
              <w:tl2br w:val="nil"/>
              <w:tr2bl w:val="nil"/>
            </w:tcBorders>
            <w:shd w:val="clear" w:color="auto" w:fill="auto"/>
            <w:noWrap/>
            <w:vAlign w:val="center"/>
          </w:tcPr>
          <w:p w14:paraId="0CC29C5B">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snapToGrid w:val="0"/>
                <w:color w:val="auto"/>
                <w:kern w:val="0"/>
                <w:sz w:val="21"/>
                <w:szCs w:val="21"/>
                <w:u w:val="none"/>
                <w:lang w:val="en-US" w:eastAsia="zh-CN" w:bidi="ar-SA"/>
              </w:rPr>
              <w:t>0.0719</w:t>
            </w:r>
          </w:p>
        </w:tc>
        <w:tc>
          <w:tcPr>
            <w:tcW w:w="1028" w:type="dxa"/>
            <w:tcBorders>
              <w:tl2br w:val="nil"/>
              <w:tr2bl w:val="nil"/>
            </w:tcBorders>
            <w:shd w:val="clear" w:color="auto" w:fill="auto"/>
            <w:noWrap/>
            <w:vAlign w:val="center"/>
          </w:tcPr>
          <w:p w14:paraId="401877D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snapToGrid w:val="0"/>
                <w:color w:val="auto"/>
                <w:kern w:val="0"/>
                <w:sz w:val="21"/>
                <w:szCs w:val="21"/>
                <w:u w:val="none"/>
                <w:lang w:val="en-US" w:eastAsia="zh-CN" w:bidi="ar-SA"/>
              </w:rPr>
              <w:t>0.1222</w:t>
            </w:r>
          </w:p>
        </w:tc>
      </w:tr>
      <w:tr w14:paraId="64265B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43952BB9">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1319" w:type="dxa"/>
            <w:tcBorders>
              <w:tl2br w:val="nil"/>
              <w:tr2bl w:val="nil"/>
            </w:tcBorders>
            <w:shd w:val="clear" w:color="auto" w:fill="auto"/>
            <w:noWrap/>
            <w:vAlign w:val="center"/>
          </w:tcPr>
          <w:p w14:paraId="5BD785A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en-US" w:bidi="ar-SA"/>
              </w:rPr>
            </w:pPr>
            <w:r>
              <w:rPr>
                <w:rFonts w:hint="default" w:ascii="Times New Roman" w:hAnsi="Times New Roman" w:cs="Times New Roman" w:eastAsiaTheme="minorEastAsia"/>
                <w:i w:val="0"/>
                <w:iCs w:val="0"/>
                <w:snapToGrid w:val="0"/>
                <w:color w:val="auto"/>
                <w:kern w:val="0"/>
                <w:sz w:val="21"/>
                <w:szCs w:val="21"/>
                <w:u w:val="none"/>
                <w:lang w:val="en-US" w:eastAsia="zh-CN" w:bidi="ar"/>
              </w:rPr>
              <w:t>林地</w:t>
            </w:r>
          </w:p>
        </w:tc>
        <w:tc>
          <w:tcPr>
            <w:tcW w:w="1318" w:type="dxa"/>
            <w:tcBorders>
              <w:tl2br w:val="nil"/>
              <w:tr2bl w:val="nil"/>
            </w:tcBorders>
            <w:shd w:val="clear" w:color="auto" w:fill="auto"/>
            <w:noWrap/>
            <w:vAlign w:val="center"/>
          </w:tcPr>
          <w:p w14:paraId="3CB37CA6">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en-US" w:bidi="ar-SA"/>
              </w:rPr>
            </w:pPr>
            <w:r>
              <w:rPr>
                <w:rFonts w:hint="default" w:ascii="Times New Roman" w:hAnsi="Times New Roman" w:cs="Times New Roman" w:eastAsiaTheme="minorEastAsia"/>
                <w:i w:val="0"/>
                <w:iCs w:val="0"/>
                <w:snapToGrid w:val="0"/>
                <w:color w:val="auto"/>
                <w:kern w:val="0"/>
                <w:sz w:val="21"/>
                <w:szCs w:val="21"/>
                <w:u w:val="none"/>
                <w:lang w:val="en-US" w:eastAsia="zh-CN" w:bidi="ar"/>
              </w:rPr>
              <w:t>灌木林地</w:t>
            </w:r>
          </w:p>
        </w:tc>
        <w:tc>
          <w:tcPr>
            <w:tcW w:w="845" w:type="dxa"/>
            <w:tcBorders>
              <w:tl2br w:val="nil"/>
              <w:tr2bl w:val="nil"/>
            </w:tcBorders>
            <w:shd w:val="clear" w:color="auto" w:fill="auto"/>
            <w:noWrap/>
            <w:vAlign w:val="center"/>
          </w:tcPr>
          <w:p w14:paraId="32D34018">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52CE00B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0.0178</w:t>
            </w:r>
          </w:p>
        </w:tc>
        <w:tc>
          <w:tcPr>
            <w:tcW w:w="882" w:type="dxa"/>
            <w:tcBorders>
              <w:tl2br w:val="nil"/>
              <w:tr2bl w:val="nil"/>
            </w:tcBorders>
            <w:shd w:val="clear" w:color="auto" w:fill="auto"/>
            <w:noWrap/>
            <w:vAlign w:val="center"/>
          </w:tcPr>
          <w:p w14:paraId="48BEDDF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0.0583</w:t>
            </w:r>
          </w:p>
        </w:tc>
        <w:tc>
          <w:tcPr>
            <w:tcW w:w="969" w:type="dxa"/>
            <w:gridSpan w:val="3"/>
            <w:tcBorders>
              <w:tl2br w:val="nil"/>
              <w:tr2bl w:val="nil"/>
            </w:tcBorders>
            <w:shd w:val="clear" w:color="auto" w:fill="auto"/>
            <w:noWrap/>
            <w:vAlign w:val="center"/>
          </w:tcPr>
          <w:p w14:paraId="374C6138">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0.0169</w:t>
            </w:r>
          </w:p>
        </w:tc>
        <w:tc>
          <w:tcPr>
            <w:tcW w:w="1039" w:type="dxa"/>
            <w:tcBorders>
              <w:tl2br w:val="nil"/>
              <w:tr2bl w:val="nil"/>
            </w:tcBorders>
            <w:shd w:val="clear" w:color="auto" w:fill="auto"/>
            <w:noWrap/>
            <w:vAlign w:val="center"/>
          </w:tcPr>
          <w:p w14:paraId="5758B210">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0.0441</w:t>
            </w:r>
          </w:p>
        </w:tc>
        <w:tc>
          <w:tcPr>
            <w:tcW w:w="1028" w:type="dxa"/>
            <w:tcBorders>
              <w:tl2br w:val="nil"/>
              <w:tr2bl w:val="nil"/>
            </w:tcBorders>
            <w:shd w:val="clear" w:color="auto" w:fill="auto"/>
            <w:noWrap/>
            <w:vAlign w:val="center"/>
          </w:tcPr>
          <w:p w14:paraId="7315D19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t>0.1371</w:t>
            </w:r>
          </w:p>
        </w:tc>
      </w:tr>
      <w:tr w14:paraId="295F62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4CE72FD6">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2637" w:type="dxa"/>
            <w:gridSpan w:val="2"/>
            <w:tcBorders>
              <w:tl2br w:val="nil"/>
              <w:tr2bl w:val="nil"/>
            </w:tcBorders>
            <w:shd w:val="clear" w:color="auto" w:fill="auto"/>
            <w:noWrap/>
            <w:vAlign w:val="center"/>
          </w:tcPr>
          <w:p w14:paraId="7F3ADB52">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小计</w:t>
            </w:r>
          </w:p>
        </w:tc>
        <w:tc>
          <w:tcPr>
            <w:tcW w:w="845" w:type="dxa"/>
            <w:tcBorders>
              <w:tl2br w:val="nil"/>
              <w:tr2bl w:val="nil"/>
            </w:tcBorders>
            <w:shd w:val="clear" w:color="auto" w:fill="auto"/>
            <w:noWrap/>
            <w:vAlign w:val="center"/>
          </w:tcPr>
          <w:p w14:paraId="289603D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48F4BED6">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0.0178</w:t>
            </w:r>
          </w:p>
        </w:tc>
        <w:tc>
          <w:tcPr>
            <w:tcW w:w="882" w:type="dxa"/>
            <w:tcBorders>
              <w:tl2br w:val="nil"/>
              <w:tr2bl w:val="nil"/>
            </w:tcBorders>
            <w:shd w:val="clear" w:color="auto" w:fill="auto"/>
            <w:noWrap/>
            <w:vAlign w:val="center"/>
          </w:tcPr>
          <w:p w14:paraId="4E3B738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0.0583</w:t>
            </w:r>
          </w:p>
        </w:tc>
        <w:tc>
          <w:tcPr>
            <w:tcW w:w="969" w:type="dxa"/>
            <w:gridSpan w:val="3"/>
            <w:tcBorders>
              <w:tl2br w:val="nil"/>
              <w:tr2bl w:val="nil"/>
            </w:tcBorders>
            <w:shd w:val="clear" w:color="auto" w:fill="auto"/>
            <w:noWrap/>
            <w:vAlign w:val="center"/>
          </w:tcPr>
          <w:p w14:paraId="499CB37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0.0169</w:t>
            </w:r>
          </w:p>
        </w:tc>
        <w:tc>
          <w:tcPr>
            <w:tcW w:w="1039" w:type="dxa"/>
            <w:tcBorders>
              <w:tl2br w:val="nil"/>
              <w:tr2bl w:val="nil"/>
            </w:tcBorders>
            <w:shd w:val="clear" w:color="auto" w:fill="auto"/>
            <w:noWrap/>
            <w:vAlign w:val="center"/>
          </w:tcPr>
          <w:p w14:paraId="78382F0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0.0441</w:t>
            </w:r>
          </w:p>
        </w:tc>
        <w:tc>
          <w:tcPr>
            <w:tcW w:w="1028" w:type="dxa"/>
            <w:tcBorders>
              <w:tl2br w:val="nil"/>
              <w:tr2bl w:val="nil"/>
            </w:tcBorders>
            <w:shd w:val="clear" w:color="auto" w:fill="auto"/>
            <w:noWrap/>
            <w:vAlign w:val="center"/>
          </w:tcPr>
          <w:p w14:paraId="00210C48">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0.1371</w:t>
            </w:r>
          </w:p>
        </w:tc>
      </w:tr>
      <w:tr w14:paraId="707C68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32D864C9">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1319" w:type="dxa"/>
            <w:vMerge w:val="restart"/>
            <w:tcBorders>
              <w:tl2br w:val="nil"/>
              <w:tr2bl w:val="nil"/>
            </w:tcBorders>
            <w:shd w:val="clear" w:color="auto" w:fill="auto"/>
            <w:noWrap/>
            <w:vAlign w:val="center"/>
          </w:tcPr>
          <w:p w14:paraId="1695658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snapToGrid w:val="0"/>
                <w:color w:val="auto"/>
                <w:kern w:val="0"/>
                <w:sz w:val="21"/>
                <w:szCs w:val="21"/>
                <w:u w:val="none"/>
                <w:lang w:val="en-US" w:eastAsia="zh-CN" w:bidi="ar"/>
              </w:rPr>
              <w:t>林地</w:t>
            </w:r>
          </w:p>
        </w:tc>
        <w:tc>
          <w:tcPr>
            <w:tcW w:w="1318" w:type="dxa"/>
            <w:tcBorders>
              <w:tl2br w:val="nil"/>
              <w:tr2bl w:val="nil"/>
            </w:tcBorders>
            <w:shd w:val="clear" w:color="auto" w:fill="auto"/>
            <w:noWrap/>
            <w:vAlign w:val="center"/>
          </w:tcPr>
          <w:p w14:paraId="4E910B0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snapToGrid w:val="0"/>
                <w:color w:val="auto"/>
                <w:kern w:val="0"/>
                <w:sz w:val="21"/>
                <w:szCs w:val="21"/>
                <w:u w:val="none"/>
                <w:lang w:val="en-US" w:eastAsia="zh-CN" w:bidi="ar"/>
              </w:rPr>
              <w:t>灌木林地</w:t>
            </w:r>
          </w:p>
        </w:tc>
        <w:tc>
          <w:tcPr>
            <w:tcW w:w="845" w:type="dxa"/>
            <w:tcBorders>
              <w:tl2br w:val="nil"/>
              <w:tr2bl w:val="nil"/>
            </w:tcBorders>
            <w:shd w:val="clear" w:color="auto" w:fill="auto"/>
            <w:noWrap/>
            <w:vAlign w:val="center"/>
          </w:tcPr>
          <w:p w14:paraId="641071C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641A952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0.0244</w:t>
            </w:r>
          </w:p>
        </w:tc>
        <w:tc>
          <w:tcPr>
            <w:tcW w:w="882" w:type="dxa"/>
            <w:tcBorders>
              <w:tl2br w:val="nil"/>
              <w:tr2bl w:val="nil"/>
            </w:tcBorders>
            <w:shd w:val="clear" w:color="auto" w:fill="auto"/>
            <w:noWrap/>
            <w:vAlign w:val="center"/>
          </w:tcPr>
          <w:p w14:paraId="5A5E572B">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663FF7A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0.0998</w:t>
            </w:r>
          </w:p>
        </w:tc>
        <w:tc>
          <w:tcPr>
            <w:tcW w:w="1039" w:type="dxa"/>
            <w:tcBorders>
              <w:tl2br w:val="nil"/>
              <w:tr2bl w:val="nil"/>
            </w:tcBorders>
            <w:shd w:val="clear" w:color="auto" w:fill="auto"/>
            <w:noWrap/>
            <w:vAlign w:val="center"/>
          </w:tcPr>
          <w:p w14:paraId="5C7E4F2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0.0512</w:t>
            </w:r>
          </w:p>
        </w:tc>
        <w:tc>
          <w:tcPr>
            <w:tcW w:w="1028" w:type="dxa"/>
            <w:tcBorders>
              <w:tl2br w:val="nil"/>
              <w:tr2bl w:val="nil"/>
            </w:tcBorders>
            <w:shd w:val="clear" w:color="auto" w:fill="auto"/>
            <w:noWrap/>
            <w:vAlign w:val="center"/>
          </w:tcPr>
          <w:p w14:paraId="78A4FB0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t>0.1754</w:t>
            </w:r>
          </w:p>
        </w:tc>
      </w:tr>
      <w:tr w14:paraId="35A32F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073EDCC7">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1319" w:type="dxa"/>
            <w:vMerge w:val="continue"/>
            <w:tcBorders>
              <w:tl2br w:val="nil"/>
              <w:tr2bl w:val="nil"/>
            </w:tcBorders>
            <w:shd w:val="clear" w:color="auto" w:fill="auto"/>
            <w:noWrap/>
            <w:vAlign w:val="center"/>
          </w:tcPr>
          <w:p w14:paraId="2AF9011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p>
        </w:tc>
        <w:tc>
          <w:tcPr>
            <w:tcW w:w="1318" w:type="dxa"/>
            <w:tcBorders>
              <w:tl2br w:val="nil"/>
              <w:tr2bl w:val="nil"/>
            </w:tcBorders>
            <w:shd w:val="clear" w:color="auto" w:fill="auto"/>
            <w:noWrap/>
            <w:vAlign w:val="center"/>
          </w:tcPr>
          <w:p w14:paraId="502E3FF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其他林地</w:t>
            </w:r>
          </w:p>
        </w:tc>
        <w:tc>
          <w:tcPr>
            <w:tcW w:w="845" w:type="dxa"/>
            <w:tcBorders>
              <w:tl2br w:val="nil"/>
              <w:tr2bl w:val="nil"/>
            </w:tcBorders>
            <w:shd w:val="clear" w:color="auto" w:fill="auto"/>
            <w:noWrap/>
            <w:vAlign w:val="center"/>
          </w:tcPr>
          <w:p w14:paraId="58BCFBA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07756F1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0.0291</w:t>
            </w:r>
          </w:p>
        </w:tc>
        <w:tc>
          <w:tcPr>
            <w:tcW w:w="882" w:type="dxa"/>
            <w:tcBorders>
              <w:tl2br w:val="nil"/>
              <w:tr2bl w:val="nil"/>
            </w:tcBorders>
            <w:shd w:val="clear" w:color="auto" w:fill="auto"/>
            <w:noWrap/>
            <w:vAlign w:val="center"/>
          </w:tcPr>
          <w:p w14:paraId="0025CA36">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03EFDF77">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0.2021</w:t>
            </w:r>
          </w:p>
        </w:tc>
        <w:tc>
          <w:tcPr>
            <w:tcW w:w="1039" w:type="dxa"/>
            <w:tcBorders>
              <w:tl2br w:val="nil"/>
              <w:tr2bl w:val="nil"/>
            </w:tcBorders>
            <w:shd w:val="clear" w:color="auto" w:fill="auto"/>
            <w:noWrap/>
            <w:vAlign w:val="center"/>
          </w:tcPr>
          <w:p w14:paraId="0DE37CC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1028" w:type="dxa"/>
            <w:tcBorders>
              <w:tl2br w:val="nil"/>
              <w:tr2bl w:val="nil"/>
            </w:tcBorders>
            <w:shd w:val="clear" w:color="auto" w:fill="auto"/>
            <w:noWrap/>
            <w:vAlign w:val="center"/>
          </w:tcPr>
          <w:p w14:paraId="6170487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pPr>
            <w:r>
              <w:rPr>
                <w:rFonts w:hint="default" w:ascii="Times New Roman" w:hAnsi="Times New Roman" w:cs="Times New Roman" w:eastAsiaTheme="minorEastAsia"/>
                <w:b w:val="0"/>
                <w:bCs w:val="0"/>
                <w:i w:val="0"/>
                <w:iCs w:val="0"/>
                <w:snapToGrid w:val="0"/>
                <w:color w:val="auto"/>
                <w:kern w:val="0"/>
                <w:sz w:val="21"/>
                <w:szCs w:val="21"/>
                <w:u w:val="none"/>
                <w:lang w:val="en-US" w:eastAsia="zh-CN" w:bidi="ar"/>
              </w:rPr>
              <w:t>0.2312</w:t>
            </w:r>
          </w:p>
        </w:tc>
      </w:tr>
      <w:tr w14:paraId="0ADEDD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345229B7">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2637" w:type="dxa"/>
            <w:gridSpan w:val="2"/>
            <w:tcBorders>
              <w:tl2br w:val="nil"/>
              <w:tr2bl w:val="nil"/>
            </w:tcBorders>
            <w:shd w:val="clear" w:color="auto" w:fill="auto"/>
            <w:noWrap/>
            <w:vAlign w:val="center"/>
          </w:tcPr>
          <w:p w14:paraId="5F608CF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小计</w:t>
            </w:r>
          </w:p>
        </w:tc>
        <w:tc>
          <w:tcPr>
            <w:tcW w:w="845" w:type="dxa"/>
            <w:tcBorders>
              <w:tl2br w:val="nil"/>
              <w:tr2bl w:val="nil"/>
            </w:tcBorders>
            <w:shd w:val="clear" w:color="auto" w:fill="auto"/>
            <w:noWrap/>
            <w:vAlign w:val="center"/>
          </w:tcPr>
          <w:p w14:paraId="4D3B2112">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23F1624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0.0535</w:t>
            </w:r>
          </w:p>
        </w:tc>
        <w:tc>
          <w:tcPr>
            <w:tcW w:w="882" w:type="dxa"/>
            <w:tcBorders>
              <w:tl2br w:val="nil"/>
              <w:tr2bl w:val="nil"/>
            </w:tcBorders>
            <w:shd w:val="clear" w:color="auto" w:fill="auto"/>
            <w:noWrap/>
            <w:vAlign w:val="center"/>
          </w:tcPr>
          <w:p w14:paraId="693CD74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48827A4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0.3019</w:t>
            </w:r>
          </w:p>
        </w:tc>
        <w:tc>
          <w:tcPr>
            <w:tcW w:w="1039" w:type="dxa"/>
            <w:tcBorders>
              <w:tl2br w:val="nil"/>
              <w:tr2bl w:val="nil"/>
            </w:tcBorders>
            <w:shd w:val="clear" w:color="auto" w:fill="auto"/>
            <w:noWrap/>
            <w:vAlign w:val="center"/>
          </w:tcPr>
          <w:p w14:paraId="56B0FE5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color w:val="auto"/>
                <w:sz w:val="21"/>
                <w:szCs w:val="21"/>
                <w:u w:val="none"/>
                <w:lang w:val="en-US" w:eastAsia="zh-CN"/>
              </w:rPr>
              <w:t>0.0512</w:t>
            </w:r>
          </w:p>
        </w:tc>
        <w:tc>
          <w:tcPr>
            <w:tcW w:w="1028" w:type="dxa"/>
            <w:tcBorders>
              <w:tl2br w:val="nil"/>
              <w:tr2bl w:val="nil"/>
            </w:tcBorders>
            <w:shd w:val="clear" w:color="auto" w:fill="auto"/>
            <w:noWrap/>
            <w:vAlign w:val="center"/>
          </w:tcPr>
          <w:p w14:paraId="2EB2BE2D">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0.4066</w:t>
            </w:r>
          </w:p>
        </w:tc>
      </w:tr>
      <w:tr w14:paraId="796607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2FE2397A">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1319" w:type="dxa"/>
            <w:tcBorders>
              <w:tl2br w:val="nil"/>
              <w:tr2bl w:val="nil"/>
            </w:tcBorders>
            <w:shd w:val="clear" w:color="auto" w:fill="auto"/>
            <w:noWrap/>
            <w:vAlign w:val="center"/>
          </w:tcPr>
          <w:p w14:paraId="7C9E09A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林地</w:t>
            </w:r>
          </w:p>
        </w:tc>
        <w:tc>
          <w:tcPr>
            <w:tcW w:w="1318" w:type="dxa"/>
            <w:tcBorders>
              <w:tl2br w:val="nil"/>
              <w:tr2bl w:val="nil"/>
            </w:tcBorders>
            <w:shd w:val="clear" w:color="auto" w:fill="auto"/>
            <w:noWrap/>
            <w:vAlign w:val="center"/>
          </w:tcPr>
          <w:p w14:paraId="45DB9F8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乔木林地</w:t>
            </w:r>
          </w:p>
        </w:tc>
        <w:tc>
          <w:tcPr>
            <w:tcW w:w="845" w:type="dxa"/>
            <w:tcBorders>
              <w:tl2br w:val="nil"/>
              <w:tr2bl w:val="nil"/>
            </w:tcBorders>
            <w:shd w:val="clear" w:color="auto" w:fill="auto"/>
            <w:noWrap/>
            <w:vAlign w:val="center"/>
          </w:tcPr>
          <w:p w14:paraId="0042580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SA"/>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2770C38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0.0081</w:t>
            </w:r>
          </w:p>
        </w:tc>
        <w:tc>
          <w:tcPr>
            <w:tcW w:w="882" w:type="dxa"/>
            <w:tcBorders>
              <w:tl2br w:val="nil"/>
              <w:tr2bl w:val="nil"/>
            </w:tcBorders>
            <w:shd w:val="clear" w:color="auto" w:fill="auto"/>
            <w:noWrap/>
            <w:vAlign w:val="center"/>
          </w:tcPr>
          <w:p w14:paraId="20781F5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SA"/>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358F96E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0.0154</w:t>
            </w:r>
          </w:p>
        </w:tc>
        <w:tc>
          <w:tcPr>
            <w:tcW w:w="1039" w:type="dxa"/>
            <w:tcBorders>
              <w:tl2br w:val="nil"/>
              <w:tr2bl w:val="nil"/>
            </w:tcBorders>
            <w:shd w:val="clear" w:color="auto" w:fill="auto"/>
            <w:noWrap/>
            <w:vAlign w:val="center"/>
          </w:tcPr>
          <w:p w14:paraId="67F8A6AB">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0.0296</w:t>
            </w:r>
          </w:p>
        </w:tc>
        <w:tc>
          <w:tcPr>
            <w:tcW w:w="1028" w:type="dxa"/>
            <w:tcBorders>
              <w:tl2br w:val="nil"/>
              <w:tr2bl w:val="nil"/>
            </w:tcBorders>
            <w:shd w:val="clear" w:color="auto" w:fill="auto"/>
            <w:noWrap/>
            <w:vAlign w:val="center"/>
          </w:tcPr>
          <w:p w14:paraId="6F1ABF05">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0.0532</w:t>
            </w:r>
          </w:p>
        </w:tc>
      </w:tr>
      <w:tr w14:paraId="51475F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38ADF3D7">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1319" w:type="dxa"/>
            <w:tcBorders>
              <w:tl2br w:val="nil"/>
              <w:tr2bl w:val="nil"/>
            </w:tcBorders>
            <w:shd w:val="clear" w:color="auto" w:fill="auto"/>
            <w:noWrap/>
            <w:vAlign w:val="center"/>
          </w:tcPr>
          <w:p w14:paraId="1B56779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草地</w:t>
            </w:r>
          </w:p>
        </w:tc>
        <w:tc>
          <w:tcPr>
            <w:tcW w:w="1318" w:type="dxa"/>
            <w:tcBorders>
              <w:tl2br w:val="nil"/>
              <w:tr2bl w:val="nil"/>
            </w:tcBorders>
            <w:shd w:val="clear" w:color="auto" w:fill="auto"/>
            <w:noWrap/>
            <w:vAlign w:val="center"/>
          </w:tcPr>
          <w:p w14:paraId="17A6138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天然牧草地</w:t>
            </w:r>
          </w:p>
        </w:tc>
        <w:tc>
          <w:tcPr>
            <w:tcW w:w="845" w:type="dxa"/>
            <w:tcBorders>
              <w:tl2br w:val="nil"/>
              <w:tr2bl w:val="nil"/>
            </w:tcBorders>
            <w:shd w:val="clear" w:color="auto" w:fill="auto"/>
            <w:noWrap/>
            <w:vAlign w:val="center"/>
          </w:tcPr>
          <w:p w14:paraId="19095EC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SA"/>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7F5E44E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882" w:type="dxa"/>
            <w:tcBorders>
              <w:tl2br w:val="nil"/>
              <w:tr2bl w:val="nil"/>
            </w:tcBorders>
            <w:shd w:val="clear" w:color="auto" w:fill="auto"/>
            <w:noWrap/>
            <w:vAlign w:val="center"/>
          </w:tcPr>
          <w:p w14:paraId="5782A64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snapToGrid w:val="0"/>
                <w:color w:val="auto"/>
                <w:kern w:val="0"/>
                <w:sz w:val="21"/>
                <w:szCs w:val="21"/>
                <w:u w:val="none"/>
                <w:lang w:val="en-US" w:eastAsia="zh-CN" w:bidi="ar-SA"/>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0983990B">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0.0009</w:t>
            </w:r>
          </w:p>
        </w:tc>
        <w:tc>
          <w:tcPr>
            <w:tcW w:w="1039" w:type="dxa"/>
            <w:tcBorders>
              <w:tl2br w:val="nil"/>
              <w:tr2bl w:val="nil"/>
            </w:tcBorders>
            <w:shd w:val="clear" w:color="auto" w:fill="auto"/>
            <w:noWrap/>
            <w:vAlign w:val="center"/>
          </w:tcPr>
          <w:p w14:paraId="6BA3FF6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1028" w:type="dxa"/>
            <w:tcBorders>
              <w:tl2br w:val="nil"/>
              <w:tr2bl w:val="nil"/>
            </w:tcBorders>
            <w:shd w:val="clear" w:color="auto" w:fill="auto"/>
            <w:noWrap/>
            <w:vAlign w:val="center"/>
          </w:tcPr>
          <w:p w14:paraId="6DC75027">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0.0009</w:t>
            </w:r>
          </w:p>
        </w:tc>
      </w:tr>
      <w:tr w14:paraId="503E60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5AC8A4DB">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2637" w:type="dxa"/>
            <w:gridSpan w:val="2"/>
            <w:tcBorders>
              <w:tl2br w:val="nil"/>
              <w:tr2bl w:val="nil"/>
            </w:tcBorders>
            <w:shd w:val="clear" w:color="auto" w:fill="auto"/>
            <w:noWrap/>
            <w:vAlign w:val="center"/>
          </w:tcPr>
          <w:p w14:paraId="0B7DB06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小计</w:t>
            </w:r>
          </w:p>
        </w:tc>
        <w:tc>
          <w:tcPr>
            <w:tcW w:w="845" w:type="dxa"/>
            <w:tcBorders>
              <w:tl2br w:val="nil"/>
              <w:tr2bl w:val="nil"/>
            </w:tcBorders>
            <w:shd w:val="clear" w:color="auto" w:fill="auto"/>
            <w:noWrap/>
            <w:vAlign w:val="center"/>
          </w:tcPr>
          <w:p w14:paraId="7F6AD5E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3831CB22">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0.0081</w:t>
            </w:r>
          </w:p>
        </w:tc>
        <w:tc>
          <w:tcPr>
            <w:tcW w:w="882" w:type="dxa"/>
            <w:tcBorders>
              <w:tl2br w:val="nil"/>
              <w:tr2bl w:val="nil"/>
            </w:tcBorders>
            <w:shd w:val="clear" w:color="auto" w:fill="auto"/>
            <w:noWrap/>
            <w:vAlign w:val="center"/>
          </w:tcPr>
          <w:p w14:paraId="58A6B0F8">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6C91E0C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snapToGrid w:val="0"/>
                <w:color w:val="auto"/>
                <w:kern w:val="0"/>
                <w:sz w:val="21"/>
                <w:szCs w:val="21"/>
                <w:u w:val="none"/>
                <w:lang w:val="en-US" w:eastAsia="zh-CN" w:bidi="ar-SA"/>
              </w:rPr>
              <w:t>0.0163</w:t>
            </w:r>
          </w:p>
        </w:tc>
        <w:tc>
          <w:tcPr>
            <w:tcW w:w="1039" w:type="dxa"/>
            <w:tcBorders>
              <w:tl2br w:val="nil"/>
              <w:tr2bl w:val="nil"/>
            </w:tcBorders>
            <w:shd w:val="clear" w:color="auto" w:fill="auto"/>
            <w:noWrap/>
            <w:vAlign w:val="center"/>
          </w:tcPr>
          <w:p w14:paraId="2EEFD53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0.0296</w:t>
            </w:r>
          </w:p>
        </w:tc>
        <w:tc>
          <w:tcPr>
            <w:tcW w:w="1028" w:type="dxa"/>
            <w:tcBorders>
              <w:tl2br w:val="nil"/>
              <w:tr2bl w:val="nil"/>
            </w:tcBorders>
            <w:shd w:val="clear" w:color="auto" w:fill="auto"/>
            <w:noWrap/>
            <w:vAlign w:val="center"/>
          </w:tcPr>
          <w:p w14:paraId="4DD7B1A3">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SA"/>
              </w:rPr>
            </w:pPr>
            <w:r>
              <w:rPr>
                <w:rFonts w:hint="default" w:ascii="Times New Roman" w:hAnsi="Times New Roman" w:cs="Times New Roman" w:eastAsiaTheme="minorEastAsia"/>
                <w:b/>
                <w:bCs/>
                <w:i w:val="0"/>
                <w:iCs w:val="0"/>
                <w:snapToGrid w:val="0"/>
                <w:color w:val="auto"/>
                <w:kern w:val="0"/>
                <w:sz w:val="21"/>
                <w:szCs w:val="21"/>
                <w:u w:val="none"/>
                <w:lang w:val="en-US" w:eastAsia="zh-CN" w:bidi="ar-SA"/>
              </w:rPr>
              <w:t>0.0541</w:t>
            </w:r>
          </w:p>
        </w:tc>
      </w:tr>
      <w:tr w14:paraId="6B1B09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36DC8B1D">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1319" w:type="dxa"/>
            <w:tcBorders>
              <w:tl2br w:val="nil"/>
              <w:tr2bl w:val="nil"/>
            </w:tcBorders>
            <w:shd w:val="clear" w:color="auto" w:fill="auto"/>
            <w:noWrap/>
            <w:vAlign w:val="center"/>
          </w:tcPr>
          <w:p w14:paraId="51C2E93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林地</w:t>
            </w:r>
          </w:p>
        </w:tc>
        <w:tc>
          <w:tcPr>
            <w:tcW w:w="1318" w:type="dxa"/>
            <w:tcBorders>
              <w:tl2br w:val="nil"/>
              <w:tr2bl w:val="nil"/>
            </w:tcBorders>
            <w:shd w:val="clear" w:color="auto" w:fill="auto"/>
            <w:noWrap/>
            <w:vAlign w:val="center"/>
          </w:tcPr>
          <w:p w14:paraId="6A740754">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i w:val="0"/>
                <w:iCs w:val="0"/>
                <w:snapToGrid w:val="0"/>
                <w:color w:val="auto"/>
                <w:kern w:val="0"/>
                <w:sz w:val="21"/>
                <w:szCs w:val="21"/>
                <w:u w:val="none"/>
                <w:lang w:val="en-US" w:eastAsia="zh-CN" w:bidi="ar"/>
              </w:rPr>
              <w:t>灌木林地</w:t>
            </w:r>
          </w:p>
        </w:tc>
        <w:tc>
          <w:tcPr>
            <w:tcW w:w="845" w:type="dxa"/>
            <w:tcBorders>
              <w:tl2br w:val="nil"/>
              <w:tr2bl w:val="nil"/>
            </w:tcBorders>
            <w:shd w:val="clear" w:color="auto" w:fill="auto"/>
            <w:noWrap/>
            <w:vAlign w:val="center"/>
          </w:tcPr>
          <w:p w14:paraId="16C364E5">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56D6A80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0.0050</w:t>
            </w:r>
          </w:p>
        </w:tc>
        <w:tc>
          <w:tcPr>
            <w:tcW w:w="882" w:type="dxa"/>
            <w:tcBorders>
              <w:tl2br w:val="nil"/>
              <w:tr2bl w:val="nil"/>
            </w:tcBorders>
            <w:shd w:val="clear" w:color="auto" w:fill="auto"/>
            <w:noWrap/>
            <w:vAlign w:val="center"/>
          </w:tcPr>
          <w:p w14:paraId="7313988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76D2E295">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0.0046</w:t>
            </w:r>
          </w:p>
        </w:tc>
        <w:tc>
          <w:tcPr>
            <w:tcW w:w="1039" w:type="dxa"/>
            <w:tcBorders>
              <w:tl2br w:val="nil"/>
              <w:tr2bl w:val="nil"/>
            </w:tcBorders>
            <w:shd w:val="clear" w:color="auto" w:fill="auto"/>
            <w:noWrap/>
            <w:vAlign w:val="center"/>
          </w:tcPr>
          <w:p w14:paraId="08A07AAE">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0.0217</w:t>
            </w:r>
          </w:p>
        </w:tc>
        <w:tc>
          <w:tcPr>
            <w:tcW w:w="1028" w:type="dxa"/>
            <w:tcBorders>
              <w:tl2br w:val="nil"/>
              <w:tr2bl w:val="nil"/>
            </w:tcBorders>
            <w:shd w:val="clear" w:color="auto" w:fill="auto"/>
            <w:noWrap/>
            <w:vAlign w:val="center"/>
          </w:tcPr>
          <w:p w14:paraId="1C5D453D">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val="0"/>
                <w:bCs w:val="0"/>
                <w:i w:val="0"/>
                <w:iCs w:val="0"/>
                <w:color w:val="auto"/>
                <w:sz w:val="21"/>
                <w:szCs w:val="21"/>
                <w:u w:val="none"/>
                <w:lang w:val="en-US" w:eastAsia="zh-CN"/>
              </w:rPr>
              <w:t>0.0313</w:t>
            </w:r>
          </w:p>
        </w:tc>
      </w:tr>
      <w:tr w14:paraId="17834D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shd w:val="clear" w:color="auto" w:fill="auto"/>
            <w:vAlign w:val="center"/>
          </w:tcPr>
          <w:p w14:paraId="4B2A9F32">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cs="Times New Roman" w:eastAsiaTheme="minorEastAsia"/>
                <w:i w:val="0"/>
                <w:iCs w:val="0"/>
                <w:color w:val="auto"/>
                <w:sz w:val="21"/>
                <w:szCs w:val="21"/>
                <w:u w:val="none"/>
              </w:rPr>
            </w:pPr>
          </w:p>
        </w:tc>
        <w:tc>
          <w:tcPr>
            <w:tcW w:w="2637" w:type="dxa"/>
            <w:gridSpan w:val="2"/>
            <w:tcBorders>
              <w:tl2br w:val="nil"/>
              <w:tr2bl w:val="nil"/>
            </w:tcBorders>
            <w:shd w:val="clear" w:color="auto" w:fill="auto"/>
            <w:noWrap/>
            <w:vAlign w:val="center"/>
          </w:tcPr>
          <w:p w14:paraId="376C56B2">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小计</w:t>
            </w:r>
          </w:p>
        </w:tc>
        <w:tc>
          <w:tcPr>
            <w:tcW w:w="845" w:type="dxa"/>
            <w:tcBorders>
              <w:tl2br w:val="nil"/>
              <w:tr2bl w:val="nil"/>
            </w:tcBorders>
            <w:shd w:val="clear" w:color="auto" w:fill="auto"/>
            <w:noWrap/>
            <w:vAlign w:val="center"/>
          </w:tcPr>
          <w:p w14:paraId="73C8C3E7">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w:t>
            </w:r>
          </w:p>
        </w:tc>
        <w:tc>
          <w:tcPr>
            <w:tcW w:w="1186" w:type="dxa"/>
            <w:tcBorders>
              <w:tl2br w:val="nil"/>
              <w:tr2bl w:val="nil"/>
            </w:tcBorders>
            <w:shd w:val="clear" w:color="auto" w:fill="auto"/>
            <w:noWrap/>
            <w:vAlign w:val="center"/>
          </w:tcPr>
          <w:p w14:paraId="35022267">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0.0050</w:t>
            </w:r>
          </w:p>
        </w:tc>
        <w:tc>
          <w:tcPr>
            <w:tcW w:w="882" w:type="dxa"/>
            <w:tcBorders>
              <w:tl2br w:val="nil"/>
              <w:tr2bl w:val="nil"/>
            </w:tcBorders>
            <w:shd w:val="clear" w:color="auto" w:fill="auto"/>
            <w:noWrap/>
            <w:vAlign w:val="center"/>
          </w:tcPr>
          <w:p w14:paraId="1786BC41">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w:t>
            </w:r>
          </w:p>
        </w:tc>
        <w:tc>
          <w:tcPr>
            <w:tcW w:w="969" w:type="dxa"/>
            <w:gridSpan w:val="3"/>
            <w:tcBorders>
              <w:tl2br w:val="nil"/>
              <w:tr2bl w:val="nil"/>
            </w:tcBorders>
            <w:shd w:val="clear" w:color="auto" w:fill="auto"/>
            <w:noWrap/>
            <w:vAlign w:val="center"/>
          </w:tcPr>
          <w:p w14:paraId="752ABD49">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0.0046</w:t>
            </w:r>
          </w:p>
        </w:tc>
        <w:tc>
          <w:tcPr>
            <w:tcW w:w="1039" w:type="dxa"/>
            <w:tcBorders>
              <w:tl2br w:val="nil"/>
              <w:tr2bl w:val="nil"/>
            </w:tcBorders>
            <w:shd w:val="clear" w:color="auto" w:fill="auto"/>
            <w:noWrap/>
            <w:vAlign w:val="center"/>
          </w:tcPr>
          <w:p w14:paraId="5DD6316C">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0.0217</w:t>
            </w:r>
          </w:p>
        </w:tc>
        <w:tc>
          <w:tcPr>
            <w:tcW w:w="1028" w:type="dxa"/>
            <w:tcBorders>
              <w:tl2br w:val="nil"/>
              <w:tr2bl w:val="nil"/>
            </w:tcBorders>
            <w:shd w:val="clear" w:color="auto" w:fill="auto"/>
            <w:noWrap/>
            <w:vAlign w:val="center"/>
          </w:tcPr>
          <w:p w14:paraId="0E802E9A">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color w:val="auto"/>
                <w:sz w:val="21"/>
                <w:szCs w:val="21"/>
                <w:u w:val="none"/>
                <w:lang w:val="en-US" w:eastAsia="zh-CN"/>
              </w:rPr>
              <w:t>0.0313</w:t>
            </w:r>
          </w:p>
        </w:tc>
      </w:tr>
      <w:tr w14:paraId="65FBAB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065" w:type="dxa"/>
            <w:gridSpan w:val="3"/>
            <w:tcBorders>
              <w:tl2br w:val="nil"/>
              <w:tr2bl w:val="nil"/>
            </w:tcBorders>
            <w:shd w:val="clear" w:color="auto" w:fill="auto"/>
            <w:vAlign w:val="center"/>
          </w:tcPr>
          <w:p w14:paraId="70F4C780">
            <w:pPr>
              <w:keepNext w:val="0"/>
              <w:keepLines w:val="0"/>
              <w:pageBreakBefore w:val="0"/>
              <w:widowControl/>
              <w:suppressLineNumbers w:val="0"/>
              <w:kinsoku/>
              <w:wordWrap/>
              <w:overflowPunct/>
              <w:topLinePunct w:val="0"/>
              <w:bidi w:val="0"/>
              <w:adjustRightInd w:val="0"/>
              <w:snapToGrid w:val="0"/>
              <w:spacing w:line="240" w:lineRule="auto"/>
              <w:jc w:val="center"/>
              <w:textAlignment w:val="center"/>
              <w:rPr>
                <w:rFonts w:hint="default" w:ascii="Times New Roman" w:hAnsi="Times New Roman" w:cs="Times New Roman" w:eastAsiaTheme="minorEastAsia"/>
                <w:b/>
                <w:bCs/>
                <w:i w:val="0"/>
                <w:iCs w:val="0"/>
                <w:snapToGrid w:val="0"/>
                <w:color w:val="auto"/>
                <w:kern w:val="0"/>
                <w:sz w:val="21"/>
                <w:szCs w:val="21"/>
                <w:u w:val="none"/>
                <w:lang w:val="en-US" w:eastAsia="zh-CN" w:bidi="ar"/>
              </w:rPr>
            </w:pPr>
            <w:r>
              <w:rPr>
                <w:rFonts w:hint="eastAsia" w:ascii="Times New Roman" w:hAnsi="Times New Roman" w:cs="Times New Roman" w:eastAsiaTheme="minorEastAsia"/>
                <w:b/>
                <w:bCs/>
                <w:i w:val="0"/>
                <w:iCs w:val="0"/>
                <w:snapToGrid w:val="0"/>
                <w:color w:val="auto"/>
                <w:kern w:val="0"/>
                <w:sz w:val="21"/>
                <w:szCs w:val="21"/>
                <w:u w:val="none"/>
                <w:lang w:val="en-US" w:eastAsia="zh-CN" w:bidi="ar"/>
              </w:rPr>
              <w:t>总计</w:t>
            </w:r>
          </w:p>
        </w:tc>
        <w:tc>
          <w:tcPr>
            <w:tcW w:w="845" w:type="dxa"/>
            <w:tcBorders>
              <w:tl2br w:val="nil"/>
              <w:tr2bl w:val="nil"/>
            </w:tcBorders>
            <w:shd w:val="clear" w:color="auto" w:fill="auto"/>
            <w:vAlign w:val="center"/>
          </w:tcPr>
          <w:p w14:paraId="47D76FB0">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0.0144</w:t>
            </w:r>
          </w:p>
        </w:tc>
        <w:tc>
          <w:tcPr>
            <w:tcW w:w="1186" w:type="dxa"/>
            <w:tcBorders>
              <w:tl2br w:val="nil"/>
              <w:tr2bl w:val="nil"/>
            </w:tcBorders>
            <w:shd w:val="clear" w:color="auto" w:fill="auto"/>
            <w:vAlign w:val="center"/>
          </w:tcPr>
          <w:p w14:paraId="694D93BC">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0.2264</w:t>
            </w:r>
          </w:p>
        </w:tc>
        <w:tc>
          <w:tcPr>
            <w:tcW w:w="882" w:type="dxa"/>
            <w:tcBorders>
              <w:tl2br w:val="nil"/>
              <w:tr2bl w:val="nil"/>
            </w:tcBorders>
            <w:shd w:val="clear" w:color="auto" w:fill="auto"/>
            <w:vAlign w:val="center"/>
          </w:tcPr>
          <w:p w14:paraId="5609C0B1">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0.0583</w:t>
            </w:r>
          </w:p>
        </w:tc>
        <w:tc>
          <w:tcPr>
            <w:tcW w:w="969" w:type="dxa"/>
            <w:gridSpan w:val="3"/>
            <w:tcBorders>
              <w:tl2br w:val="nil"/>
              <w:tr2bl w:val="nil"/>
            </w:tcBorders>
            <w:shd w:val="clear" w:color="auto" w:fill="auto"/>
            <w:vAlign w:val="center"/>
          </w:tcPr>
          <w:p w14:paraId="5B2C68D8">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0.9633</w:t>
            </w:r>
          </w:p>
        </w:tc>
        <w:tc>
          <w:tcPr>
            <w:tcW w:w="1039" w:type="dxa"/>
            <w:tcBorders>
              <w:tl2br w:val="nil"/>
              <w:tr2bl w:val="nil"/>
            </w:tcBorders>
            <w:shd w:val="clear" w:color="auto" w:fill="auto"/>
            <w:vAlign w:val="center"/>
          </w:tcPr>
          <w:p w14:paraId="15BD9870">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0.4026</w:t>
            </w:r>
          </w:p>
        </w:tc>
        <w:tc>
          <w:tcPr>
            <w:tcW w:w="1028" w:type="dxa"/>
            <w:tcBorders>
              <w:tl2br w:val="nil"/>
              <w:tr2bl w:val="nil"/>
            </w:tcBorders>
            <w:shd w:val="clear" w:color="auto" w:fill="auto"/>
            <w:noWrap/>
            <w:vAlign w:val="center"/>
          </w:tcPr>
          <w:p w14:paraId="1BC042BB">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sz w:val="21"/>
                <w:szCs w:val="21"/>
                <w:u w:val="none"/>
                <w:lang w:val="en-US" w:eastAsia="zh-CN"/>
              </w:rPr>
            </w:pPr>
            <w:r>
              <w:rPr>
                <w:rFonts w:hint="default" w:ascii="Times New Roman" w:hAnsi="Times New Roman" w:cs="Times New Roman" w:eastAsiaTheme="minorEastAsia"/>
                <w:b/>
                <w:bCs/>
                <w:i w:val="0"/>
                <w:iCs w:val="0"/>
                <w:snapToGrid w:val="0"/>
                <w:color w:val="auto"/>
                <w:kern w:val="0"/>
                <w:sz w:val="21"/>
                <w:szCs w:val="21"/>
                <w:u w:val="none"/>
                <w:lang w:val="en-US" w:eastAsia="zh-CN" w:bidi="ar"/>
              </w:rPr>
              <w:t>1.6651</w:t>
            </w:r>
          </w:p>
        </w:tc>
      </w:tr>
      <w:bookmarkEnd w:id="478"/>
      <w:bookmarkEnd w:id="482"/>
      <w:bookmarkEnd w:id="483"/>
      <w:bookmarkEnd w:id="484"/>
      <w:bookmarkEnd w:id="485"/>
    </w:tbl>
    <w:p w14:paraId="7D64606D">
      <w:pPr>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0" w:firstLine="482" w:firstLineChars="200"/>
        <w:jc w:val="both"/>
        <w:textAlignment w:val="baseline"/>
        <w:rPr>
          <w:rFonts w:ascii="宋体" w:hAnsi="宋体" w:eastAsia="宋体" w:cs="宋体"/>
          <w:snapToGrid w:val="0"/>
          <w:color w:val="auto"/>
          <w:kern w:val="0"/>
          <w:sz w:val="24"/>
          <w:szCs w:val="24"/>
          <w:lang w:val="en-US" w:eastAsia="en-US" w:bidi="ar-SA"/>
        </w:rPr>
      </w:pPr>
      <w:bookmarkStart w:id="488" w:name="_Toc109767247"/>
      <w:bookmarkStart w:id="489" w:name="_Toc395184658"/>
      <w:bookmarkStart w:id="490" w:name="_Toc30171"/>
      <w:bookmarkStart w:id="491" w:name="_Toc22160"/>
      <w:bookmarkStart w:id="492" w:name="_Toc109767245"/>
      <w:bookmarkStart w:id="493" w:name="_Toc477336644"/>
      <w:bookmarkStart w:id="494" w:name="_Toc466908993"/>
      <w:bookmarkStart w:id="495" w:name="_Toc478487199"/>
      <w:bookmarkStart w:id="496" w:name="_Toc8669"/>
      <w:r>
        <w:rPr>
          <w:rFonts w:hint="default" w:ascii="Times New Roman" w:hAnsi="Times New Roman" w:cs="Times New Roman"/>
          <w:b/>
          <w:bCs/>
          <w:color w:val="auto"/>
          <w:sz w:val="24"/>
          <w:highlight w:val="none"/>
          <w:lang w:eastAsia="zh-CN"/>
        </w:rPr>
        <w:t>⑷</w:t>
      </w:r>
      <w:r>
        <w:rPr>
          <w:rFonts w:ascii="宋体" w:hAnsi="宋体" w:eastAsia="宋体" w:cs="宋体"/>
          <w:b/>
          <w:bCs/>
          <w:snapToGrid w:val="0"/>
          <w:color w:val="auto"/>
          <w:spacing w:val="-3"/>
          <w:kern w:val="0"/>
          <w:sz w:val="24"/>
          <w:szCs w:val="24"/>
          <w:lang w:val="en-US" w:eastAsia="en-US" w:bidi="ar-SA"/>
        </w:rPr>
        <w:t>生态保护红线穿越段生态现状</w:t>
      </w:r>
    </w:p>
    <w:p w14:paraId="49268800">
      <w:pPr>
        <w:keepNext w:val="0"/>
        <w:keepLines w:val="0"/>
        <w:pageBreakBefore w:val="0"/>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①植被及植物现状</w:t>
      </w:r>
    </w:p>
    <w:p w14:paraId="0688F2AF">
      <w:pPr>
        <w:keepNext w:val="0"/>
        <w:keepLines w:val="0"/>
        <w:pageBreakBefore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spacing w:val="0"/>
          <w:kern w:val="0"/>
          <w:sz w:val="24"/>
          <w:szCs w:val="24"/>
          <w:lang w:val="en-US" w:eastAsia="en-US" w:bidi="ar-SA"/>
        </w:rPr>
      </w:pPr>
      <w:r>
        <w:rPr>
          <w:rFonts w:hint="default" w:ascii="Times New Roman" w:hAnsi="Times New Roman" w:eastAsia="宋体" w:cs="Times New Roman"/>
          <w:snapToGrid w:val="0"/>
          <w:color w:val="auto"/>
          <w:spacing w:val="0"/>
          <w:kern w:val="0"/>
          <w:sz w:val="24"/>
          <w:szCs w:val="24"/>
          <w:lang w:val="en-US" w:eastAsia="en-US" w:bidi="ar-SA"/>
        </w:rPr>
        <w:t>本次调查在生态保护红线穿越段设置了</w:t>
      </w:r>
      <w:r>
        <w:rPr>
          <w:rFonts w:hint="default" w:ascii="Times New Roman" w:hAnsi="Times New Roman" w:eastAsia="宋体" w:cs="Times New Roman"/>
          <w:snapToGrid w:val="0"/>
          <w:color w:val="auto"/>
          <w:spacing w:val="0"/>
          <w:kern w:val="0"/>
          <w:sz w:val="24"/>
          <w:szCs w:val="24"/>
          <w:lang w:val="en-US" w:eastAsia="zh-CN" w:bidi="ar-SA"/>
        </w:rPr>
        <w:t>54</w:t>
      </w:r>
      <w:r>
        <w:rPr>
          <w:rFonts w:hint="default" w:ascii="Times New Roman" w:hAnsi="Times New Roman" w:eastAsia="宋体" w:cs="Times New Roman"/>
          <w:snapToGrid w:val="0"/>
          <w:color w:val="auto"/>
          <w:spacing w:val="0"/>
          <w:kern w:val="0"/>
          <w:sz w:val="24"/>
          <w:szCs w:val="24"/>
          <w:lang w:val="en-US" w:eastAsia="en-US" w:bidi="ar-SA"/>
        </w:rPr>
        <w:t>个样地，包括山杏群系、</w:t>
      </w:r>
      <w:r>
        <w:rPr>
          <w:rFonts w:hint="default" w:ascii="Times New Roman" w:hAnsi="Times New Roman" w:eastAsia="宋体" w:cs="Times New Roman"/>
          <w:snapToGrid w:val="0"/>
          <w:color w:val="auto"/>
          <w:spacing w:val="0"/>
          <w:kern w:val="0"/>
          <w:sz w:val="24"/>
          <w:szCs w:val="24"/>
          <w:lang w:val="en-US" w:eastAsia="zh-CN" w:bidi="ar-SA"/>
        </w:rPr>
        <w:t>山桃</w:t>
      </w:r>
      <w:r>
        <w:rPr>
          <w:rFonts w:hint="default" w:ascii="Times New Roman" w:hAnsi="Times New Roman" w:eastAsia="宋体" w:cs="Times New Roman"/>
          <w:snapToGrid w:val="0"/>
          <w:color w:val="auto"/>
          <w:spacing w:val="0"/>
          <w:kern w:val="0"/>
          <w:sz w:val="24"/>
          <w:szCs w:val="24"/>
          <w:lang w:val="en-US" w:eastAsia="en-US" w:bidi="ar-SA"/>
        </w:rPr>
        <w:t>群系、</w:t>
      </w:r>
      <w:r>
        <w:rPr>
          <w:rFonts w:hint="default" w:ascii="Times New Roman" w:hAnsi="Times New Roman" w:eastAsia="宋体" w:cs="Times New Roman"/>
          <w:snapToGrid w:val="0"/>
          <w:color w:val="auto"/>
          <w:spacing w:val="0"/>
          <w:kern w:val="0"/>
          <w:sz w:val="24"/>
          <w:szCs w:val="24"/>
          <w:lang w:val="en-US" w:eastAsia="zh-CN" w:bidi="ar-SA"/>
        </w:rPr>
        <w:t>油松</w:t>
      </w:r>
      <w:r>
        <w:rPr>
          <w:rFonts w:hint="default" w:ascii="Times New Roman" w:hAnsi="Times New Roman" w:eastAsia="宋体" w:cs="Times New Roman"/>
          <w:snapToGrid w:val="0"/>
          <w:color w:val="auto"/>
          <w:spacing w:val="0"/>
          <w:kern w:val="0"/>
          <w:sz w:val="24"/>
          <w:szCs w:val="24"/>
          <w:lang w:val="en-US" w:eastAsia="en-US" w:bidi="ar-SA"/>
        </w:rPr>
        <w:t>群系，各设置</w:t>
      </w:r>
      <w:r>
        <w:rPr>
          <w:rFonts w:hint="eastAsia" w:ascii="Times New Roman" w:hAnsi="Times New Roman" w:eastAsia="宋体" w:cs="Times New Roman"/>
          <w:snapToGrid w:val="0"/>
          <w:color w:val="auto"/>
          <w:spacing w:val="0"/>
          <w:kern w:val="0"/>
          <w:sz w:val="24"/>
          <w:szCs w:val="24"/>
          <w:lang w:val="en-US" w:eastAsia="zh-CN" w:bidi="ar-SA"/>
        </w:rPr>
        <w:t>3</w:t>
      </w:r>
      <w:r>
        <w:rPr>
          <w:rFonts w:hint="default" w:ascii="Times New Roman" w:hAnsi="Times New Roman" w:eastAsia="宋体" w:cs="Times New Roman"/>
          <w:snapToGrid w:val="0"/>
          <w:color w:val="auto"/>
          <w:spacing w:val="0"/>
          <w:kern w:val="0"/>
          <w:sz w:val="24"/>
          <w:szCs w:val="24"/>
          <w:lang w:val="en-US" w:eastAsia="en-US" w:bidi="ar-SA"/>
        </w:rPr>
        <w:t>个样方。山杏群系内植被主要为山杏，草本层为柠条锦鸡儿</w:t>
      </w:r>
      <w:r>
        <w:rPr>
          <w:rFonts w:hint="default" w:ascii="Times New Roman" w:hAnsi="Times New Roman" w:eastAsia="宋体" w:cs="Times New Roman"/>
          <w:snapToGrid w:val="0"/>
          <w:color w:val="auto"/>
          <w:spacing w:val="0"/>
          <w:kern w:val="0"/>
          <w:sz w:val="24"/>
          <w:szCs w:val="24"/>
          <w:lang w:val="en-US" w:eastAsia="zh-CN" w:bidi="ar-SA"/>
        </w:rPr>
        <w:t>、</w:t>
      </w:r>
      <w:r>
        <w:rPr>
          <w:rFonts w:hint="default" w:ascii="Times New Roman" w:hAnsi="Times New Roman" w:eastAsia="宋体" w:cs="Times New Roman"/>
          <w:snapToGrid w:val="0"/>
          <w:color w:val="auto"/>
          <w:spacing w:val="0"/>
          <w:kern w:val="0"/>
          <w:sz w:val="24"/>
          <w:szCs w:val="24"/>
          <w:lang w:val="en-US" w:eastAsia="en-US" w:bidi="ar-SA"/>
        </w:rPr>
        <w:t>京芒草</w:t>
      </w:r>
      <w:r>
        <w:rPr>
          <w:rFonts w:hint="default" w:ascii="Times New Roman" w:hAnsi="Times New Roman" w:eastAsia="宋体" w:cs="Times New Roman"/>
          <w:snapToGrid w:val="0"/>
          <w:color w:val="auto"/>
          <w:spacing w:val="0"/>
          <w:kern w:val="0"/>
          <w:sz w:val="24"/>
          <w:szCs w:val="24"/>
          <w:lang w:val="en-US" w:eastAsia="zh-CN" w:bidi="ar-SA"/>
        </w:rPr>
        <w:t>、</w:t>
      </w:r>
      <w:r>
        <w:rPr>
          <w:rFonts w:hint="default" w:ascii="Times New Roman" w:hAnsi="Times New Roman" w:eastAsia="宋体" w:cs="Times New Roman"/>
          <w:snapToGrid w:val="0"/>
          <w:color w:val="auto"/>
          <w:spacing w:val="0"/>
          <w:kern w:val="0"/>
          <w:sz w:val="24"/>
          <w:szCs w:val="24"/>
          <w:lang w:val="en-US" w:eastAsia="en-US" w:bidi="ar-SA"/>
        </w:rPr>
        <w:t>狗尾草等；</w:t>
      </w:r>
      <w:r>
        <w:rPr>
          <w:rFonts w:hint="default" w:ascii="Times New Roman" w:hAnsi="Times New Roman" w:eastAsia="宋体" w:cs="Times New Roman"/>
          <w:snapToGrid w:val="0"/>
          <w:color w:val="auto"/>
          <w:spacing w:val="0"/>
          <w:kern w:val="0"/>
          <w:sz w:val="24"/>
          <w:szCs w:val="24"/>
          <w:lang w:val="en-US" w:eastAsia="zh-CN" w:bidi="ar-SA"/>
        </w:rPr>
        <w:t>山桃</w:t>
      </w:r>
      <w:r>
        <w:rPr>
          <w:rFonts w:hint="default" w:ascii="Times New Roman" w:hAnsi="Times New Roman" w:eastAsia="宋体" w:cs="Times New Roman"/>
          <w:snapToGrid w:val="0"/>
          <w:color w:val="auto"/>
          <w:spacing w:val="0"/>
          <w:kern w:val="0"/>
          <w:sz w:val="24"/>
          <w:szCs w:val="24"/>
          <w:lang w:val="en-US" w:eastAsia="en-US" w:bidi="ar-SA"/>
        </w:rPr>
        <w:t>群系内植被主要为山桃、柠条锦鸡儿</w:t>
      </w:r>
      <w:r>
        <w:rPr>
          <w:rFonts w:hint="default" w:ascii="Times New Roman" w:hAnsi="Times New Roman" w:eastAsia="宋体" w:cs="Times New Roman"/>
          <w:snapToGrid w:val="0"/>
          <w:color w:val="auto"/>
          <w:spacing w:val="0"/>
          <w:kern w:val="0"/>
          <w:sz w:val="24"/>
          <w:szCs w:val="24"/>
          <w:lang w:val="en-US" w:eastAsia="zh-CN" w:bidi="ar-SA"/>
        </w:rPr>
        <w:t>、</w:t>
      </w:r>
      <w:r>
        <w:rPr>
          <w:rFonts w:hint="default" w:ascii="Times New Roman" w:hAnsi="Times New Roman" w:eastAsia="宋体" w:cs="Times New Roman"/>
          <w:snapToGrid w:val="0"/>
          <w:color w:val="auto"/>
          <w:spacing w:val="0"/>
          <w:kern w:val="0"/>
          <w:sz w:val="24"/>
          <w:szCs w:val="24"/>
          <w:lang w:val="en-US" w:eastAsia="en-US" w:bidi="ar-SA"/>
        </w:rPr>
        <w:t>京芒草</w:t>
      </w:r>
      <w:r>
        <w:rPr>
          <w:rFonts w:hint="default" w:ascii="Times New Roman" w:hAnsi="Times New Roman" w:eastAsia="宋体" w:cs="Times New Roman"/>
          <w:snapToGrid w:val="0"/>
          <w:color w:val="auto"/>
          <w:spacing w:val="0"/>
          <w:kern w:val="0"/>
          <w:sz w:val="24"/>
          <w:szCs w:val="24"/>
          <w:lang w:val="en-US" w:eastAsia="zh-CN" w:bidi="ar-SA"/>
        </w:rPr>
        <w:t>、</w:t>
      </w:r>
      <w:r>
        <w:rPr>
          <w:rFonts w:hint="default" w:ascii="Times New Roman" w:hAnsi="Times New Roman" w:eastAsia="宋体" w:cs="Times New Roman"/>
          <w:snapToGrid w:val="0"/>
          <w:color w:val="auto"/>
          <w:spacing w:val="0"/>
          <w:kern w:val="0"/>
          <w:sz w:val="24"/>
          <w:szCs w:val="24"/>
          <w:lang w:val="en-US" w:eastAsia="en-US" w:bidi="ar-SA"/>
        </w:rPr>
        <w:t>狗尾草等；</w:t>
      </w:r>
      <w:r>
        <w:rPr>
          <w:rFonts w:hint="default" w:ascii="Times New Roman" w:hAnsi="Times New Roman" w:eastAsia="宋体" w:cs="Times New Roman"/>
          <w:snapToGrid w:val="0"/>
          <w:color w:val="auto"/>
          <w:spacing w:val="0"/>
          <w:kern w:val="0"/>
          <w:sz w:val="24"/>
          <w:szCs w:val="24"/>
          <w:lang w:val="en-US" w:eastAsia="zh-CN" w:bidi="ar-SA"/>
        </w:rPr>
        <w:t>油松</w:t>
      </w:r>
      <w:r>
        <w:rPr>
          <w:rFonts w:hint="default" w:ascii="Times New Roman" w:hAnsi="Times New Roman" w:eastAsia="宋体" w:cs="Times New Roman"/>
          <w:snapToGrid w:val="0"/>
          <w:color w:val="auto"/>
          <w:spacing w:val="0"/>
          <w:kern w:val="0"/>
          <w:sz w:val="24"/>
          <w:szCs w:val="24"/>
          <w:lang w:val="en-US" w:eastAsia="en-US" w:bidi="ar-SA"/>
        </w:rPr>
        <w:t>群系内植被主要为</w:t>
      </w:r>
      <w:r>
        <w:rPr>
          <w:rFonts w:hint="default" w:ascii="Times New Roman" w:hAnsi="Times New Roman" w:eastAsia="宋体" w:cs="Times New Roman"/>
          <w:snapToGrid w:val="0"/>
          <w:color w:val="auto"/>
          <w:spacing w:val="0"/>
          <w:kern w:val="0"/>
          <w:sz w:val="24"/>
          <w:szCs w:val="24"/>
          <w:lang w:val="en-US" w:eastAsia="zh-CN" w:bidi="ar-SA"/>
        </w:rPr>
        <w:t>油松、柠条锦鸡儿、长芒草</w:t>
      </w:r>
      <w:r>
        <w:rPr>
          <w:rFonts w:hint="default" w:ascii="Times New Roman" w:hAnsi="Times New Roman" w:eastAsia="宋体" w:cs="Times New Roman"/>
          <w:snapToGrid w:val="0"/>
          <w:color w:val="auto"/>
          <w:spacing w:val="0"/>
          <w:kern w:val="0"/>
          <w:sz w:val="24"/>
          <w:szCs w:val="24"/>
          <w:lang w:val="en-US" w:eastAsia="en-US" w:bidi="ar-SA"/>
        </w:rPr>
        <w:t>等</w:t>
      </w:r>
      <w:r>
        <w:rPr>
          <w:rFonts w:hint="default" w:ascii="Times New Roman" w:hAnsi="Times New Roman" w:eastAsia="宋体" w:cs="Times New Roman"/>
          <w:snapToGrid w:val="0"/>
          <w:color w:val="auto"/>
          <w:spacing w:val="0"/>
          <w:kern w:val="0"/>
          <w:sz w:val="24"/>
          <w:szCs w:val="24"/>
          <w:lang w:val="en-US" w:eastAsia="zh-CN" w:bidi="ar-SA"/>
        </w:rPr>
        <w:t>；</w:t>
      </w:r>
      <w:r>
        <w:rPr>
          <w:rFonts w:hint="default" w:ascii="Times New Roman" w:hAnsi="Times New Roman" w:eastAsia="宋体" w:cs="Times New Roman"/>
          <w:snapToGrid w:val="0"/>
          <w:color w:val="auto"/>
          <w:spacing w:val="0"/>
          <w:kern w:val="0"/>
          <w:sz w:val="24"/>
          <w:szCs w:val="24"/>
          <w:lang w:val="en-US" w:eastAsia="en-US" w:bidi="ar-SA"/>
        </w:rPr>
        <w:t>柠条群系内植被主要为柠条锦鸡儿</w:t>
      </w:r>
      <w:r>
        <w:rPr>
          <w:rFonts w:hint="default" w:ascii="Times New Roman" w:hAnsi="Times New Roman" w:eastAsia="宋体" w:cs="Times New Roman"/>
          <w:snapToGrid w:val="0"/>
          <w:color w:val="auto"/>
          <w:spacing w:val="0"/>
          <w:kern w:val="0"/>
          <w:sz w:val="24"/>
          <w:szCs w:val="24"/>
          <w:lang w:val="en-US" w:eastAsia="zh-CN" w:bidi="ar-SA"/>
        </w:rPr>
        <w:t>、</w:t>
      </w:r>
      <w:r>
        <w:rPr>
          <w:rFonts w:hint="default" w:ascii="Times New Roman" w:hAnsi="Times New Roman" w:eastAsia="宋体" w:cs="Times New Roman"/>
          <w:snapToGrid w:val="0"/>
          <w:color w:val="auto"/>
          <w:spacing w:val="0"/>
          <w:kern w:val="0"/>
          <w:sz w:val="24"/>
          <w:szCs w:val="24"/>
          <w:lang w:val="en-US" w:eastAsia="en-US" w:bidi="ar-SA"/>
        </w:rPr>
        <w:t>京芒草</w:t>
      </w:r>
      <w:r>
        <w:rPr>
          <w:rFonts w:hint="default" w:ascii="Times New Roman" w:hAnsi="Times New Roman" w:eastAsia="宋体" w:cs="Times New Roman"/>
          <w:snapToGrid w:val="0"/>
          <w:color w:val="auto"/>
          <w:spacing w:val="0"/>
          <w:kern w:val="0"/>
          <w:sz w:val="24"/>
          <w:szCs w:val="24"/>
          <w:lang w:val="en-US" w:eastAsia="zh-CN" w:bidi="ar-SA"/>
        </w:rPr>
        <w:t>、</w:t>
      </w:r>
      <w:r>
        <w:rPr>
          <w:rFonts w:hint="default" w:ascii="Times New Roman" w:hAnsi="Times New Roman" w:eastAsia="宋体" w:cs="Times New Roman"/>
          <w:snapToGrid w:val="0"/>
          <w:color w:val="auto"/>
          <w:spacing w:val="0"/>
          <w:kern w:val="0"/>
          <w:sz w:val="24"/>
          <w:szCs w:val="24"/>
          <w:lang w:val="en-US" w:eastAsia="en-US" w:bidi="ar-SA"/>
        </w:rPr>
        <w:t>长芒草等；草本层为白羊草、展毛地椒、拂子茅</w:t>
      </w:r>
      <w:r>
        <w:rPr>
          <w:rFonts w:hint="default" w:ascii="Times New Roman" w:hAnsi="Times New Roman" w:eastAsia="宋体" w:cs="Times New Roman"/>
          <w:snapToGrid w:val="0"/>
          <w:color w:val="auto"/>
          <w:spacing w:val="0"/>
          <w:kern w:val="0"/>
          <w:sz w:val="24"/>
          <w:szCs w:val="24"/>
          <w:lang w:val="en-US" w:eastAsia="zh-CN" w:bidi="ar-SA"/>
        </w:rPr>
        <w:t>、</w:t>
      </w:r>
      <w:r>
        <w:rPr>
          <w:rFonts w:hint="default" w:ascii="Times New Roman" w:hAnsi="Times New Roman" w:eastAsia="宋体" w:cs="Times New Roman"/>
          <w:snapToGrid w:val="0"/>
          <w:color w:val="auto"/>
          <w:spacing w:val="0"/>
          <w:kern w:val="0"/>
          <w:sz w:val="24"/>
          <w:szCs w:val="24"/>
          <w:lang w:val="en-US" w:eastAsia="en-US" w:bidi="ar-SA"/>
        </w:rPr>
        <w:t>沙蒿</w:t>
      </w:r>
      <w:r>
        <w:rPr>
          <w:rFonts w:hint="default" w:ascii="Times New Roman" w:hAnsi="Times New Roman" w:eastAsia="宋体" w:cs="Times New Roman"/>
          <w:snapToGrid w:val="0"/>
          <w:color w:val="auto"/>
          <w:spacing w:val="0"/>
          <w:kern w:val="0"/>
          <w:sz w:val="24"/>
          <w:szCs w:val="24"/>
          <w:lang w:val="en-US" w:eastAsia="zh-CN" w:bidi="ar-SA"/>
        </w:rPr>
        <w:t>、胡枝子、灰莲蒿、芨芨草</w:t>
      </w:r>
      <w:r>
        <w:rPr>
          <w:rFonts w:hint="default" w:ascii="Times New Roman" w:hAnsi="Times New Roman" w:eastAsia="宋体" w:cs="Times New Roman"/>
          <w:snapToGrid w:val="0"/>
          <w:color w:val="auto"/>
          <w:spacing w:val="0"/>
          <w:kern w:val="0"/>
          <w:sz w:val="24"/>
          <w:szCs w:val="24"/>
          <w:lang w:val="en-US" w:eastAsia="en-US" w:bidi="ar-SA"/>
        </w:rPr>
        <w:t>等。</w:t>
      </w:r>
    </w:p>
    <w:p w14:paraId="79BFA11B">
      <w:pPr>
        <w:keepNext w:val="0"/>
        <w:keepLines w:val="0"/>
        <w:pageBreakBefore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spacing w:val="0"/>
          <w:kern w:val="0"/>
          <w:sz w:val="24"/>
          <w:szCs w:val="24"/>
          <w:lang w:val="en-US" w:eastAsia="en-US" w:bidi="ar-SA"/>
        </w:rPr>
      </w:pPr>
      <w:r>
        <w:rPr>
          <w:rFonts w:hint="default" w:ascii="Times New Roman" w:hAnsi="Times New Roman" w:eastAsia="宋体" w:cs="Times New Roman"/>
          <w:snapToGrid w:val="0"/>
          <w:color w:val="auto"/>
          <w:spacing w:val="0"/>
          <w:kern w:val="0"/>
          <w:sz w:val="24"/>
          <w:szCs w:val="24"/>
          <w:lang w:val="en-US" w:eastAsia="en-US" w:bidi="ar-SA"/>
        </w:rPr>
        <w:t>②陆生动物现状</w:t>
      </w:r>
    </w:p>
    <w:p w14:paraId="55D8493C">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spacing w:val="0"/>
          <w:kern w:val="0"/>
          <w:sz w:val="24"/>
          <w:szCs w:val="24"/>
          <w:lang w:val="en-US" w:eastAsia="en-US" w:bidi="ar-SA"/>
        </w:rPr>
      </w:pPr>
      <w:r>
        <w:rPr>
          <w:rFonts w:hint="default" w:ascii="Times New Roman" w:hAnsi="Times New Roman" w:eastAsia="宋体" w:cs="Times New Roman"/>
          <w:snapToGrid w:val="0"/>
          <w:color w:val="auto"/>
          <w:spacing w:val="0"/>
          <w:kern w:val="0"/>
          <w:sz w:val="24"/>
          <w:szCs w:val="24"/>
          <w:lang w:val="en-US" w:eastAsia="en-US" w:bidi="ar-SA"/>
        </w:rPr>
        <w:t>根据调查，区域内生态保护红线和农田大多交替分布，区域内整体以农业生产为主，人类活动较频繁，受沿线人类生产生活影响，评价区内大型陆生野生动物极少，小型野生动物较多，野生动物一般为适应农耕地和居民点栖息的种类，种属单一。本次调查在生态保护红线穿越段设置了10条动物样线，其中</w:t>
      </w:r>
      <w:r>
        <w:rPr>
          <w:rFonts w:hint="default" w:ascii="Times New Roman" w:hAnsi="Times New Roman" w:eastAsia="宋体" w:cs="Times New Roman"/>
          <w:snapToGrid w:val="0"/>
          <w:color w:val="auto"/>
          <w:spacing w:val="0"/>
          <w:kern w:val="0"/>
          <w:sz w:val="24"/>
          <w:szCs w:val="24"/>
          <w:lang w:val="en-US" w:eastAsia="zh-CN" w:bidi="ar-SA"/>
        </w:rPr>
        <w:t>林地2条，草</w:t>
      </w:r>
      <w:r>
        <w:rPr>
          <w:rFonts w:hint="default" w:ascii="Times New Roman" w:hAnsi="Times New Roman" w:eastAsia="宋体" w:cs="Times New Roman"/>
          <w:snapToGrid w:val="0"/>
          <w:color w:val="auto"/>
          <w:spacing w:val="0"/>
          <w:kern w:val="0"/>
          <w:sz w:val="24"/>
          <w:szCs w:val="24"/>
          <w:lang w:val="en-US" w:eastAsia="en-US" w:bidi="ar-SA"/>
        </w:rPr>
        <w:t>地</w:t>
      </w:r>
      <w:r>
        <w:rPr>
          <w:rFonts w:hint="eastAsia" w:ascii="Times New Roman" w:hAnsi="Times New Roman" w:eastAsia="宋体" w:cs="Times New Roman"/>
          <w:snapToGrid w:val="0"/>
          <w:color w:val="auto"/>
          <w:spacing w:val="0"/>
          <w:kern w:val="0"/>
          <w:sz w:val="24"/>
          <w:szCs w:val="24"/>
          <w:lang w:val="en-US" w:eastAsia="zh-CN" w:bidi="ar-SA"/>
        </w:rPr>
        <w:t>5</w:t>
      </w:r>
      <w:r>
        <w:rPr>
          <w:rFonts w:hint="default" w:ascii="Times New Roman" w:hAnsi="Times New Roman" w:eastAsia="宋体" w:cs="Times New Roman"/>
          <w:snapToGrid w:val="0"/>
          <w:color w:val="auto"/>
          <w:spacing w:val="0"/>
          <w:kern w:val="0"/>
          <w:sz w:val="24"/>
          <w:szCs w:val="24"/>
          <w:lang w:val="en-US" w:eastAsia="en-US" w:bidi="ar-SA"/>
        </w:rPr>
        <w:t>条，灌丛3条。样线调查期间，在林地观察到大山雀、布谷鸟、啄木鸟、喜鹊，在灌丛观察到灰仓鼠，农田周边区域观察到喜鹊、达乌尔黄鼠。现场调查期间未发现爬行动物，查阅资料评价区爬行动物有中国林蛙、秦岭滑蜥等。</w:t>
      </w:r>
    </w:p>
    <w:p w14:paraId="0F077CB7">
      <w:pPr>
        <w:keepNext w:val="0"/>
        <w:keepLines w:val="0"/>
        <w:pageBreakBefore w:val="0"/>
        <w:kinsoku w:val="0"/>
        <w:wordWrap/>
        <w:overflowPunct/>
        <w:topLinePunct w:val="0"/>
        <w:autoSpaceDE w:val="0"/>
        <w:autoSpaceDN w:val="0"/>
        <w:bidi w:val="0"/>
        <w:adjustRightInd w:val="0"/>
        <w:snapToGrid w:val="0"/>
        <w:spacing w:line="360" w:lineRule="auto"/>
        <w:ind w:left="0" w:firstLine="482" w:firstLineChars="200"/>
        <w:jc w:val="both"/>
        <w:textAlignment w:val="baseline"/>
        <w:rPr>
          <w:rFonts w:hint="default" w:ascii="Times New Roman" w:hAnsi="Times New Roman" w:eastAsia="宋体" w:cs="Times New Roman"/>
          <w:b/>
          <w:bCs/>
          <w:snapToGrid w:val="0"/>
          <w:color w:val="auto"/>
          <w:spacing w:val="0"/>
          <w:kern w:val="0"/>
          <w:sz w:val="24"/>
          <w:szCs w:val="24"/>
          <w:lang w:val="en-US" w:eastAsia="en-US" w:bidi="ar-SA"/>
        </w:rPr>
      </w:pPr>
      <w:r>
        <w:rPr>
          <w:rFonts w:hint="default" w:ascii="Times New Roman" w:hAnsi="Times New Roman" w:eastAsia="宋体" w:cs="Times New Roman"/>
          <w:b/>
          <w:bCs/>
          <w:snapToGrid w:val="0"/>
          <w:color w:val="auto"/>
          <w:spacing w:val="0"/>
          <w:kern w:val="0"/>
          <w:sz w:val="24"/>
          <w:szCs w:val="24"/>
          <w:lang w:val="en-US" w:eastAsia="en-US" w:bidi="ar-SA"/>
        </w:rPr>
        <w:t>⑸保护现状及存在的问题</w:t>
      </w:r>
    </w:p>
    <w:p w14:paraId="6695EF8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cs="Times New Roman"/>
          <w:color w:val="auto"/>
          <w:lang w:val="zh-CN"/>
        </w:rPr>
        <w:sectPr>
          <w:footerReference r:id="rId24" w:type="default"/>
          <w:pgSz w:w="11906" w:h="16838"/>
          <w:pgMar w:top="1440" w:right="1800" w:bottom="1440" w:left="1803"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snapToGrid w:val="0"/>
          <w:color w:val="auto"/>
          <w:spacing w:val="0"/>
          <w:kern w:val="0"/>
          <w:sz w:val="24"/>
          <w:szCs w:val="24"/>
          <w:lang w:val="en-US" w:eastAsia="en-US" w:bidi="ar-SA"/>
        </w:rPr>
        <w:t>对划定的生态保护红线按照《自然资源部生态环境部国家林业和草原局关于加强生态保护红线管理的通知（试行）》（自然资发〔2022〕142号）、中共宁夏回族自治区委员会办公厅《关于加强生态保护红线管理的实施意见》、《宁夏回族自治区生态保护红线管理条例》等生态保护红线管理相关文件进行管理。县级以上人民政府负责本行政区域内生态保护红线的划定、保护和管理工作。对于必须且无法避让的建设项目从严办理准入手续。随着生态保护管理制度的逐步完善，生态保护红线内人为活动干扰的影响逐年下降，存在的主要问题还是水土流失及生态系统退化问题。局部地区水土流失严重， 林草群落结构不合理，生态系统稳定性不强，存在较大生态退化风险，水源涵养功能不足</w:t>
      </w:r>
      <w:r>
        <w:rPr>
          <w:rFonts w:ascii="宋体" w:hAnsi="宋体" w:eastAsia="宋体" w:cs="宋体"/>
          <w:snapToGrid w:val="0"/>
          <w:color w:val="auto"/>
          <w:spacing w:val="0"/>
          <w:kern w:val="0"/>
          <w:sz w:val="24"/>
          <w:szCs w:val="24"/>
          <w:lang w:val="en-US" w:eastAsia="en-US" w:bidi="ar-SA"/>
        </w:rPr>
        <w:t>。</w:t>
      </w:r>
    </w:p>
    <w:bookmarkEnd w:id="488"/>
    <w:bookmarkEnd w:id="489"/>
    <w:bookmarkEnd w:id="490"/>
    <w:bookmarkEnd w:id="491"/>
    <w:bookmarkEnd w:id="492"/>
    <w:bookmarkEnd w:id="493"/>
    <w:bookmarkEnd w:id="494"/>
    <w:bookmarkEnd w:id="495"/>
    <w:bookmarkEnd w:id="496"/>
    <w:p w14:paraId="4498220D">
      <w:pPr>
        <w:pStyle w:val="2"/>
        <w:keepLines/>
        <w:pageBreakBefore w:val="0"/>
        <w:wordWrap/>
        <w:overflowPunct/>
        <w:topLinePunct w:val="0"/>
        <w:bidi w:val="0"/>
        <w:adjustRightInd w:val="0"/>
        <w:snapToGrid w:val="0"/>
        <w:spacing w:before="0" w:after="0" w:line="360" w:lineRule="auto"/>
        <w:ind w:left="0" w:firstLine="0"/>
        <w:jc w:val="both"/>
        <w:rPr>
          <w:rFonts w:hint="default" w:ascii="Times New Roman" w:hAnsi="Times New Roman" w:cs="Times New Roman" w:eastAsiaTheme="minorEastAsia"/>
          <w:b/>
          <w:bCs/>
          <w:color w:val="auto"/>
          <w:sz w:val="28"/>
          <w:szCs w:val="28"/>
          <w:lang w:val="zh-CN"/>
        </w:rPr>
      </w:pPr>
      <w:bookmarkStart w:id="497" w:name="_Toc25506"/>
      <w:bookmarkStart w:id="498" w:name="_Toc14586"/>
      <w:bookmarkStart w:id="499" w:name="_Toc6558"/>
      <w:bookmarkStart w:id="500" w:name="_Toc23023"/>
      <w:bookmarkStart w:id="501" w:name="_Toc17193"/>
      <w:bookmarkStart w:id="502" w:name="_Toc22176"/>
      <w:bookmarkStart w:id="503" w:name="_Toc21798"/>
      <w:bookmarkStart w:id="504" w:name="_Toc19515"/>
      <w:bookmarkStart w:id="505" w:name="_Toc109767255"/>
      <w:bookmarkStart w:id="506" w:name="_Toc477336660"/>
      <w:bookmarkStart w:id="507" w:name="_Toc466909009"/>
      <w:bookmarkStart w:id="508" w:name="_Toc392049548"/>
      <w:bookmarkStart w:id="509" w:name="_Toc14410"/>
      <w:bookmarkStart w:id="510" w:name="_Toc395184679"/>
      <w:bookmarkStart w:id="511" w:name="_Toc5627"/>
      <w:bookmarkStart w:id="512" w:name="_Toc477336659"/>
      <w:bookmarkStart w:id="513" w:name="_Toc478487215"/>
      <w:bookmarkStart w:id="514" w:name="_Toc392050777"/>
      <w:bookmarkStart w:id="515" w:name="_Toc466909008"/>
      <w:bookmarkStart w:id="516" w:name="_Toc478487214"/>
      <w:bookmarkStart w:id="517" w:name="_Toc395184680"/>
      <w:r>
        <w:rPr>
          <w:rFonts w:hint="default" w:ascii="Times New Roman" w:hAnsi="Times New Roman" w:cs="Times New Roman" w:eastAsiaTheme="minorEastAsia"/>
          <w:b/>
          <w:bCs/>
          <w:color w:val="auto"/>
          <w:sz w:val="28"/>
          <w:szCs w:val="28"/>
          <w:lang w:val="en-US" w:eastAsia="zh-CN"/>
        </w:rPr>
        <w:t>3</w:t>
      </w:r>
      <w:r>
        <w:rPr>
          <w:rFonts w:hint="default" w:ascii="Times New Roman" w:hAnsi="Times New Roman" w:cs="Times New Roman" w:eastAsiaTheme="minorEastAsia"/>
          <w:b/>
          <w:bCs/>
          <w:color w:val="auto"/>
          <w:sz w:val="28"/>
          <w:szCs w:val="28"/>
          <w:lang w:val="zh-CN"/>
        </w:rPr>
        <w:t>生态影响预测与评价</w:t>
      </w:r>
      <w:bookmarkEnd w:id="497"/>
      <w:bookmarkEnd w:id="498"/>
      <w:bookmarkEnd w:id="499"/>
      <w:bookmarkEnd w:id="500"/>
      <w:bookmarkEnd w:id="501"/>
      <w:bookmarkEnd w:id="502"/>
      <w:bookmarkEnd w:id="503"/>
      <w:bookmarkEnd w:id="504"/>
    </w:p>
    <w:p w14:paraId="30C5AD54">
      <w:pPr>
        <w:pageBreakBefore w:val="0"/>
        <w:kinsoku w:val="0"/>
        <w:wordWrap/>
        <w:overflowPunct/>
        <w:topLinePunct w:val="0"/>
        <w:autoSpaceDE w:val="0"/>
        <w:autoSpaceDN w:val="0"/>
        <w:bidi w:val="0"/>
        <w:adjustRightInd w:val="0"/>
        <w:snapToGrid w:val="0"/>
        <w:spacing w:line="360" w:lineRule="auto"/>
        <w:jc w:val="both"/>
        <w:textAlignment w:val="baseline"/>
        <w:outlineLvl w:val="1"/>
        <w:rPr>
          <w:rFonts w:hint="default" w:ascii="Times New Roman" w:hAnsi="Times New Roman" w:cs="Times New Roman" w:eastAsiaTheme="minorEastAsia"/>
          <w:snapToGrid w:val="0"/>
          <w:color w:val="auto"/>
          <w:kern w:val="0"/>
          <w:sz w:val="24"/>
          <w:szCs w:val="24"/>
          <w:lang w:val="en-US" w:eastAsia="en-US" w:bidi="ar-SA"/>
        </w:rPr>
      </w:pPr>
      <w:bookmarkStart w:id="518" w:name="_Toc16829"/>
      <w:bookmarkStart w:id="519" w:name="_Toc31293"/>
      <w:bookmarkStart w:id="520" w:name="_Toc10090_WPSOffice_Level3"/>
      <w:bookmarkStart w:id="521" w:name="_Toc17850"/>
      <w:bookmarkStart w:id="522" w:name="_Toc6214"/>
      <w:bookmarkStart w:id="523" w:name="_Toc7795_WPSOffice_Level3"/>
      <w:bookmarkStart w:id="524" w:name="_Toc10403_WPSOffice_Level3"/>
      <w:bookmarkStart w:id="525" w:name="_Toc5483"/>
      <w:bookmarkStart w:id="526" w:name="_Toc21607"/>
      <w:bookmarkStart w:id="527" w:name="_Toc9777_WPSOffice_Level3"/>
      <w:r>
        <w:rPr>
          <w:rFonts w:hint="default" w:ascii="Times New Roman" w:hAnsi="Times New Roman" w:cs="Times New Roman" w:eastAsiaTheme="minorEastAsia"/>
          <w:b/>
          <w:bCs/>
          <w:snapToGrid w:val="0"/>
          <w:color w:val="auto"/>
          <w:spacing w:val="-17"/>
          <w:kern w:val="0"/>
          <w:sz w:val="24"/>
          <w:szCs w:val="24"/>
          <w:lang w:val="en-US" w:eastAsia="zh-CN" w:bidi="ar-SA"/>
        </w:rPr>
        <w:t>3</w:t>
      </w:r>
      <w:r>
        <w:rPr>
          <w:rFonts w:hint="default" w:ascii="Times New Roman" w:hAnsi="Times New Roman" w:cs="Times New Roman" w:eastAsiaTheme="minorEastAsia"/>
          <w:b/>
          <w:bCs/>
          <w:snapToGrid w:val="0"/>
          <w:color w:val="auto"/>
          <w:spacing w:val="-17"/>
          <w:kern w:val="0"/>
          <w:sz w:val="24"/>
          <w:szCs w:val="24"/>
          <w:lang w:val="en-US" w:eastAsia="en-US" w:bidi="ar-SA"/>
        </w:rPr>
        <w:t>.1评价区生态现状评价</w:t>
      </w:r>
      <w:bookmarkEnd w:id="518"/>
      <w:bookmarkEnd w:id="519"/>
    </w:p>
    <w:bookmarkEnd w:id="505"/>
    <w:bookmarkEnd w:id="506"/>
    <w:bookmarkEnd w:id="507"/>
    <w:bookmarkEnd w:id="508"/>
    <w:bookmarkEnd w:id="509"/>
    <w:bookmarkEnd w:id="510"/>
    <w:bookmarkEnd w:id="511"/>
    <w:bookmarkEnd w:id="512"/>
    <w:bookmarkEnd w:id="513"/>
    <w:bookmarkEnd w:id="514"/>
    <w:bookmarkEnd w:id="515"/>
    <w:bookmarkEnd w:id="516"/>
    <w:bookmarkEnd w:id="517"/>
    <w:bookmarkEnd w:id="520"/>
    <w:bookmarkEnd w:id="521"/>
    <w:bookmarkEnd w:id="522"/>
    <w:bookmarkEnd w:id="523"/>
    <w:bookmarkEnd w:id="524"/>
    <w:bookmarkEnd w:id="525"/>
    <w:bookmarkEnd w:id="526"/>
    <w:bookmarkEnd w:id="527"/>
    <w:p w14:paraId="2F3AB1B3">
      <w:pPr>
        <w:pageBreakBefore w:val="0"/>
        <w:widowControl/>
        <w:kinsoku w:val="0"/>
        <w:wordWrap/>
        <w:overflowPunct/>
        <w:topLinePunct w:val="0"/>
        <w:autoSpaceDE w:val="0"/>
        <w:autoSpaceDN w:val="0"/>
        <w:bidi w:val="0"/>
        <w:adjustRightInd w:val="0"/>
        <w:snapToGrid w:val="0"/>
        <w:spacing w:line="360" w:lineRule="auto"/>
        <w:jc w:val="both"/>
        <w:textAlignment w:val="baseline"/>
        <w:outlineLvl w:val="2"/>
        <w:rPr>
          <w:rFonts w:hint="default" w:ascii="Times New Roman" w:hAnsi="Times New Roman" w:cs="Times New Roman" w:eastAsiaTheme="minorEastAsia"/>
          <w:snapToGrid w:val="0"/>
          <w:color w:val="auto"/>
          <w:kern w:val="0"/>
          <w:sz w:val="24"/>
          <w:szCs w:val="24"/>
          <w:lang w:eastAsia="en-US"/>
        </w:rPr>
      </w:pPr>
      <w:r>
        <w:rPr>
          <w:rFonts w:hint="default" w:ascii="Times New Roman" w:hAnsi="Times New Roman" w:cs="Times New Roman" w:eastAsiaTheme="minorEastAsia"/>
          <w:b/>
          <w:bCs/>
          <w:snapToGrid w:val="0"/>
          <w:color w:val="auto"/>
          <w:spacing w:val="-2"/>
          <w:kern w:val="0"/>
          <w:sz w:val="24"/>
          <w:szCs w:val="24"/>
          <w:lang w:val="en-US" w:eastAsia="zh-CN"/>
        </w:rPr>
        <w:t>3</w:t>
      </w:r>
      <w:r>
        <w:rPr>
          <w:rFonts w:hint="default" w:ascii="Times New Roman" w:hAnsi="Times New Roman" w:cs="Times New Roman" w:eastAsiaTheme="minorEastAsia"/>
          <w:b/>
          <w:bCs/>
          <w:snapToGrid w:val="0"/>
          <w:color w:val="auto"/>
          <w:spacing w:val="-2"/>
          <w:kern w:val="0"/>
          <w:sz w:val="24"/>
          <w:szCs w:val="24"/>
          <w:lang w:eastAsia="en-US"/>
        </w:rPr>
        <w:t>.1.1植被生产力评价</w:t>
      </w:r>
    </w:p>
    <w:p w14:paraId="4F9EB1ED">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2" w:firstLineChars="200"/>
        <w:jc w:val="both"/>
        <w:textAlignment w:val="baseline"/>
        <w:rPr>
          <w:rFonts w:hint="default" w:ascii="Times New Roman" w:hAnsi="Times New Roman" w:cs="Times New Roman" w:eastAsiaTheme="minorEastAsia"/>
          <w:snapToGrid w:val="0"/>
          <w:color w:val="auto"/>
          <w:kern w:val="0"/>
          <w:sz w:val="24"/>
          <w:szCs w:val="24"/>
          <w:lang w:val="en-US" w:eastAsia="en-US" w:bidi="ar-SA"/>
        </w:rPr>
      </w:pPr>
      <w:r>
        <w:rPr>
          <w:rFonts w:hint="default" w:ascii="Times New Roman" w:hAnsi="Times New Roman" w:cs="Times New Roman"/>
          <w:b/>
          <w:bCs/>
          <w:color w:val="auto"/>
          <w:kern w:val="0"/>
          <w:sz w:val="24"/>
          <w:highlight w:val="none"/>
          <w:lang w:eastAsia="zh-CN"/>
        </w:rPr>
        <w:t>⑴</w:t>
      </w:r>
      <w:r>
        <w:rPr>
          <w:rFonts w:hint="default" w:ascii="Times New Roman" w:hAnsi="Times New Roman" w:cs="Times New Roman" w:eastAsiaTheme="minorEastAsia"/>
          <w:b/>
          <w:bCs/>
          <w:snapToGrid w:val="0"/>
          <w:color w:val="auto"/>
          <w:spacing w:val="-3"/>
          <w:kern w:val="0"/>
          <w:sz w:val="24"/>
          <w:szCs w:val="24"/>
          <w:lang w:val="en-US" w:eastAsia="en-US" w:bidi="ar-SA"/>
        </w:rPr>
        <w:t>评价区自然生产力评价</w:t>
      </w:r>
    </w:p>
    <w:p w14:paraId="4BFCAE71">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68"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eastAsiaTheme="minorEastAsia"/>
          <w:snapToGrid w:val="0"/>
          <w:color w:val="auto"/>
          <w:spacing w:val="-3"/>
          <w:kern w:val="0"/>
          <w:sz w:val="24"/>
          <w:szCs w:val="24"/>
          <w:lang w:val="en-US" w:eastAsia="en-US" w:bidi="ar-SA"/>
        </w:rPr>
        <w:t>自然生产力采用</w:t>
      </w:r>
      <w:r>
        <w:rPr>
          <w:rFonts w:hint="default" w:ascii="Times New Roman" w:hAnsi="Times New Roman" w:cs="Times New Roman" w:eastAsiaTheme="minorEastAsia"/>
          <w:snapToGrid w:val="0"/>
          <w:color w:val="auto"/>
          <w:spacing w:val="-56"/>
          <w:kern w:val="0"/>
          <w:sz w:val="24"/>
          <w:szCs w:val="24"/>
          <w:lang w:val="en-US" w:eastAsia="en-US" w:bidi="ar-SA"/>
        </w:rPr>
        <w:t xml:space="preserve"> </w:t>
      </w:r>
      <w:r>
        <w:rPr>
          <w:rFonts w:hint="default" w:ascii="Times New Roman" w:hAnsi="Times New Roman" w:cs="Times New Roman" w:eastAsiaTheme="minorEastAsia"/>
          <w:snapToGrid w:val="0"/>
          <w:color w:val="auto"/>
          <w:spacing w:val="-3"/>
          <w:kern w:val="0"/>
          <w:sz w:val="24"/>
          <w:szCs w:val="24"/>
          <w:lang w:val="en-US" w:eastAsia="en-US" w:bidi="ar-SA"/>
        </w:rPr>
        <w:t>H.lieth 生</w:t>
      </w:r>
      <w:r>
        <w:rPr>
          <w:rFonts w:ascii="宋体" w:hAnsi="宋体" w:eastAsia="宋体" w:cs="宋体"/>
          <w:snapToGrid w:val="0"/>
          <w:color w:val="auto"/>
          <w:spacing w:val="-3"/>
          <w:kern w:val="0"/>
          <w:sz w:val="24"/>
          <w:szCs w:val="24"/>
          <w:lang w:val="en-US" w:eastAsia="en-US" w:bidi="ar-SA"/>
        </w:rPr>
        <w:t>物生产力经验公</w:t>
      </w:r>
      <w:r>
        <w:rPr>
          <w:rFonts w:ascii="宋体" w:hAnsi="宋体" w:eastAsia="宋体" w:cs="宋体"/>
          <w:snapToGrid w:val="0"/>
          <w:color w:val="auto"/>
          <w:spacing w:val="-4"/>
          <w:kern w:val="0"/>
          <w:sz w:val="24"/>
          <w:szCs w:val="24"/>
          <w:lang w:val="en-US" w:eastAsia="en-US" w:bidi="ar-SA"/>
        </w:rPr>
        <w:t>式计算，公式如下：</w:t>
      </w:r>
    </w:p>
    <w:p w14:paraId="6F5525C7">
      <w:pPr>
        <w:widowControl/>
        <w:kinsoku w:val="0"/>
        <w:autoSpaceDE w:val="0"/>
        <w:autoSpaceDN w:val="0"/>
        <w:adjustRightInd w:val="0"/>
        <w:snapToGrid w:val="0"/>
        <w:spacing w:before="207" w:line="240" w:lineRule="auto"/>
        <w:ind w:left="3460"/>
        <w:jc w:val="left"/>
        <w:textAlignment w:val="baseline"/>
        <w:rPr>
          <w:rFonts w:ascii="Arial" w:hAnsi="Arial" w:eastAsia="Arial" w:cs="Arial"/>
          <w:snapToGrid w:val="0"/>
          <w:color w:val="auto"/>
          <w:kern w:val="0"/>
          <w:szCs w:val="21"/>
          <w:lang w:eastAsia="en-US"/>
        </w:rPr>
      </w:pPr>
      <w:r>
        <w:rPr>
          <w:rFonts w:ascii="Arial" w:hAnsi="Arial" w:eastAsia="Arial" w:cs="Arial"/>
          <w:snapToGrid w:val="0"/>
          <w:color w:val="auto"/>
          <w:kern w:val="0"/>
          <w:position w:val="-9"/>
          <w:szCs w:val="21"/>
          <w:lang w:eastAsia="en-US"/>
        </w:rPr>
        <w:drawing>
          <wp:inline distT="0" distB="0" distL="0" distR="0">
            <wp:extent cx="1494155" cy="297815"/>
            <wp:effectExtent l="0" t="0" r="4445" b="6985"/>
            <wp:docPr id="45" name="IM 2"/>
            <wp:cNvGraphicFramePr/>
            <a:graphic xmlns:a="http://schemas.openxmlformats.org/drawingml/2006/main">
              <a:graphicData uri="http://schemas.openxmlformats.org/drawingml/2006/picture">
                <pic:pic xmlns:pic="http://schemas.openxmlformats.org/drawingml/2006/picture">
                  <pic:nvPicPr>
                    <pic:cNvPr id="45" name="IM 2"/>
                    <pic:cNvPicPr/>
                  </pic:nvPicPr>
                  <pic:blipFill>
                    <a:blip r:embed="rId126"/>
                    <a:stretch>
                      <a:fillRect/>
                    </a:stretch>
                  </pic:blipFill>
                  <pic:spPr>
                    <a:xfrm>
                      <a:off x="0" y="0"/>
                      <a:ext cx="1494301" cy="298401"/>
                    </a:xfrm>
                    <a:prstGeom prst="rect">
                      <a:avLst/>
                    </a:prstGeom>
                  </pic:spPr>
                </pic:pic>
              </a:graphicData>
            </a:graphic>
          </wp:inline>
        </w:drawing>
      </w:r>
    </w:p>
    <w:p w14:paraId="518063C0">
      <w:pPr>
        <w:widowControl/>
        <w:kinsoku w:val="0"/>
        <w:autoSpaceDE w:val="0"/>
        <w:autoSpaceDN w:val="0"/>
        <w:adjustRightInd w:val="0"/>
        <w:snapToGrid w:val="0"/>
        <w:spacing w:before="117" w:line="360" w:lineRule="auto"/>
        <w:ind w:left="3523"/>
        <w:jc w:val="left"/>
        <w:textAlignment w:val="baseline"/>
        <w:rPr>
          <w:rFonts w:ascii="Arial" w:hAnsi="Arial" w:eastAsia="Arial" w:cs="Arial"/>
          <w:snapToGrid w:val="0"/>
          <w:color w:val="auto"/>
          <w:kern w:val="0"/>
          <w:szCs w:val="21"/>
          <w:lang w:eastAsia="en-US"/>
        </w:rPr>
      </w:pPr>
      <w:r>
        <w:rPr>
          <w:rFonts w:ascii="Arial" w:hAnsi="Arial" w:eastAsia="Arial" w:cs="Arial"/>
          <w:snapToGrid w:val="0"/>
          <w:color w:val="auto"/>
          <w:kern w:val="0"/>
          <w:position w:val="-9"/>
          <w:szCs w:val="21"/>
          <w:lang w:eastAsia="en-US"/>
        </w:rPr>
        <w:drawing>
          <wp:inline distT="0" distB="0" distL="0" distR="0">
            <wp:extent cx="1418590" cy="273050"/>
            <wp:effectExtent l="0" t="0" r="3810" b="5080"/>
            <wp:docPr id="46" name="IM 4"/>
            <wp:cNvGraphicFramePr/>
            <a:graphic xmlns:a="http://schemas.openxmlformats.org/drawingml/2006/main">
              <a:graphicData uri="http://schemas.openxmlformats.org/drawingml/2006/picture">
                <pic:pic xmlns:pic="http://schemas.openxmlformats.org/drawingml/2006/picture">
                  <pic:nvPicPr>
                    <pic:cNvPr id="46" name="IM 4"/>
                    <pic:cNvPicPr/>
                  </pic:nvPicPr>
                  <pic:blipFill>
                    <a:blip r:embed="rId127"/>
                    <a:stretch>
                      <a:fillRect/>
                    </a:stretch>
                  </pic:blipFill>
                  <pic:spPr>
                    <a:xfrm>
                      <a:off x="0" y="0"/>
                      <a:ext cx="1419085" cy="273184"/>
                    </a:xfrm>
                    <a:prstGeom prst="rect">
                      <a:avLst/>
                    </a:prstGeom>
                  </pic:spPr>
                </pic:pic>
              </a:graphicData>
            </a:graphic>
          </wp:inline>
        </w:drawing>
      </w:r>
    </w:p>
    <w:p w14:paraId="25C73AC4">
      <w:pPr>
        <w:keepNext w:val="0"/>
        <w:keepLines w:val="0"/>
        <w:pageBreakBefore w:val="0"/>
        <w:widowControl/>
        <w:kinsoku w:val="0"/>
        <w:wordWrap/>
        <w:overflowPunct/>
        <w:topLinePunct w:val="0"/>
        <w:autoSpaceDE w:val="0"/>
        <w:autoSpaceDN w:val="0"/>
        <w:bidi w:val="0"/>
        <w:adjustRightInd w:val="0"/>
        <w:snapToGrid w:val="0"/>
        <w:spacing w:before="0" w:line="360" w:lineRule="auto"/>
        <w:ind w:left="0" w:right="0" w:firstLine="480" w:firstLineChars="200"/>
        <w:jc w:val="both"/>
        <w:textAlignment w:val="baseline"/>
        <w:rPr>
          <w:rFonts w:ascii="Times New Roman" w:hAnsi="Times New Roman" w:eastAsia="Times New Roman" w:cs="Times New Roman"/>
          <w:snapToGrid w:val="0"/>
          <w:color w:val="auto"/>
          <w:kern w:val="0"/>
          <w:sz w:val="24"/>
          <w:szCs w:val="24"/>
          <w:lang w:val="en-US" w:eastAsia="en-US" w:bidi="ar-SA"/>
        </w:rPr>
      </w:pPr>
      <w:r>
        <w:rPr>
          <w:rFonts w:ascii="宋体" w:hAnsi="宋体" w:eastAsia="宋体" w:cs="宋体"/>
          <w:snapToGrid w:val="0"/>
          <w:color w:val="auto"/>
          <w:kern w:val="0"/>
          <w:sz w:val="24"/>
          <w:szCs w:val="24"/>
          <w:lang w:val="en-US" w:eastAsia="en-US" w:bidi="ar-SA"/>
        </w:rPr>
        <w:t>式中：</w:t>
      </w:r>
      <w:r>
        <w:rPr>
          <w:rFonts w:ascii="Times New Roman" w:hAnsi="Times New Roman" w:eastAsia="Times New Roman" w:cs="Times New Roman"/>
          <w:snapToGrid w:val="0"/>
          <w:color w:val="auto"/>
          <w:kern w:val="0"/>
          <w:sz w:val="24"/>
          <w:szCs w:val="24"/>
          <w:lang w:val="en-US" w:eastAsia="en-US" w:bidi="ar-SA"/>
        </w:rPr>
        <w:t>Y1—</w:t>
      </w:r>
      <w:r>
        <w:rPr>
          <w:rFonts w:ascii="宋体" w:hAnsi="宋体" w:eastAsia="宋体" w:cs="宋体"/>
          <w:snapToGrid w:val="0"/>
          <w:color w:val="auto"/>
          <w:kern w:val="0"/>
          <w:sz w:val="24"/>
          <w:szCs w:val="24"/>
          <w:lang w:val="en-US" w:eastAsia="en-US" w:bidi="ar-SA"/>
        </w:rPr>
        <w:t>根据年均温度（</w:t>
      </w:r>
      <w:r>
        <w:rPr>
          <w:rFonts w:ascii="Times New Roman" w:hAnsi="Times New Roman" w:eastAsia="Times New Roman" w:cs="Times New Roman"/>
          <w:snapToGrid w:val="0"/>
          <w:color w:val="auto"/>
          <w:kern w:val="0"/>
          <w:sz w:val="24"/>
          <w:szCs w:val="24"/>
          <w:lang w:val="en-US" w:eastAsia="en-US" w:bidi="ar-SA"/>
        </w:rPr>
        <w:t>t</w:t>
      </w:r>
      <w:r>
        <w:rPr>
          <w:rFonts w:ascii="宋体" w:hAnsi="宋体" w:eastAsia="宋体" w:cs="宋体"/>
          <w:snapToGrid w:val="0"/>
          <w:color w:val="auto"/>
          <w:kern w:val="0"/>
          <w:sz w:val="24"/>
          <w:szCs w:val="24"/>
          <w:lang w:val="en-US" w:eastAsia="en-US" w:bidi="ar-SA"/>
        </w:rPr>
        <w:t>）估算的热量</w:t>
      </w:r>
      <w:r>
        <w:rPr>
          <w:rFonts w:ascii="宋体" w:hAnsi="宋体" w:eastAsia="宋体" w:cs="宋体"/>
          <w:snapToGrid w:val="0"/>
          <w:color w:val="auto"/>
          <w:spacing w:val="-1"/>
          <w:kern w:val="0"/>
          <w:sz w:val="24"/>
          <w:szCs w:val="24"/>
          <w:lang w:val="en-US" w:eastAsia="en-US" w:bidi="ar-SA"/>
        </w:rPr>
        <w:t>生产力</w:t>
      </w:r>
      <w:r>
        <w:rPr>
          <w:rFonts w:ascii="Times New Roman" w:hAnsi="Times New Roman" w:eastAsia="Times New Roman" w:cs="Times New Roman"/>
          <w:snapToGrid w:val="0"/>
          <w:color w:val="auto"/>
          <w:spacing w:val="-1"/>
          <w:kern w:val="0"/>
          <w:sz w:val="24"/>
          <w:szCs w:val="24"/>
          <w:lang w:val="en-US" w:eastAsia="en-US" w:bidi="ar-SA"/>
        </w:rPr>
        <w:t>[g/</w:t>
      </w:r>
      <w:r>
        <w:rPr>
          <w:rFonts w:ascii="宋体" w:hAnsi="宋体" w:eastAsia="宋体" w:cs="宋体"/>
          <w:snapToGrid w:val="0"/>
          <w:color w:val="auto"/>
          <w:spacing w:val="-1"/>
          <w:kern w:val="0"/>
          <w:sz w:val="24"/>
          <w:szCs w:val="24"/>
          <w:lang w:val="en-US" w:eastAsia="en-US" w:bidi="ar-SA"/>
        </w:rPr>
        <w:t>（</w:t>
      </w:r>
      <w:r>
        <w:rPr>
          <w:rFonts w:ascii="Times New Roman" w:hAnsi="Times New Roman" w:eastAsia="Times New Roman" w:cs="Times New Roman"/>
          <w:snapToGrid w:val="0"/>
          <w:color w:val="auto"/>
          <w:spacing w:val="-1"/>
          <w:kern w:val="0"/>
          <w:sz w:val="24"/>
          <w:szCs w:val="24"/>
          <w:lang w:val="en-US" w:eastAsia="en-US" w:bidi="ar-SA"/>
        </w:rPr>
        <w:t>m</w:t>
      </w:r>
      <w:r>
        <w:rPr>
          <w:rFonts w:ascii="Times New Roman" w:hAnsi="Times New Roman" w:eastAsia="Times New Roman" w:cs="Times New Roman"/>
          <w:snapToGrid w:val="0"/>
          <w:color w:val="auto"/>
          <w:spacing w:val="-1"/>
          <w:kern w:val="0"/>
          <w:position w:val="8"/>
          <w:sz w:val="15"/>
          <w:szCs w:val="15"/>
          <w:lang w:val="en-US" w:eastAsia="en-US" w:bidi="ar-SA"/>
        </w:rPr>
        <w:t>2</w:t>
      </w:r>
      <w:r>
        <w:rPr>
          <w:rFonts w:ascii="Times New Roman" w:hAnsi="Times New Roman" w:eastAsia="Times New Roman" w:cs="Times New Roman"/>
          <w:snapToGrid w:val="0"/>
          <w:color w:val="auto"/>
          <w:spacing w:val="-1"/>
          <w:kern w:val="0"/>
          <w:sz w:val="24"/>
          <w:szCs w:val="24"/>
          <w:lang w:val="en-US" w:eastAsia="en-US" w:bidi="ar-SA"/>
        </w:rPr>
        <w:t>·a</w:t>
      </w:r>
      <w:r>
        <w:rPr>
          <w:rFonts w:ascii="宋体" w:hAnsi="宋体" w:eastAsia="宋体" w:cs="宋体"/>
          <w:snapToGrid w:val="0"/>
          <w:color w:val="auto"/>
          <w:spacing w:val="-1"/>
          <w:kern w:val="0"/>
          <w:sz w:val="24"/>
          <w:szCs w:val="24"/>
          <w:lang w:val="en-US" w:eastAsia="en-US" w:bidi="ar-SA"/>
        </w:rPr>
        <w:t>）</w:t>
      </w:r>
      <w:r>
        <w:rPr>
          <w:rFonts w:ascii="Times New Roman" w:hAnsi="Times New Roman" w:eastAsia="Times New Roman" w:cs="Times New Roman"/>
          <w:snapToGrid w:val="0"/>
          <w:color w:val="auto"/>
          <w:spacing w:val="-1"/>
          <w:kern w:val="0"/>
          <w:sz w:val="24"/>
          <w:szCs w:val="24"/>
          <w:lang w:val="en-US" w:eastAsia="en-US" w:bidi="ar-SA"/>
        </w:rPr>
        <w:t>]</w:t>
      </w:r>
      <w:r>
        <w:rPr>
          <w:rFonts w:ascii="Times New Roman" w:hAnsi="Times New Roman" w:eastAsia="Times New Roman" w:cs="Times New Roman"/>
          <w:snapToGrid w:val="0"/>
          <w:color w:val="auto"/>
          <w:kern w:val="0"/>
          <w:sz w:val="24"/>
          <w:szCs w:val="24"/>
          <w:lang w:val="en-US" w:eastAsia="en-US" w:bidi="ar-SA"/>
        </w:rPr>
        <w:t xml:space="preserve"> </w:t>
      </w:r>
      <w:r>
        <w:rPr>
          <w:rFonts w:hint="eastAsia" w:eastAsia="宋体" w:cs="Times New Roman"/>
          <w:snapToGrid w:val="0"/>
          <w:color w:val="auto"/>
          <w:kern w:val="0"/>
          <w:sz w:val="24"/>
          <w:szCs w:val="24"/>
          <w:lang w:val="en-US" w:eastAsia="zh-CN" w:bidi="ar-SA"/>
        </w:rPr>
        <w:t>；</w:t>
      </w:r>
      <w:r>
        <w:rPr>
          <w:rFonts w:ascii="Times New Roman" w:hAnsi="Times New Roman" w:eastAsia="Times New Roman" w:cs="Times New Roman"/>
          <w:snapToGrid w:val="0"/>
          <w:color w:val="auto"/>
          <w:kern w:val="0"/>
          <w:sz w:val="24"/>
          <w:szCs w:val="24"/>
          <w:lang w:val="en-US" w:eastAsia="en-US" w:bidi="ar-SA"/>
        </w:rPr>
        <w:t xml:space="preserve"> </w:t>
      </w:r>
    </w:p>
    <w:p w14:paraId="46B1A047">
      <w:pPr>
        <w:keepNext w:val="0"/>
        <w:keepLines w:val="0"/>
        <w:pageBreakBefore w:val="0"/>
        <w:widowControl/>
        <w:kinsoku w:val="0"/>
        <w:wordWrap/>
        <w:overflowPunct/>
        <w:topLinePunct w:val="0"/>
        <w:autoSpaceDE w:val="0"/>
        <w:autoSpaceDN w:val="0"/>
        <w:bidi w:val="0"/>
        <w:adjustRightInd w:val="0"/>
        <w:snapToGrid w:val="0"/>
        <w:spacing w:before="0" w:line="360" w:lineRule="auto"/>
        <w:ind w:left="0" w:right="0" w:firstLine="480" w:firstLineChars="200"/>
        <w:jc w:val="both"/>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kern w:val="0"/>
          <w:sz w:val="24"/>
          <w:szCs w:val="24"/>
          <w:lang w:val="en-US" w:eastAsia="en-US" w:bidi="ar-SA"/>
        </w:rPr>
        <w:t>Y2—</w:t>
      </w:r>
      <w:r>
        <w:rPr>
          <w:rFonts w:ascii="宋体" w:hAnsi="宋体" w:eastAsia="宋体" w:cs="宋体"/>
          <w:snapToGrid w:val="0"/>
          <w:color w:val="auto"/>
          <w:kern w:val="0"/>
          <w:sz w:val="24"/>
          <w:szCs w:val="24"/>
          <w:lang w:val="en-US" w:eastAsia="en-US" w:bidi="ar-SA"/>
        </w:rPr>
        <w:t>根据年降水量（</w:t>
      </w:r>
      <w:r>
        <w:rPr>
          <w:rFonts w:ascii="Times New Roman" w:hAnsi="Times New Roman" w:eastAsia="Times New Roman" w:cs="Times New Roman"/>
          <w:snapToGrid w:val="0"/>
          <w:color w:val="auto"/>
          <w:kern w:val="0"/>
          <w:sz w:val="24"/>
          <w:szCs w:val="24"/>
          <w:lang w:val="en-US" w:eastAsia="en-US" w:bidi="ar-SA"/>
        </w:rPr>
        <w:t>p</w:t>
      </w:r>
      <w:r>
        <w:rPr>
          <w:rFonts w:ascii="宋体" w:hAnsi="宋体" w:eastAsia="宋体" w:cs="宋体"/>
          <w:snapToGrid w:val="0"/>
          <w:color w:val="auto"/>
          <w:kern w:val="0"/>
          <w:sz w:val="24"/>
          <w:szCs w:val="24"/>
          <w:lang w:val="en-US" w:eastAsia="en-US" w:bidi="ar-SA"/>
        </w:rPr>
        <w:t>）估算的水分生产力</w:t>
      </w:r>
      <w:r>
        <w:rPr>
          <w:rFonts w:ascii="Times New Roman" w:hAnsi="Times New Roman" w:eastAsia="Times New Roman" w:cs="Times New Roman"/>
          <w:snapToGrid w:val="0"/>
          <w:color w:val="auto"/>
          <w:kern w:val="0"/>
          <w:sz w:val="24"/>
          <w:szCs w:val="24"/>
          <w:lang w:val="en-US" w:eastAsia="en-US" w:bidi="ar-SA"/>
        </w:rPr>
        <w:t>[g/</w:t>
      </w:r>
      <w:r>
        <w:rPr>
          <w:rFonts w:ascii="宋体" w:hAnsi="宋体" w:eastAsia="宋体" w:cs="宋体"/>
          <w:snapToGrid w:val="0"/>
          <w:color w:val="auto"/>
          <w:kern w:val="0"/>
          <w:sz w:val="24"/>
          <w:szCs w:val="24"/>
          <w:lang w:val="en-US" w:eastAsia="en-US" w:bidi="ar-SA"/>
        </w:rPr>
        <w:t>（</w:t>
      </w:r>
      <w:r>
        <w:rPr>
          <w:rFonts w:ascii="Times New Roman" w:hAnsi="Times New Roman" w:eastAsia="Times New Roman" w:cs="Times New Roman"/>
          <w:snapToGrid w:val="0"/>
          <w:color w:val="auto"/>
          <w:kern w:val="0"/>
          <w:sz w:val="24"/>
          <w:szCs w:val="24"/>
          <w:lang w:val="en-US" w:eastAsia="en-US" w:bidi="ar-SA"/>
        </w:rPr>
        <w:t>m</w:t>
      </w:r>
      <w:r>
        <w:rPr>
          <w:rFonts w:ascii="Times New Roman" w:hAnsi="Times New Roman" w:eastAsia="Times New Roman" w:cs="Times New Roman"/>
          <w:snapToGrid w:val="0"/>
          <w:color w:val="auto"/>
          <w:kern w:val="0"/>
          <w:position w:val="8"/>
          <w:sz w:val="15"/>
          <w:szCs w:val="15"/>
          <w:lang w:val="en-US" w:eastAsia="en-US" w:bidi="ar-SA"/>
        </w:rPr>
        <w:t>2</w:t>
      </w:r>
      <w:r>
        <w:rPr>
          <w:rFonts w:ascii="Times New Roman" w:hAnsi="Times New Roman" w:eastAsia="Times New Roman" w:cs="Times New Roman"/>
          <w:snapToGrid w:val="0"/>
          <w:color w:val="auto"/>
          <w:kern w:val="0"/>
          <w:sz w:val="24"/>
          <w:szCs w:val="24"/>
          <w:lang w:val="en-US" w:eastAsia="en-US" w:bidi="ar-SA"/>
        </w:rPr>
        <w:t>·a</w:t>
      </w:r>
      <w:r>
        <w:rPr>
          <w:rFonts w:ascii="宋体" w:hAnsi="宋体" w:eastAsia="宋体" w:cs="宋体"/>
          <w:snapToGrid w:val="0"/>
          <w:color w:val="auto"/>
          <w:kern w:val="0"/>
          <w:sz w:val="24"/>
          <w:szCs w:val="24"/>
          <w:lang w:val="en-US" w:eastAsia="en-US" w:bidi="ar-SA"/>
        </w:rPr>
        <w:t>）</w:t>
      </w:r>
      <w:r>
        <w:rPr>
          <w:rFonts w:ascii="Times New Roman" w:hAnsi="Times New Roman" w:eastAsia="Times New Roman" w:cs="Times New Roman"/>
          <w:snapToGrid w:val="0"/>
          <w:color w:val="auto"/>
          <w:kern w:val="0"/>
          <w:sz w:val="24"/>
          <w:szCs w:val="24"/>
          <w:lang w:val="en-US" w:eastAsia="en-US" w:bidi="ar-SA"/>
        </w:rPr>
        <w:t>]</w:t>
      </w:r>
      <w:r>
        <w:rPr>
          <w:rFonts w:ascii="宋体" w:hAnsi="宋体" w:eastAsia="宋体" w:cs="宋体"/>
          <w:snapToGrid w:val="0"/>
          <w:color w:val="auto"/>
          <w:kern w:val="0"/>
          <w:sz w:val="24"/>
          <w:szCs w:val="24"/>
          <w:lang w:val="en-US" w:eastAsia="en-US" w:bidi="ar-SA"/>
        </w:rPr>
        <w:t>；</w:t>
      </w:r>
    </w:p>
    <w:p w14:paraId="3E0EAFE7">
      <w:pPr>
        <w:keepNext w:val="0"/>
        <w:keepLines w:val="0"/>
        <w:pageBreakBefore w:val="0"/>
        <w:widowControl w:val="0"/>
        <w:kinsoku w:val="0"/>
        <w:wordWrap/>
        <w:overflowPunct/>
        <w:topLinePunct w:val="0"/>
        <w:autoSpaceDE w:val="0"/>
        <w:autoSpaceDN w:val="0"/>
        <w:bidi w:val="0"/>
        <w:adjustRightInd w:val="0"/>
        <w:snapToGrid w:val="0"/>
        <w:spacing w:before="0" w:line="360" w:lineRule="auto"/>
        <w:ind w:left="0" w:right="0" w:firstLine="532" w:firstLineChars="200"/>
        <w:jc w:val="both"/>
        <w:textAlignment w:val="baseline"/>
        <w:rPr>
          <w:rFonts w:hint="eastAsia" w:ascii="宋体" w:hAnsi="宋体" w:eastAsia="宋体" w:cs="宋体"/>
          <w:snapToGrid w:val="0"/>
          <w:color w:val="auto"/>
          <w:spacing w:val="-3"/>
          <w:kern w:val="0"/>
          <w:sz w:val="24"/>
          <w:szCs w:val="24"/>
          <w:lang w:val="en-US" w:eastAsia="zh-CN" w:bidi="ar-SA"/>
        </w:rPr>
      </w:pPr>
      <w:r>
        <w:rPr>
          <w:rFonts w:ascii="宋体" w:hAnsi="宋体" w:eastAsia="宋体" w:cs="宋体"/>
          <w:snapToGrid w:val="0"/>
          <w:color w:val="auto"/>
          <w:spacing w:val="13"/>
          <w:kern w:val="0"/>
          <w:sz w:val="24"/>
          <w:szCs w:val="24"/>
          <w:lang w:val="en-US" w:eastAsia="en-US" w:bidi="ar-SA"/>
        </w:rPr>
        <w:t>固原市多年平均气</w:t>
      </w:r>
      <w:r>
        <w:rPr>
          <w:rFonts w:hint="default" w:ascii="Times New Roman" w:hAnsi="Times New Roman" w:eastAsia="宋体" w:cs="Times New Roman"/>
          <w:snapToGrid w:val="0"/>
          <w:color w:val="auto"/>
          <w:spacing w:val="13"/>
          <w:kern w:val="0"/>
          <w:sz w:val="24"/>
          <w:szCs w:val="24"/>
          <w:lang w:val="en-US" w:eastAsia="en-US" w:bidi="ar-SA"/>
        </w:rPr>
        <w:t>温</w:t>
      </w:r>
      <w:r>
        <w:rPr>
          <w:rFonts w:hint="default" w:ascii="Times New Roman" w:hAnsi="Times New Roman" w:eastAsia="宋体" w:cs="Times New Roman"/>
          <w:snapToGrid w:val="0"/>
          <w:color w:val="auto"/>
          <w:spacing w:val="13"/>
          <w:kern w:val="0"/>
          <w:sz w:val="24"/>
          <w:szCs w:val="24"/>
          <w:lang w:val="en-US" w:eastAsia="zh-CN" w:bidi="ar-SA"/>
        </w:rPr>
        <w:t>6.</w:t>
      </w:r>
      <w:r>
        <w:rPr>
          <w:rFonts w:hint="default" w:ascii="Times New Roman" w:hAnsi="Times New Roman" w:eastAsia="Times New Roman" w:cs="Times New Roman"/>
          <w:snapToGrid w:val="0"/>
          <w:color w:val="auto"/>
          <w:spacing w:val="13"/>
          <w:kern w:val="0"/>
          <w:sz w:val="24"/>
          <w:szCs w:val="24"/>
          <w:lang w:val="en-US" w:eastAsia="en-US" w:bidi="ar-SA"/>
        </w:rPr>
        <w:t>7</w:t>
      </w:r>
      <w:r>
        <w:rPr>
          <w:rFonts w:ascii="Times New Roman" w:hAnsi="Times New Roman" w:eastAsia="Times New Roman" w:cs="Times New Roman"/>
          <w:snapToGrid w:val="0"/>
          <w:color w:val="auto"/>
          <w:spacing w:val="13"/>
          <w:kern w:val="0"/>
          <w:sz w:val="24"/>
          <w:szCs w:val="24"/>
          <w:lang w:val="en-US" w:eastAsia="en-US" w:bidi="ar-SA"/>
        </w:rPr>
        <w:t>℃</w:t>
      </w:r>
      <w:r>
        <w:rPr>
          <w:rFonts w:ascii="宋体" w:hAnsi="宋体" w:eastAsia="宋体" w:cs="宋体"/>
          <w:snapToGrid w:val="0"/>
          <w:color w:val="auto"/>
          <w:spacing w:val="13"/>
          <w:kern w:val="0"/>
          <w:sz w:val="24"/>
          <w:szCs w:val="24"/>
          <w:lang w:val="en-US" w:eastAsia="en-US" w:bidi="ar-SA"/>
        </w:rPr>
        <w:t>,多年平均降水量</w:t>
      </w:r>
      <w:r>
        <w:rPr>
          <w:rFonts w:ascii="宋体" w:hAnsi="宋体" w:eastAsia="宋体" w:cs="宋体"/>
          <w:snapToGrid w:val="0"/>
          <w:color w:val="auto"/>
          <w:spacing w:val="-27"/>
          <w:kern w:val="0"/>
          <w:sz w:val="24"/>
          <w:szCs w:val="24"/>
          <w:lang w:val="en-US" w:eastAsia="en-US" w:bidi="ar-SA"/>
        </w:rPr>
        <w:t xml:space="preserve"> </w:t>
      </w:r>
      <w:r>
        <w:rPr>
          <w:rFonts w:ascii="Times New Roman" w:hAnsi="Times New Roman" w:eastAsia="Times New Roman" w:cs="Times New Roman"/>
          <w:snapToGrid w:val="0"/>
          <w:color w:val="auto"/>
          <w:spacing w:val="13"/>
          <w:kern w:val="0"/>
          <w:sz w:val="24"/>
          <w:szCs w:val="24"/>
          <w:lang w:val="en-US" w:eastAsia="en-US" w:bidi="ar-SA"/>
        </w:rPr>
        <w:t>4</w:t>
      </w:r>
      <w:r>
        <w:rPr>
          <w:rFonts w:hint="eastAsia" w:ascii="Times New Roman" w:hAnsi="Times New Roman" w:eastAsia="宋体" w:cs="Times New Roman"/>
          <w:snapToGrid w:val="0"/>
          <w:color w:val="auto"/>
          <w:spacing w:val="13"/>
          <w:kern w:val="0"/>
          <w:sz w:val="24"/>
          <w:szCs w:val="24"/>
          <w:lang w:val="en-US" w:eastAsia="zh-CN" w:bidi="ar-SA"/>
        </w:rPr>
        <w:t>35.6</w:t>
      </w:r>
      <w:r>
        <w:rPr>
          <w:rFonts w:ascii="Times New Roman" w:hAnsi="Times New Roman" w:eastAsia="Times New Roman" w:cs="Times New Roman"/>
          <w:snapToGrid w:val="0"/>
          <w:color w:val="auto"/>
          <w:kern w:val="0"/>
          <w:sz w:val="24"/>
          <w:szCs w:val="24"/>
          <w:lang w:val="en-US" w:eastAsia="en-US" w:bidi="ar-SA"/>
        </w:rPr>
        <w:t>mm</w:t>
      </w:r>
      <w:r>
        <w:rPr>
          <w:rFonts w:ascii="宋体" w:hAnsi="宋体" w:eastAsia="宋体" w:cs="宋体"/>
          <w:snapToGrid w:val="0"/>
          <w:color w:val="auto"/>
          <w:spacing w:val="13"/>
          <w:kern w:val="0"/>
          <w:sz w:val="24"/>
          <w:szCs w:val="24"/>
          <w:lang w:val="en-US" w:eastAsia="en-US" w:bidi="ar-SA"/>
        </w:rPr>
        <w:t>，</w:t>
      </w:r>
      <w:r>
        <w:rPr>
          <w:rFonts w:ascii="宋体" w:hAnsi="宋体" w:eastAsia="宋体" w:cs="宋体"/>
          <w:snapToGrid w:val="0"/>
          <w:color w:val="auto"/>
          <w:spacing w:val="-59"/>
          <w:kern w:val="0"/>
          <w:sz w:val="24"/>
          <w:szCs w:val="24"/>
          <w:lang w:val="en-US" w:eastAsia="en-US" w:bidi="ar-SA"/>
        </w:rPr>
        <w:t xml:space="preserve"> </w:t>
      </w:r>
      <w:r>
        <w:rPr>
          <w:rFonts w:ascii="宋体" w:hAnsi="宋体" w:eastAsia="宋体" w:cs="宋体"/>
          <w:snapToGrid w:val="0"/>
          <w:color w:val="auto"/>
          <w:spacing w:val="13"/>
          <w:kern w:val="0"/>
          <w:sz w:val="24"/>
          <w:szCs w:val="24"/>
          <w:lang w:val="en-US" w:eastAsia="en-US" w:bidi="ar-SA"/>
        </w:rPr>
        <w:t>年蒸发量</w:t>
      </w:r>
      <w:r>
        <w:rPr>
          <w:rFonts w:ascii="Times New Roman" w:hAnsi="Times New Roman" w:eastAsia="Times New Roman" w:cs="Times New Roman"/>
          <w:snapToGrid w:val="0"/>
          <w:color w:val="auto"/>
          <w:spacing w:val="-3"/>
          <w:kern w:val="0"/>
          <w:sz w:val="24"/>
          <w:szCs w:val="24"/>
          <w:lang w:val="en-US" w:eastAsia="en-US" w:bidi="ar-SA"/>
        </w:rPr>
        <w:t>1364.44mm</w:t>
      </w:r>
      <w:r>
        <w:rPr>
          <w:rFonts w:ascii="宋体" w:hAnsi="宋体" w:eastAsia="宋体" w:cs="宋体"/>
          <w:snapToGrid w:val="0"/>
          <w:color w:val="auto"/>
          <w:spacing w:val="-3"/>
          <w:kern w:val="0"/>
          <w:sz w:val="24"/>
          <w:szCs w:val="24"/>
          <w:lang w:val="en-US" w:eastAsia="en-US" w:bidi="ar-SA"/>
        </w:rPr>
        <w:t>。</w:t>
      </w:r>
      <w:r>
        <w:rPr>
          <w:rFonts w:hint="eastAsia" w:ascii="宋体" w:hAnsi="宋体" w:eastAsia="宋体" w:cs="宋体"/>
          <w:snapToGrid w:val="0"/>
          <w:color w:val="auto"/>
          <w:spacing w:val="-3"/>
          <w:kern w:val="0"/>
          <w:sz w:val="24"/>
          <w:szCs w:val="24"/>
          <w:lang w:val="en-US" w:eastAsia="zh-CN" w:bidi="ar-SA"/>
        </w:rPr>
        <w:t xml:space="preserve"> </w:t>
      </w:r>
    </w:p>
    <w:p w14:paraId="655ABAAC">
      <w:pPr>
        <w:keepNext w:val="0"/>
        <w:keepLines w:val="0"/>
        <w:pageBreakBefore w:val="0"/>
        <w:widowControl/>
        <w:kinsoku w:val="0"/>
        <w:wordWrap/>
        <w:overflowPunct/>
        <w:topLinePunct w:val="0"/>
        <w:autoSpaceDE w:val="0"/>
        <w:autoSpaceDN w:val="0"/>
        <w:bidi w:val="0"/>
        <w:adjustRightInd w:val="0"/>
        <w:snapToGrid w:val="0"/>
        <w:spacing w:before="0" w:line="360" w:lineRule="auto"/>
        <w:ind w:left="0" w:right="0" w:firstLine="48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根据固原市多年的气象资料统计，通过采用</w:t>
      </w:r>
      <w:r>
        <w:rPr>
          <w:rFonts w:ascii="宋体" w:hAnsi="宋体" w:eastAsia="宋体" w:cs="宋体"/>
          <w:snapToGrid w:val="0"/>
          <w:color w:val="auto"/>
          <w:spacing w:val="-54"/>
          <w:kern w:val="0"/>
          <w:sz w:val="24"/>
          <w:szCs w:val="24"/>
          <w:lang w:val="en-US" w:eastAsia="en-US" w:bidi="ar-SA"/>
        </w:rPr>
        <w:t xml:space="preserve"> </w:t>
      </w:r>
      <w:r>
        <w:rPr>
          <w:rFonts w:ascii="Times New Roman" w:hAnsi="Times New Roman" w:eastAsia="Times New Roman" w:cs="Times New Roman"/>
          <w:snapToGrid w:val="0"/>
          <w:color w:val="auto"/>
          <w:spacing w:val="2"/>
          <w:kern w:val="0"/>
          <w:sz w:val="24"/>
          <w:szCs w:val="24"/>
          <w:lang w:val="en-US" w:eastAsia="en-US" w:bidi="ar-SA"/>
        </w:rPr>
        <w:t>H.</w:t>
      </w:r>
      <w:r>
        <w:rPr>
          <w:rFonts w:ascii="Times New Roman" w:hAnsi="Times New Roman" w:eastAsia="Times New Roman" w:cs="Times New Roman"/>
          <w:snapToGrid w:val="0"/>
          <w:color w:val="auto"/>
          <w:kern w:val="0"/>
          <w:sz w:val="24"/>
          <w:szCs w:val="24"/>
          <w:lang w:val="en-US" w:eastAsia="en-US" w:bidi="ar-SA"/>
        </w:rPr>
        <w:t>lieth</w:t>
      </w:r>
      <w:r>
        <w:rPr>
          <w:rFonts w:ascii="宋体" w:hAnsi="宋体" w:eastAsia="宋体" w:cs="宋体"/>
          <w:snapToGrid w:val="0"/>
          <w:color w:val="auto"/>
          <w:spacing w:val="2"/>
          <w:kern w:val="0"/>
          <w:sz w:val="24"/>
          <w:szCs w:val="24"/>
          <w:lang w:val="en-US" w:eastAsia="en-US" w:bidi="ar-SA"/>
        </w:rPr>
        <w:t>生</w:t>
      </w:r>
      <w:r>
        <w:rPr>
          <w:rFonts w:ascii="宋体" w:hAnsi="宋体" w:eastAsia="宋体" w:cs="宋体"/>
          <w:snapToGrid w:val="0"/>
          <w:color w:val="auto"/>
          <w:spacing w:val="1"/>
          <w:kern w:val="0"/>
          <w:sz w:val="24"/>
          <w:szCs w:val="24"/>
          <w:lang w:val="en-US" w:eastAsia="en-US" w:bidi="ar-SA"/>
        </w:rPr>
        <w:t>物生产力经验公式计</w:t>
      </w:r>
      <w:r>
        <w:rPr>
          <w:rFonts w:ascii="宋体" w:hAnsi="宋体" w:eastAsia="宋体" w:cs="宋体"/>
          <w:snapToGrid w:val="0"/>
          <w:color w:val="auto"/>
          <w:spacing w:val="-1"/>
          <w:kern w:val="0"/>
          <w:sz w:val="24"/>
          <w:szCs w:val="24"/>
          <w:lang w:val="en-US" w:eastAsia="en-US" w:bidi="ar-SA"/>
        </w:rPr>
        <w:t>算出自然生产力的值，结果见</w:t>
      </w:r>
      <w:r>
        <w:rPr>
          <w:rFonts w:hint="eastAsia" w:ascii="宋体" w:hAnsi="宋体" w:eastAsia="宋体" w:cs="宋体"/>
          <w:snapToGrid w:val="0"/>
          <w:color w:val="auto"/>
          <w:spacing w:val="-1"/>
          <w:kern w:val="0"/>
          <w:sz w:val="24"/>
          <w:szCs w:val="24"/>
          <w:lang w:val="en-US" w:eastAsia="zh-CN" w:bidi="ar-SA"/>
        </w:rPr>
        <w:t>专题</w:t>
      </w:r>
      <w:r>
        <w:rPr>
          <w:rFonts w:ascii="宋体" w:hAnsi="宋体" w:eastAsia="宋体" w:cs="宋体"/>
          <w:snapToGrid w:val="0"/>
          <w:color w:val="auto"/>
          <w:spacing w:val="-54"/>
          <w:kern w:val="0"/>
          <w:sz w:val="24"/>
          <w:szCs w:val="24"/>
          <w:lang w:val="en-US" w:eastAsia="en-US" w:bidi="ar-SA"/>
        </w:rPr>
        <w:t xml:space="preserve"> </w:t>
      </w:r>
      <w:r>
        <w:rPr>
          <w:rFonts w:ascii="宋体" w:hAnsi="宋体" w:eastAsia="宋体" w:cs="宋体"/>
          <w:snapToGrid w:val="0"/>
          <w:color w:val="auto"/>
          <w:spacing w:val="-1"/>
          <w:kern w:val="0"/>
          <w:sz w:val="24"/>
          <w:szCs w:val="24"/>
          <w:lang w:val="en-US" w:eastAsia="en-US" w:bidi="ar-SA"/>
        </w:rPr>
        <w:t>表</w:t>
      </w:r>
      <w:r>
        <w:rPr>
          <w:rFonts w:hint="eastAsia" w:ascii="Times New Roman" w:hAnsi="Times New Roman" w:eastAsia="宋体" w:cs="Times New Roman"/>
          <w:snapToGrid w:val="0"/>
          <w:color w:val="auto"/>
          <w:spacing w:val="-1"/>
          <w:kern w:val="0"/>
          <w:sz w:val="24"/>
          <w:szCs w:val="24"/>
          <w:lang w:val="en-US" w:eastAsia="zh-CN" w:bidi="ar-SA"/>
        </w:rPr>
        <w:t>3</w:t>
      </w:r>
      <w:r>
        <w:rPr>
          <w:rFonts w:ascii="Times New Roman" w:hAnsi="Times New Roman" w:eastAsia="Times New Roman" w:cs="Times New Roman"/>
          <w:snapToGrid w:val="0"/>
          <w:color w:val="auto"/>
          <w:spacing w:val="-1"/>
          <w:kern w:val="0"/>
          <w:sz w:val="24"/>
          <w:szCs w:val="24"/>
          <w:lang w:val="en-US" w:eastAsia="en-US" w:bidi="ar-SA"/>
        </w:rPr>
        <w:t>-1</w:t>
      </w:r>
      <w:r>
        <w:rPr>
          <w:rFonts w:ascii="宋体" w:hAnsi="宋体" w:eastAsia="宋体" w:cs="宋体"/>
          <w:snapToGrid w:val="0"/>
          <w:color w:val="auto"/>
          <w:spacing w:val="-1"/>
          <w:kern w:val="0"/>
          <w:sz w:val="24"/>
          <w:szCs w:val="24"/>
          <w:lang w:val="en-US" w:eastAsia="en-US" w:bidi="ar-SA"/>
        </w:rPr>
        <w:t>。</w:t>
      </w:r>
    </w:p>
    <w:p w14:paraId="7D6CFC67">
      <w:pPr>
        <w:keepNext w:val="0"/>
        <w:keepLines w:val="0"/>
        <w:pageBreakBefore w:val="0"/>
        <w:widowControl/>
        <w:kinsoku w:val="0"/>
        <w:wordWrap/>
        <w:overflowPunct/>
        <w:topLinePunct w:val="0"/>
        <w:autoSpaceDE w:val="0"/>
        <w:autoSpaceDN w:val="0"/>
        <w:bidi w:val="0"/>
        <w:adjustRightInd w:val="0"/>
        <w:snapToGrid w:val="0"/>
        <w:spacing w:before="0" w:line="240" w:lineRule="auto"/>
        <w:jc w:val="center"/>
        <w:textAlignment w:val="baseline"/>
        <w:rPr>
          <w:rFonts w:ascii="宋体" w:hAnsi="宋体" w:eastAsia="宋体" w:cs="宋体"/>
          <w:snapToGrid w:val="0"/>
          <w:color w:val="auto"/>
          <w:kern w:val="0"/>
          <w:sz w:val="24"/>
          <w:szCs w:val="24"/>
          <w:lang w:val="en-US" w:eastAsia="en-US" w:bidi="ar-SA"/>
        </w:rPr>
      </w:pPr>
      <w:r>
        <w:rPr>
          <w:rFonts w:hint="eastAsia" w:ascii="宋体" w:hAnsi="宋体" w:eastAsia="宋体" w:cs="宋体"/>
          <w:b/>
          <w:bCs/>
          <w:snapToGrid w:val="0"/>
          <w:color w:val="auto"/>
          <w:spacing w:val="-1"/>
          <w:kern w:val="0"/>
          <w:sz w:val="24"/>
          <w:szCs w:val="24"/>
          <w:lang w:val="en-US" w:eastAsia="zh-CN" w:bidi="ar-SA"/>
        </w:rPr>
        <w:t>专题</w:t>
      </w:r>
      <w:r>
        <w:rPr>
          <w:rFonts w:ascii="宋体" w:hAnsi="宋体" w:eastAsia="宋体" w:cs="宋体"/>
          <w:b/>
          <w:bCs/>
          <w:snapToGrid w:val="0"/>
          <w:color w:val="auto"/>
          <w:spacing w:val="-1"/>
          <w:kern w:val="0"/>
          <w:sz w:val="24"/>
          <w:szCs w:val="24"/>
          <w:lang w:val="en-US" w:eastAsia="en-US" w:bidi="ar-SA"/>
        </w:rPr>
        <w:t>表</w:t>
      </w:r>
      <w:r>
        <w:rPr>
          <w:rFonts w:ascii="宋体" w:hAnsi="宋体" w:eastAsia="宋体" w:cs="宋体"/>
          <w:snapToGrid w:val="0"/>
          <w:color w:val="auto"/>
          <w:spacing w:val="-51"/>
          <w:kern w:val="0"/>
          <w:sz w:val="24"/>
          <w:szCs w:val="24"/>
          <w:lang w:val="en-US" w:eastAsia="en-US" w:bidi="ar-SA"/>
        </w:rPr>
        <w:t xml:space="preserve"> </w:t>
      </w:r>
      <w:r>
        <w:rPr>
          <w:rFonts w:hint="eastAsia" w:ascii="Times New Roman" w:hAnsi="Times New Roman" w:eastAsia="宋体" w:cs="Times New Roman"/>
          <w:b/>
          <w:bCs/>
          <w:snapToGrid w:val="0"/>
          <w:color w:val="auto"/>
          <w:spacing w:val="-1"/>
          <w:kern w:val="0"/>
          <w:sz w:val="24"/>
          <w:szCs w:val="24"/>
          <w:lang w:val="en-US" w:eastAsia="zh-CN" w:bidi="ar-SA"/>
        </w:rPr>
        <w:t>3</w:t>
      </w:r>
      <w:r>
        <w:rPr>
          <w:rFonts w:ascii="Times New Roman" w:hAnsi="Times New Roman" w:eastAsia="Times New Roman" w:cs="Times New Roman"/>
          <w:b/>
          <w:bCs/>
          <w:snapToGrid w:val="0"/>
          <w:color w:val="auto"/>
          <w:spacing w:val="-1"/>
          <w:kern w:val="0"/>
          <w:sz w:val="24"/>
          <w:szCs w:val="24"/>
          <w:lang w:val="en-US" w:eastAsia="en-US" w:bidi="ar-SA"/>
        </w:rPr>
        <w:t xml:space="preserve">-1    </w:t>
      </w:r>
      <w:r>
        <w:rPr>
          <w:rFonts w:ascii="宋体" w:hAnsi="宋体" w:eastAsia="宋体" w:cs="宋体"/>
          <w:b/>
          <w:bCs/>
          <w:snapToGrid w:val="0"/>
          <w:color w:val="auto"/>
          <w:spacing w:val="-1"/>
          <w:kern w:val="0"/>
          <w:sz w:val="24"/>
          <w:szCs w:val="24"/>
          <w:lang w:val="en-US" w:eastAsia="en-US" w:bidi="ar-SA"/>
        </w:rPr>
        <w:t>评价区土地自然生产力计算表</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41"/>
        <w:gridCol w:w="2220"/>
        <w:gridCol w:w="2447"/>
        <w:gridCol w:w="2506"/>
      </w:tblGrid>
      <w:tr w14:paraId="2FD7BD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841" w:type="dxa"/>
            <w:tcBorders>
              <w:top w:val="single" w:color="000000" w:sz="10" w:space="0"/>
              <w:left w:val="nil"/>
            </w:tcBorders>
            <w:vAlign w:val="center"/>
          </w:tcPr>
          <w:p w14:paraId="3855DB64">
            <w:pPr>
              <w:widowControl/>
              <w:kinsoku w:val="0"/>
              <w:autoSpaceDE w:val="0"/>
              <w:autoSpaceDN w:val="0"/>
              <w:adjustRightInd w:val="0"/>
              <w:snapToGrid w:val="0"/>
              <w:spacing w:before="35" w:line="209" w:lineRule="auto"/>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5"/>
                <w:kern w:val="0"/>
                <w:sz w:val="21"/>
                <w:szCs w:val="21"/>
                <w:lang w:eastAsia="en-US"/>
              </w:rPr>
              <w:t>多年平均气温</w:t>
            </w:r>
            <w:r>
              <w:rPr>
                <w:rFonts w:ascii="宋体" w:hAnsi="宋体" w:eastAsia="宋体" w:cs="宋体"/>
                <w:b/>
                <w:bCs/>
                <w:snapToGrid w:val="0"/>
                <w:color w:val="auto"/>
                <w:spacing w:val="-2"/>
                <w:kern w:val="0"/>
                <w:sz w:val="21"/>
                <w:szCs w:val="21"/>
                <w:lang w:val="en-US" w:eastAsia="en-US" w:bidi="ar-SA"/>
              </w:rPr>
              <w:t>(</w:t>
            </w:r>
            <w:r>
              <w:rPr>
                <w:rFonts w:ascii="Times New Roman" w:hAnsi="Times New Roman" w:eastAsia="Times New Roman" w:cs="Times New Roman"/>
                <w:b/>
                <w:bCs/>
                <w:snapToGrid w:val="0"/>
                <w:color w:val="auto"/>
                <w:spacing w:val="-2"/>
                <w:kern w:val="0"/>
                <w:sz w:val="21"/>
                <w:szCs w:val="21"/>
                <w:lang w:val="en-US" w:eastAsia="en-US" w:bidi="ar-SA"/>
              </w:rPr>
              <w:t>℃</w:t>
            </w:r>
            <w:r>
              <w:rPr>
                <w:rFonts w:ascii="宋体" w:hAnsi="宋体" w:eastAsia="宋体" w:cs="宋体"/>
                <w:b/>
                <w:bCs/>
                <w:snapToGrid w:val="0"/>
                <w:color w:val="auto"/>
                <w:spacing w:val="-2"/>
                <w:kern w:val="0"/>
                <w:sz w:val="21"/>
                <w:szCs w:val="21"/>
                <w:lang w:val="en-US" w:eastAsia="en-US" w:bidi="ar-SA"/>
              </w:rPr>
              <w:t>)</w:t>
            </w:r>
          </w:p>
        </w:tc>
        <w:tc>
          <w:tcPr>
            <w:tcW w:w="2220" w:type="dxa"/>
            <w:tcBorders>
              <w:top w:val="single" w:color="000000" w:sz="10" w:space="0"/>
            </w:tcBorders>
            <w:vAlign w:val="center"/>
          </w:tcPr>
          <w:p w14:paraId="3FF2A8A7">
            <w:pPr>
              <w:widowControl/>
              <w:kinsoku w:val="0"/>
              <w:autoSpaceDE w:val="0"/>
              <w:autoSpaceDN w:val="0"/>
              <w:adjustRightInd w:val="0"/>
              <w:snapToGrid w:val="0"/>
              <w:spacing w:before="35" w:line="209" w:lineRule="auto"/>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5"/>
                <w:kern w:val="0"/>
                <w:sz w:val="21"/>
                <w:szCs w:val="21"/>
                <w:lang w:eastAsia="en-US"/>
              </w:rPr>
              <w:t>多年平均降水量</w:t>
            </w:r>
            <w:r>
              <w:rPr>
                <w:rFonts w:ascii="宋体" w:hAnsi="宋体" w:eastAsia="宋体" w:cs="宋体"/>
                <w:b/>
                <w:bCs/>
                <w:snapToGrid w:val="0"/>
                <w:color w:val="auto"/>
                <w:spacing w:val="1"/>
                <w:kern w:val="0"/>
                <w:sz w:val="21"/>
                <w:szCs w:val="21"/>
                <w:lang w:val="en-US" w:eastAsia="en-US" w:bidi="ar-SA"/>
              </w:rPr>
              <w:t>（</w:t>
            </w:r>
            <w:r>
              <w:rPr>
                <w:rFonts w:ascii="Times New Roman" w:hAnsi="Times New Roman" w:eastAsia="Times New Roman" w:cs="Times New Roman"/>
                <w:b/>
                <w:bCs/>
                <w:snapToGrid w:val="0"/>
                <w:color w:val="auto"/>
                <w:kern w:val="0"/>
                <w:sz w:val="21"/>
                <w:szCs w:val="21"/>
                <w:lang w:val="en-US" w:eastAsia="en-US" w:bidi="ar-SA"/>
              </w:rPr>
              <w:t>mm</w:t>
            </w:r>
            <w:r>
              <w:rPr>
                <w:rFonts w:ascii="宋体" w:hAnsi="宋体" w:eastAsia="宋体" w:cs="宋体"/>
                <w:b/>
                <w:bCs/>
                <w:snapToGrid w:val="0"/>
                <w:color w:val="auto"/>
                <w:spacing w:val="1"/>
                <w:kern w:val="0"/>
                <w:sz w:val="21"/>
                <w:szCs w:val="21"/>
                <w:lang w:val="en-US" w:eastAsia="en-US" w:bidi="ar-SA"/>
              </w:rPr>
              <w:t>）</w:t>
            </w:r>
          </w:p>
        </w:tc>
        <w:tc>
          <w:tcPr>
            <w:tcW w:w="2447" w:type="dxa"/>
            <w:tcBorders>
              <w:top w:val="single" w:color="000000" w:sz="10" w:space="0"/>
            </w:tcBorders>
            <w:vAlign w:val="center"/>
          </w:tcPr>
          <w:p w14:paraId="3623DAE5">
            <w:pPr>
              <w:widowControl/>
              <w:kinsoku w:val="0"/>
              <w:autoSpaceDE w:val="0"/>
              <w:autoSpaceDN w:val="0"/>
              <w:adjustRightInd w:val="0"/>
              <w:snapToGrid w:val="0"/>
              <w:spacing w:before="35" w:line="209" w:lineRule="auto"/>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宋体" w:hAnsi="宋体" w:eastAsia="宋体" w:cs="宋体"/>
                <w:b/>
                <w:bCs/>
                <w:snapToGrid w:val="0"/>
                <w:color w:val="auto"/>
                <w:spacing w:val="5"/>
                <w:kern w:val="0"/>
                <w:sz w:val="21"/>
                <w:szCs w:val="21"/>
                <w:lang w:eastAsia="en-US"/>
              </w:rPr>
              <w:t>热量生产力</w:t>
            </w:r>
            <w:r>
              <w:rPr>
                <w:rFonts w:ascii="Times New Roman" w:hAnsi="Times New Roman" w:eastAsia="Times New Roman" w:cs="Times New Roman"/>
                <w:b/>
                <w:bCs/>
                <w:snapToGrid w:val="0"/>
                <w:color w:val="auto"/>
                <w:spacing w:val="-1"/>
                <w:kern w:val="0"/>
                <w:sz w:val="21"/>
                <w:szCs w:val="21"/>
                <w:lang w:val="en-US" w:eastAsia="en-US" w:bidi="ar-SA"/>
              </w:rPr>
              <w:t>[g/</w:t>
            </w:r>
            <w:r>
              <w:rPr>
                <w:rFonts w:ascii="宋体" w:hAnsi="宋体" w:eastAsia="宋体" w:cs="宋体"/>
                <w:b/>
                <w:bCs/>
                <w:snapToGrid w:val="0"/>
                <w:color w:val="auto"/>
                <w:spacing w:val="-1"/>
                <w:kern w:val="0"/>
                <w:sz w:val="21"/>
                <w:szCs w:val="21"/>
                <w:lang w:val="en-US" w:eastAsia="en-US" w:bidi="ar-SA"/>
              </w:rPr>
              <w:t>（</w:t>
            </w:r>
            <w:r>
              <w:rPr>
                <w:rFonts w:ascii="宋体" w:hAnsi="宋体" w:eastAsia="宋体" w:cs="宋体"/>
                <w:snapToGrid w:val="0"/>
                <w:color w:val="auto"/>
                <w:spacing w:val="-58"/>
                <w:kern w:val="0"/>
                <w:sz w:val="21"/>
                <w:szCs w:val="21"/>
                <w:lang w:val="en-US" w:eastAsia="en-US" w:bidi="ar-SA"/>
              </w:rPr>
              <w:t xml:space="preserve"> </w:t>
            </w:r>
            <w:r>
              <w:rPr>
                <w:rFonts w:ascii="Times New Roman" w:hAnsi="Times New Roman" w:eastAsia="Times New Roman" w:cs="Times New Roman"/>
                <w:b/>
                <w:bCs/>
                <w:snapToGrid w:val="0"/>
                <w:color w:val="auto"/>
                <w:spacing w:val="-1"/>
                <w:kern w:val="0"/>
                <w:sz w:val="21"/>
                <w:szCs w:val="21"/>
                <w:lang w:val="en-US" w:eastAsia="en-US" w:bidi="ar-SA"/>
              </w:rPr>
              <w:t>m</w:t>
            </w:r>
            <w:r>
              <w:rPr>
                <w:rFonts w:hint="eastAsia" w:eastAsia="宋体" w:cs="Times New Roman"/>
                <w:b/>
                <w:bCs/>
                <w:snapToGrid w:val="0"/>
                <w:color w:val="auto"/>
                <w:spacing w:val="-1"/>
                <w:kern w:val="0"/>
                <w:position w:val="6"/>
                <w:sz w:val="21"/>
                <w:szCs w:val="21"/>
                <w:vertAlign w:val="superscript"/>
                <w:lang w:val="en-US" w:eastAsia="zh-CN" w:bidi="ar-SA"/>
              </w:rPr>
              <w:t>2</w:t>
            </w:r>
            <w:r>
              <w:rPr>
                <w:rFonts w:ascii="Times New Roman" w:hAnsi="Times New Roman" w:eastAsia="Times New Roman" w:cs="Times New Roman"/>
                <w:b/>
                <w:bCs/>
                <w:snapToGrid w:val="0"/>
                <w:color w:val="auto"/>
                <w:spacing w:val="-1"/>
                <w:kern w:val="0"/>
                <w:sz w:val="21"/>
                <w:szCs w:val="21"/>
                <w:lang w:val="en-US" w:eastAsia="en-US" w:bidi="ar-SA"/>
              </w:rPr>
              <w:t>.a</w:t>
            </w:r>
            <w:r>
              <w:rPr>
                <w:rFonts w:ascii="宋体" w:hAnsi="宋体" w:eastAsia="宋体" w:cs="宋体"/>
                <w:b/>
                <w:bCs/>
                <w:snapToGrid w:val="0"/>
                <w:color w:val="auto"/>
                <w:spacing w:val="-1"/>
                <w:kern w:val="0"/>
                <w:sz w:val="21"/>
                <w:szCs w:val="21"/>
                <w:lang w:val="en-US" w:eastAsia="en-US" w:bidi="ar-SA"/>
              </w:rPr>
              <w:t>）</w:t>
            </w:r>
            <w:r>
              <w:rPr>
                <w:rFonts w:ascii="Times New Roman" w:hAnsi="Times New Roman" w:eastAsia="Times New Roman" w:cs="Times New Roman"/>
                <w:b/>
                <w:bCs/>
                <w:snapToGrid w:val="0"/>
                <w:color w:val="auto"/>
                <w:spacing w:val="-1"/>
                <w:kern w:val="0"/>
                <w:sz w:val="21"/>
                <w:szCs w:val="21"/>
                <w:lang w:val="en-US" w:eastAsia="en-US" w:bidi="ar-SA"/>
              </w:rPr>
              <w:t>]</w:t>
            </w:r>
          </w:p>
        </w:tc>
        <w:tc>
          <w:tcPr>
            <w:tcW w:w="2506" w:type="dxa"/>
            <w:tcBorders>
              <w:top w:val="single" w:color="000000" w:sz="10" w:space="0"/>
              <w:right w:val="nil"/>
            </w:tcBorders>
            <w:vAlign w:val="center"/>
          </w:tcPr>
          <w:p w14:paraId="449621F8">
            <w:pPr>
              <w:widowControl/>
              <w:kinsoku w:val="0"/>
              <w:autoSpaceDE w:val="0"/>
              <w:autoSpaceDN w:val="0"/>
              <w:adjustRightInd w:val="0"/>
              <w:snapToGrid w:val="0"/>
              <w:spacing w:before="35" w:line="209" w:lineRule="auto"/>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宋体" w:hAnsi="宋体" w:eastAsia="宋体" w:cs="宋体"/>
                <w:b/>
                <w:bCs/>
                <w:snapToGrid w:val="0"/>
                <w:color w:val="auto"/>
                <w:spacing w:val="6"/>
                <w:kern w:val="0"/>
                <w:sz w:val="21"/>
                <w:szCs w:val="21"/>
                <w:lang w:eastAsia="en-US"/>
              </w:rPr>
              <w:t>水分生产力</w:t>
            </w:r>
            <w:r>
              <w:rPr>
                <w:rFonts w:ascii="Times New Roman" w:hAnsi="Times New Roman" w:eastAsia="Times New Roman" w:cs="Times New Roman"/>
                <w:b/>
                <w:bCs/>
                <w:snapToGrid w:val="0"/>
                <w:color w:val="auto"/>
                <w:spacing w:val="-1"/>
                <w:kern w:val="0"/>
                <w:sz w:val="21"/>
                <w:szCs w:val="21"/>
                <w:lang w:val="en-US" w:eastAsia="en-US" w:bidi="ar-SA"/>
              </w:rPr>
              <w:t>[g/</w:t>
            </w:r>
            <w:r>
              <w:rPr>
                <w:rFonts w:ascii="宋体" w:hAnsi="宋体" w:eastAsia="宋体" w:cs="宋体"/>
                <w:b/>
                <w:bCs/>
                <w:snapToGrid w:val="0"/>
                <w:color w:val="auto"/>
                <w:spacing w:val="-1"/>
                <w:kern w:val="0"/>
                <w:sz w:val="21"/>
                <w:szCs w:val="21"/>
                <w:lang w:val="en-US" w:eastAsia="en-US" w:bidi="ar-SA"/>
              </w:rPr>
              <w:t>（</w:t>
            </w:r>
            <w:r>
              <w:rPr>
                <w:rFonts w:ascii="宋体" w:hAnsi="宋体" w:eastAsia="宋体" w:cs="宋体"/>
                <w:snapToGrid w:val="0"/>
                <w:color w:val="auto"/>
                <w:spacing w:val="-58"/>
                <w:kern w:val="0"/>
                <w:sz w:val="21"/>
                <w:szCs w:val="21"/>
                <w:lang w:val="en-US" w:eastAsia="en-US" w:bidi="ar-SA"/>
              </w:rPr>
              <w:t xml:space="preserve"> </w:t>
            </w:r>
            <w:r>
              <w:rPr>
                <w:rFonts w:ascii="Times New Roman" w:hAnsi="Times New Roman" w:eastAsia="Times New Roman" w:cs="Times New Roman"/>
                <w:b/>
                <w:bCs/>
                <w:snapToGrid w:val="0"/>
                <w:color w:val="auto"/>
                <w:spacing w:val="-1"/>
                <w:kern w:val="0"/>
                <w:sz w:val="21"/>
                <w:szCs w:val="21"/>
                <w:lang w:val="en-US" w:eastAsia="en-US" w:bidi="ar-SA"/>
              </w:rPr>
              <w:t>m</w:t>
            </w:r>
            <w:r>
              <w:rPr>
                <w:rFonts w:ascii="Times New Roman" w:hAnsi="Times New Roman" w:eastAsia="Times New Roman" w:cs="Times New Roman"/>
                <w:b/>
                <w:bCs/>
                <w:snapToGrid w:val="0"/>
                <w:color w:val="auto"/>
                <w:spacing w:val="-1"/>
                <w:kern w:val="0"/>
                <w:position w:val="6"/>
                <w:sz w:val="21"/>
                <w:szCs w:val="21"/>
                <w:vertAlign w:val="superscript"/>
                <w:lang w:val="en-US" w:eastAsia="en-US" w:bidi="ar-SA"/>
              </w:rPr>
              <w:t>2</w:t>
            </w:r>
            <w:r>
              <w:rPr>
                <w:rFonts w:ascii="Times New Roman" w:hAnsi="Times New Roman" w:eastAsia="Times New Roman" w:cs="Times New Roman"/>
                <w:b/>
                <w:bCs/>
                <w:snapToGrid w:val="0"/>
                <w:color w:val="auto"/>
                <w:spacing w:val="-1"/>
                <w:kern w:val="0"/>
                <w:sz w:val="21"/>
                <w:szCs w:val="21"/>
                <w:lang w:val="en-US" w:eastAsia="en-US" w:bidi="ar-SA"/>
              </w:rPr>
              <w:t>.a</w:t>
            </w:r>
            <w:r>
              <w:rPr>
                <w:rFonts w:ascii="宋体" w:hAnsi="宋体" w:eastAsia="宋体" w:cs="宋体"/>
                <w:b/>
                <w:bCs/>
                <w:snapToGrid w:val="0"/>
                <w:color w:val="auto"/>
                <w:spacing w:val="-1"/>
                <w:kern w:val="0"/>
                <w:sz w:val="21"/>
                <w:szCs w:val="21"/>
                <w:lang w:val="en-US" w:eastAsia="en-US" w:bidi="ar-SA"/>
              </w:rPr>
              <w:t>）</w:t>
            </w:r>
            <w:r>
              <w:rPr>
                <w:rFonts w:ascii="Times New Roman" w:hAnsi="Times New Roman" w:eastAsia="Times New Roman" w:cs="Times New Roman"/>
                <w:b/>
                <w:bCs/>
                <w:snapToGrid w:val="0"/>
                <w:color w:val="auto"/>
                <w:spacing w:val="-1"/>
                <w:kern w:val="0"/>
                <w:sz w:val="21"/>
                <w:szCs w:val="21"/>
                <w:lang w:val="en-US" w:eastAsia="en-US" w:bidi="ar-SA"/>
              </w:rPr>
              <w:t>]</w:t>
            </w:r>
          </w:p>
        </w:tc>
      </w:tr>
      <w:tr w14:paraId="3541C6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841" w:type="dxa"/>
            <w:tcBorders>
              <w:left w:val="nil"/>
              <w:bottom w:val="single" w:color="000000" w:sz="10" w:space="0"/>
            </w:tcBorders>
            <w:vAlign w:val="center"/>
          </w:tcPr>
          <w:p w14:paraId="70F53727">
            <w:pPr>
              <w:kinsoku w:val="0"/>
              <w:autoSpaceDE w:val="0"/>
              <w:autoSpaceDN w:val="0"/>
              <w:adjustRightInd w:val="0"/>
              <w:snapToGrid w:val="0"/>
              <w:spacing w:before="106" w:line="192" w:lineRule="auto"/>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6.</w:t>
            </w:r>
            <w:r>
              <w:rPr>
                <w:rFonts w:ascii="Times New Roman" w:hAnsi="Times New Roman" w:eastAsia="Times New Roman" w:cs="Times New Roman"/>
                <w:snapToGrid w:val="0"/>
                <w:color w:val="auto"/>
                <w:kern w:val="0"/>
                <w:sz w:val="21"/>
                <w:szCs w:val="21"/>
                <w:lang w:val="en-US" w:eastAsia="en-US" w:bidi="ar-SA"/>
              </w:rPr>
              <w:t>7</w:t>
            </w:r>
          </w:p>
        </w:tc>
        <w:tc>
          <w:tcPr>
            <w:tcW w:w="2220" w:type="dxa"/>
            <w:tcBorders>
              <w:bottom w:val="single" w:color="000000" w:sz="10" w:space="0"/>
            </w:tcBorders>
            <w:vAlign w:val="center"/>
          </w:tcPr>
          <w:p w14:paraId="45034A80">
            <w:pPr>
              <w:kinsoku w:val="0"/>
              <w:autoSpaceDE w:val="0"/>
              <w:autoSpaceDN w:val="0"/>
              <w:adjustRightInd w:val="0"/>
              <w:snapToGrid w:val="0"/>
              <w:spacing w:before="103" w:line="195"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ascii="Times New Roman" w:hAnsi="Times New Roman" w:eastAsia="Times New Roman" w:cs="Times New Roman"/>
                <w:snapToGrid w:val="0"/>
                <w:color w:val="auto"/>
                <w:spacing w:val="4"/>
                <w:kern w:val="0"/>
                <w:sz w:val="21"/>
                <w:szCs w:val="21"/>
                <w:lang w:val="en-US" w:eastAsia="en-US" w:bidi="ar-SA"/>
              </w:rPr>
              <w:t>4</w:t>
            </w:r>
            <w:r>
              <w:rPr>
                <w:rFonts w:hint="eastAsia" w:ascii="Times New Roman" w:hAnsi="Times New Roman" w:eastAsia="宋体" w:cs="Times New Roman"/>
                <w:snapToGrid w:val="0"/>
                <w:color w:val="auto"/>
                <w:spacing w:val="4"/>
                <w:kern w:val="0"/>
                <w:sz w:val="21"/>
                <w:szCs w:val="21"/>
                <w:lang w:val="en-US" w:eastAsia="zh-CN" w:bidi="ar-SA"/>
              </w:rPr>
              <w:t>35.6</w:t>
            </w:r>
          </w:p>
        </w:tc>
        <w:tc>
          <w:tcPr>
            <w:tcW w:w="2447" w:type="dxa"/>
            <w:tcBorders>
              <w:bottom w:val="single" w:color="000000" w:sz="10" w:space="0"/>
            </w:tcBorders>
            <w:vAlign w:val="center"/>
          </w:tcPr>
          <w:p w14:paraId="4189AF93">
            <w:pPr>
              <w:kinsoku w:val="0"/>
              <w:autoSpaceDE w:val="0"/>
              <w:autoSpaceDN w:val="0"/>
              <w:adjustRightInd w:val="0"/>
              <w:snapToGrid w:val="0"/>
              <w:spacing w:before="103" w:line="195" w:lineRule="auto"/>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kern w:val="0"/>
                <w:sz w:val="21"/>
                <w:szCs w:val="21"/>
                <w:lang w:val="en-US" w:eastAsia="en-US" w:bidi="ar-SA"/>
              </w:rPr>
              <w:t>1</w:t>
            </w:r>
            <w:r>
              <w:rPr>
                <w:rFonts w:hint="eastAsia" w:ascii="Times New Roman" w:hAnsi="Times New Roman" w:eastAsia="宋体" w:cs="Times New Roman"/>
                <w:snapToGrid w:val="0"/>
                <w:color w:val="auto"/>
                <w:kern w:val="0"/>
                <w:sz w:val="21"/>
                <w:szCs w:val="21"/>
                <w:lang w:val="en-US" w:eastAsia="zh-CN" w:bidi="ar-SA"/>
              </w:rPr>
              <w:t>013</w:t>
            </w:r>
            <w:r>
              <w:rPr>
                <w:rFonts w:ascii="Times New Roman" w:hAnsi="Times New Roman" w:eastAsia="Times New Roman" w:cs="Times New Roman"/>
                <w:snapToGrid w:val="0"/>
                <w:color w:val="auto"/>
                <w:kern w:val="0"/>
                <w:sz w:val="21"/>
                <w:szCs w:val="21"/>
                <w:lang w:val="en-US" w:eastAsia="en-US" w:bidi="ar-SA"/>
              </w:rPr>
              <w:t>.</w:t>
            </w:r>
            <w:r>
              <w:rPr>
                <w:rFonts w:hint="eastAsia" w:ascii="Times New Roman" w:hAnsi="Times New Roman" w:eastAsia="宋体" w:cs="Times New Roman"/>
                <w:snapToGrid w:val="0"/>
                <w:color w:val="auto"/>
                <w:kern w:val="0"/>
                <w:sz w:val="21"/>
                <w:szCs w:val="21"/>
                <w:lang w:val="en-US" w:eastAsia="zh-CN" w:bidi="ar-SA"/>
              </w:rPr>
              <w:t>5</w:t>
            </w:r>
            <w:r>
              <w:rPr>
                <w:rFonts w:ascii="Times New Roman" w:hAnsi="Times New Roman" w:eastAsia="Times New Roman" w:cs="Times New Roman"/>
                <w:snapToGrid w:val="0"/>
                <w:color w:val="auto"/>
                <w:kern w:val="0"/>
                <w:sz w:val="21"/>
                <w:szCs w:val="21"/>
                <w:lang w:val="en-US" w:eastAsia="en-US" w:bidi="ar-SA"/>
              </w:rPr>
              <w:t>1</w:t>
            </w:r>
          </w:p>
        </w:tc>
        <w:tc>
          <w:tcPr>
            <w:tcW w:w="2506" w:type="dxa"/>
            <w:tcBorders>
              <w:bottom w:val="single" w:color="000000" w:sz="10" w:space="0"/>
              <w:right w:val="nil"/>
            </w:tcBorders>
            <w:vAlign w:val="center"/>
          </w:tcPr>
          <w:p w14:paraId="5E108CD6">
            <w:pPr>
              <w:kinsoku w:val="0"/>
              <w:autoSpaceDE w:val="0"/>
              <w:autoSpaceDN w:val="0"/>
              <w:adjustRightInd w:val="0"/>
              <w:snapToGrid w:val="0"/>
              <w:spacing w:before="103" w:line="195"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1"/>
                <w:kern w:val="0"/>
                <w:sz w:val="21"/>
                <w:szCs w:val="21"/>
                <w:lang w:val="en-US" w:eastAsia="zh-CN" w:bidi="ar-SA"/>
              </w:rPr>
              <w:t>636</w:t>
            </w:r>
            <w:r>
              <w:rPr>
                <w:rFonts w:ascii="Times New Roman" w:hAnsi="Times New Roman" w:eastAsia="Times New Roman" w:cs="Times New Roman"/>
                <w:snapToGrid w:val="0"/>
                <w:color w:val="auto"/>
                <w:spacing w:val="1"/>
                <w:kern w:val="0"/>
                <w:sz w:val="21"/>
                <w:szCs w:val="21"/>
                <w:lang w:val="en-US" w:eastAsia="en-US" w:bidi="ar-SA"/>
              </w:rPr>
              <w:t>.</w:t>
            </w:r>
            <w:r>
              <w:rPr>
                <w:rFonts w:hint="eastAsia" w:ascii="Times New Roman" w:hAnsi="Times New Roman" w:eastAsia="宋体" w:cs="Times New Roman"/>
                <w:snapToGrid w:val="0"/>
                <w:color w:val="auto"/>
                <w:spacing w:val="1"/>
                <w:kern w:val="0"/>
                <w:sz w:val="21"/>
                <w:szCs w:val="21"/>
                <w:lang w:val="en-US" w:eastAsia="zh-CN" w:bidi="ar-SA"/>
              </w:rPr>
              <w:t>20</w:t>
            </w:r>
          </w:p>
        </w:tc>
      </w:tr>
    </w:tbl>
    <w:p w14:paraId="52E86926">
      <w:pPr>
        <w:keepNext w:val="0"/>
        <w:keepLines w:val="0"/>
        <w:pageBreakBefore w:val="0"/>
        <w:widowControl w:val="0"/>
        <w:kinsoku w:val="0"/>
        <w:wordWrap/>
        <w:overflowPunct/>
        <w:topLinePunct w:val="0"/>
        <w:autoSpaceDE w:val="0"/>
        <w:autoSpaceDN w:val="0"/>
        <w:bidi w:val="0"/>
        <w:adjustRightInd w:val="0"/>
        <w:snapToGrid w:val="0"/>
        <w:spacing w:before="0" w:beforeLines="50" w:line="360" w:lineRule="auto"/>
        <w:ind w:left="0" w:right="0" w:firstLine="488" w:firstLineChars="200"/>
        <w:jc w:val="both"/>
        <w:textAlignment w:val="baseline"/>
        <w:rPr>
          <w:rFonts w:hint="default" w:ascii="Times New Roman" w:hAnsi="Times New Roman" w:eastAsia="宋体" w:cs="Times New Roman"/>
          <w:snapToGrid w:val="0"/>
          <w:color w:val="auto"/>
          <w:spacing w:val="2"/>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由</w:t>
      </w:r>
      <w:r>
        <w:rPr>
          <w:rFonts w:hint="default" w:ascii="Times New Roman" w:hAnsi="Times New Roman" w:eastAsia="宋体" w:cs="Times New Roman"/>
          <w:snapToGrid w:val="0"/>
          <w:color w:val="auto"/>
          <w:spacing w:val="2"/>
          <w:kern w:val="0"/>
          <w:sz w:val="24"/>
          <w:szCs w:val="24"/>
          <w:lang w:val="en-US" w:eastAsia="zh-CN" w:bidi="ar-SA"/>
        </w:rPr>
        <w:t>专题</w:t>
      </w:r>
      <w:r>
        <w:rPr>
          <w:rFonts w:hint="default" w:ascii="Times New Roman" w:hAnsi="Times New Roman" w:eastAsia="宋体" w:cs="Times New Roman"/>
          <w:snapToGrid w:val="0"/>
          <w:color w:val="auto"/>
          <w:spacing w:val="2"/>
          <w:kern w:val="0"/>
          <w:sz w:val="24"/>
          <w:szCs w:val="24"/>
          <w:lang w:val="en-US" w:eastAsia="en-US" w:bidi="ar-SA"/>
        </w:rPr>
        <w:t xml:space="preserve">表 </w:t>
      </w:r>
      <w:r>
        <w:rPr>
          <w:rFonts w:hint="default" w:ascii="Times New Roman" w:hAnsi="Times New Roman" w:eastAsia="宋体" w:cs="Times New Roman"/>
          <w:snapToGrid w:val="0"/>
          <w:color w:val="auto"/>
          <w:spacing w:val="2"/>
          <w:kern w:val="0"/>
          <w:sz w:val="24"/>
          <w:szCs w:val="24"/>
          <w:lang w:val="en-US" w:eastAsia="zh-CN" w:bidi="ar-SA"/>
        </w:rPr>
        <w:t>3</w:t>
      </w:r>
      <w:r>
        <w:rPr>
          <w:rFonts w:hint="default" w:ascii="Times New Roman" w:hAnsi="Times New Roman" w:eastAsia="宋体" w:cs="Times New Roman"/>
          <w:snapToGrid w:val="0"/>
          <w:color w:val="auto"/>
          <w:spacing w:val="2"/>
          <w:kern w:val="0"/>
          <w:sz w:val="24"/>
          <w:szCs w:val="24"/>
          <w:lang w:val="en-US" w:eastAsia="en-US" w:bidi="ar-SA"/>
        </w:rPr>
        <w:t>-</w:t>
      </w:r>
      <w:r>
        <w:rPr>
          <w:rFonts w:hint="default" w:ascii="Times New Roman" w:hAnsi="Times New Roman" w:eastAsia="宋体" w:cs="Times New Roman"/>
          <w:snapToGrid w:val="0"/>
          <w:color w:val="auto"/>
          <w:spacing w:val="2"/>
          <w:kern w:val="0"/>
          <w:sz w:val="24"/>
          <w:szCs w:val="24"/>
          <w:lang w:val="en-US" w:eastAsia="zh-CN" w:bidi="ar-SA"/>
        </w:rPr>
        <w:t>1</w:t>
      </w:r>
      <w:r>
        <w:rPr>
          <w:rFonts w:hint="default" w:ascii="Times New Roman" w:hAnsi="Times New Roman" w:eastAsia="宋体" w:cs="Times New Roman"/>
          <w:snapToGrid w:val="0"/>
          <w:color w:val="auto"/>
          <w:spacing w:val="2"/>
          <w:kern w:val="0"/>
          <w:sz w:val="24"/>
          <w:szCs w:val="24"/>
          <w:lang w:val="en-US" w:eastAsia="en-US" w:bidi="ar-SA"/>
        </w:rPr>
        <w:t xml:space="preserve">可见，根据多年平均气温和平均降水量计算的评价区内热量生产力和水分生产力分别为 </w:t>
      </w:r>
      <w:r>
        <w:rPr>
          <w:rFonts w:hint="default" w:ascii="Times New Roman" w:hAnsi="Times New Roman" w:eastAsia="宋体" w:cs="Times New Roman"/>
          <w:snapToGrid w:val="0"/>
          <w:color w:val="auto"/>
          <w:spacing w:val="2"/>
          <w:kern w:val="0"/>
          <w:sz w:val="24"/>
          <w:szCs w:val="24"/>
          <w:lang w:val="en-US" w:eastAsia="zh-CN" w:bidi="ar-SA"/>
        </w:rPr>
        <w:t>1013.51</w:t>
      </w:r>
      <w:r>
        <w:rPr>
          <w:rFonts w:hint="default" w:ascii="Times New Roman" w:hAnsi="Times New Roman" w:eastAsia="宋体" w:cs="Times New Roman"/>
          <w:snapToGrid w:val="0"/>
          <w:color w:val="auto"/>
          <w:spacing w:val="2"/>
          <w:kern w:val="0"/>
          <w:sz w:val="24"/>
          <w:szCs w:val="24"/>
          <w:lang w:val="en-US" w:eastAsia="en-US" w:bidi="ar-SA"/>
        </w:rPr>
        <w:t>1g/（m</w:t>
      </w:r>
      <w:r>
        <w:rPr>
          <w:rFonts w:hint="default" w:ascii="Times New Roman" w:hAnsi="Times New Roman" w:eastAsia="宋体" w:cs="Times New Roman"/>
          <w:snapToGrid w:val="0"/>
          <w:color w:val="auto"/>
          <w:spacing w:val="2"/>
          <w:kern w:val="0"/>
          <w:sz w:val="24"/>
          <w:szCs w:val="24"/>
          <w:vertAlign w:val="superscript"/>
          <w:lang w:val="en-US" w:eastAsia="en-US" w:bidi="ar-SA"/>
        </w:rPr>
        <w:t>2</w:t>
      </w:r>
      <w:r>
        <w:rPr>
          <w:rFonts w:hint="default" w:ascii="Times New Roman" w:hAnsi="Times New Roman" w:eastAsia="宋体" w:cs="Times New Roman"/>
          <w:snapToGrid w:val="0"/>
          <w:color w:val="auto"/>
          <w:spacing w:val="2"/>
          <w:kern w:val="0"/>
          <w:sz w:val="24"/>
          <w:szCs w:val="24"/>
          <w:lang w:val="en-US" w:eastAsia="en-US" w:bidi="ar-SA"/>
        </w:rPr>
        <w:t xml:space="preserve">.a）和 </w:t>
      </w:r>
      <w:r>
        <w:rPr>
          <w:rFonts w:hint="default" w:ascii="Times New Roman" w:hAnsi="Times New Roman" w:eastAsia="宋体" w:cs="Times New Roman"/>
          <w:snapToGrid w:val="0"/>
          <w:color w:val="auto"/>
          <w:spacing w:val="2"/>
          <w:kern w:val="0"/>
          <w:sz w:val="24"/>
          <w:szCs w:val="24"/>
          <w:lang w:val="en-US" w:eastAsia="zh-CN" w:bidi="ar-SA"/>
        </w:rPr>
        <w:t>636.20</w:t>
      </w:r>
      <w:r>
        <w:rPr>
          <w:rFonts w:hint="default" w:ascii="Times New Roman" w:hAnsi="Times New Roman" w:eastAsia="宋体" w:cs="Times New Roman"/>
          <w:snapToGrid w:val="0"/>
          <w:color w:val="auto"/>
          <w:spacing w:val="2"/>
          <w:kern w:val="0"/>
          <w:sz w:val="24"/>
          <w:szCs w:val="24"/>
          <w:lang w:val="en-US" w:eastAsia="en-US" w:bidi="ar-SA"/>
        </w:rPr>
        <w:t>1g/（m</w:t>
      </w:r>
      <w:r>
        <w:rPr>
          <w:rFonts w:hint="default" w:ascii="Times New Roman" w:hAnsi="Times New Roman" w:eastAsia="宋体" w:cs="Times New Roman"/>
          <w:snapToGrid w:val="0"/>
          <w:color w:val="auto"/>
          <w:spacing w:val="2"/>
          <w:kern w:val="0"/>
          <w:sz w:val="24"/>
          <w:szCs w:val="24"/>
          <w:vertAlign w:val="superscript"/>
          <w:lang w:val="en-US" w:eastAsia="en-US" w:bidi="ar-SA"/>
        </w:rPr>
        <w:t>2</w:t>
      </w:r>
      <w:r>
        <w:rPr>
          <w:rFonts w:hint="default" w:ascii="Times New Roman" w:hAnsi="Times New Roman" w:eastAsia="宋体" w:cs="Times New Roman"/>
          <w:snapToGrid w:val="0"/>
          <w:color w:val="auto"/>
          <w:spacing w:val="2"/>
          <w:kern w:val="0"/>
          <w:sz w:val="24"/>
          <w:szCs w:val="24"/>
          <w:lang w:val="en-US" w:eastAsia="en-US" w:bidi="ar-SA"/>
        </w:rPr>
        <w:t>.a）。当地降雨量低，热量生产力大于水分生产力水平，水分条件较差，生产力较低。</w:t>
      </w:r>
    </w:p>
    <w:p w14:paraId="3AA5F9DE">
      <w:pPr>
        <w:keepNext w:val="0"/>
        <w:keepLines w:val="0"/>
        <w:pageBreakBefore w:val="0"/>
        <w:widowControl/>
        <w:kinsoku w:val="0"/>
        <w:wordWrap/>
        <w:overflowPunct/>
        <w:topLinePunct w:val="0"/>
        <w:autoSpaceDE w:val="0"/>
        <w:autoSpaceDN w:val="0"/>
        <w:bidi w:val="0"/>
        <w:adjustRightInd w:val="0"/>
        <w:snapToGrid w:val="0"/>
        <w:spacing w:before="0" w:line="360" w:lineRule="auto"/>
        <w:ind w:left="0" w:right="0" w:firstLine="488" w:firstLineChars="200"/>
        <w:jc w:val="both"/>
        <w:textAlignment w:val="baseline"/>
        <w:rPr>
          <w:rFonts w:hint="default" w:ascii="Times New Roman" w:hAnsi="Times New Roman" w:eastAsia="宋体" w:cs="Times New Roman"/>
          <w:snapToGrid w:val="0"/>
          <w:color w:val="auto"/>
          <w:spacing w:val="2"/>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固原地处黄土高原温暖半干旱气候区，是典型的大陆性季风气候，在区域内受地形地貌影响，气温变化差异大，尤其是在高海拔的山顶和低海拔的山脚常常受温度的影响，植被的分布、生长、演替及其组成与结构差异明显。由于降水量低，植被种类较为单一，组成结构差异不明显，分布稀疏。</w:t>
      </w:r>
    </w:p>
    <w:p w14:paraId="6B49AE6A">
      <w:pPr>
        <w:keepNext w:val="0"/>
        <w:keepLines w:val="0"/>
        <w:pageBreakBefore w:val="0"/>
        <w:widowControl/>
        <w:kinsoku w:val="0"/>
        <w:wordWrap/>
        <w:overflowPunct/>
        <w:topLinePunct w:val="0"/>
        <w:autoSpaceDE w:val="0"/>
        <w:autoSpaceDN w:val="0"/>
        <w:bidi w:val="0"/>
        <w:adjustRightInd w:val="0"/>
        <w:snapToGrid w:val="0"/>
        <w:spacing w:before="0" w:line="360" w:lineRule="auto"/>
        <w:ind w:left="0" w:right="0" w:firstLine="490" w:firstLineChars="200"/>
        <w:jc w:val="both"/>
        <w:textAlignment w:val="baseline"/>
        <w:rPr>
          <w:rFonts w:hint="default" w:ascii="Times New Roman" w:hAnsi="Times New Roman" w:eastAsia="宋体" w:cs="Times New Roman"/>
          <w:b/>
          <w:bCs/>
          <w:snapToGrid w:val="0"/>
          <w:color w:val="auto"/>
          <w:spacing w:val="2"/>
          <w:kern w:val="0"/>
          <w:sz w:val="24"/>
          <w:szCs w:val="24"/>
          <w:vertAlign w:val="baseline"/>
          <w:lang w:val="en-US" w:eastAsia="en-US" w:bidi="ar-SA"/>
        </w:rPr>
      </w:pPr>
      <w:r>
        <w:rPr>
          <w:rFonts w:hint="default" w:ascii="Times New Roman" w:hAnsi="Times New Roman" w:eastAsia="宋体" w:cs="Times New Roman"/>
          <w:b/>
          <w:bCs/>
          <w:snapToGrid w:val="0"/>
          <w:color w:val="auto"/>
          <w:spacing w:val="2"/>
          <w:kern w:val="0"/>
          <w:sz w:val="24"/>
          <w:szCs w:val="24"/>
          <w:vertAlign w:val="baseline"/>
          <w:lang w:val="en-US" w:eastAsia="en-US" w:bidi="ar-SA"/>
        </w:rPr>
        <w:t>⑵评价区植被净第一生产力</w:t>
      </w:r>
    </w:p>
    <w:p w14:paraId="1EBE66D4">
      <w:pPr>
        <w:keepNext w:val="0"/>
        <w:keepLines w:val="0"/>
        <w:pageBreakBefore w:val="0"/>
        <w:widowControl/>
        <w:kinsoku w:val="0"/>
        <w:wordWrap/>
        <w:overflowPunct/>
        <w:topLinePunct w:val="0"/>
        <w:autoSpaceDE w:val="0"/>
        <w:autoSpaceDN w:val="0"/>
        <w:bidi w:val="0"/>
        <w:adjustRightInd w:val="0"/>
        <w:snapToGrid w:val="0"/>
        <w:spacing w:before="0" w:line="360" w:lineRule="auto"/>
        <w:ind w:left="0" w:right="0" w:firstLine="488" w:firstLineChars="200"/>
        <w:jc w:val="both"/>
        <w:textAlignment w:val="baseline"/>
        <w:rPr>
          <w:rFonts w:hint="default" w:ascii="Times New Roman" w:hAnsi="Times New Roman" w:eastAsia="宋体" w:cs="Times New Roman"/>
          <w:snapToGrid w:val="0"/>
          <w:color w:val="auto"/>
          <w:spacing w:val="2"/>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 xml:space="preserve">图 </w:t>
      </w:r>
      <w:r>
        <w:rPr>
          <w:rFonts w:hint="default" w:ascii="Times New Roman" w:hAnsi="Times New Roman" w:eastAsia="宋体" w:cs="Times New Roman"/>
          <w:snapToGrid w:val="0"/>
          <w:color w:val="auto"/>
          <w:spacing w:val="2"/>
          <w:kern w:val="0"/>
          <w:sz w:val="24"/>
          <w:szCs w:val="24"/>
          <w:lang w:val="en-US" w:eastAsia="zh-CN" w:bidi="ar-SA"/>
        </w:rPr>
        <w:t>3</w:t>
      </w:r>
      <w:r>
        <w:rPr>
          <w:rFonts w:hint="default" w:ascii="Times New Roman" w:hAnsi="Times New Roman" w:eastAsia="宋体" w:cs="Times New Roman"/>
          <w:snapToGrid w:val="0"/>
          <w:color w:val="auto"/>
          <w:spacing w:val="2"/>
          <w:kern w:val="0"/>
          <w:sz w:val="24"/>
          <w:szCs w:val="24"/>
          <w:lang w:val="en-US" w:eastAsia="en-US" w:bidi="ar-SA"/>
        </w:rPr>
        <w:t>-1为赵东升等利用遥感反演的中国自然植被净初级生产力全国分布状况，从图中看出评价区的植被净初级生产力在 400~500g/m</w:t>
      </w:r>
      <w:r>
        <w:rPr>
          <w:rFonts w:hint="default" w:ascii="Times New Roman" w:hAnsi="Times New Roman" w:eastAsia="宋体" w:cs="Times New Roman"/>
          <w:snapToGrid w:val="0"/>
          <w:color w:val="auto"/>
          <w:spacing w:val="2"/>
          <w:kern w:val="0"/>
          <w:sz w:val="24"/>
          <w:szCs w:val="24"/>
          <w:vertAlign w:val="superscript"/>
          <w:lang w:val="en-US" w:eastAsia="en-US" w:bidi="ar-SA"/>
        </w:rPr>
        <w:t>2</w:t>
      </w:r>
      <w:r>
        <w:rPr>
          <w:rFonts w:hint="default" w:ascii="Times New Roman" w:hAnsi="Times New Roman" w:eastAsia="宋体" w:cs="Times New Roman"/>
          <w:snapToGrid w:val="0"/>
          <w:color w:val="auto"/>
          <w:spacing w:val="2"/>
          <w:kern w:val="0"/>
          <w:sz w:val="24"/>
          <w:szCs w:val="24"/>
          <w:lang w:val="en-US" w:eastAsia="en-US" w:bidi="ar-SA"/>
        </w:rPr>
        <w:t>·a，根据赵东升等的研究结果，评价区的理论生产力低于自然植被净初级生产力。评价区植被净第一生产力见</w:t>
      </w:r>
      <w:r>
        <w:rPr>
          <w:rFonts w:hint="default" w:ascii="Times New Roman" w:hAnsi="Times New Roman" w:eastAsia="宋体" w:cs="Times New Roman"/>
          <w:snapToGrid w:val="0"/>
          <w:color w:val="auto"/>
          <w:spacing w:val="2"/>
          <w:kern w:val="0"/>
          <w:sz w:val="24"/>
          <w:szCs w:val="24"/>
          <w:lang w:val="en-US" w:eastAsia="zh-CN" w:bidi="ar-SA"/>
        </w:rPr>
        <w:t>专题</w:t>
      </w:r>
      <w:r>
        <w:rPr>
          <w:rFonts w:hint="default" w:ascii="Times New Roman" w:hAnsi="Times New Roman" w:eastAsia="宋体" w:cs="Times New Roman"/>
          <w:snapToGrid w:val="0"/>
          <w:color w:val="auto"/>
          <w:spacing w:val="2"/>
          <w:kern w:val="0"/>
          <w:sz w:val="24"/>
          <w:szCs w:val="24"/>
          <w:lang w:val="en-US" w:eastAsia="en-US" w:bidi="ar-SA"/>
        </w:rPr>
        <w:t>表</w:t>
      </w:r>
      <w:r>
        <w:rPr>
          <w:rFonts w:hint="default" w:ascii="Times New Roman" w:hAnsi="Times New Roman" w:eastAsia="宋体" w:cs="Times New Roman"/>
          <w:snapToGrid w:val="0"/>
          <w:color w:val="auto"/>
          <w:spacing w:val="2"/>
          <w:kern w:val="0"/>
          <w:sz w:val="24"/>
          <w:szCs w:val="24"/>
          <w:lang w:val="en-US" w:eastAsia="zh-CN" w:bidi="ar-SA"/>
        </w:rPr>
        <w:t>3</w:t>
      </w:r>
      <w:r>
        <w:rPr>
          <w:rFonts w:hint="default" w:ascii="Times New Roman" w:hAnsi="Times New Roman" w:eastAsia="宋体" w:cs="Times New Roman"/>
          <w:snapToGrid w:val="0"/>
          <w:color w:val="auto"/>
          <w:spacing w:val="2"/>
          <w:kern w:val="0"/>
          <w:sz w:val="24"/>
          <w:szCs w:val="24"/>
          <w:lang w:val="en-US" w:eastAsia="en-US" w:bidi="ar-SA"/>
        </w:rPr>
        <w:t>-2。</w:t>
      </w:r>
    </w:p>
    <w:p w14:paraId="30A6E7C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ascii="宋体" w:hAnsi="宋体" w:eastAsia="宋体" w:cs="宋体"/>
          <w:snapToGrid w:val="0"/>
          <w:color w:val="auto"/>
          <w:kern w:val="0"/>
          <w:sz w:val="24"/>
          <w:szCs w:val="24"/>
          <w:lang w:val="en-US" w:eastAsia="en-US" w:bidi="ar-SA"/>
        </w:rPr>
      </w:pPr>
      <w:r>
        <w:rPr>
          <w:rFonts w:hint="eastAsia" w:ascii="宋体" w:hAnsi="宋体" w:eastAsia="宋体" w:cs="宋体"/>
          <w:b/>
          <w:bCs/>
          <w:snapToGrid w:val="0"/>
          <w:color w:val="auto"/>
          <w:spacing w:val="-1"/>
          <w:kern w:val="0"/>
          <w:sz w:val="24"/>
          <w:szCs w:val="24"/>
          <w:lang w:val="en-US" w:eastAsia="zh-CN" w:bidi="ar-SA"/>
        </w:rPr>
        <w:t>专题</w:t>
      </w:r>
      <w:r>
        <w:rPr>
          <w:rFonts w:ascii="宋体" w:hAnsi="宋体" w:eastAsia="宋体" w:cs="宋体"/>
          <w:b/>
          <w:bCs/>
          <w:snapToGrid w:val="0"/>
          <w:color w:val="auto"/>
          <w:spacing w:val="-1"/>
          <w:kern w:val="0"/>
          <w:sz w:val="24"/>
          <w:szCs w:val="24"/>
          <w:lang w:val="en-US" w:eastAsia="en-US" w:bidi="ar-SA"/>
        </w:rPr>
        <w:t>表</w:t>
      </w:r>
      <w:r>
        <w:rPr>
          <w:rFonts w:ascii="宋体" w:hAnsi="宋体" w:eastAsia="宋体" w:cs="宋体"/>
          <w:snapToGrid w:val="0"/>
          <w:color w:val="auto"/>
          <w:spacing w:val="-45"/>
          <w:kern w:val="0"/>
          <w:sz w:val="24"/>
          <w:szCs w:val="24"/>
          <w:lang w:val="en-US" w:eastAsia="en-US" w:bidi="ar-SA"/>
        </w:rPr>
        <w:t xml:space="preserve"> </w:t>
      </w:r>
      <w:r>
        <w:rPr>
          <w:rFonts w:hint="eastAsia" w:ascii="Times New Roman" w:hAnsi="Times New Roman" w:eastAsia="宋体" w:cs="Times New Roman"/>
          <w:b/>
          <w:bCs/>
          <w:snapToGrid w:val="0"/>
          <w:color w:val="auto"/>
          <w:spacing w:val="-1"/>
          <w:kern w:val="0"/>
          <w:sz w:val="24"/>
          <w:szCs w:val="24"/>
          <w:lang w:val="en-US" w:eastAsia="zh-CN" w:bidi="ar-SA"/>
        </w:rPr>
        <w:t>3</w:t>
      </w:r>
      <w:r>
        <w:rPr>
          <w:rFonts w:ascii="Times New Roman" w:hAnsi="Times New Roman" w:eastAsia="Times New Roman" w:cs="Times New Roman"/>
          <w:b/>
          <w:bCs/>
          <w:snapToGrid w:val="0"/>
          <w:color w:val="auto"/>
          <w:spacing w:val="-1"/>
          <w:kern w:val="0"/>
          <w:sz w:val="24"/>
          <w:szCs w:val="24"/>
          <w:lang w:val="en-US" w:eastAsia="en-US" w:bidi="ar-SA"/>
        </w:rPr>
        <w:t xml:space="preserve">-2    </w:t>
      </w:r>
      <w:r>
        <w:rPr>
          <w:rFonts w:ascii="宋体" w:hAnsi="宋体" w:eastAsia="宋体" w:cs="宋体"/>
          <w:b/>
          <w:bCs/>
          <w:snapToGrid w:val="0"/>
          <w:color w:val="auto"/>
          <w:spacing w:val="-1"/>
          <w:kern w:val="0"/>
          <w:sz w:val="24"/>
          <w:szCs w:val="24"/>
          <w:lang w:val="en-US" w:eastAsia="en-US" w:bidi="ar-SA"/>
        </w:rPr>
        <w:t>评价区植被净第一生产力表</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53"/>
        <w:gridCol w:w="1687"/>
        <w:gridCol w:w="3310"/>
        <w:gridCol w:w="1764"/>
      </w:tblGrid>
      <w:tr w14:paraId="2CE3DD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200" w:type="dxa"/>
            <w:tcBorders>
              <w:top w:val="single" w:color="000000" w:sz="10" w:space="0"/>
              <w:left w:val="nil"/>
            </w:tcBorders>
            <w:vAlign w:val="center"/>
          </w:tcPr>
          <w:p w14:paraId="6C28795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1"/>
                <w:szCs w:val="21"/>
                <w:lang w:eastAsia="en-US"/>
              </w:rPr>
            </w:pPr>
            <w:r>
              <w:rPr>
                <w:rFonts w:ascii="宋体" w:hAnsi="宋体" w:eastAsia="宋体" w:cs="宋体"/>
                <w:b/>
                <w:bCs/>
                <w:snapToGrid w:val="0"/>
                <w:color w:val="auto"/>
                <w:spacing w:val="6"/>
                <w:kern w:val="0"/>
                <w:sz w:val="21"/>
                <w:szCs w:val="21"/>
                <w:lang w:eastAsia="en-US"/>
              </w:rPr>
              <w:t>用地类型</w:t>
            </w:r>
          </w:p>
        </w:tc>
        <w:tc>
          <w:tcPr>
            <w:tcW w:w="1647" w:type="dxa"/>
            <w:tcBorders>
              <w:top w:val="single" w:color="000000" w:sz="10" w:space="0"/>
            </w:tcBorders>
            <w:vAlign w:val="center"/>
          </w:tcPr>
          <w:p w14:paraId="602A609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6"/>
                <w:kern w:val="0"/>
                <w:sz w:val="21"/>
                <w:szCs w:val="21"/>
                <w:lang w:val="en-US" w:eastAsia="en-US" w:bidi="ar-SA"/>
              </w:rPr>
              <w:t>面积（</w:t>
            </w:r>
            <w:r>
              <w:rPr>
                <w:rFonts w:ascii="Times New Roman" w:hAnsi="Times New Roman" w:eastAsia="Times New Roman" w:cs="Times New Roman"/>
                <w:b/>
                <w:bCs/>
                <w:snapToGrid w:val="0"/>
                <w:color w:val="auto"/>
                <w:kern w:val="0"/>
                <w:sz w:val="21"/>
                <w:szCs w:val="21"/>
                <w:lang w:val="en-US" w:eastAsia="en-US" w:bidi="ar-SA"/>
              </w:rPr>
              <w:t>hm</w:t>
            </w:r>
            <w:r>
              <w:rPr>
                <w:rFonts w:ascii="Times New Roman" w:hAnsi="Times New Roman" w:eastAsia="Times New Roman" w:cs="Times New Roman"/>
                <w:b/>
                <w:bCs/>
                <w:snapToGrid w:val="0"/>
                <w:color w:val="auto"/>
                <w:spacing w:val="6"/>
                <w:kern w:val="0"/>
                <w:position w:val="6"/>
                <w:sz w:val="21"/>
                <w:szCs w:val="21"/>
                <w:vertAlign w:val="superscript"/>
                <w:lang w:val="en-US" w:eastAsia="en-US" w:bidi="ar-SA"/>
              </w:rPr>
              <w:t>2</w:t>
            </w:r>
            <w:r>
              <w:rPr>
                <w:rFonts w:ascii="宋体" w:hAnsi="宋体" w:eastAsia="宋体" w:cs="宋体"/>
                <w:b/>
                <w:bCs/>
                <w:snapToGrid w:val="0"/>
                <w:color w:val="auto"/>
                <w:spacing w:val="6"/>
                <w:kern w:val="0"/>
                <w:sz w:val="21"/>
                <w:szCs w:val="21"/>
                <w:lang w:val="en-US" w:eastAsia="en-US" w:bidi="ar-SA"/>
              </w:rPr>
              <w:t>）</w:t>
            </w:r>
          </w:p>
        </w:tc>
        <w:tc>
          <w:tcPr>
            <w:tcW w:w="3232" w:type="dxa"/>
            <w:tcBorders>
              <w:top w:val="single" w:color="000000" w:sz="10" w:space="0"/>
            </w:tcBorders>
            <w:vAlign w:val="center"/>
          </w:tcPr>
          <w:p w14:paraId="4D97677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7"/>
                <w:kern w:val="0"/>
                <w:sz w:val="21"/>
                <w:szCs w:val="21"/>
                <w:lang w:eastAsia="en-US"/>
              </w:rPr>
              <w:t>平均净第一性生产力</w:t>
            </w:r>
            <w:r>
              <w:rPr>
                <w:rFonts w:ascii="宋体" w:hAnsi="宋体" w:eastAsia="宋体" w:cs="宋体"/>
                <w:b/>
                <w:bCs/>
                <w:snapToGrid w:val="0"/>
                <w:color w:val="auto"/>
                <w:spacing w:val="2"/>
                <w:kern w:val="0"/>
                <w:sz w:val="21"/>
                <w:szCs w:val="21"/>
                <w:lang w:val="en-US" w:eastAsia="en-US" w:bidi="ar-SA"/>
              </w:rPr>
              <w:t>（</w:t>
            </w:r>
            <w:r>
              <w:rPr>
                <w:rFonts w:ascii="Times New Roman" w:hAnsi="Times New Roman" w:eastAsia="Times New Roman" w:cs="Times New Roman"/>
                <w:b/>
                <w:bCs/>
                <w:snapToGrid w:val="0"/>
                <w:color w:val="auto"/>
                <w:spacing w:val="2"/>
                <w:kern w:val="0"/>
                <w:sz w:val="21"/>
                <w:szCs w:val="21"/>
                <w:lang w:val="en-US" w:eastAsia="en-US" w:bidi="ar-SA"/>
              </w:rPr>
              <w:t>t/</w:t>
            </w:r>
            <w:r>
              <w:rPr>
                <w:rFonts w:ascii="Times New Roman" w:hAnsi="Times New Roman" w:eastAsia="Times New Roman" w:cs="Times New Roman"/>
                <w:b/>
                <w:bCs/>
                <w:snapToGrid w:val="0"/>
                <w:color w:val="auto"/>
                <w:kern w:val="0"/>
                <w:sz w:val="21"/>
                <w:szCs w:val="21"/>
                <w:lang w:val="en-US" w:eastAsia="en-US" w:bidi="ar-SA"/>
              </w:rPr>
              <w:t>hm</w:t>
            </w:r>
            <w:r>
              <w:rPr>
                <w:rFonts w:ascii="Times New Roman" w:hAnsi="Times New Roman" w:eastAsia="Times New Roman" w:cs="Times New Roman"/>
                <w:b/>
                <w:bCs/>
                <w:snapToGrid w:val="0"/>
                <w:color w:val="auto"/>
                <w:spacing w:val="2"/>
                <w:kern w:val="0"/>
                <w:position w:val="6"/>
                <w:sz w:val="21"/>
                <w:szCs w:val="21"/>
                <w:vertAlign w:val="superscript"/>
                <w:lang w:val="en-US" w:eastAsia="en-US" w:bidi="ar-SA"/>
              </w:rPr>
              <w:t>2</w:t>
            </w:r>
            <w:r>
              <w:rPr>
                <w:rFonts w:ascii="Times New Roman" w:hAnsi="Times New Roman" w:eastAsia="Times New Roman" w:cs="Times New Roman"/>
                <w:b/>
                <w:bCs/>
                <w:snapToGrid w:val="0"/>
                <w:color w:val="auto"/>
                <w:spacing w:val="2"/>
                <w:kern w:val="0"/>
                <w:sz w:val="21"/>
                <w:szCs w:val="21"/>
                <w:lang w:val="en-US" w:eastAsia="en-US" w:bidi="ar-SA"/>
              </w:rPr>
              <w:t>·a</w:t>
            </w:r>
            <w:r>
              <w:rPr>
                <w:rFonts w:ascii="宋体" w:hAnsi="宋体" w:eastAsia="宋体" w:cs="宋体"/>
                <w:b/>
                <w:bCs/>
                <w:snapToGrid w:val="0"/>
                <w:color w:val="auto"/>
                <w:spacing w:val="2"/>
                <w:kern w:val="0"/>
                <w:sz w:val="21"/>
                <w:szCs w:val="21"/>
                <w:lang w:val="en-US" w:eastAsia="en-US" w:bidi="ar-SA"/>
              </w:rPr>
              <w:t>）</w:t>
            </w:r>
          </w:p>
        </w:tc>
        <w:tc>
          <w:tcPr>
            <w:tcW w:w="1723" w:type="dxa"/>
            <w:tcBorders>
              <w:top w:val="single" w:color="000000" w:sz="10" w:space="0"/>
              <w:right w:val="nil"/>
            </w:tcBorders>
            <w:vAlign w:val="center"/>
          </w:tcPr>
          <w:p w14:paraId="2A5A5FA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3"/>
                <w:kern w:val="0"/>
                <w:sz w:val="21"/>
                <w:szCs w:val="21"/>
                <w:lang w:val="en-US" w:eastAsia="en-US" w:bidi="ar-SA"/>
              </w:rPr>
              <w:t>生产力（</w:t>
            </w:r>
            <w:r>
              <w:rPr>
                <w:rFonts w:ascii="Times New Roman" w:hAnsi="Times New Roman" w:eastAsia="Times New Roman" w:cs="Times New Roman"/>
                <w:b/>
                <w:bCs/>
                <w:snapToGrid w:val="0"/>
                <w:color w:val="auto"/>
                <w:spacing w:val="3"/>
                <w:kern w:val="0"/>
                <w:sz w:val="21"/>
                <w:szCs w:val="21"/>
                <w:lang w:val="en-US" w:eastAsia="en-US" w:bidi="ar-SA"/>
              </w:rPr>
              <w:t>t/a</w:t>
            </w:r>
            <w:r>
              <w:rPr>
                <w:rFonts w:ascii="宋体" w:hAnsi="宋体" w:eastAsia="宋体" w:cs="宋体"/>
                <w:b/>
                <w:bCs/>
                <w:snapToGrid w:val="0"/>
                <w:color w:val="auto"/>
                <w:spacing w:val="3"/>
                <w:kern w:val="0"/>
                <w:sz w:val="21"/>
                <w:szCs w:val="21"/>
                <w:lang w:val="en-US" w:eastAsia="en-US" w:bidi="ar-SA"/>
              </w:rPr>
              <w:t>）</w:t>
            </w:r>
          </w:p>
        </w:tc>
      </w:tr>
      <w:tr w14:paraId="09E9C0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200" w:type="dxa"/>
            <w:tcBorders>
              <w:left w:val="nil"/>
            </w:tcBorders>
            <w:vAlign w:val="center"/>
          </w:tcPr>
          <w:p w14:paraId="6961188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4"/>
                <w:kern w:val="0"/>
                <w:sz w:val="21"/>
                <w:szCs w:val="21"/>
                <w:lang w:eastAsia="en-US"/>
              </w:rPr>
              <w:t>耕地</w:t>
            </w:r>
          </w:p>
        </w:tc>
        <w:tc>
          <w:tcPr>
            <w:tcW w:w="1647" w:type="dxa"/>
            <w:vAlign w:val="center"/>
          </w:tcPr>
          <w:p w14:paraId="04DD902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2"/>
                <w:kern w:val="0"/>
                <w:sz w:val="21"/>
                <w:szCs w:val="21"/>
                <w:lang w:val="en-US" w:eastAsia="zh-CN" w:bidi="ar-SA"/>
              </w:rPr>
              <w:t>1484.28</w:t>
            </w:r>
          </w:p>
        </w:tc>
        <w:tc>
          <w:tcPr>
            <w:tcW w:w="3232" w:type="dxa"/>
            <w:vAlign w:val="center"/>
          </w:tcPr>
          <w:p w14:paraId="1787706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6.1</w:t>
            </w:r>
          </w:p>
        </w:tc>
        <w:tc>
          <w:tcPr>
            <w:tcW w:w="1723" w:type="dxa"/>
            <w:tcBorders>
              <w:right w:val="nil"/>
            </w:tcBorders>
            <w:vAlign w:val="center"/>
          </w:tcPr>
          <w:p w14:paraId="3DF8219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9054.108</w:t>
            </w:r>
          </w:p>
        </w:tc>
      </w:tr>
      <w:tr w14:paraId="0A8E11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200" w:type="dxa"/>
            <w:tcBorders>
              <w:left w:val="nil"/>
            </w:tcBorders>
            <w:vAlign w:val="center"/>
          </w:tcPr>
          <w:p w14:paraId="1A7A830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4"/>
                <w:kern w:val="0"/>
                <w:sz w:val="21"/>
                <w:szCs w:val="21"/>
                <w:lang w:eastAsia="en-US"/>
              </w:rPr>
              <w:t>林地</w:t>
            </w:r>
          </w:p>
        </w:tc>
        <w:tc>
          <w:tcPr>
            <w:tcW w:w="1647" w:type="dxa"/>
            <w:vAlign w:val="center"/>
          </w:tcPr>
          <w:p w14:paraId="614BB7F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ascii="Times New Roman" w:hAnsi="Times New Roman" w:eastAsia="Times New Roman" w:cs="Times New Roman"/>
                <w:snapToGrid w:val="0"/>
                <w:color w:val="auto"/>
                <w:spacing w:val="4"/>
                <w:kern w:val="0"/>
                <w:sz w:val="21"/>
                <w:szCs w:val="21"/>
                <w:lang w:val="en-US" w:eastAsia="en-US" w:bidi="ar-SA"/>
              </w:rPr>
              <w:t>2</w:t>
            </w:r>
            <w:r>
              <w:rPr>
                <w:rFonts w:hint="eastAsia" w:ascii="Times New Roman" w:hAnsi="Times New Roman" w:eastAsia="宋体" w:cs="Times New Roman"/>
                <w:snapToGrid w:val="0"/>
                <w:color w:val="auto"/>
                <w:spacing w:val="4"/>
                <w:kern w:val="0"/>
                <w:sz w:val="21"/>
                <w:szCs w:val="21"/>
                <w:lang w:val="en-US" w:eastAsia="zh-CN" w:bidi="ar-SA"/>
              </w:rPr>
              <w:t>994.59</w:t>
            </w:r>
          </w:p>
        </w:tc>
        <w:tc>
          <w:tcPr>
            <w:tcW w:w="3232" w:type="dxa"/>
            <w:vAlign w:val="center"/>
          </w:tcPr>
          <w:p w14:paraId="035EF75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8"/>
                <w:kern w:val="0"/>
                <w:sz w:val="21"/>
                <w:szCs w:val="21"/>
                <w:lang w:val="en-US" w:eastAsia="en-US" w:bidi="ar-SA"/>
              </w:rPr>
              <w:t>12</w:t>
            </w:r>
          </w:p>
        </w:tc>
        <w:tc>
          <w:tcPr>
            <w:tcW w:w="1723" w:type="dxa"/>
            <w:tcBorders>
              <w:right w:val="nil"/>
            </w:tcBorders>
            <w:vAlign w:val="center"/>
          </w:tcPr>
          <w:p w14:paraId="247D46B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35935.08</w:t>
            </w:r>
          </w:p>
        </w:tc>
      </w:tr>
      <w:tr w14:paraId="6BCB67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200" w:type="dxa"/>
            <w:tcBorders>
              <w:left w:val="nil"/>
            </w:tcBorders>
            <w:vAlign w:val="center"/>
          </w:tcPr>
          <w:p w14:paraId="5FF560B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4"/>
                <w:kern w:val="0"/>
                <w:sz w:val="21"/>
                <w:szCs w:val="21"/>
                <w:lang w:eastAsia="en-US"/>
              </w:rPr>
              <w:t>草地</w:t>
            </w:r>
          </w:p>
        </w:tc>
        <w:tc>
          <w:tcPr>
            <w:tcW w:w="1647" w:type="dxa"/>
            <w:vAlign w:val="center"/>
          </w:tcPr>
          <w:p w14:paraId="3446B59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2"/>
                <w:kern w:val="0"/>
                <w:sz w:val="21"/>
                <w:szCs w:val="21"/>
                <w:lang w:val="en-US" w:eastAsia="zh-CN" w:bidi="ar-SA"/>
              </w:rPr>
              <w:t>401.94</w:t>
            </w:r>
          </w:p>
        </w:tc>
        <w:tc>
          <w:tcPr>
            <w:tcW w:w="3232" w:type="dxa"/>
            <w:vAlign w:val="center"/>
          </w:tcPr>
          <w:p w14:paraId="1656360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kern w:val="0"/>
                <w:sz w:val="21"/>
                <w:szCs w:val="21"/>
                <w:lang w:val="en-US" w:eastAsia="en-US" w:bidi="ar-SA"/>
              </w:rPr>
              <w:t>5.5</w:t>
            </w:r>
          </w:p>
        </w:tc>
        <w:tc>
          <w:tcPr>
            <w:tcW w:w="1723" w:type="dxa"/>
            <w:tcBorders>
              <w:right w:val="nil"/>
            </w:tcBorders>
            <w:vAlign w:val="center"/>
          </w:tcPr>
          <w:p w14:paraId="2B59A61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2210.67</w:t>
            </w:r>
          </w:p>
        </w:tc>
      </w:tr>
      <w:tr w14:paraId="11762B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200" w:type="dxa"/>
            <w:tcBorders>
              <w:left w:val="nil"/>
            </w:tcBorders>
            <w:vAlign w:val="center"/>
          </w:tcPr>
          <w:p w14:paraId="78381A7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8"/>
                <w:kern w:val="0"/>
                <w:sz w:val="21"/>
                <w:szCs w:val="21"/>
                <w:lang w:eastAsia="en-US"/>
              </w:rPr>
              <w:t>水域及水利设施用地</w:t>
            </w:r>
          </w:p>
        </w:tc>
        <w:tc>
          <w:tcPr>
            <w:tcW w:w="1647" w:type="dxa"/>
            <w:vAlign w:val="center"/>
          </w:tcPr>
          <w:p w14:paraId="2C72805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3"/>
                <w:kern w:val="0"/>
                <w:sz w:val="21"/>
                <w:szCs w:val="21"/>
                <w:lang w:val="en-US" w:eastAsia="zh-CN" w:bidi="ar-SA"/>
              </w:rPr>
              <w:t>20.7</w:t>
            </w:r>
          </w:p>
        </w:tc>
        <w:tc>
          <w:tcPr>
            <w:tcW w:w="3232" w:type="dxa"/>
            <w:vAlign w:val="center"/>
          </w:tcPr>
          <w:p w14:paraId="613BB7B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4</w:t>
            </w:r>
          </w:p>
        </w:tc>
        <w:tc>
          <w:tcPr>
            <w:tcW w:w="1723" w:type="dxa"/>
            <w:tcBorders>
              <w:right w:val="nil"/>
            </w:tcBorders>
            <w:vAlign w:val="center"/>
          </w:tcPr>
          <w:p w14:paraId="54563DE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82.8</w:t>
            </w:r>
          </w:p>
        </w:tc>
      </w:tr>
      <w:tr w14:paraId="553529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200" w:type="dxa"/>
            <w:tcBorders>
              <w:left w:val="nil"/>
            </w:tcBorders>
            <w:vAlign w:val="center"/>
          </w:tcPr>
          <w:p w14:paraId="755AC26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4"/>
                <w:kern w:val="0"/>
                <w:sz w:val="21"/>
                <w:szCs w:val="21"/>
                <w:lang w:eastAsia="en-US"/>
              </w:rPr>
              <w:t>其他</w:t>
            </w:r>
          </w:p>
        </w:tc>
        <w:tc>
          <w:tcPr>
            <w:tcW w:w="1647" w:type="dxa"/>
            <w:vAlign w:val="center"/>
          </w:tcPr>
          <w:p w14:paraId="1209D9E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3"/>
                <w:kern w:val="0"/>
                <w:sz w:val="21"/>
                <w:szCs w:val="21"/>
                <w:lang w:val="en-US" w:eastAsia="zh-CN" w:bidi="ar-SA"/>
              </w:rPr>
              <w:t>231.1</w:t>
            </w:r>
          </w:p>
        </w:tc>
        <w:tc>
          <w:tcPr>
            <w:tcW w:w="3232" w:type="dxa"/>
            <w:vAlign w:val="center"/>
          </w:tcPr>
          <w:p w14:paraId="6C4EAEA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0.4</w:t>
            </w:r>
          </w:p>
        </w:tc>
        <w:tc>
          <w:tcPr>
            <w:tcW w:w="1723" w:type="dxa"/>
            <w:tcBorders>
              <w:right w:val="nil"/>
            </w:tcBorders>
            <w:vAlign w:val="center"/>
          </w:tcPr>
          <w:p w14:paraId="5DD89F5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92.44</w:t>
            </w:r>
          </w:p>
        </w:tc>
      </w:tr>
      <w:tr w14:paraId="231267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200" w:type="dxa"/>
            <w:tcBorders>
              <w:left w:val="nil"/>
              <w:bottom w:val="single" w:color="000000" w:sz="10" w:space="0"/>
            </w:tcBorders>
            <w:vAlign w:val="center"/>
          </w:tcPr>
          <w:p w14:paraId="61849C7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4"/>
                <w:kern w:val="0"/>
                <w:sz w:val="21"/>
                <w:szCs w:val="21"/>
                <w:lang w:eastAsia="en-US"/>
              </w:rPr>
              <w:t>合计</w:t>
            </w:r>
          </w:p>
        </w:tc>
        <w:tc>
          <w:tcPr>
            <w:tcW w:w="1647" w:type="dxa"/>
            <w:tcBorders>
              <w:bottom w:val="single" w:color="000000" w:sz="10" w:space="0"/>
            </w:tcBorders>
            <w:vAlign w:val="center"/>
          </w:tcPr>
          <w:p w14:paraId="5BB2FD0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3"/>
                <w:kern w:val="0"/>
                <w:sz w:val="21"/>
                <w:szCs w:val="21"/>
                <w:lang w:val="en-US" w:eastAsia="zh-CN" w:bidi="ar-SA"/>
              </w:rPr>
              <w:t>5132.6</w:t>
            </w:r>
          </w:p>
        </w:tc>
        <w:tc>
          <w:tcPr>
            <w:tcW w:w="3232" w:type="dxa"/>
            <w:tcBorders>
              <w:bottom w:val="single" w:color="000000" w:sz="10" w:space="0"/>
            </w:tcBorders>
            <w:vAlign w:val="center"/>
          </w:tcPr>
          <w:p w14:paraId="5BBEFB8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Arial" w:hAnsi="Arial" w:eastAsia="宋体" w:cs="Arial"/>
                <w:snapToGrid w:val="0"/>
                <w:color w:val="auto"/>
                <w:kern w:val="0"/>
                <w:sz w:val="21"/>
                <w:szCs w:val="21"/>
                <w:lang w:val="en-US" w:eastAsia="zh-CN"/>
              </w:rPr>
            </w:pPr>
            <w:r>
              <w:rPr>
                <w:rFonts w:hint="eastAsia" w:ascii="Arial" w:hAnsi="Arial" w:eastAsia="宋体" w:cs="Arial"/>
                <w:snapToGrid w:val="0"/>
                <w:color w:val="auto"/>
                <w:kern w:val="0"/>
                <w:sz w:val="21"/>
                <w:szCs w:val="21"/>
                <w:lang w:val="en-US" w:eastAsia="zh-CN"/>
              </w:rPr>
              <w:t>/</w:t>
            </w:r>
          </w:p>
        </w:tc>
        <w:tc>
          <w:tcPr>
            <w:tcW w:w="1723" w:type="dxa"/>
            <w:tcBorders>
              <w:bottom w:val="single" w:color="000000" w:sz="10" w:space="0"/>
              <w:right w:val="nil"/>
            </w:tcBorders>
            <w:vAlign w:val="center"/>
          </w:tcPr>
          <w:p w14:paraId="018F2C5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47375.098</w:t>
            </w:r>
          </w:p>
        </w:tc>
      </w:tr>
    </w:tbl>
    <w:p w14:paraId="4118580B">
      <w:pPr>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0" w:right="0" w:firstLine="484"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综上，评价区的植被生产力较弱，评价区年植被生产力可达</w:t>
      </w:r>
      <w:r>
        <w:rPr>
          <w:rFonts w:hint="default" w:ascii="Times New Roman" w:hAnsi="Times New Roman" w:eastAsia="宋体" w:cs="Times New Roman"/>
          <w:snapToGrid w:val="0"/>
          <w:color w:val="auto"/>
          <w:spacing w:val="0"/>
          <w:kern w:val="0"/>
          <w:sz w:val="24"/>
          <w:szCs w:val="24"/>
          <w:lang w:val="en-US" w:eastAsia="en-US" w:bidi="ar-SA"/>
        </w:rPr>
        <w:t>47375.098</w:t>
      </w:r>
      <w:r>
        <w:rPr>
          <w:rFonts w:hint="default" w:ascii="Times New Roman" w:hAnsi="Times New Roman" w:eastAsia="Times New Roman" w:cs="Times New Roman"/>
          <w:snapToGrid w:val="0"/>
          <w:color w:val="auto"/>
          <w:spacing w:val="0"/>
          <w:kern w:val="0"/>
          <w:sz w:val="24"/>
          <w:szCs w:val="24"/>
          <w:lang w:val="en-US" w:eastAsia="en-US" w:bidi="ar-SA"/>
        </w:rPr>
        <w:t>t</w:t>
      </w:r>
      <w:r>
        <w:rPr>
          <w:rFonts w:hint="default" w:ascii="Times New Roman" w:hAnsi="Times New Roman" w:eastAsia="宋体" w:cs="Times New Roman"/>
          <w:snapToGrid w:val="0"/>
          <w:color w:val="auto"/>
          <w:spacing w:val="0"/>
          <w:kern w:val="0"/>
          <w:sz w:val="24"/>
          <w:szCs w:val="24"/>
          <w:lang w:val="en-US" w:eastAsia="en-US" w:bidi="ar-SA"/>
        </w:rPr>
        <w:t>。</w:t>
      </w:r>
      <w:r>
        <w:rPr>
          <w:rFonts w:ascii="宋体" w:hAnsi="宋体" w:eastAsia="宋体" w:cs="宋体"/>
          <w:snapToGrid w:val="0"/>
          <w:color w:val="auto"/>
          <w:spacing w:val="1"/>
          <w:kern w:val="0"/>
          <w:sz w:val="24"/>
          <w:szCs w:val="24"/>
          <w:lang w:val="en-US" w:eastAsia="en-US" w:bidi="ar-SA"/>
        </w:rPr>
        <w:t>其</w:t>
      </w:r>
      <w:r>
        <w:rPr>
          <w:rFonts w:ascii="宋体" w:hAnsi="宋体" w:eastAsia="宋体" w:cs="宋体"/>
          <w:snapToGrid w:val="0"/>
          <w:color w:val="auto"/>
          <w:spacing w:val="-4"/>
          <w:kern w:val="0"/>
          <w:sz w:val="24"/>
          <w:szCs w:val="24"/>
          <w:lang w:val="en-US" w:eastAsia="en-US" w:bidi="ar-SA"/>
        </w:rPr>
        <w:t>中林地、耕地、草地生产力相对较强。</w:t>
      </w:r>
    </w:p>
    <w:p w14:paraId="49D98FC3">
      <w:pPr>
        <w:widowControl/>
        <w:kinsoku w:val="0"/>
        <w:autoSpaceDE w:val="0"/>
        <w:autoSpaceDN w:val="0"/>
        <w:adjustRightInd w:val="0"/>
        <w:snapToGrid w:val="0"/>
        <w:spacing w:line="6180" w:lineRule="exact"/>
        <w:jc w:val="center"/>
        <w:textAlignment w:val="baseline"/>
        <w:rPr>
          <w:rFonts w:ascii="Arial" w:hAnsi="Arial" w:eastAsia="Arial" w:cs="Arial"/>
          <w:snapToGrid w:val="0"/>
          <w:color w:val="auto"/>
          <w:kern w:val="0"/>
          <w:szCs w:val="21"/>
          <w:lang w:eastAsia="en-US"/>
        </w:rPr>
      </w:pPr>
      <w:r>
        <w:rPr>
          <w:rFonts w:ascii="Arial" w:hAnsi="Arial" w:eastAsia="Arial" w:cs="Arial"/>
          <w:snapToGrid w:val="0"/>
          <w:color w:val="auto"/>
          <w:kern w:val="0"/>
          <w:position w:val="-123"/>
          <w:szCs w:val="21"/>
          <w:lang w:eastAsia="en-US"/>
        </w:rPr>
        <w:drawing>
          <wp:inline distT="0" distB="0" distL="0" distR="0">
            <wp:extent cx="5408295" cy="3924300"/>
            <wp:effectExtent l="0" t="0" r="1905" b="0"/>
            <wp:docPr id="47" name="IM 6"/>
            <wp:cNvGraphicFramePr/>
            <a:graphic xmlns:a="http://schemas.openxmlformats.org/drawingml/2006/main">
              <a:graphicData uri="http://schemas.openxmlformats.org/drawingml/2006/picture">
                <pic:pic xmlns:pic="http://schemas.openxmlformats.org/drawingml/2006/picture">
                  <pic:nvPicPr>
                    <pic:cNvPr id="47" name="IM 6"/>
                    <pic:cNvPicPr/>
                  </pic:nvPicPr>
                  <pic:blipFill>
                    <a:blip r:embed="rId128"/>
                    <a:stretch>
                      <a:fillRect/>
                    </a:stretch>
                  </pic:blipFill>
                  <pic:spPr>
                    <a:xfrm>
                      <a:off x="0" y="0"/>
                      <a:ext cx="5408676" cy="3924300"/>
                    </a:xfrm>
                    <a:prstGeom prst="rect">
                      <a:avLst/>
                    </a:prstGeom>
                  </pic:spPr>
                </pic:pic>
              </a:graphicData>
            </a:graphic>
          </wp:inline>
        </w:drawing>
      </w:r>
    </w:p>
    <w:p w14:paraId="235D753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ascii="Times New Roman" w:hAnsi="Times New Roman" w:eastAsia="Times New Roman" w:cs="Times New Roman"/>
          <w:snapToGrid w:val="0"/>
          <w:color w:val="auto"/>
          <w:kern w:val="0"/>
          <w:sz w:val="24"/>
          <w:szCs w:val="24"/>
          <w:lang w:val="en-US" w:eastAsia="en-US" w:bidi="ar-SA"/>
        </w:rPr>
      </w:pPr>
      <w:r>
        <w:rPr>
          <w:rFonts w:ascii="宋体" w:hAnsi="宋体" w:eastAsia="宋体" w:cs="宋体"/>
          <w:b/>
          <w:bCs/>
          <w:snapToGrid w:val="0"/>
          <w:color w:val="auto"/>
          <w:spacing w:val="-2"/>
          <w:kern w:val="0"/>
          <w:sz w:val="24"/>
          <w:szCs w:val="24"/>
          <w:lang w:val="en-US" w:eastAsia="en-US" w:bidi="ar-SA"/>
        </w:rPr>
        <w:t>图</w:t>
      </w:r>
      <w:r>
        <w:rPr>
          <w:rFonts w:hint="default" w:ascii="Times New Roman" w:hAnsi="Times New Roman" w:cs="Times New Roman" w:eastAsiaTheme="minorEastAsia"/>
          <w:b/>
          <w:bCs/>
          <w:snapToGrid w:val="0"/>
          <w:color w:val="auto"/>
          <w:spacing w:val="-54"/>
          <w:kern w:val="0"/>
          <w:sz w:val="24"/>
          <w:szCs w:val="24"/>
          <w:lang w:val="en-US" w:eastAsia="zh-CN" w:bidi="ar-SA"/>
        </w:rPr>
        <w:t>3</w:t>
      </w:r>
      <w:r>
        <w:rPr>
          <w:rFonts w:hint="default" w:ascii="Times New Roman" w:hAnsi="Times New Roman" w:cs="Times New Roman" w:eastAsiaTheme="minorEastAsia"/>
          <w:b/>
          <w:bCs/>
          <w:snapToGrid w:val="0"/>
          <w:color w:val="auto"/>
          <w:spacing w:val="-2"/>
          <w:kern w:val="0"/>
          <w:sz w:val="24"/>
          <w:szCs w:val="24"/>
          <w:lang w:val="en-US" w:eastAsia="en-US" w:bidi="ar-SA"/>
        </w:rPr>
        <w:t>-</w:t>
      </w:r>
      <w:r>
        <w:rPr>
          <w:rFonts w:hint="default" w:ascii="Times New Roman" w:hAnsi="Times New Roman" w:cs="Times New Roman" w:eastAsiaTheme="minorEastAsia"/>
          <w:b/>
          <w:bCs/>
          <w:snapToGrid w:val="0"/>
          <w:color w:val="auto"/>
          <w:spacing w:val="-2"/>
          <w:kern w:val="0"/>
          <w:sz w:val="24"/>
          <w:szCs w:val="24"/>
          <w:lang w:val="en-US" w:eastAsia="zh-CN" w:bidi="ar-SA"/>
        </w:rPr>
        <w:t>1</w:t>
      </w:r>
      <w:r>
        <w:rPr>
          <w:rFonts w:hint="default" w:ascii="Times New Roman" w:hAnsi="Times New Roman" w:cs="Times New Roman" w:eastAsiaTheme="minorEastAsia"/>
          <w:b/>
          <w:bCs/>
          <w:snapToGrid w:val="0"/>
          <w:color w:val="auto"/>
          <w:spacing w:val="-2"/>
          <w:kern w:val="0"/>
          <w:sz w:val="24"/>
          <w:szCs w:val="24"/>
          <w:lang w:val="en-US" w:eastAsia="en-US" w:bidi="ar-SA"/>
        </w:rPr>
        <w:t xml:space="preserve"> </w:t>
      </w:r>
      <w:r>
        <w:rPr>
          <w:rFonts w:ascii="宋体" w:hAnsi="宋体" w:eastAsia="宋体" w:cs="宋体"/>
          <w:b/>
          <w:bCs/>
          <w:snapToGrid w:val="0"/>
          <w:color w:val="auto"/>
          <w:spacing w:val="-2"/>
          <w:kern w:val="0"/>
          <w:sz w:val="24"/>
          <w:szCs w:val="24"/>
          <w:lang w:val="en-US" w:eastAsia="en-US" w:bidi="ar-SA"/>
        </w:rPr>
        <w:t>基于</w:t>
      </w:r>
      <w:r>
        <w:rPr>
          <w:rFonts w:ascii="宋体" w:hAnsi="宋体" w:eastAsia="宋体" w:cs="宋体"/>
          <w:snapToGrid w:val="0"/>
          <w:color w:val="auto"/>
          <w:spacing w:val="-55"/>
          <w:kern w:val="0"/>
          <w:sz w:val="24"/>
          <w:szCs w:val="24"/>
          <w:lang w:val="en-US" w:eastAsia="en-US" w:bidi="ar-SA"/>
        </w:rPr>
        <w:t xml:space="preserve"> </w:t>
      </w:r>
      <w:r>
        <w:rPr>
          <w:rFonts w:ascii="Times New Roman" w:hAnsi="Times New Roman" w:eastAsia="Times New Roman" w:cs="Times New Roman"/>
          <w:b/>
          <w:bCs/>
          <w:snapToGrid w:val="0"/>
          <w:color w:val="auto"/>
          <w:spacing w:val="-2"/>
          <w:kern w:val="0"/>
          <w:sz w:val="24"/>
          <w:szCs w:val="24"/>
          <w:lang w:val="en-US" w:eastAsia="en-US" w:bidi="ar-SA"/>
        </w:rPr>
        <w:t>MODIS</w:t>
      </w:r>
      <w:r>
        <w:rPr>
          <w:rFonts w:ascii="宋体" w:hAnsi="宋体" w:eastAsia="宋体" w:cs="宋体"/>
          <w:b/>
          <w:bCs/>
          <w:snapToGrid w:val="0"/>
          <w:color w:val="auto"/>
          <w:spacing w:val="-2"/>
          <w:kern w:val="0"/>
          <w:sz w:val="24"/>
          <w:szCs w:val="24"/>
          <w:lang w:val="en-US" w:eastAsia="en-US" w:bidi="ar-SA"/>
        </w:rPr>
        <w:t>遥感反演的全国</w:t>
      </w:r>
      <w:r>
        <w:rPr>
          <w:rFonts w:ascii="宋体" w:hAnsi="宋体" w:eastAsia="宋体" w:cs="宋体"/>
          <w:snapToGrid w:val="0"/>
          <w:color w:val="auto"/>
          <w:spacing w:val="-57"/>
          <w:kern w:val="0"/>
          <w:sz w:val="24"/>
          <w:szCs w:val="24"/>
          <w:lang w:val="en-US" w:eastAsia="en-US" w:bidi="ar-SA"/>
        </w:rPr>
        <w:t xml:space="preserve"> </w:t>
      </w:r>
      <w:r>
        <w:rPr>
          <w:rFonts w:ascii="Times New Roman" w:hAnsi="Times New Roman" w:eastAsia="Times New Roman" w:cs="Times New Roman"/>
          <w:b/>
          <w:bCs/>
          <w:snapToGrid w:val="0"/>
          <w:color w:val="auto"/>
          <w:spacing w:val="-2"/>
          <w:kern w:val="0"/>
          <w:sz w:val="24"/>
          <w:szCs w:val="24"/>
          <w:lang w:val="en-US" w:eastAsia="en-US" w:bidi="ar-SA"/>
        </w:rPr>
        <w:t>NPP</w:t>
      </w:r>
      <w:r>
        <w:rPr>
          <w:rFonts w:ascii="Times New Roman" w:hAnsi="Times New Roman" w:eastAsia="Times New Roman" w:cs="Times New Roman"/>
          <w:b/>
          <w:bCs/>
          <w:snapToGrid w:val="0"/>
          <w:color w:val="auto"/>
          <w:spacing w:val="19"/>
          <w:w w:val="101"/>
          <w:kern w:val="0"/>
          <w:sz w:val="24"/>
          <w:szCs w:val="24"/>
          <w:lang w:val="en-US" w:eastAsia="en-US" w:bidi="ar-SA"/>
        </w:rPr>
        <w:t xml:space="preserve"> </w:t>
      </w:r>
      <w:r>
        <w:rPr>
          <w:rFonts w:ascii="宋体" w:hAnsi="宋体" w:eastAsia="宋体" w:cs="宋体"/>
          <w:b/>
          <w:bCs/>
          <w:snapToGrid w:val="0"/>
          <w:color w:val="auto"/>
          <w:spacing w:val="-2"/>
          <w:kern w:val="0"/>
          <w:sz w:val="24"/>
          <w:szCs w:val="24"/>
          <w:lang w:val="en-US" w:eastAsia="en-US" w:bidi="ar-SA"/>
        </w:rPr>
        <w:t>空间分布</w:t>
      </w:r>
      <w:r>
        <w:rPr>
          <w:rFonts w:ascii="Times New Roman" w:hAnsi="Times New Roman" w:eastAsia="Times New Roman" w:cs="Times New Roman"/>
          <w:b/>
          <w:bCs/>
          <w:snapToGrid w:val="0"/>
          <w:color w:val="auto"/>
          <w:spacing w:val="-2"/>
          <w:kern w:val="0"/>
          <w:sz w:val="24"/>
          <w:szCs w:val="24"/>
          <w:lang w:val="en-US" w:eastAsia="en-US" w:bidi="ar-SA"/>
        </w:rPr>
        <w:t>[g/</w:t>
      </w:r>
      <w:r>
        <w:rPr>
          <w:rFonts w:ascii="宋体" w:hAnsi="宋体" w:eastAsia="宋体" w:cs="宋体"/>
          <w:b/>
          <w:bCs/>
          <w:snapToGrid w:val="0"/>
          <w:color w:val="auto"/>
          <w:spacing w:val="-2"/>
          <w:kern w:val="0"/>
          <w:sz w:val="24"/>
          <w:szCs w:val="24"/>
          <w:lang w:val="en-US" w:eastAsia="en-US" w:bidi="ar-SA"/>
        </w:rPr>
        <w:t>（</w:t>
      </w:r>
      <w:r>
        <w:rPr>
          <w:rFonts w:ascii="Times New Roman" w:hAnsi="Times New Roman" w:eastAsia="Times New Roman" w:cs="Times New Roman"/>
          <w:b/>
          <w:bCs/>
          <w:snapToGrid w:val="0"/>
          <w:color w:val="auto"/>
          <w:spacing w:val="-2"/>
          <w:kern w:val="0"/>
          <w:sz w:val="24"/>
          <w:szCs w:val="24"/>
          <w:lang w:val="en-US" w:eastAsia="en-US" w:bidi="ar-SA"/>
        </w:rPr>
        <w:t>m</w:t>
      </w:r>
      <w:r>
        <w:rPr>
          <w:rFonts w:ascii="Times New Roman" w:hAnsi="Times New Roman" w:eastAsia="Times New Roman" w:cs="Times New Roman"/>
          <w:b/>
          <w:bCs/>
          <w:snapToGrid w:val="0"/>
          <w:color w:val="auto"/>
          <w:spacing w:val="-2"/>
          <w:kern w:val="0"/>
          <w:position w:val="8"/>
          <w:sz w:val="15"/>
          <w:szCs w:val="15"/>
          <w:lang w:val="en-US" w:eastAsia="en-US" w:bidi="ar-SA"/>
        </w:rPr>
        <w:t>2</w:t>
      </w:r>
      <w:r>
        <w:rPr>
          <w:rFonts w:ascii="Times New Roman" w:hAnsi="Times New Roman" w:eastAsia="Times New Roman" w:cs="Times New Roman"/>
          <w:b/>
          <w:bCs/>
          <w:snapToGrid w:val="0"/>
          <w:color w:val="auto"/>
          <w:spacing w:val="-3"/>
          <w:kern w:val="0"/>
          <w:sz w:val="24"/>
          <w:szCs w:val="24"/>
          <w:lang w:val="en-US" w:eastAsia="en-US" w:bidi="ar-SA"/>
        </w:rPr>
        <w:t>.a</w:t>
      </w:r>
      <w:r>
        <w:rPr>
          <w:rFonts w:ascii="宋体" w:hAnsi="宋体" w:eastAsia="宋体" w:cs="宋体"/>
          <w:b/>
          <w:bCs/>
          <w:snapToGrid w:val="0"/>
          <w:color w:val="auto"/>
          <w:spacing w:val="-3"/>
          <w:kern w:val="0"/>
          <w:sz w:val="24"/>
          <w:szCs w:val="24"/>
          <w:lang w:val="en-US" w:eastAsia="en-US" w:bidi="ar-SA"/>
        </w:rPr>
        <w:t>）</w:t>
      </w:r>
      <w:r>
        <w:rPr>
          <w:rFonts w:ascii="Times New Roman" w:hAnsi="Times New Roman" w:eastAsia="Times New Roman" w:cs="Times New Roman"/>
          <w:b/>
          <w:bCs/>
          <w:snapToGrid w:val="0"/>
          <w:color w:val="auto"/>
          <w:spacing w:val="-3"/>
          <w:kern w:val="0"/>
          <w:sz w:val="24"/>
          <w:szCs w:val="24"/>
          <w:lang w:val="en-US" w:eastAsia="en-US" w:bidi="ar-SA"/>
        </w:rPr>
        <w:t>]</w:t>
      </w:r>
    </w:p>
    <w:p w14:paraId="39DCF258">
      <w:pPr>
        <w:widowControl/>
        <w:kinsoku w:val="0"/>
        <w:autoSpaceDE w:val="0"/>
        <w:autoSpaceDN w:val="0"/>
        <w:adjustRightInd w:val="0"/>
        <w:snapToGrid w:val="0"/>
        <w:spacing w:before="201" w:line="222" w:lineRule="auto"/>
        <w:ind w:left="256"/>
        <w:jc w:val="left"/>
        <w:textAlignment w:val="baseline"/>
        <w:outlineLvl w:val="2"/>
        <w:rPr>
          <w:rFonts w:hint="default" w:ascii="Times New Roman" w:hAnsi="Times New Roman" w:eastAsia="宋体" w:cs="Times New Roman"/>
          <w:b/>
          <w:bCs/>
          <w:color w:val="auto"/>
          <w:kern w:val="2"/>
          <w:sz w:val="24"/>
          <w:szCs w:val="24"/>
          <w:highlight w:val="none"/>
          <w:lang w:val="en-US" w:eastAsia="en-US" w:bidi="ar-SA"/>
        </w:rPr>
      </w:pP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en-US" w:bidi="ar-SA"/>
        </w:rPr>
        <w:t>.1.2植被生物量评价</w:t>
      </w:r>
    </w:p>
    <w:p w14:paraId="798BDA83">
      <w:pPr>
        <w:kinsoku w:val="0"/>
        <w:autoSpaceDE w:val="0"/>
        <w:autoSpaceDN w:val="0"/>
        <w:adjustRightInd w:val="0"/>
        <w:snapToGrid w:val="0"/>
        <w:spacing w:before="199" w:line="218" w:lineRule="auto"/>
        <w:ind w:left="744"/>
        <w:jc w:val="left"/>
        <w:textAlignment w:val="baseline"/>
        <w:rPr>
          <w:rFonts w:ascii="宋体" w:hAnsi="宋体" w:eastAsia="宋体" w:cs="宋体"/>
          <w:snapToGrid w:val="0"/>
          <w:color w:val="auto"/>
          <w:kern w:val="0"/>
          <w:sz w:val="24"/>
          <w:szCs w:val="24"/>
          <w:lang w:val="en-US" w:eastAsia="en-US" w:bidi="ar-SA"/>
        </w:rPr>
      </w:pPr>
      <w:r>
        <w:rPr>
          <w:rFonts w:hint="default" w:ascii="宋体" w:hAnsi="宋体" w:eastAsia="宋体" w:cs="宋体"/>
          <w:b/>
          <w:bCs/>
          <w:snapToGrid w:val="0"/>
          <w:color w:val="auto"/>
          <w:spacing w:val="-3"/>
          <w:kern w:val="0"/>
          <w:sz w:val="24"/>
          <w:szCs w:val="24"/>
          <w:lang w:val="en-US" w:eastAsia="en-US" w:bidi="ar-SA"/>
        </w:rPr>
        <w:t>⑴</w:t>
      </w:r>
      <w:r>
        <w:rPr>
          <w:rFonts w:ascii="宋体" w:hAnsi="宋体" w:eastAsia="宋体" w:cs="宋体"/>
          <w:b/>
          <w:bCs/>
          <w:snapToGrid w:val="0"/>
          <w:color w:val="auto"/>
          <w:spacing w:val="-3"/>
          <w:kern w:val="0"/>
          <w:sz w:val="24"/>
          <w:szCs w:val="24"/>
          <w:lang w:val="en-US" w:eastAsia="en-US" w:bidi="ar-SA"/>
        </w:rPr>
        <w:t>评价区植被生物量评价</w:t>
      </w:r>
    </w:p>
    <w:p w14:paraId="0146B308">
      <w:pPr>
        <w:kinsoku w:val="0"/>
        <w:autoSpaceDE w:val="0"/>
        <w:autoSpaceDN w:val="0"/>
        <w:adjustRightInd w:val="0"/>
        <w:snapToGrid w:val="0"/>
        <w:spacing w:before="187" w:line="337" w:lineRule="auto"/>
        <w:ind w:left="258" w:right="247" w:firstLine="47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4"/>
          <w:kern w:val="0"/>
          <w:sz w:val="24"/>
          <w:szCs w:val="24"/>
          <w:lang w:val="en-US" w:eastAsia="en-US" w:bidi="ar-SA"/>
        </w:rPr>
        <w:t>评价范围内植被生物量数据借用中国科学院生态环境研究中心专家建立的</w:t>
      </w:r>
      <w:r>
        <w:rPr>
          <w:rFonts w:ascii="宋体" w:hAnsi="宋体" w:eastAsia="宋体" w:cs="宋体"/>
          <w:snapToGrid w:val="0"/>
          <w:color w:val="auto"/>
          <w:spacing w:val="-3"/>
          <w:kern w:val="0"/>
          <w:sz w:val="24"/>
          <w:szCs w:val="24"/>
          <w:lang w:val="en-US" w:eastAsia="en-US" w:bidi="ar-SA"/>
        </w:rPr>
        <w:t>生物量的基本参数，并以其对宁夏回族自治区植被推算的平均生物量作为本次植被生物量估算的基础，参照植被生物量和净生产量估计模型，参考《中国</w:t>
      </w:r>
      <w:r>
        <w:rPr>
          <w:rFonts w:ascii="宋体" w:hAnsi="宋体" w:eastAsia="宋体" w:cs="宋体"/>
          <w:snapToGrid w:val="0"/>
          <w:color w:val="auto"/>
          <w:spacing w:val="-4"/>
          <w:kern w:val="0"/>
          <w:sz w:val="24"/>
          <w:szCs w:val="24"/>
          <w:lang w:val="en-US" w:eastAsia="en-US" w:bidi="ar-SA"/>
        </w:rPr>
        <w:t>不同植</w:t>
      </w:r>
      <w:r>
        <w:rPr>
          <w:rFonts w:ascii="宋体" w:hAnsi="宋体" w:eastAsia="宋体" w:cs="宋体"/>
          <w:snapToGrid w:val="0"/>
          <w:color w:val="auto"/>
          <w:spacing w:val="-3"/>
          <w:kern w:val="0"/>
          <w:sz w:val="24"/>
          <w:szCs w:val="24"/>
          <w:lang w:val="en-US" w:eastAsia="en-US" w:bidi="ar-SA"/>
        </w:rPr>
        <w:t>被类型净初级生产力变化特征》（陈雅敏等，</w:t>
      </w:r>
      <w:r>
        <w:rPr>
          <w:rFonts w:ascii="Times New Roman" w:hAnsi="Times New Roman" w:eastAsia="Times New Roman" w:cs="Times New Roman"/>
          <w:snapToGrid w:val="0"/>
          <w:color w:val="auto"/>
          <w:spacing w:val="-3"/>
          <w:kern w:val="0"/>
          <w:sz w:val="24"/>
          <w:szCs w:val="24"/>
          <w:lang w:val="en-US" w:eastAsia="en-US" w:bidi="ar-SA"/>
        </w:rPr>
        <w:t>2012</w:t>
      </w:r>
      <w:r>
        <w:rPr>
          <w:rFonts w:ascii="宋体" w:hAnsi="宋体" w:eastAsia="宋体" w:cs="宋体"/>
          <w:snapToGrid w:val="0"/>
          <w:color w:val="auto"/>
          <w:spacing w:val="-3"/>
          <w:kern w:val="0"/>
          <w:sz w:val="24"/>
          <w:szCs w:val="24"/>
          <w:lang w:val="en-US" w:eastAsia="en-US" w:bidi="ar-SA"/>
        </w:rPr>
        <w:t>年）等文献资料，并根据现场调查，得出评价区域不同植被类型平均单位面积生物量指标，经计算得到评价区域的生物量，见表</w:t>
      </w:r>
      <w:r>
        <w:rPr>
          <w:rFonts w:ascii="Times New Roman" w:hAnsi="Times New Roman" w:eastAsia="Times New Roman" w:cs="Times New Roman"/>
          <w:snapToGrid w:val="0"/>
          <w:color w:val="auto"/>
          <w:spacing w:val="-3"/>
          <w:kern w:val="0"/>
          <w:sz w:val="24"/>
          <w:szCs w:val="24"/>
          <w:lang w:val="en-US" w:eastAsia="en-US" w:bidi="ar-SA"/>
        </w:rPr>
        <w:t>4.1-3</w:t>
      </w:r>
      <w:r>
        <w:rPr>
          <w:rFonts w:ascii="宋体" w:hAnsi="宋体" w:eastAsia="宋体" w:cs="宋体"/>
          <w:snapToGrid w:val="0"/>
          <w:color w:val="auto"/>
          <w:spacing w:val="-3"/>
          <w:kern w:val="0"/>
          <w:sz w:val="24"/>
          <w:szCs w:val="24"/>
          <w:lang w:val="en-US" w:eastAsia="en-US" w:bidi="ar-SA"/>
        </w:rPr>
        <w:t>所示。</w:t>
      </w:r>
    </w:p>
    <w:p w14:paraId="6D5F4885">
      <w:pPr>
        <w:kinsoku w:val="0"/>
        <w:autoSpaceDE w:val="0"/>
        <w:autoSpaceDN w:val="0"/>
        <w:adjustRightInd w:val="0"/>
        <w:snapToGrid w:val="0"/>
        <w:spacing w:before="115" w:line="240" w:lineRule="auto"/>
        <w:jc w:val="center"/>
        <w:textAlignment w:val="baseline"/>
        <w:rPr>
          <w:rFonts w:ascii="宋体" w:hAnsi="宋体" w:eastAsia="宋体" w:cs="宋体"/>
          <w:b/>
          <w:bCs/>
          <w:snapToGrid w:val="0"/>
          <w:color w:val="auto"/>
          <w:spacing w:val="-1"/>
          <w:kern w:val="0"/>
          <w:sz w:val="24"/>
          <w:szCs w:val="24"/>
          <w:lang w:val="en-US" w:eastAsia="en-US" w:bidi="ar-SA"/>
        </w:rPr>
      </w:pPr>
      <w:r>
        <w:rPr>
          <w:rFonts w:hint="eastAsia" w:ascii="宋体" w:hAnsi="宋体" w:cs="宋体"/>
          <w:b/>
          <w:bCs/>
          <w:snapToGrid w:val="0"/>
          <w:color w:val="auto"/>
          <w:spacing w:val="-1"/>
          <w:kern w:val="0"/>
          <w:sz w:val="24"/>
          <w:szCs w:val="24"/>
          <w:lang w:val="en-US" w:eastAsia="zh-CN" w:bidi="ar-SA"/>
        </w:rPr>
        <w:t>专题</w:t>
      </w:r>
      <w:r>
        <w:rPr>
          <w:rFonts w:ascii="宋体" w:hAnsi="宋体" w:eastAsia="宋体" w:cs="宋体"/>
          <w:b/>
          <w:bCs/>
          <w:snapToGrid w:val="0"/>
          <w:color w:val="auto"/>
          <w:spacing w:val="-1"/>
          <w:kern w:val="0"/>
          <w:sz w:val="24"/>
          <w:szCs w:val="24"/>
          <w:lang w:val="en-US" w:eastAsia="en-US" w:bidi="ar-SA"/>
        </w:rPr>
        <w:t>表</w:t>
      </w:r>
      <w:r>
        <w:rPr>
          <w:rFonts w:hint="eastAsia" w:ascii="Times New Roman" w:hAnsi="Times New Roman" w:eastAsia="Times New Roman" w:cs="Times New Roman"/>
          <w:b/>
          <w:bCs/>
          <w:snapToGrid w:val="0"/>
          <w:color w:val="auto"/>
          <w:spacing w:val="-1"/>
          <w:kern w:val="0"/>
          <w:sz w:val="24"/>
          <w:szCs w:val="24"/>
          <w:lang w:val="en-US" w:eastAsia="zh-CN" w:bidi="ar-SA"/>
        </w:rPr>
        <w:t>3</w:t>
      </w:r>
      <w:r>
        <w:rPr>
          <w:rFonts w:ascii="Times New Roman" w:hAnsi="Times New Roman" w:eastAsia="Times New Roman" w:cs="Times New Roman"/>
          <w:b/>
          <w:bCs/>
          <w:snapToGrid w:val="0"/>
          <w:color w:val="auto"/>
          <w:spacing w:val="-1"/>
          <w:kern w:val="0"/>
          <w:sz w:val="24"/>
          <w:szCs w:val="24"/>
          <w:lang w:val="en-US" w:eastAsia="en-US" w:bidi="ar-SA"/>
        </w:rPr>
        <w:t xml:space="preserve">-3 </w:t>
      </w:r>
      <w:r>
        <w:rPr>
          <w:rFonts w:ascii="宋体" w:hAnsi="宋体" w:eastAsia="宋体" w:cs="宋体"/>
          <w:b/>
          <w:bCs/>
          <w:snapToGrid w:val="0"/>
          <w:color w:val="auto"/>
          <w:spacing w:val="-1"/>
          <w:kern w:val="0"/>
          <w:sz w:val="24"/>
          <w:szCs w:val="24"/>
          <w:lang w:val="en-US" w:eastAsia="en-US" w:bidi="ar-SA"/>
        </w:rPr>
        <w:t>评价区植被生物量计算表</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8"/>
        <w:gridCol w:w="2181"/>
        <w:gridCol w:w="1325"/>
        <w:gridCol w:w="2062"/>
        <w:gridCol w:w="1238"/>
        <w:gridCol w:w="1490"/>
      </w:tblGrid>
      <w:tr w14:paraId="40E59B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718" w:type="dxa"/>
            <w:tcBorders>
              <w:top w:val="single" w:color="000000" w:sz="10" w:space="0"/>
              <w:left w:val="nil"/>
            </w:tcBorders>
            <w:vAlign w:val="center"/>
          </w:tcPr>
          <w:p w14:paraId="7AD715A4">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1"/>
                <w:szCs w:val="21"/>
                <w:lang w:eastAsia="en-US"/>
              </w:rPr>
            </w:pPr>
            <w:r>
              <w:rPr>
                <w:rFonts w:ascii="宋体" w:hAnsi="宋体" w:eastAsia="宋体" w:cs="宋体"/>
                <w:b/>
                <w:bCs/>
                <w:snapToGrid w:val="0"/>
                <w:color w:val="auto"/>
                <w:spacing w:val="5"/>
                <w:kern w:val="0"/>
                <w:sz w:val="21"/>
                <w:szCs w:val="21"/>
                <w:lang w:eastAsia="en-US"/>
              </w:rPr>
              <w:t>序号</w:t>
            </w:r>
          </w:p>
        </w:tc>
        <w:tc>
          <w:tcPr>
            <w:tcW w:w="2181" w:type="dxa"/>
            <w:tcBorders>
              <w:top w:val="single" w:color="000000" w:sz="10" w:space="0"/>
            </w:tcBorders>
            <w:vAlign w:val="center"/>
          </w:tcPr>
          <w:p w14:paraId="221AA56C">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1"/>
                <w:szCs w:val="21"/>
                <w:lang w:eastAsia="en-US"/>
              </w:rPr>
            </w:pPr>
            <w:r>
              <w:rPr>
                <w:rFonts w:ascii="宋体" w:hAnsi="宋体" w:eastAsia="宋体" w:cs="宋体"/>
                <w:b/>
                <w:bCs/>
                <w:snapToGrid w:val="0"/>
                <w:color w:val="auto"/>
                <w:spacing w:val="7"/>
                <w:kern w:val="0"/>
                <w:sz w:val="21"/>
                <w:szCs w:val="21"/>
                <w:lang w:eastAsia="en-US"/>
              </w:rPr>
              <w:t>植被类型</w:t>
            </w:r>
          </w:p>
        </w:tc>
        <w:tc>
          <w:tcPr>
            <w:tcW w:w="1325" w:type="dxa"/>
            <w:tcBorders>
              <w:top w:val="single" w:color="000000" w:sz="10" w:space="0"/>
            </w:tcBorders>
            <w:vAlign w:val="center"/>
          </w:tcPr>
          <w:p w14:paraId="3A9509BD">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spacing w:val="7"/>
                <w:kern w:val="0"/>
                <w:sz w:val="21"/>
                <w:szCs w:val="21"/>
                <w:lang w:val="en-US" w:eastAsia="en-US" w:bidi="ar-SA"/>
              </w:rPr>
            </w:pPr>
            <w:r>
              <w:rPr>
                <w:rFonts w:ascii="宋体" w:hAnsi="宋体" w:eastAsia="宋体" w:cs="宋体"/>
                <w:b/>
                <w:bCs/>
                <w:snapToGrid w:val="0"/>
                <w:color w:val="auto"/>
                <w:spacing w:val="7"/>
                <w:kern w:val="0"/>
                <w:sz w:val="21"/>
                <w:szCs w:val="21"/>
                <w:lang w:val="en-US" w:eastAsia="en-US" w:bidi="ar-SA"/>
              </w:rPr>
              <w:t>面积</w:t>
            </w:r>
          </w:p>
          <w:p w14:paraId="143BE91A">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1"/>
                <w:szCs w:val="21"/>
                <w:lang w:val="en-US" w:eastAsia="en-US" w:bidi="ar-SA"/>
              </w:rPr>
            </w:pPr>
            <w:r>
              <w:rPr>
                <w:rFonts w:ascii="宋体" w:hAnsi="宋体" w:eastAsia="宋体" w:cs="宋体"/>
                <w:b/>
                <w:bCs/>
                <w:snapToGrid w:val="0"/>
                <w:color w:val="auto"/>
                <w:spacing w:val="7"/>
                <w:kern w:val="0"/>
                <w:sz w:val="21"/>
                <w:szCs w:val="21"/>
                <w:lang w:val="en-US" w:eastAsia="en-US" w:bidi="ar-SA"/>
              </w:rPr>
              <w:t>（</w:t>
            </w:r>
            <w:r>
              <w:rPr>
                <w:rFonts w:ascii="Times New Roman" w:hAnsi="Times New Roman" w:eastAsia="Times New Roman" w:cs="Times New Roman"/>
                <w:b/>
                <w:bCs/>
                <w:snapToGrid w:val="0"/>
                <w:color w:val="auto"/>
                <w:kern w:val="0"/>
                <w:sz w:val="21"/>
                <w:szCs w:val="21"/>
                <w:lang w:val="en-US" w:eastAsia="en-US" w:bidi="ar-SA"/>
              </w:rPr>
              <w:t>hm</w:t>
            </w:r>
            <w:r>
              <w:rPr>
                <w:rFonts w:ascii="Times New Roman" w:hAnsi="Times New Roman" w:eastAsia="Times New Roman" w:cs="Times New Roman"/>
                <w:b/>
                <w:bCs/>
                <w:snapToGrid w:val="0"/>
                <w:color w:val="auto"/>
                <w:spacing w:val="7"/>
                <w:kern w:val="0"/>
                <w:position w:val="6"/>
                <w:sz w:val="21"/>
                <w:szCs w:val="21"/>
                <w:lang w:val="en-US" w:eastAsia="en-US" w:bidi="ar-SA"/>
              </w:rPr>
              <w:t>2</w:t>
            </w:r>
            <w:r>
              <w:rPr>
                <w:rFonts w:ascii="宋体" w:hAnsi="宋体" w:eastAsia="宋体" w:cs="宋体"/>
                <w:b/>
                <w:bCs/>
                <w:snapToGrid w:val="0"/>
                <w:color w:val="auto"/>
                <w:spacing w:val="7"/>
                <w:kern w:val="0"/>
                <w:sz w:val="21"/>
                <w:szCs w:val="21"/>
                <w:lang w:val="en-US" w:eastAsia="en-US" w:bidi="ar-SA"/>
              </w:rPr>
              <w:t>）</w:t>
            </w:r>
          </w:p>
        </w:tc>
        <w:tc>
          <w:tcPr>
            <w:tcW w:w="2062" w:type="dxa"/>
            <w:tcBorders>
              <w:top w:val="single" w:color="000000" w:sz="10" w:space="0"/>
            </w:tcBorders>
            <w:vAlign w:val="center"/>
          </w:tcPr>
          <w:p w14:paraId="374592CD">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spacing w:val="5"/>
                <w:kern w:val="0"/>
                <w:sz w:val="21"/>
                <w:szCs w:val="21"/>
                <w:lang w:val="en-US" w:eastAsia="en-US" w:bidi="ar-SA"/>
              </w:rPr>
            </w:pPr>
            <w:r>
              <w:rPr>
                <w:rFonts w:ascii="宋体" w:hAnsi="宋体" w:eastAsia="宋体" w:cs="宋体"/>
                <w:b/>
                <w:bCs/>
                <w:snapToGrid w:val="0"/>
                <w:color w:val="auto"/>
                <w:spacing w:val="7"/>
                <w:kern w:val="0"/>
                <w:sz w:val="21"/>
                <w:szCs w:val="21"/>
                <w:lang w:val="en-US" w:eastAsia="en-US" w:bidi="ar-SA"/>
              </w:rPr>
              <w:t>单位面积生物</w:t>
            </w:r>
            <w:r>
              <w:rPr>
                <w:rFonts w:ascii="宋体" w:hAnsi="宋体" w:eastAsia="宋体" w:cs="宋体"/>
                <w:b/>
                <w:bCs/>
                <w:snapToGrid w:val="0"/>
                <w:color w:val="auto"/>
                <w:spacing w:val="5"/>
                <w:kern w:val="0"/>
                <w:sz w:val="21"/>
                <w:szCs w:val="21"/>
                <w:lang w:val="en-US" w:eastAsia="en-US" w:bidi="ar-SA"/>
              </w:rPr>
              <w:t>量</w:t>
            </w:r>
          </w:p>
          <w:p w14:paraId="59690AA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1"/>
                <w:szCs w:val="21"/>
                <w:lang w:val="en-US" w:eastAsia="en-US" w:bidi="ar-SA"/>
              </w:rPr>
            </w:pPr>
            <w:r>
              <w:rPr>
                <w:rFonts w:ascii="宋体" w:hAnsi="宋体" w:eastAsia="宋体" w:cs="宋体"/>
                <w:b/>
                <w:bCs/>
                <w:snapToGrid w:val="0"/>
                <w:color w:val="auto"/>
                <w:spacing w:val="5"/>
                <w:kern w:val="0"/>
                <w:sz w:val="21"/>
                <w:szCs w:val="21"/>
                <w:lang w:val="en-US" w:eastAsia="en-US" w:bidi="ar-SA"/>
              </w:rPr>
              <w:t>（</w:t>
            </w:r>
            <w:r>
              <w:rPr>
                <w:rFonts w:ascii="Times New Roman" w:hAnsi="Times New Roman" w:eastAsia="Times New Roman" w:cs="Times New Roman"/>
                <w:b/>
                <w:bCs/>
                <w:snapToGrid w:val="0"/>
                <w:color w:val="auto"/>
                <w:spacing w:val="5"/>
                <w:kern w:val="0"/>
                <w:sz w:val="21"/>
                <w:szCs w:val="21"/>
                <w:lang w:val="en-US" w:eastAsia="en-US" w:bidi="ar-SA"/>
              </w:rPr>
              <w:t>t/</w:t>
            </w:r>
            <w:r>
              <w:rPr>
                <w:rFonts w:ascii="Times New Roman" w:hAnsi="Times New Roman" w:eastAsia="Times New Roman" w:cs="Times New Roman"/>
                <w:b/>
                <w:bCs/>
                <w:snapToGrid w:val="0"/>
                <w:color w:val="auto"/>
                <w:kern w:val="0"/>
                <w:sz w:val="21"/>
                <w:szCs w:val="21"/>
                <w:lang w:val="en-US" w:eastAsia="en-US" w:bidi="ar-SA"/>
              </w:rPr>
              <w:t>hm</w:t>
            </w:r>
            <w:r>
              <w:rPr>
                <w:rFonts w:ascii="Times New Roman" w:hAnsi="Times New Roman" w:eastAsia="Times New Roman" w:cs="Times New Roman"/>
                <w:b/>
                <w:bCs/>
                <w:snapToGrid w:val="0"/>
                <w:color w:val="auto"/>
                <w:spacing w:val="5"/>
                <w:kern w:val="0"/>
                <w:sz w:val="21"/>
                <w:szCs w:val="21"/>
                <w:vertAlign w:val="superscript"/>
                <w:lang w:val="en-US" w:eastAsia="en-US" w:bidi="ar-SA"/>
              </w:rPr>
              <w:t>2</w:t>
            </w:r>
            <w:r>
              <w:rPr>
                <w:rFonts w:ascii="宋体" w:hAnsi="宋体" w:eastAsia="宋体" w:cs="宋体"/>
                <w:b/>
                <w:bCs/>
                <w:snapToGrid w:val="0"/>
                <w:color w:val="auto"/>
                <w:spacing w:val="5"/>
                <w:kern w:val="0"/>
                <w:sz w:val="21"/>
                <w:szCs w:val="21"/>
                <w:lang w:val="en-US" w:eastAsia="en-US" w:bidi="ar-SA"/>
              </w:rPr>
              <w:t>）</w:t>
            </w:r>
          </w:p>
        </w:tc>
        <w:tc>
          <w:tcPr>
            <w:tcW w:w="1238" w:type="dxa"/>
            <w:tcBorders>
              <w:top w:val="single" w:color="000000" w:sz="10" w:space="0"/>
            </w:tcBorders>
            <w:vAlign w:val="center"/>
          </w:tcPr>
          <w:p w14:paraId="1C246328">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spacing w:val="5"/>
                <w:kern w:val="0"/>
                <w:sz w:val="21"/>
                <w:szCs w:val="21"/>
                <w:lang w:val="en-US" w:eastAsia="en-US" w:bidi="ar-SA"/>
              </w:rPr>
            </w:pPr>
            <w:r>
              <w:rPr>
                <w:rFonts w:ascii="宋体" w:hAnsi="宋体" w:eastAsia="宋体" w:cs="宋体"/>
                <w:b/>
                <w:bCs/>
                <w:snapToGrid w:val="0"/>
                <w:color w:val="auto"/>
                <w:spacing w:val="5"/>
                <w:kern w:val="0"/>
                <w:sz w:val="21"/>
                <w:szCs w:val="21"/>
                <w:lang w:val="en-US" w:eastAsia="en-US" w:bidi="ar-SA"/>
              </w:rPr>
              <w:t>生物量</w:t>
            </w:r>
          </w:p>
          <w:p w14:paraId="38B937D0">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1"/>
                <w:szCs w:val="21"/>
                <w:lang w:val="en-US" w:eastAsia="en-US" w:bidi="ar-SA"/>
              </w:rPr>
            </w:pPr>
            <w:r>
              <w:rPr>
                <w:rFonts w:ascii="宋体" w:hAnsi="宋体" w:eastAsia="宋体" w:cs="宋体"/>
                <w:b/>
                <w:bCs/>
                <w:snapToGrid w:val="0"/>
                <w:color w:val="auto"/>
                <w:spacing w:val="5"/>
                <w:kern w:val="0"/>
                <w:sz w:val="21"/>
                <w:szCs w:val="21"/>
                <w:lang w:val="en-US" w:eastAsia="en-US" w:bidi="ar-SA"/>
              </w:rPr>
              <w:t>（</w:t>
            </w:r>
            <w:r>
              <w:rPr>
                <w:rFonts w:ascii="Times New Roman" w:hAnsi="Times New Roman" w:eastAsia="Times New Roman" w:cs="Times New Roman"/>
                <w:b/>
                <w:bCs/>
                <w:snapToGrid w:val="0"/>
                <w:color w:val="auto"/>
                <w:spacing w:val="5"/>
                <w:kern w:val="0"/>
                <w:sz w:val="21"/>
                <w:szCs w:val="21"/>
                <w:lang w:val="en-US" w:eastAsia="en-US" w:bidi="ar-SA"/>
              </w:rPr>
              <w:t>t</w:t>
            </w:r>
            <w:r>
              <w:rPr>
                <w:rFonts w:ascii="宋体" w:hAnsi="宋体" w:eastAsia="宋体" w:cs="宋体"/>
                <w:b/>
                <w:bCs/>
                <w:snapToGrid w:val="0"/>
                <w:color w:val="auto"/>
                <w:spacing w:val="5"/>
                <w:kern w:val="0"/>
                <w:sz w:val="21"/>
                <w:szCs w:val="21"/>
                <w:lang w:val="en-US" w:eastAsia="en-US" w:bidi="ar-SA"/>
              </w:rPr>
              <w:t>）</w:t>
            </w:r>
          </w:p>
        </w:tc>
        <w:tc>
          <w:tcPr>
            <w:tcW w:w="1490" w:type="dxa"/>
            <w:tcBorders>
              <w:top w:val="single" w:color="000000" w:sz="10" w:space="0"/>
              <w:right w:val="nil"/>
            </w:tcBorders>
            <w:vAlign w:val="center"/>
          </w:tcPr>
          <w:p w14:paraId="2FF01A87">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1"/>
                <w:szCs w:val="21"/>
                <w:lang w:eastAsia="en-US"/>
              </w:rPr>
            </w:pPr>
            <w:r>
              <w:rPr>
                <w:rFonts w:ascii="宋体" w:hAnsi="宋体" w:eastAsia="宋体" w:cs="宋体"/>
                <w:b/>
                <w:bCs/>
                <w:snapToGrid w:val="0"/>
                <w:color w:val="auto"/>
                <w:spacing w:val="1"/>
                <w:kern w:val="0"/>
                <w:sz w:val="21"/>
                <w:szCs w:val="21"/>
                <w:lang w:eastAsia="en-US"/>
              </w:rPr>
              <w:t>占总生物量</w:t>
            </w:r>
            <w:r>
              <w:rPr>
                <w:rFonts w:ascii="宋体" w:hAnsi="宋体" w:eastAsia="宋体" w:cs="宋体"/>
                <w:b/>
                <w:bCs/>
                <w:snapToGrid w:val="0"/>
                <w:color w:val="auto"/>
                <w:spacing w:val="-7"/>
                <w:kern w:val="0"/>
                <w:sz w:val="21"/>
                <w:szCs w:val="21"/>
                <w:lang w:eastAsia="en-US"/>
              </w:rPr>
              <w:t>比例</w:t>
            </w:r>
          </w:p>
        </w:tc>
      </w:tr>
      <w:tr w14:paraId="264BD4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718" w:type="dxa"/>
            <w:tcBorders>
              <w:left w:val="nil"/>
            </w:tcBorders>
            <w:vAlign w:val="center"/>
          </w:tcPr>
          <w:p w14:paraId="01C02755">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kern w:val="0"/>
                <w:sz w:val="21"/>
                <w:szCs w:val="21"/>
                <w:lang w:val="en-US" w:eastAsia="en-US" w:bidi="ar-SA"/>
              </w:rPr>
              <w:t>1</w:t>
            </w:r>
          </w:p>
        </w:tc>
        <w:tc>
          <w:tcPr>
            <w:tcW w:w="2181" w:type="dxa"/>
            <w:vAlign w:val="center"/>
          </w:tcPr>
          <w:p w14:paraId="5630EA5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6"/>
                <w:kern w:val="0"/>
                <w:sz w:val="21"/>
                <w:szCs w:val="21"/>
                <w:lang w:eastAsia="en-US"/>
              </w:rPr>
              <w:t>针叶林</w:t>
            </w:r>
          </w:p>
        </w:tc>
        <w:tc>
          <w:tcPr>
            <w:tcW w:w="1325" w:type="dxa"/>
            <w:vAlign w:val="center"/>
          </w:tcPr>
          <w:p w14:paraId="331BFC7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3"/>
                <w:kern w:val="0"/>
                <w:sz w:val="21"/>
                <w:szCs w:val="21"/>
                <w:lang w:val="en-US" w:eastAsia="en-US" w:bidi="ar-SA"/>
              </w:rPr>
              <w:t>432.92</w:t>
            </w:r>
          </w:p>
        </w:tc>
        <w:tc>
          <w:tcPr>
            <w:tcW w:w="2062" w:type="dxa"/>
            <w:vAlign w:val="center"/>
          </w:tcPr>
          <w:p w14:paraId="5F0C30B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2"/>
                <w:kern w:val="0"/>
                <w:sz w:val="21"/>
                <w:szCs w:val="21"/>
                <w:lang w:val="en-US" w:eastAsia="en-US" w:bidi="ar-SA"/>
              </w:rPr>
              <w:t>64.24</w:t>
            </w:r>
          </w:p>
        </w:tc>
        <w:tc>
          <w:tcPr>
            <w:tcW w:w="1238" w:type="dxa"/>
            <w:vAlign w:val="center"/>
          </w:tcPr>
          <w:p w14:paraId="6535C243">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3"/>
                <w:kern w:val="0"/>
                <w:sz w:val="21"/>
                <w:szCs w:val="21"/>
                <w:lang w:val="en-US" w:eastAsia="en-US" w:bidi="ar-SA"/>
              </w:rPr>
              <w:t>27811.07</w:t>
            </w:r>
          </w:p>
        </w:tc>
        <w:tc>
          <w:tcPr>
            <w:tcW w:w="1490" w:type="dxa"/>
            <w:tcBorders>
              <w:right w:val="nil"/>
            </w:tcBorders>
            <w:vAlign w:val="center"/>
          </w:tcPr>
          <w:p w14:paraId="3AA3F3F8">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4"/>
                <w:kern w:val="0"/>
                <w:sz w:val="21"/>
                <w:szCs w:val="21"/>
                <w:lang w:val="en-US" w:eastAsia="en-US" w:bidi="ar-SA"/>
              </w:rPr>
              <w:t>21.69%</w:t>
            </w:r>
          </w:p>
        </w:tc>
      </w:tr>
      <w:tr w14:paraId="18BBB9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718" w:type="dxa"/>
            <w:tcBorders>
              <w:left w:val="nil"/>
            </w:tcBorders>
            <w:vAlign w:val="center"/>
          </w:tcPr>
          <w:p w14:paraId="3B3E86CA">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kern w:val="0"/>
                <w:sz w:val="21"/>
                <w:szCs w:val="21"/>
                <w:lang w:val="en-US" w:eastAsia="en-US" w:bidi="ar-SA"/>
              </w:rPr>
              <w:t>2</w:t>
            </w:r>
          </w:p>
        </w:tc>
        <w:tc>
          <w:tcPr>
            <w:tcW w:w="2181" w:type="dxa"/>
            <w:vAlign w:val="center"/>
          </w:tcPr>
          <w:p w14:paraId="5A6DA6F7">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1"/>
                <w:kern w:val="0"/>
                <w:sz w:val="21"/>
                <w:szCs w:val="21"/>
                <w:lang w:eastAsia="en-US"/>
              </w:rPr>
              <w:t>阔叶林</w:t>
            </w:r>
          </w:p>
        </w:tc>
        <w:tc>
          <w:tcPr>
            <w:tcW w:w="1325" w:type="dxa"/>
            <w:vAlign w:val="center"/>
          </w:tcPr>
          <w:p w14:paraId="22F2C175">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3"/>
                <w:kern w:val="0"/>
                <w:sz w:val="21"/>
                <w:szCs w:val="21"/>
                <w:lang w:val="en-US" w:eastAsia="en-US" w:bidi="ar-SA"/>
              </w:rPr>
              <w:t>619.14</w:t>
            </w:r>
          </w:p>
        </w:tc>
        <w:tc>
          <w:tcPr>
            <w:tcW w:w="2062" w:type="dxa"/>
            <w:vAlign w:val="center"/>
          </w:tcPr>
          <w:p w14:paraId="0CA2A39C">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2"/>
                <w:kern w:val="0"/>
                <w:sz w:val="21"/>
                <w:szCs w:val="21"/>
                <w:lang w:val="en-US" w:eastAsia="en-US" w:bidi="ar-SA"/>
              </w:rPr>
              <w:t>68.26</w:t>
            </w:r>
          </w:p>
        </w:tc>
        <w:tc>
          <w:tcPr>
            <w:tcW w:w="1238" w:type="dxa"/>
            <w:vAlign w:val="center"/>
          </w:tcPr>
          <w:p w14:paraId="4506C0F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4"/>
                <w:kern w:val="0"/>
                <w:sz w:val="21"/>
                <w:szCs w:val="21"/>
                <w:lang w:val="en-US" w:eastAsia="en-US" w:bidi="ar-SA"/>
              </w:rPr>
              <w:t>42262.16</w:t>
            </w:r>
          </w:p>
        </w:tc>
        <w:tc>
          <w:tcPr>
            <w:tcW w:w="1490" w:type="dxa"/>
            <w:tcBorders>
              <w:right w:val="nil"/>
            </w:tcBorders>
            <w:vAlign w:val="center"/>
          </w:tcPr>
          <w:p w14:paraId="4D236F6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3"/>
                <w:kern w:val="0"/>
                <w:sz w:val="21"/>
                <w:szCs w:val="21"/>
                <w:lang w:val="en-US" w:eastAsia="en-US" w:bidi="ar-SA"/>
              </w:rPr>
              <w:t>32.96%</w:t>
            </w:r>
          </w:p>
        </w:tc>
      </w:tr>
      <w:tr w14:paraId="66F769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718" w:type="dxa"/>
            <w:tcBorders>
              <w:left w:val="nil"/>
            </w:tcBorders>
            <w:vAlign w:val="center"/>
          </w:tcPr>
          <w:p w14:paraId="5438990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kern w:val="0"/>
                <w:sz w:val="21"/>
                <w:szCs w:val="21"/>
                <w:lang w:val="en-US" w:eastAsia="en-US" w:bidi="ar-SA"/>
              </w:rPr>
              <w:t>3</w:t>
            </w:r>
          </w:p>
        </w:tc>
        <w:tc>
          <w:tcPr>
            <w:tcW w:w="2181" w:type="dxa"/>
            <w:vAlign w:val="center"/>
          </w:tcPr>
          <w:p w14:paraId="3E923D1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7"/>
                <w:kern w:val="0"/>
                <w:sz w:val="21"/>
                <w:szCs w:val="21"/>
                <w:lang w:eastAsia="en-US"/>
              </w:rPr>
              <w:t>落叶阔叶灌丛</w:t>
            </w:r>
          </w:p>
        </w:tc>
        <w:tc>
          <w:tcPr>
            <w:tcW w:w="1325" w:type="dxa"/>
            <w:vAlign w:val="center"/>
          </w:tcPr>
          <w:p w14:paraId="4DDE2E7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1441.16</w:t>
            </w:r>
          </w:p>
        </w:tc>
        <w:tc>
          <w:tcPr>
            <w:tcW w:w="2062" w:type="dxa"/>
            <w:vAlign w:val="center"/>
          </w:tcPr>
          <w:p w14:paraId="3CE1C390">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3"/>
                <w:kern w:val="0"/>
                <w:sz w:val="21"/>
                <w:szCs w:val="21"/>
                <w:lang w:val="en-US" w:eastAsia="en-US" w:bidi="ar-SA"/>
              </w:rPr>
              <w:t>25.89</w:t>
            </w:r>
          </w:p>
        </w:tc>
        <w:tc>
          <w:tcPr>
            <w:tcW w:w="1238" w:type="dxa"/>
            <w:vAlign w:val="center"/>
          </w:tcPr>
          <w:p w14:paraId="70087D0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3"/>
                <w:kern w:val="0"/>
                <w:sz w:val="21"/>
                <w:szCs w:val="21"/>
                <w:lang w:val="en-US" w:eastAsia="en-US" w:bidi="ar-SA"/>
              </w:rPr>
              <w:t>37311.73</w:t>
            </w:r>
          </w:p>
        </w:tc>
        <w:tc>
          <w:tcPr>
            <w:tcW w:w="1490" w:type="dxa"/>
            <w:tcBorders>
              <w:right w:val="nil"/>
            </w:tcBorders>
            <w:vAlign w:val="center"/>
          </w:tcPr>
          <w:p w14:paraId="7B41C603">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4"/>
                <w:kern w:val="0"/>
                <w:sz w:val="21"/>
                <w:szCs w:val="21"/>
                <w:lang w:val="en-US" w:eastAsia="en-US" w:bidi="ar-SA"/>
              </w:rPr>
              <w:t>29.10%</w:t>
            </w:r>
          </w:p>
        </w:tc>
      </w:tr>
      <w:tr w14:paraId="7F48E3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718" w:type="dxa"/>
            <w:tcBorders>
              <w:left w:val="nil"/>
            </w:tcBorders>
            <w:vAlign w:val="center"/>
          </w:tcPr>
          <w:p w14:paraId="66A1BD6D">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4</w:t>
            </w:r>
          </w:p>
        </w:tc>
        <w:tc>
          <w:tcPr>
            <w:tcW w:w="2181" w:type="dxa"/>
            <w:vAlign w:val="center"/>
          </w:tcPr>
          <w:p w14:paraId="23551B98">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8"/>
                <w:kern w:val="0"/>
                <w:sz w:val="21"/>
                <w:szCs w:val="21"/>
                <w:lang w:eastAsia="en-US"/>
              </w:rPr>
              <w:t>丛生禾草草原</w:t>
            </w:r>
          </w:p>
        </w:tc>
        <w:tc>
          <w:tcPr>
            <w:tcW w:w="1325" w:type="dxa"/>
            <w:vAlign w:val="center"/>
          </w:tcPr>
          <w:p w14:paraId="10AFC886">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1034.30</w:t>
            </w:r>
          </w:p>
        </w:tc>
        <w:tc>
          <w:tcPr>
            <w:tcW w:w="2062" w:type="dxa"/>
            <w:vAlign w:val="center"/>
          </w:tcPr>
          <w:p w14:paraId="333F595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2"/>
                <w:kern w:val="0"/>
                <w:sz w:val="21"/>
                <w:szCs w:val="21"/>
                <w:lang w:val="en-US" w:eastAsia="en-US" w:bidi="ar-SA"/>
              </w:rPr>
              <w:t>5.56</w:t>
            </w:r>
          </w:p>
        </w:tc>
        <w:tc>
          <w:tcPr>
            <w:tcW w:w="1238" w:type="dxa"/>
            <w:vAlign w:val="center"/>
          </w:tcPr>
          <w:p w14:paraId="6B2EE24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3"/>
                <w:kern w:val="0"/>
                <w:sz w:val="21"/>
                <w:szCs w:val="21"/>
                <w:lang w:val="en-US" w:eastAsia="en-US" w:bidi="ar-SA"/>
              </w:rPr>
              <w:t>5750.70</w:t>
            </w:r>
          </w:p>
        </w:tc>
        <w:tc>
          <w:tcPr>
            <w:tcW w:w="1490" w:type="dxa"/>
            <w:tcBorders>
              <w:right w:val="nil"/>
            </w:tcBorders>
            <w:vAlign w:val="center"/>
          </w:tcPr>
          <w:p w14:paraId="7035A294">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4"/>
                <w:kern w:val="0"/>
                <w:sz w:val="21"/>
                <w:szCs w:val="21"/>
                <w:lang w:val="en-US" w:eastAsia="en-US" w:bidi="ar-SA"/>
              </w:rPr>
              <w:t>4.48%</w:t>
            </w:r>
          </w:p>
        </w:tc>
      </w:tr>
      <w:tr w14:paraId="5F29CF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718" w:type="dxa"/>
            <w:tcBorders>
              <w:left w:val="nil"/>
            </w:tcBorders>
            <w:vAlign w:val="center"/>
          </w:tcPr>
          <w:p w14:paraId="4E386BED">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kern w:val="0"/>
                <w:sz w:val="21"/>
                <w:szCs w:val="21"/>
                <w:lang w:val="en-US" w:eastAsia="en-US" w:bidi="ar-SA"/>
              </w:rPr>
              <w:t>5</w:t>
            </w:r>
          </w:p>
        </w:tc>
        <w:tc>
          <w:tcPr>
            <w:tcW w:w="2181" w:type="dxa"/>
            <w:vAlign w:val="center"/>
          </w:tcPr>
          <w:p w14:paraId="43341463">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8"/>
                <w:kern w:val="0"/>
                <w:sz w:val="21"/>
                <w:szCs w:val="21"/>
                <w:lang w:eastAsia="en-US"/>
              </w:rPr>
              <w:t>果树园和经济林</w:t>
            </w:r>
          </w:p>
        </w:tc>
        <w:tc>
          <w:tcPr>
            <w:tcW w:w="1325" w:type="dxa"/>
            <w:vAlign w:val="center"/>
          </w:tcPr>
          <w:p w14:paraId="4B463AF2">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2"/>
                <w:kern w:val="0"/>
                <w:sz w:val="21"/>
                <w:szCs w:val="21"/>
                <w:lang w:val="en-US" w:eastAsia="en-US" w:bidi="ar-SA"/>
              </w:rPr>
              <w:t>38.66</w:t>
            </w:r>
          </w:p>
        </w:tc>
        <w:tc>
          <w:tcPr>
            <w:tcW w:w="2062" w:type="dxa"/>
            <w:vAlign w:val="center"/>
          </w:tcPr>
          <w:p w14:paraId="4A1BFA47">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3"/>
                <w:kern w:val="0"/>
                <w:sz w:val="21"/>
                <w:szCs w:val="21"/>
                <w:lang w:val="en-US" w:eastAsia="en-US" w:bidi="ar-SA"/>
              </w:rPr>
              <w:t>48.58</w:t>
            </w:r>
          </w:p>
        </w:tc>
        <w:tc>
          <w:tcPr>
            <w:tcW w:w="1238" w:type="dxa"/>
            <w:vAlign w:val="center"/>
          </w:tcPr>
          <w:p w14:paraId="39BD2400">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1877.88</w:t>
            </w:r>
          </w:p>
        </w:tc>
        <w:tc>
          <w:tcPr>
            <w:tcW w:w="1490" w:type="dxa"/>
            <w:tcBorders>
              <w:right w:val="nil"/>
            </w:tcBorders>
            <w:vAlign w:val="center"/>
          </w:tcPr>
          <w:p w14:paraId="01D26147">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kern w:val="0"/>
                <w:sz w:val="21"/>
                <w:szCs w:val="21"/>
                <w:lang w:val="en-US" w:eastAsia="en-US" w:bidi="ar-SA"/>
              </w:rPr>
              <w:t>1.46%</w:t>
            </w:r>
          </w:p>
        </w:tc>
      </w:tr>
      <w:tr w14:paraId="6C951D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718" w:type="dxa"/>
            <w:tcBorders>
              <w:left w:val="nil"/>
            </w:tcBorders>
            <w:vAlign w:val="center"/>
          </w:tcPr>
          <w:p w14:paraId="09B958D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kern w:val="0"/>
                <w:sz w:val="21"/>
                <w:szCs w:val="21"/>
                <w:lang w:val="en-US" w:eastAsia="en-US" w:bidi="ar-SA"/>
              </w:rPr>
              <w:t>6</w:t>
            </w:r>
          </w:p>
        </w:tc>
        <w:tc>
          <w:tcPr>
            <w:tcW w:w="2181" w:type="dxa"/>
            <w:vAlign w:val="center"/>
          </w:tcPr>
          <w:p w14:paraId="2D9CCD2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7"/>
                <w:kern w:val="0"/>
                <w:sz w:val="21"/>
                <w:szCs w:val="21"/>
                <w:lang w:eastAsia="en-US"/>
              </w:rPr>
              <w:t>农田植被</w:t>
            </w:r>
          </w:p>
        </w:tc>
        <w:tc>
          <w:tcPr>
            <w:tcW w:w="1325" w:type="dxa"/>
            <w:vAlign w:val="center"/>
          </w:tcPr>
          <w:p w14:paraId="4713268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1391.12</w:t>
            </w:r>
          </w:p>
        </w:tc>
        <w:tc>
          <w:tcPr>
            <w:tcW w:w="2062" w:type="dxa"/>
            <w:vAlign w:val="center"/>
          </w:tcPr>
          <w:p w14:paraId="6193896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9.5</w:t>
            </w:r>
          </w:p>
        </w:tc>
        <w:tc>
          <w:tcPr>
            <w:tcW w:w="1238" w:type="dxa"/>
            <w:vAlign w:val="center"/>
          </w:tcPr>
          <w:p w14:paraId="683F6595">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13215.61</w:t>
            </w:r>
          </w:p>
        </w:tc>
        <w:tc>
          <w:tcPr>
            <w:tcW w:w="1490" w:type="dxa"/>
            <w:tcBorders>
              <w:right w:val="nil"/>
            </w:tcBorders>
            <w:vAlign w:val="center"/>
          </w:tcPr>
          <w:p w14:paraId="788FD76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kern w:val="0"/>
                <w:sz w:val="21"/>
                <w:szCs w:val="21"/>
                <w:lang w:val="en-US" w:eastAsia="en-US" w:bidi="ar-SA"/>
              </w:rPr>
              <w:t>10.31%</w:t>
            </w:r>
          </w:p>
        </w:tc>
      </w:tr>
      <w:tr w14:paraId="694BB2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2899" w:type="dxa"/>
            <w:gridSpan w:val="2"/>
            <w:tcBorders>
              <w:left w:val="nil"/>
              <w:bottom w:val="single" w:color="000000" w:sz="10" w:space="0"/>
            </w:tcBorders>
            <w:vAlign w:val="center"/>
          </w:tcPr>
          <w:p w14:paraId="2CF03786">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1"/>
                <w:szCs w:val="21"/>
                <w:lang w:eastAsia="en-US"/>
              </w:rPr>
            </w:pPr>
            <w:r>
              <w:rPr>
                <w:rFonts w:ascii="宋体" w:hAnsi="宋体" w:eastAsia="宋体" w:cs="宋体"/>
                <w:snapToGrid w:val="0"/>
                <w:color w:val="auto"/>
                <w:spacing w:val="4"/>
                <w:kern w:val="0"/>
                <w:sz w:val="21"/>
                <w:szCs w:val="21"/>
                <w:lang w:eastAsia="en-US"/>
              </w:rPr>
              <w:t>合计</w:t>
            </w:r>
          </w:p>
        </w:tc>
        <w:tc>
          <w:tcPr>
            <w:tcW w:w="1325" w:type="dxa"/>
            <w:tcBorders>
              <w:bottom w:val="single" w:color="000000" w:sz="10" w:space="0"/>
            </w:tcBorders>
            <w:vAlign w:val="center"/>
          </w:tcPr>
          <w:p w14:paraId="3C4BA7A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4"/>
                <w:kern w:val="0"/>
                <w:sz w:val="21"/>
                <w:szCs w:val="21"/>
                <w:lang w:val="en-US" w:eastAsia="en-US" w:bidi="ar-SA"/>
              </w:rPr>
              <w:t>4957.29</w:t>
            </w:r>
          </w:p>
        </w:tc>
        <w:tc>
          <w:tcPr>
            <w:tcW w:w="2062" w:type="dxa"/>
            <w:tcBorders>
              <w:bottom w:val="single" w:color="000000" w:sz="10" w:space="0"/>
            </w:tcBorders>
            <w:vAlign w:val="center"/>
          </w:tcPr>
          <w:p w14:paraId="06862F42">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Arial" w:hAnsi="Arial" w:eastAsia="宋体" w:cs="Arial"/>
                <w:snapToGrid w:val="0"/>
                <w:color w:val="auto"/>
                <w:kern w:val="0"/>
                <w:sz w:val="21"/>
                <w:szCs w:val="21"/>
                <w:lang w:val="en-US" w:eastAsia="zh-CN"/>
              </w:rPr>
            </w:pPr>
            <w:r>
              <w:rPr>
                <w:rFonts w:hint="eastAsia" w:ascii="Arial" w:hAnsi="Arial" w:eastAsia="宋体" w:cs="Arial"/>
                <w:snapToGrid w:val="0"/>
                <w:color w:val="auto"/>
                <w:kern w:val="0"/>
                <w:sz w:val="21"/>
                <w:szCs w:val="21"/>
                <w:lang w:val="en-US" w:eastAsia="zh-CN"/>
              </w:rPr>
              <w:t>/</w:t>
            </w:r>
          </w:p>
        </w:tc>
        <w:tc>
          <w:tcPr>
            <w:tcW w:w="1238" w:type="dxa"/>
            <w:tcBorders>
              <w:bottom w:val="single" w:color="000000" w:sz="10" w:space="0"/>
            </w:tcBorders>
            <w:vAlign w:val="center"/>
          </w:tcPr>
          <w:p w14:paraId="2475174D">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2"/>
                <w:kern w:val="0"/>
                <w:sz w:val="21"/>
                <w:szCs w:val="21"/>
                <w:lang w:val="en-US" w:eastAsia="en-US" w:bidi="ar-SA"/>
              </w:rPr>
              <w:t>128229.14</w:t>
            </w:r>
          </w:p>
        </w:tc>
        <w:tc>
          <w:tcPr>
            <w:tcW w:w="1490" w:type="dxa"/>
            <w:tcBorders>
              <w:bottom w:val="single" w:color="000000" w:sz="10" w:space="0"/>
              <w:right w:val="nil"/>
            </w:tcBorders>
            <w:vAlign w:val="center"/>
          </w:tcPr>
          <w:p w14:paraId="784FCD4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100.00%</w:t>
            </w:r>
          </w:p>
        </w:tc>
      </w:tr>
    </w:tbl>
    <w:p w14:paraId="050C4F1A">
      <w:pPr>
        <w:kinsoku w:val="0"/>
        <w:autoSpaceDE w:val="0"/>
        <w:autoSpaceDN w:val="0"/>
        <w:adjustRightInd w:val="0"/>
        <w:snapToGrid w:val="0"/>
        <w:spacing w:before="78" w:line="360" w:lineRule="auto"/>
        <w:ind w:left="252" w:right="188" w:firstLine="514"/>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由表</w:t>
      </w:r>
      <w:r>
        <w:rPr>
          <w:rFonts w:ascii="Times New Roman" w:hAnsi="Times New Roman" w:eastAsia="Times New Roman" w:cs="Times New Roman"/>
          <w:snapToGrid w:val="0"/>
          <w:color w:val="auto"/>
          <w:spacing w:val="-1"/>
          <w:kern w:val="0"/>
          <w:sz w:val="24"/>
          <w:szCs w:val="24"/>
          <w:lang w:val="en-US" w:eastAsia="en-US" w:bidi="ar-SA"/>
        </w:rPr>
        <w:t>4.1-3</w:t>
      </w:r>
      <w:r>
        <w:rPr>
          <w:rFonts w:ascii="宋体" w:hAnsi="宋体" w:eastAsia="宋体" w:cs="宋体"/>
          <w:snapToGrid w:val="0"/>
          <w:color w:val="auto"/>
          <w:spacing w:val="-1"/>
          <w:kern w:val="0"/>
          <w:sz w:val="24"/>
          <w:szCs w:val="24"/>
          <w:lang w:val="en-US" w:eastAsia="en-US" w:bidi="ar-SA"/>
        </w:rPr>
        <w:t>可知，评价区域总生物量约为</w:t>
      </w:r>
      <w:r>
        <w:rPr>
          <w:rFonts w:ascii="Times New Roman" w:hAnsi="Times New Roman" w:eastAsia="Times New Roman" w:cs="Times New Roman"/>
          <w:snapToGrid w:val="0"/>
          <w:color w:val="auto"/>
          <w:spacing w:val="-1"/>
          <w:kern w:val="0"/>
          <w:sz w:val="24"/>
          <w:szCs w:val="24"/>
          <w:lang w:val="en-US" w:eastAsia="en-US" w:bidi="ar-SA"/>
        </w:rPr>
        <w:t>128229.14t</w:t>
      </w:r>
      <w:r>
        <w:rPr>
          <w:rFonts w:ascii="宋体" w:hAnsi="宋体" w:eastAsia="宋体" w:cs="宋体"/>
          <w:snapToGrid w:val="0"/>
          <w:color w:val="auto"/>
          <w:spacing w:val="-2"/>
          <w:kern w:val="0"/>
          <w:sz w:val="24"/>
          <w:szCs w:val="24"/>
          <w:lang w:val="en-US" w:eastAsia="en-US" w:bidi="ar-SA"/>
        </w:rPr>
        <w:t>，其中阔叶林生物量约为</w:t>
      </w:r>
      <w:r>
        <w:rPr>
          <w:rFonts w:ascii="Times New Roman" w:hAnsi="Times New Roman" w:eastAsia="Times New Roman" w:cs="Times New Roman"/>
          <w:snapToGrid w:val="0"/>
          <w:color w:val="auto"/>
          <w:spacing w:val="1"/>
          <w:kern w:val="0"/>
          <w:sz w:val="24"/>
          <w:szCs w:val="24"/>
          <w:lang w:val="en-US" w:eastAsia="en-US" w:bidi="ar-SA"/>
        </w:rPr>
        <w:t>42262.16t</w:t>
      </w:r>
      <w:r>
        <w:rPr>
          <w:rFonts w:ascii="宋体" w:hAnsi="宋体" w:eastAsia="宋体" w:cs="宋体"/>
          <w:snapToGrid w:val="0"/>
          <w:color w:val="auto"/>
          <w:spacing w:val="1"/>
          <w:kern w:val="0"/>
          <w:sz w:val="24"/>
          <w:szCs w:val="24"/>
          <w:lang w:val="en-US" w:eastAsia="en-US" w:bidi="ar-SA"/>
        </w:rPr>
        <w:t>，</w:t>
      </w:r>
      <w:r>
        <w:rPr>
          <w:rFonts w:ascii="宋体" w:hAnsi="宋体" w:eastAsia="宋体" w:cs="宋体"/>
          <w:snapToGrid w:val="0"/>
          <w:color w:val="auto"/>
          <w:spacing w:val="-52"/>
          <w:kern w:val="0"/>
          <w:sz w:val="24"/>
          <w:szCs w:val="24"/>
          <w:lang w:val="en-US" w:eastAsia="en-US" w:bidi="ar-SA"/>
        </w:rPr>
        <w:t xml:space="preserve"> </w:t>
      </w:r>
      <w:r>
        <w:rPr>
          <w:rFonts w:ascii="宋体" w:hAnsi="宋体" w:eastAsia="宋体" w:cs="宋体"/>
          <w:snapToGrid w:val="0"/>
          <w:color w:val="auto"/>
          <w:spacing w:val="1"/>
          <w:kern w:val="0"/>
          <w:sz w:val="24"/>
          <w:szCs w:val="24"/>
          <w:lang w:val="en-US" w:eastAsia="en-US" w:bidi="ar-SA"/>
        </w:rPr>
        <w:t>占评价区总生物量的</w:t>
      </w:r>
      <w:r>
        <w:rPr>
          <w:rFonts w:ascii="Times New Roman" w:hAnsi="Times New Roman" w:eastAsia="Times New Roman" w:cs="Times New Roman"/>
          <w:snapToGrid w:val="0"/>
          <w:color w:val="auto"/>
          <w:spacing w:val="1"/>
          <w:kern w:val="0"/>
          <w:sz w:val="24"/>
          <w:szCs w:val="24"/>
          <w:lang w:val="en-US" w:eastAsia="en-US" w:bidi="ar-SA"/>
        </w:rPr>
        <w:t>32.96%</w:t>
      </w:r>
      <w:r>
        <w:rPr>
          <w:rFonts w:ascii="宋体" w:hAnsi="宋体" w:eastAsia="宋体" w:cs="宋体"/>
          <w:snapToGrid w:val="0"/>
          <w:color w:val="auto"/>
          <w:spacing w:val="1"/>
          <w:kern w:val="0"/>
          <w:sz w:val="24"/>
          <w:szCs w:val="24"/>
          <w:lang w:val="en-US" w:eastAsia="en-US" w:bidi="ar-SA"/>
        </w:rPr>
        <w:t>，所占比重最大；落叶阔叶灌丛次之，生物量为</w:t>
      </w:r>
      <w:r>
        <w:rPr>
          <w:rFonts w:ascii="Times New Roman" w:hAnsi="Times New Roman" w:eastAsia="Times New Roman" w:cs="Times New Roman"/>
          <w:snapToGrid w:val="0"/>
          <w:color w:val="auto"/>
          <w:spacing w:val="1"/>
          <w:kern w:val="0"/>
          <w:sz w:val="24"/>
          <w:szCs w:val="24"/>
          <w:lang w:val="en-US" w:eastAsia="en-US" w:bidi="ar-SA"/>
        </w:rPr>
        <w:t>37311.73t</w:t>
      </w:r>
      <w:r>
        <w:rPr>
          <w:rFonts w:ascii="宋体" w:hAnsi="宋体" w:eastAsia="宋体" w:cs="宋体"/>
          <w:snapToGrid w:val="0"/>
          <w:color w:val="auto"/>
          <w:spacing w:val="1"/>
          <w:kern w:val="0"/>
          <w:sz w:val="24"/>
          <w:szCs w:val="24"/>
          <w:lang w:val="en-US" w:eastAsia="en-US" w:bidi="ar-SA"/>
        </w:rPr>
        <w:t>，</w:t>
      </w:r>
      <w:r>
        <w:rPr>
          <w:rFonts w:ascii="宋体" w:hAnsi="宋体" w:eastAsia="宋体" w:cs="宋体"/>
          <w:snapToGrid w:val="0"/>
          <w:color w:val="auto"/>
          <w:spacing w:val="-50"/>
          <w:kern w:val="0"/>
          <w:sz w:val="24"/>
          <w:szCs w:val="24"/>
          <w:lang w:val="en-US" w:eastAsia="en-US" w:bidi="ar-SA"/>
        </w:rPr>
        <w:t xml:space="preserve"> </w:t>
      </w:r>
      <w:r>
        <w:rPr>
          <w:rFonts w:ascii="宋体" w:hAnsi="宋体" w:eastAsia="宋体" w:cs="宋体"/>
          <w:snapToGrid w:val="0"/>
          <w:color w:val="auto"/>
          <w:spacing w:val="1"/>
          <w:kern w:val="0"/>
          <w:sz w:val="24"/>
          <w:szCs w:val="24"/>
          <w:lang w:val="en-US" w:eastAsia="en-US" w:bidi="ar-SA"/>
        </w:rPr>
        <w:t>占评价区总生物量的</w:t>
      </w:r>
      <w:r>
        <w:rPr>
          <w:rFonts w:ascii="Times New Roman" w:hAnsi="Times New Roman" w:eastAsia="Times New Roman" w:cs="Times New Roman"/>
          <w:snapToGrid w:val="0"/>
          <w:color w:val="auto"/>
          <w:spacing w:val="1"/>
          <w:kern w:val="0"/>
          <w:sz w:val="24"/>
          <w:szCs w:val="24"/>
          <w:lang w:val="en-US" w:eastAsia="en-US" w:bidi="ar-SA"/>
        </w:rPr>
        <w:t>29.10%</w:t>
      </w:r>
      <w:r>
        <w:rPr>
          <w:rFonts w:ascii="宋体" w:hAnsi="宋体" w:eastAsia="宋体" w:cs="宋体"/>
          <w:snapToGrid w:val="0"/>
          <w:color w:val="auto"/>
          <w:spacing w:val="1"/>
          <w:kern w:val="0"/>
          <w:sz w:val="24"/>
          <w:szCs w:val="24"/>
          <w:lang w:val="en-US" w:eastAsia="en-US" w:bidi="ar-SA"/>
        </w:rPr>
        <w:t>。果树园和经济林由于涉及范</w:t>
      </w:r>
      <w:r>
        <w:rPr>
          <w:rFonts w:ascii="宋体" w:hAnsi="宋体" w:eastAsia="宋体" w:cs="宋体"/>
          <w:snapToGrid w:val="0"/>
          <w:color w:val="auto"/>
          <w:spacing w:val="-1"/>
          <w:kern w:val="0"/>
          <w:sz w:val="24"/>
          <w:szCs w:val="24"/>
          <w:lang w:val="en-US" w:eastAsia="en-US" w:bidi="ar-SA"/>
        </w:rPr>
        <w:t>围小，在评价区的生物量相对较少。整个评价区植被构成中农作物主</w:t>
      </w:r>
      <w:r>
        <w:rPr>
          <w:rFonts w:ascii="宋体" w:hAnsi="宋体" w:eastAsia="宋体" w:cs="宋体"/>
          <w:snapToGrid w:val="0"/>
          <w:color w:val="auto"/>
          <w:spacing w:val="-2"/>
          <w:kern w:val="0"/>
          <w:sz w:val="24"/>
          <w:szCs w:val="24"/>
          <w:lang w:val="en-US" w:eastAsia="en-US" w:bidi="ar-SA"/>
        </w:rPr>
        <w:t>要为玉米、</w:t>
      </w:r>
      <w:r>
        <w:rPr>
          <w:rFonts w:ascii="宋体" w:hAnsi="宋体" w:eastAsia="宋体" w:cs="宋体"/>
          <w:snapToGrid w:val="0"/>
          <w:color w:val="auto"/>
          <w:spacing w:val="-3"/>
          <w:kern w:val="0"/>
          <w:sz w:val="24"/>
          <w:szCs w:val="24"/>
          <w:lang w:val="en-US" w:eastAsia="en-US" w:bidi="ar-SA"/>
        </w:rPr>
        <w:t>小麦，由于种植密度高，生物生产能力相对较高。评价区草原单位生物量较低且生产力受环境限制，主要为针茅、百里香、委陵菜、冰草、沙蒿等当地易生长的</w:t>
      </w:r>
      <w:r>
        <w:rPr>
          <w:rFonts w:ascii="宋体" w:hAnsi="宋体" w:eastAsia="宋体" w:cs="宋体"/>
          <w:snapToGrid w:val="0"/>
          <w:color w:val="auto"/>
          <w:spacing w:val="-7"/>
          <w:kern w:val="0"/>
          <w:sz w:val="24"/>
          <w:szCs w:val="24"/>
          <w:lang w:val="en-US" w:eastAsia="en-US" w:bidi="ar-SA"/>
        </w:rPr>
        <w:t>草原植被。</w:t>
      </w:r>
    </w:p>
    <w:p w14:paraId="38A8EFBB">
      <w:pPr>
        <w:widowControl/>
        <w:kinsoku w:val="0"/>
        <w:autoSpaceDE w:val="0"/>
        <w:autoSpaceDN w:val="0"/>
        <w:adjustRightInd w:val="0"/>
        <w:snapToGrid w:val="0"/>
        <w:spacing w:before="2" w:line="222" w:lineRule="auto"/>
        <w:ind w:left="255"/>
        <w:jc w:val="left"/>
        <w:textAlignment w:val="baseline"/>
        <w:outlineLvl w:val="2"/>
        <w:rPr>
          <w:rFonts w:hint="default" w:ascii="Times New Roman" w:hAnsi="Times New Roman" w:eastAsia="宋体" w:cs="Times New Roman"/>
          <w:b/>
          <w:bCs/>
          <w:color w:val="auto"/>
          <w:kern w:val="2"/>
          <w:sz w:val="24"/>
          <w:szCs w:val="24"/>
          <w:highlight w:val="none"/>
          <w:lang w:val="en-US" w:eastAsia="en-US" w:bidi="ar-SA"/>
        </w:rPr>
      </w:pPr>
      <w:r>
        <w:rPr>
          <w:rFonts w:hint="eastAsia"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en-US" w:bidi="ar-SA"/>
        </w:rPr>
        <w:t>.1.3土壤侵蚀状况</w:t>
      </w:r>
    </w:p>
    <w:p w14:paraId="17F02572">
      <w:pPr>
        <w:kinsoku w:val="0"/>
        <w:autoSpaceDE w:val="0"/>
        <w:autoSpaceDN w:val="0"/>
        <w:adjustRightInd w:val="0"/>
        <w:snapToGrid w:val="0"/>
        <w:spacing w:before="179" w:line="360" w:lineRule="auto"/>
        <w:ind w:left="23" w:firstLine="482"/>
        <w:jc w:val="both"/>
        <w:textAlignment w:val="baseline"/>
        <w:rPr>
          <w:rFonts w:hint="default" w:ascii="宋体" w:hAnsi="宋体" w:eastAsia="宋体" w:cs="宋体"/>
          <w:snapToGrid w:val="0"/>
          <w:color w:val="auto"/>
          <w:kern w:val="0"/>
          <w:sz w:val="24"/>
          <w:szCs w:val="24"/>
          <w:lang w:val="en-US" w:eastAsia="zh-CN" w:bidi="ar-SA"/>
        </w:rPr>
      </w:pPr>
      <w:r>
        <w:rPr>
          <w:rFonts w:hint="default" w:ascii="Times New Roman" w:hAnsi="Times New Roman" w:eastAsia="宋体" w:cs="Times New Roman"/>
          <w:snapToGrid w:val="0"/>
          <w:color w:val="auto"/>
          <w:spacing w:val="-3"/>
          <w:kern w:val="0"/>
          <w:sz w:val="24"/>
          <w:szCs w:val="24"/>
          <w:lang w:val="en-US" w:eastAsia="en-US" w:bidi="ar-SA"/>
        </w:rPr>
        <w:t>利用遥感与 GIS技术结合自治区水力侵蚀状况，对评价区地形、植被等因素进行分析后，提取坡度、植被覆盖等数据，参照《土壤侵蚀分类分级标准》 （SL190-2007）的土壤侵蚀强度分级标准和面蚀分级指标（</w:t>
      </w:r>
      <w:r>
        <w:rPr>
          <w:rFonts w:hint="default" w:ascii="Times New Roman" w:hAnsi="Times New Roman" w:eastAsia="宋体" w:cs="Times New Roman"/>
          <w:snapToGrid w:val="0"/>
          <w:color w:val="auto"/>
          <w:spacing w:val="-3"/>
          <w:kern w:val="0"/>
          <w:sz w:val="24"/>
          <w:szCs w:val="24"/>
          <w:lang w:val="en-US" w:eastAsia="zh-CN" w:bidi="ar-SA"/>
        </w:rPr>
        <w:t>专题</w:t>
      </w:r>
      <w:r>
        <w:rPr>
          <w:rFonts w:hint="default" w:ascii="Times New Roman" w:hAnsi="Times New Roman" w:eastAsia="宋体" w:cs="Times New Roman"/>
          <w:snapToGrid w:val="0"/>
          <w:color w:val="auto"/>
          <w:spacing w:val="-3"/>
          <w:kern w:val="0"/>
          <w:sz w:val="24"/>
          <w:szCs w:val="24"/>
          <w:lang w:val="en-US" w:eastAsia="en-US" w:bidi="ar-SA"/>
        </w:rPr>
        <w:t>表</w:t>
      </w:r>
      <w:r>
        <w:rPr>
          <w:rFonts w:hint="default" w:ascii="Times New Roman" w:hAnsi="Times New Roman" w:eastAsia="宋体" w:cs="Times New Roman"/>
          <w:snapToGrid w:val="0"/>
          <w:color w:val="auto"/>
          <w:spacing w:val="-3"/>
          <w:kern w:val="0"/>
          <w:sz w:val="24"/>
          <w:szCs w:val="24"/>
          <w:lang w:val="en-US" w:eastAsia="zh-CN" w:bidi="ar-SA"/>
        </w:rPr>
        <w:t>3</w:t>
      </w:r>
      <w:r>
        <w:rPr>
          <w:rFonts w:hint="default" w:ascii="Times New Roman" w:hAnsi="Times New Roman" w:eastAsia="宋体" w:cs="Times New Roman"/>
          <w:snapToGrid w:val="0"/>
          <w:color w:val="auto"/>
          <w:spacing w:val="-3"/>
          <w:kern w:val="0"/>
          <w:sz w:val="24"/>
          <w:szCs w:val="24"/>
          <w:lang w:val="en-US" w:eastAsia="en-US" w:bidi="ar-SA"/>
        </w:rPr>
        <w:t>-4和表</w:t>
      </w:r>
      <w:r>
        <w:rPr>
          <w:rFonts w:hint="default" w:ascii="Times New Roman" w:hAnsi="Times New Roman" w:eastAsia="宋体" w:cs="Times New Roman"/>
          <w:snapToGrid w:val="0"/>
          <w:color w:val="auto"/>
          <w:spacing w:val="-3"/>
          <w:kern w:val="0"/>
          <w:sz w:val="24"/>
          <w:szCs w:val="24"/>
          <w:lang w:val="en-US" w:eastAsia="zh-CN" w:bidi="ar-SA"/>
        </w:rPr>
        <w:t>3</w:t>
      </w:r>
      <w:r>
        <w:rPr>
          <w:rFonts w:hint="default" w:ascii="Times New Roman" w:hAnsi="Times New Roman" w:eastAsia="宋体" w:cs="Times New Roman"/>
          <w:snapToGrid w:val="0"/>
          <w:color w:val="auto"/>
          <w:spacing w:val="-3"/>
          <w:kern w:val="0"/>
          <w:sz w:val="24"/>
          <w:szCs w:val="24"/>
          <w:lang w:val="en-US" w:eastAsia="en-US" w:bidi="ar-SA"/>
        </w:rPr>
        <w:t>-5），对研究区土壤侵蚀进行分类评价，绘制出评价区土壤侵蚀现状图。</w:t>
      </w:r>
      <w:r>
        <w:rPr>
          <w:rFonts w:hint="eastAsia" w:ascii="宋体" w:hAnsi="宋体" w:cs="宋体"/>
          <w:snapToGrid w:val="0"/>
          <w:color w:val="auto"/>
          <w:spacing w:val="-1"/>
          <w:kern w:val="0"/>
          <w:sz w:val="24"/>
          <w:szCs w:val="24"/>
          <w:lang w:val="en-US" w:eastAsia="zh-CN" w:bidi="ar-SA"/>
        </w:rPr>
        <w:t>评价区土壤侵蚀类型见专题图</w:t>
      </w:r>
      <w:r>
        <w:rPr>
          <w:rFonts w:hint="default" w:ascii="Times New Roman" w:hAnsi="Times New Roman" w:cs="Times New Roman"/>
          <w:snapToGrid w:val="0"/>
          <w:color w:val="auto"/>
          <w:spacing w:val="-1"/>
          <w:kern w:val="0"/>
          <w:sz w:val="24"/>
          <w:szCs w:val="24"/>
          <w:lang w:val="en-US" w:eastAsia="zh-CN" w:bidi="ar-SA"/>
        </w:rPr>
        <w:t>2-</w:t>
      </w:r>
      <w:r>
        <w:rPr>
          <w:rFonts w:hint="eastAsia" w:cs="Times New Roman"/>
          <w:snapToGrid w:val="0"/>
          <w:color w:val="auto"/>
          <w:spacing w:val="-1"/>
          <w:kern w:val="0"/>
          <w:sz w:val="24"/>
          <w:szCs w:val="24"/>
          <w:lang w:val="en-US" w:eastAsia="zh-CN" w:bidi="ar-SA"/>
        </w:rPr>
        <w:t>6</w:t>
      </w:r>
      <w:r>
        <w:rPr>
          <w:rFonts w:hint="eastAsia" w:ascii="Times New Roman" w:hAnsi="Times New Roman" w:cs="Times New Roman"/>
          <w:snapToGrid w:val="0"/>
          <w:color w:val="auto"/>
          <w:spacing w:val="-1"/>
          <w:kern w:val="0"/>
          <w:sz w:val="24"/>
          <w:szCs w:val="24"/>
          <w:lang w:val="en-US" w:eastAsia="zh-CN" w:bidi="ar-SA"/>
        </w:rPr>
        <w:t>。</w:t>
      </w:r>
    </w:p>
    <w:p w14:paraId="628CCC26">
      <w:pPr>
        <w:kinsoku w:val="0"/>
        <w:autoSpaceDE w:val="0"/>
        <w:autoSpaceDN w:val="0"/>
        <w:adjustRightInd w:val="0"/>
        <w:snapToGrid w:val="0"/>
        <w:spacing w:before="115" w:line="219" w:lineRule="auto"/>
        <w:jc w:val="center"/>
        <w:textAlignment w:val="baseline"/>
        <w:rPr>
          <w:rFonts w:ascii="宋体" w:hAnsi="宋体" w:eastAsia="宋体" w:cs="宋体"/>
          <w:snapToGrid w:val="0"/>
          <w:color w:val="auto"/>
          <w:kern w:val="0"/>
          <w:sz w:val="24"/>
          <w:szCs w:val="24"/>
          <w:lang w:val="en-US" w:eastAsia="en-US" w:bidi="ar-SA"/>
        </w:rPr>
      </w:pPr>
      <w:r>
        <w:rPr>
          <w:rFonts w:hint="eastAsia" w:ascii="Times New Roman" w:hAnsi="Times New Roman" w:eastAsia="Times New Roman" w:cs="Times New Roman"/>
          <w:b/>
          <w:bCs/>
          <w:snapToGrid w:val="0"/>
          <w:color w:val="auto"/>
          <w:spacing w:val="-1"/>
          <w:kern w:val="0"/>
          <w:sz w:val="24"/>
          <w:szCs w:val="24"/>
          <w:lang w:val="en-US" w:eastAsia="zh-CN" w:bidi="ar-SA"/>
        </w:rPr>
        <w:t>专题</w:t>
      </w:r>
      <w:r>
        <w:rPr>
          <w:rFonts w:ascii="Times New Roman" w:hAnsi="Times New Roman" w:eastAsia="Times New Roman" w:cs="Times New Roman"/>
          <w:b/>
          <w:bCs/>
          <w:snapToGrid w:val="0"/>
          <w:color w:val="auto"/>
          <w:spacing w:val="-1"/>
          <w:kern w:val="0"/>
          <w:sz w:val="24"/>
          <w:szCs w:val="24"/>
          <w:lang w:val="en-US" w:eastAsia="en-US" w:bidi="ar-SA"/>
        </w:rPr>
        <w:t>表</w:t>
      </w:r>
      <w:r>
        <w:rPr>
          <w:rFonts w:hint="eastAsia" w:ascii="Times New Roman" w:hAnsi="Times New Roman" w:eastAsia="Times New Roman" w:cs="Times New Roman"/>
          <w:b/>
          <w:bCs/>
          <w:snapToGrid w:val="0"/>
          <w:color w:val="auto"/>
          <w:spacing w:val="-1"/>
          <w:kern w:val="0"/>
          <w:sz w:val="24"/>
          <w:szCs w:val="24"/>
          <w:lang w:val="en-US" w:eastAsia="zh-CN" w:bidi="ar-SA"/>
        </w:rPr>
        <w:t>3</w:t>
      </w:r>
      <w:r>
        <w:rPr>
          <w:rFonts w:ascii="Times New Roman" w:hAnsi="Times New Roman" w:eastAsia="Times New Roman" w:cs="Times New Roman"/>
          <w:b/>
          <w:bCs/>
          <w:snapToGrid w:val="0"/>
          <w:color w:val="auto"/>
          <w:spacing w:val="-1"/>
          <w:kern w:val="0"/>
          <w:sz w:val="24"/>
          <w:szCs w:val="24"/>
          <w:lang w:val="en-US" w:eastAsia="en-US" w:bidi="ar-SA"/>
        </w:rPr>
        <w:t xml:space="preserve">-4     </w:t>
      </w:r>
      <w:r>
        <w:rPr>
          <w:rFonts w:ascii="宋体" w:hAnsi="宋体" w:eastAsia="宋体" w:cs="宋体"/>
          <w:b/>
          <w:bCs/>
          <w:snapToGrid w:val="0"/>
          <w:color w:val="auto"/>
          <w:spacing w:val="-1"/>
          <w:kern w:val="0"/>
          <w:sz w:val="24"/>
          <w:szCs w:val="24"/>
          <w:lang w:val="en-US" w:eastAsia="en-US" w:bidi="ar-SA"/>
        </w:rPr>
        <w:t>水力侵蚀分级指标</w:t>
      </w:r>
    </w:p>
    <w:tbl>
      <w:tblPr>
        <w:tblStyle w:val="83"/>
        <w:tblW w:w="901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23"/>
        <w:gridCol w:w="1129"/>
        <w:gridCol w:w="1125"/>
        <w:gridCol w:w="1098"/>
        <w:gridCol w:w="1157"/>
        <w:gridCol w:w="1126"/>
        <w:gridCol w:w="1129"/>
        <w:gridCol w:w="1127"/>
      </w:tblGrid>
      <w:tr w14:paraId="46DB49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2199" w:type="dxa"/>
            <w:gridSpan w:val="2"/>
            <w:tcBorders>
              <w:top w:val="single" w:color="000000" w:sz="10" w:space="0"/>
              <w:left w:val="nil"/>
            </w:tcBorders>
            <w:vAlign w:val="center"/>
          </w:tcPr>
          <w:p w14:paraId="58DCAA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b/>
                <w:bCs/>
                <w:snapToGrid w:val="0"/>
                <w:color w:val="auto"/>
                <w:spacing w:val="-4"/>
                <w:kern w:val="0"/>
                <w:sz w:val="22"/>
                <w:szCs w:val="22"/>
                <w:lang w:eastAsia="en-US"/>
              </w:rPr>
              <w:t>地面坡度</w:t>
            </w:r>
            <w:r>
              <w:rPr>
                <w:rFonts w:ascii="宋体" w:hAnsi="宋体" w:eastAsia="宋体" w:cs="宋体"/>
                <w:b/>
                <w:bCs/>
                <w:snapToGrid w:val="0"/>
                <w:color w:val="auto"/>
                <w:spacing w:val="-6"/>
                <w:kern w:val="0"/>
                <w:sz w:val="22"/>
                <w:szCs w:val="22"/>
                <w:lang w:eastAsia="en-US"/>
              </w:rPr>
              <w:t>地类</w:t>
            </w:r>
          </w:p>
        </w:tc>
        <w:tc>
          <w:tcPr>
            <w:tcW w:w="1099" w:type="dxa"/>
            <w:tcBorders>
              <w:top w:val="single" w:color="000000" w:sz="10" w:space="0"/>
            </w:tcBorders>
            <w:vAlign w:val="center"/>
          </w:tcPr>
          <w:p w14:paraId="7B9C8D2A">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b/>
                <w:bCs/>
                <w:snapToGrid w:val="0"/>
                <w:color w:val="auto"/>
                <w:spacing w:val="-2"/>
                <w:kern w:val="0"/>
                <w:sz w:val="22"/>
                <w:szCs w:val="22"/>
                <w:lang w:val="en-US" w:eastAsia="en-US" w:bidi="ar-SA"/>
              </w:rPr>
              <w:t>0~5°</w:t>
            </w:r>
          </w:p>
        </w:tc>
        <w:tc>
          <w:tcPr>
            <w:tcW w:w="1072" w:type="dxa"/>
            <w:tcBorders>
              <w:top w:val="single" w:color="000000" w:sz="10" w:space="0"/>
            </w:tcBorders>
            <w:vAlign w:val="center"/>
          </w:tcPr>
          <w:p w14:paraId="296EC60E">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b/>
                <w:bCs/>
                <w:snapToGrid w:val="0"/>
                <w:color w:val="auto"/>
                <w:spacing w:val="-2"/>
                <w:kern w:val="0"/>
                <w:sz w:val="22"/>
                <w:szCs w:val="22"/>
                <w:lang w:val="en-US" w:eastAsia="en-US" w:bidi="ar-SA"/>
              </w:rPr>
              <w:t>5~8°</w:t>
            </w:r>
          </w:p>
        </w:tc>
        <w:tc>
          <w:tcPr>
            <w:tcW w:w="1130" w:type="dxa"/>
            <w:tcBorders>
              <w:top w:val="single" w:color="000000" w:sz="10" w:space="0"/>
            </w:tcBorders>
            <w:vAlign w:val="center"/>
          </w:tcPr>
          <w:p w14:paraId="21F2E721">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b/>
                <w:bCs/>
                <w:snapToGrid w:val="0"/>
                <w:color w:val="auto"/>
                <w:spacing w:val="-2"/>
                <w:kern w:val="0"/>
                <w:sz w:val="22"/>
                <w:szCs w:val="22"/>
                <w:lang w:val="en-US" w:eastAsia="en-US" w:bidi="ar-SA"/>
              </w:rPr>
              <w:t>8~15°</w:t>
            </w:r>
          </w:p>
        </w:tc>
        <w:tc>
          <w:tcPr>
            <w:tcW w:w="1100" w:type="dxa"/>
            <w:tcBorders>
              <w:top w:val="single" w:color="000000" w:sz="10" w:space="0"/>
            </w:tcBorders>
            <w:vAlign w:val="center"/>
          </w:tcPr>
          <w:p w14:paraId="2E83FBF7">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b/>
                <w:bCs/>
                <w:snapToGrid w:val="0"/>
                <w:color w:val="auto"/>
                <w:spacing w:val="-3"/>
                <w:kern w:val="0"/>
                <w:sz w:val="22"/>
                <w:szCs w:val="22"/>
                <w:lang w:val="en-US" w:eastAsia="en-US" w:bidi="ar-SA"/>
              </w:rPr>
              <w:t>15~25°</w:t>
            </w:r>
          </w:p>
        </w:tc>
        <w:tc>
          <w:tcPr>
            <w:tcW w:w="1102" w:type="dxa"/>
            <w:tcBorders>
              <w:top w:val="single" w:color="000000" w:sz="10" w:space="0"/>
            </w:tcBorders>
            <w:vAlign w:val="center"/>
          </w:tcPr>
          <w:p w14:paraId="3B8E8219">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b/>
                <w:bCs/>
                <w:snapToGrid w:val="0"/>
                <w:color w:val="auto"/>
                <w:spacing w:val="-1"/>
                <w:kern w:val="0"/>
                <w:sz w:val="22"/>
                <w:szCs w:val="22"/>
                <w:lang w:val="en-US" w:eastAsia="en-US" w:bidi="ar-SA"/>
              </w:rPr>
              <w:t>25~35°</w:t>
            </w:r>
          </w:p>
        </w:tc>
        <w:tc>
          <w:tcPr>
            <w:tcW w:w="1100" w:type="dxa"/>
            <w:tcBorders>
              <w:top w:val="single" w:color="000000" w:sz="10" w:space="0"/>
              <w:right w:val="nil"/>
            </w:tcBorders>
            <w:vAlign w:val="center"/>
          </w:tcPr>
          <w:p w14:paraId="46024BBB">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b/>
                <w:bCs/>
                <w:snapToGrid w:val="0"/>
                <w:color w:val="auto"/>
                <w:spacing w:val="-2"/>
                <w:kern w:val="0"/>
                <w:sz w:val="22"/>
                <w:szCs w:val="22"/>
                <w:lang w:val="en-US" w:eastAsia="en-US" w:bidi="ar-SA"/>
              </w:rPr>
              <w:t>&gt;35°</w:t>
            </w:r>
          </w:p>
        </w:tc>
      </w:tr>
      <w:tr w14:paraId="1EFD8C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097" w:type="dxa"/>
            <w:vMerge w:val="restart"/>
            <w:tcBorders>
              <w:left w:val="nil"/>
              <w:bottom w:val="nil"/>
            </w:tcBorders>
            <w:vAlign w:val="center"/>
          </w:tcPr>
          <w:p w14:paraId="5C6C9603">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spacing w:val="2"/>
                <w:kern w:val="0"/>
                <w:sz w:val="22"/>
                <w:szCs w:val="22"/>
                <w:lang w:val="en-US" w:eastAsia="en-US" w:bidi="ar-SA"/>
              </w:rPr>
            </w:pPr>
            <w:r>
              <w:rPr>
                <w:rFonts w:ascii="宋体" w:hAnsi="宋体" w:eastAsia="宋体" w:cs="宋体"/>
                <w:snapToGrid w:val="0"/>
                <w:color w:val="auto"/>
                <w:spacing w:val="-3"/>
                <w:kern w:val="0"/>
                <w:sz w:val="22"/>
                <w:szCs w:val="22"/>
                <w:lang w:val="en-US" w:eastAsia="en-US" w:bidi="ar-SA"/>
              </w:rPr>
              <w:t>非耕地的林草覆盖</w:t>
            </w:r>
            <w:r>
              <w:rPr>
                <w:rFonts w:ascii="宋体" w:hAnsi="宋体" w:eastAsia="宋体" w:cs="宋体"/>
                <w:snapToGrid w:val="0"/>
                <w:color w:val="auto"/>
                <w:spacing w:val="2"/>
                <w:kern w:val="0"/>
                <w:sz w:val="22"/>
                <w:szCs w:val="22"/>
                <w:lang w:val="en-US" w:eastAsia="en-US" w:bidi="ar-SA"/>
              </w:rPr>
              <w:t>度</w:t>
            </w:r>
          </w:p>
          <w:p w14:paraId="54413977">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val="en-US" w:eastAsia="en-US" w:bidi="ar-SA"/>
              </w:rPr>
            </w:pPr>
            <w:r>
              <w:rPr>
                <w:rFonts w:ascii="宋体" w:hAnsi="宋体" w:eastAsia="宋体" w:cs="宋体"/>
                <w:snapToGrid w:val="0"/>
                <w:color w:val="auto"/>
                <w:spacing w:val="2"/>
                <w:kern w:val="0"/>
                <w:sz w:val="22"/>
                <w:szCs w:val="22"/>
                <w:lang w:val="en-US" w:eastAsia="en-US" w:bidi="ar-SA"/>
              </w:rPr>
              <w:t>（</w:t>
            </w:r>
            <w:r>
              <w:rPr>
                <w:rFonts w:ascii="Times New Roman" w:hAnsi="Times New Roman" w:eastAsia="Times New Roman" w:cs="Times New Roman"/>
                <w:snapToGrid w:val="0"/>
                <w:color w:val="auto"/>
                <w:spacing w:val="2"/>
                <w:kern w:val="0"/>
                <w:sz w:val="22"/>
                <w:szCs w:val="22"/>
                <w:lang w:val="en-US" w:eastAsia="en-US" w:bidi="ar-SA"/>
              </w:rPr>
              <w:t>%</w:t>
            </w:r>
            <w:r>
              <w:rPr>
                <w:rFonts w:ascii="宋体" w:hAnsi="宋体" w:eastAsia="宋体" w:cs="宋体"/>
                <w:snapToGrid w:val="0"/>
                <w:color w:val="auto"/>
                <w:spacing w:val="2"/>
                <w:kern w:val="0"/>
                <w:sz w:val="22"/>
                <w:szCs w:val="22"/>
                <w:lang w:val="en-US" w:eastAsia="en-US" w:bidi="ar-SA"/>
              </w:rPr>
              <w:t>）</w:t>
            </w:r>
          </w:p>
        </w:tc>
        <w:tc>
          <w:tcPr>
            <w:tcW w:w="1102" w:type="dxa"/>
            <w:vAlign w:val="center"/>
          </w:tcPr>
          <w:p w14:paraId="1497E88E">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snapToGrid w:val="0"/>
                <w:color w:val="auto"/>
                <w:spacing w:val="-2"/>
                <w:kern w:val="0"/>
                <w:sz w:val="22"/>
                <w:szCs w:val="22"/>
                <w:lang w:val="en-US" w:eastAsia="en-US" w:bidi="ar-SA"/>
              </w:rPr>
              <w:t>60~75</w:t>
            </w:r>
          </w:p>
        </w:tc>
        <w:tc>
          <w:tcPr>
            <w:tcW w:w="1099" w:type="dxa"/>
            <w:vAlign w:val="center"/>
          </w:tcPr>
          <w:p w14:paraId="4D6EA8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4"/>
                <w:kern w:val="0"/>
                <w:sz w:val="22"/>
                <w:szCs w:val="22"/>
                <w:lang w:eastAsia="en-US"/>
              </w:rPr>
              <w:t>微度</w:t>
            </w:r>
          </w:p>
        </w:tc>
        <w:tc>
          <w:tcPr>
            <w:tcW w:w="3302" w:type="dxa"/>
            <w:gridSpan w:val="3"/>
            <w:vAlign w:val="center"/>
          </w:tcPr>
          <w:p w14:paraId="2A816E5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4"/>
                <w:kern w:val="0"/>
                <w:sz w:val="22"/>
                <w:szCs w:val="22"/>
                <w:lang w:eastAsia="en-US"/>
              </w:rPr>
              <w:t>轻度</w:t>
            </w:r>
          </w:p>
        </w:tc>
        <w:tc>
          <w:tcPr>
            <w:tcW w:w="2202" w:type="dxa"/>
            <w:gridSpan w:val="2"/>
            <w:tcBorders>
              <w:right w:val="nil"/>
            </w:tcBorders>
            <w:vAlign w:val="center"/>
          </w:tcPr>
          <w:p w14:paraId="3C9F7D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14"/>
                <w:kern w:val="0"/>
                <w:sz w:val="22"/>
                <w:szCs w:val="22"/>
                <w:lang w:eastAsia="en-US"/>
              </w:rPr>
              <w:t>中度</w:t>
            </w:r>
          </w:p>
        </w:tc>
      </w:tr>
      <w:tr w14:paraId="4AA29E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097" w:type="dxa"/>
            <w:vMerge w:val="continue"/>
            <w:tcBorders>
              <w:top w:val="nil"/>
              <w:left w:val="nil"/>
              <w:bottom w:val="nil"/>
            </w:tcBorders>
            <w:vAlign w:val="center"/>
          </w:tcPr>
          <w:p w14:paraId="37915F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tc>
        <w:tc>
          <w:tcPr>
            <w:tcW w:w="1102" w:type="dxa"/>
            <w:vAlign w:val="center"/>
          </w:tcPr>
          <w:p w14:paraId="405F6058">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snapToGrid w:val="0"/>
                <w:color w:val="auto"/>
                <w:spacing w:val="-1"/>
                <w:kern w:val="0"/>
                <w:sz w:val="22"/>
                <w:szCs w:val="22"/>
                <w:lang w:val="en-US" w:eastAsia="en-US" w:bidi="ar-SA"/>
              </w:rPr>
              <w:t>45~60</w:t>
            </w:r>
          </w:p>
        </w:tc>
        <w:tc>
          <w:tcPr>
            <w:tcW w:w="1099" w:type="dxa"/>
            <w:vAlign w:val="center"/>
          </w:tcPr>
          <w:p w14:paraId="3A4D4BD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4"/>
                <w:kern w:val="0"/>
                <w:sz w:val="22"/>
                <w:szCs w:val="22"/>
                <w:lang w:eastAsia="en-US"/>
              </w:rPr>
              <w:t>微度</w:t>
            </w:r>
          </w:p>
        </w:tc>
        <w:tc>
          <w:tcPr>
            <w:tcW w:w="2202" w:type="dxa"/>
            <w:gridSpan w:val="2"/>
            <w:vAlign w:val="center"/>
          </w:tcPr>
          <w:p w14:paraId="03A262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4"/>
                <w:kern w:val="0"/>
                <w:sz w:val="22"/>
                <w:szCs w:val="22"/>
                <w:lang w:eastAsia="en-US"/>
              </w:rPr>
              <w:t>轻度</w:t>
            </w:r>
          </w:p>
        </w:tc>
        <w:tc>
          <w:tcPr>
            <w:tcW w:w="2202" w:type="dxa"/>
            <w:gridSpan w:val="2"/>
            <w:vAlign w:val="center"/>
          </w:tcPr>
          <w:p w14:paraId="676864D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14"/>
                <w:kern w:val="0"/>
                <w:sz w:val="22"/>
                <w:szCs w:val="22"/>
                <w:lang w:eastAsia="en-US"/>
              </w:rPr>
              <w:t>中度</w:t>
            </w:r>
          </w:p>
        </w:tc>
        <w:tc>
          <w:tcPr>
            <w:tcW w:w="1100" w:type="dxa"/>
            <w:tcBorders>
              <w:right w:val="nil"/>
            </w:tcBorders>
            <w:vAlign w:val="center"/>
          </w:tcPr>
          <w:p w14:paraId="291D65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7"/>
                <w:kern w:val="0"/>
                <w:sz w:val="22"/>
                <w:szCs w:val="22"/>
                <w:lang w:eastAsia="en-US"/>
              </w:rPr>
              <w:t>强度</w:t>
            </w:r>
          </w:p>
        </w:tc>
      </w:tr>
      <w:tr w14:paraId="50AB71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097" w:type="dxa"/>
            <w:vMerge w:val="continue"/>
            <w:tcBorders>
              <w:top w:val="nil"/>
              <w:left w:val="nil"/>
              <w:bottom w:val="nil"/>
            </w:tcBorders>
            <w:vAlign w:val="center"/>
          </w:tcPr>
          <w:p w14:paraId="0471753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tc>
        <w:tc>
          <w:tcPr>
            <w:tcW w:w="1102" w:type="dxa"/>
            <w:vAlign w:val="center"/>
          </w:tcPr>
          <w:p w14:paraId="08D6B919">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snapToGrid w:val="0"/>
                <w:color w:val="auto"/>
                <w:spacing w:val="-2"/>
                <w:kern w:val="0"/>
                <w:sz w:val="22"/>
                <w:szCs w:val="22"/>
                <w:lang w:val="en-US" w:eastAsia="en-US" w:bidi="ar-SA"/>
              </w:rPr>
              <w:t>30~45</w:t>
            </w:r>
          </w:p>
        </w:tc>
        <w:tc>
          <w:tcPr>
            <w:tcW w:w="2171" w:type="dxa"/>
            <w:gridSpan w:val="2"/>
            <w:vAlign w:val="center"/>
          </w:tcPr>
          <w:p w14:paraId="1C4A70E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4"/>
                <w:kern w:val="0"/>
                <w:sz w:val="22"/>
                <w:szCs w:val="22"/>
                <w:lang w:eastAsia="en-US"/>
              </w:rPr>
              <w:t>轻度</w:t>
            </w:r>
          </w:p>
        </w:tc>
        <w:tc>
          <w:tcPr>
            <w:tcW w:w="2230" w:type="dxa"/>
            <w:gridSpan w:val="2"/>
            <w:vAlign w:val="center"/>
          </w:tcPr>
          <w:p w14:paraId="6DD5CB3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14"/>
                <w:kern w:val="0"/>
                <w:sz w:val="22"/>
                <w:szCs w:val="22"/>
                <w:lang w:eastAsia="en-US"/>
              </w:rPr>
              <w:t>中度</w:t>
            </w:r>
          </w:p>
        </w:tc>
        <w:tc>
          <w:tcPr>
            <w:tcW w:w="1102" w:type="dxa"/>
            <w:vAlign w:val="center"/>
          </w:tcPr>
          <w:p w14:paraId="43E2294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7"/>
                <w:kern w:val="0"/>
                <w:sz w:val="22"/>
                <w:szCs w:val="22"/>
                <w:lang w:eastAsia="en-US"/>
              </w:rPr>
              <w:t>强度</w:t>
            </w:r>
          </w:p>
        </w:tc>
        <w:tc>
          <w:tcPr>
            <w:tcW w:w="1100" w:type="dxa"/>
            <w:tcBorders>
              <w:right w:val="nil"/>
            </w:tcBorders>
            <w:vAlign w:val="center"/>
          </w:tcPr>
          <w:p w14:paraId="430785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4"/>
                <w:kern w:val="0"/>
                <w:sz w:val="22"/>
                <w:szCs w:val="22"/>
                <w:lang w:eastAsia="en-US"/>
              </w:rPr>
              <w:t>极强度</w:t>
            </w:r>
          </w:p>
        </w:tc>
      </w:tr>
      <w:tr w14:paraId="40A890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097" w:type="dxa"/>
            <w:vMerge w:val="continue"/>
            <w:tcBorders>
              <w:top w:val="nil"/>
              <w:left w:val="nil"/>
              <w:bottom w:val="nil"/>
            </w:tcBorders>
            <w:vAlign w:val="center"/>
          </w:tcPr>
          <w:p w14:paraId="310518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tc>
        <w:tc>
          <w:tcPr>
            <w:tcW w:w="1102" w:type="dxa"/>
            <w:vAlign w:val="center"/>
          </w:tcPr>
          <w:p w14:paraId="2ED9031B">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2"/>
                <w:szCs w:val="22"/>
                <w:lang w:val="en-US" w:eastAsia="en-US" w:bidi="ar-SA"/>
              </w:rPr>
            </w:pPr>
            <w:r>
              <w:rPr>
                <w:rFonts w:ascii="Times New Roman" w:hAnsi="Times New Roman" w:eastAsia="Times New Roman" w:cs="Times New Roman"/>
                <w:snapToGrid w:val="0"/>
                <w:color w:val="auto"/>
                <w:spacing w:val="-1"/>
                <w:kern w:val="0"/>
                <w:sz w:val="22"/>
                <w:szCs w:val="22"/>
                <w:lang w:val="en-US" w:eastAsia="en-US" w:bidi="ar-SA"/>
              </w:rPr>
              <w:t>&lt;30</w:t>
            </w:r>
          </w:p>
        </w:tc>
        <w:tc>
          <w:tcPr>
            <w:tcW w:w="3301" w:type="dxa"/>
            <w:gridSpan w:val="3"/>
            <w:vAlign w:val="center"/>
          </w:tcPr>
          <w:p w14:paraId="7DC831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14"/>
                <w:kern w:val="0"/>
                <w:sz w:val="22"/>
                <w:szCs w:val="22"/>
                <w:lang w:eastAsia="en-US"/>
              </w:rPr>
              <w:t>中度</w:t>
            </w:r>
          </w:p>
        </w:tc>
        <w:tc>
          <w:tcPr>
            <w:tcW w:w="1100" w:type="dxa"/>
            <w:vAlign w:val="center"/>
          </w:tcPr>
          <w:p w14:paraId="29E0FE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7"/>
                <w:kern w:val="0"/>
                <w:sz w:val="22"/>
                <w:szCs w:val="22"/>
                <w:lang w:eastAsia="en-US"/>
              </w:rPr>
              <w:t>强度</w:t>
            </w:r>
          </w:p>
        </w:tc>
        <w:tc>
          <w:tcPr>
            <w:tcW w:w="1102" w:type="dxa"/>
            <w:vAlign w:val="center"/>
          </w:tcPr>
          <w:p w14:paraId="20C77B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4"/>
                <w:kern w:val="0"/>
                <w:sz w:val="22"/>
                <w:szCs w:val="22"/>
                <w:lang w:eastAsia="en-US"/>
              </w:rPr>
              <w:t>极强度</w:t>
            </w:r>
          </w:p>
        </w:tc>
        <w:tc>
          <w:tcPr>
            <w:tcW w:w="1100" w:type="dxa"/>
            <w:tcBorders>
              <w:right w:val="nil"/>
            </w:tcBorders>
            <w:vAlign w:val="center"/>
          </w:tcPr>
          <w:p w14:paraId="574F8C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4"/>
                <w:kern w:val="0"/>
                <w:sz w:val="22"/>
                <w:szCs w:val="22"/>
                <w:lang w:eastAsia="en-US"/>
              </w:rPr>
              <w:t>剧烈</w:t>
            </w:r>
          </w:p>
        </w:tc>
      </w:tr>
      <w:tr w14:paraId="1A5DE8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2199" w:type="dxa"/>
            <w:gridSpan w:val="2"/>
            <w:tcBorders>
              <w:top w:val="nil"/>
              <w:left w:val="nil"/>
            </w:tcBorders>
            <w:vAlign w:val="center"/>
          </w:tcPr>
          <w:p w14:paraId="0534D76E">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spacing w:val="-1"/>
                <w:kern w:val="0"/>
                <w:sz w:val="22"/>
                <w:szCs w:val="22"/>
                <w:lang w:val="en-US" w:eastAsia="en-US" w:bidi="ar-SA"/>
              </w:rPr>
            </w:pPr>
            <w:r>
              <w:rPr>
                <w:rFonts w:ascii="宋体" w:hAnsi="宋体" w:eastAsia="宋体" w:cs="宋体"/>
                <w:snapToGrid w:val="0"/>
                <w:color w:val="auto"/>
                <w:spacing w:val="-3"/>
                <w:kern w:val="0"/>
                <w:sz w:val="22"/>
                <w:szCs w:val="22"/>
                <w:lang w:eastAsia="en-US"/>
              </w:rPr>
              <w:t>坡耕地</w:t>
            </w:r>
          </w:p>
        </w:tc>
        <w:tc>
          <w:tcPr>
            <w:tcW w:w="2171" w:type="dxa"/>
            <w:gridSpan w:val="2"/>
            <w:vAlign w:val="center"/>
          </w:tcPr>
          <w:p w14:paraId="6FFB87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spacing w:val="-14"/>
                <w:kern w:val="0"/>
                <w:sz w:val="22"/>
                <w:szCs w:val="22"/>
                <w:lang w:eastAsia="en-US"/>
              </w:rPr>
            </w:pPr>
            <w:r>
              <w:rPr>
                <w:rFonts w:ascii="宋体" w:hAnsi="宋体" w:eastAsia="宋体" w:cs="宋体"/>
                <w:snapToGrid w:val="0"/>
                <w:color w:val="auto"/>
                <w:spacing w:val="-4"/>
                <w:kern w:val="0"/>
                <w:sz w:val="22"/>
                <w:szCs w:val="22"/>
                <w:lang w:eastAsia="en-US"/>
              </w:rPr>
              <w:t>轻度</w:t>
            </w:r>
          </w:p>
        </w:tc>
        <w:tc>
          <w:tcPr>
            <w:tcW w:w="1130" w:type="dxa"/>
            <w:vAlign w:val="center"/>
          </w:tcPr>
          <w:p w14:paraId="38FEBFF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spacing w:val="-14"/>
                <w:kern w:val="0"/>
                <w:sz w:val="22"/>
                <w:szCs w:val="22"/>
                <w:lang w:eastAsia="en-US"/>
              </w:rPr>
            </w:pPr>
            <w:r>
              <w:rPr>
                <w:rFonts w:ascii="宋体" w:hAnsi="宋体" w:eastAsia="宋体" w:cs="宋体"/>
                <w:snapToGrid w:val="0"/>
                <w:color w:val="auto"/>
                <w:spacing w:val="-14"/>
                <w:kern w:val="0"/>
                <w:sz w:val="22"/>
                <w:szCs w:val="22"/>
                <w:lang w:eastAsia="en-US"/>
              </w:rPr>
              <w:t>中度</w:t>
            </w:r>
          </w:p>
        </w:tc>
        <w:tc>
          <w:tcPr>
            <w:tcW w:w="1100" w:type="dxa"/>
            <w:vAlign w:val="center"/>
          </w:tcPr>
          <w:p w14:paraId="671F76D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spacing w:val="-7"/>
                <w:kern w:val="0"/>
                <w:sz w:val="22"/>
                <w:szCs w:val="22"/>
                <w:lang w:eastAsia="en-US"/>
              </w:rPr>
            </w:pPr>
            <w:r>
              <w:rPr>
                <w:rFonts w:ascii="宋体" w:hAnsi="宋体" w:eastAsia="宋体" w:cs="宋体"/>
                <w:snapToGrid w:val="0"/>
                <w:color w:val="auto"/>
                <w:spacing w:val="-7"/>
                <w:kern w:val="0"/>
                <w:sz w:val="22"/>
                <w:szCs w:val="22"/>
                <w:lang w:eastAsia="en-US"/>
              </w:rPr>
              <w:t>强度</w:t>
            </w:r>
          </w:p>
        </w:tc>
        <w:tc>
          <w:tcPr>
            <w:tcW w:w="1102" w:type="dxa"/>
            <w:vAlign w:val="center"/>
          </w:tcPr>
          <w:p w14:paraId="2E259EF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spacing w:val="-4"/>
                <w:kern w:val="0"/>
                <w:sz w:val="22"/>
                <w:szCs w:val="22"/>
                <w:lang w:eastAsia="en-US"/>
              </w:rPr>
            </w:pPr>
            <w:r>
              <w:rPr>
                <w:rFonts w:ascii="宋体" w:hAnsi="宋体" w:eastAsia="宋体" w:cs="宋体"/>
                <w:snapToGrid w:val="0"/>
                <w:color w:val="auto"/>
                <w:spacing w:val="-4"/>
                <w:kern w:val="0"/>
                <w:sz w:val="22"/>
                <w:szCs w:val="22"/>
                <w:lang w:eastAsia="en-US"/>
              </w:rPr>
              <w:t>极强度</w:t>
            </w:r>
          </w:p>
        </w:tc>
        <w:tc>
          <w:tcPr>
            <w:tcW w:w="1100" w:type="dxa"/>
            <w:tcBorders>
              <w:right w:val="nil"/>
            </w:tcBorders>
            <w:vAlign w:val="center"/>
          </w:tcPr>
          <w:p w14:paraId="3E8564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spacing w:val="-4"/>
                <w:kern w:val="0"/>
                <w:sz w:val="22"/>
                <w:szCs w:val="22"/>
                <w:lang w:eastAsia="en-US"/>
              </w:rPr>
            </w:pPr>
            <w:r>
              <w:rPr>
                <w:rFonts w:ascii="宋体" w:hAnsi="宋体" w:eastAsia="宋体" w:cs="宋体"/>
                <w:snapToGrid w:val="0"/>
                <w:color w:val="auto"/>
                <w:spacing w:val="-4"/>
                <w:kern w:val="0"/>
                <w:sz w:val="22"/>
                <w:szCs w:val="22"/>
                <w:lang w:eastAsia="en-US"/>
              </w:rPr>
              <w:t>剧烈</w:t>
            </w:r>
          </w:p>
        </w:tc>
      </w:tr>
    </w:tbl>
    <w:p w14:paraId="7BD80CE5">
      <w:pPr>
        <w:widowControl/>
        <w:kinsoku w:val="0"/>
        <w:autoSpaceDE w:val="0"/>
        <w:autoSpaceDN w:val="0"/>
        <w:adjustRightInd w:val="0"/>
        <w:snapToGrid w:val="0"/>
        <w:spacing w:line="91" w:lineRule="auto"/>
        <w:jc w:val="left"/>
        <w:textAlignment w:val="baseline"/>
        <w:rPr>
          <w:rFonts w:ascii="Arial" w:hAnsi="Arial" w:eastAsia="Arial" w:cs="Arial"/>
          <w:snapToGrid w:val="0"/>
          <w:color w:val="auto"/>
          <w:kern w:val="0"/>
          <w:sz w:val="2"/>
          <w:szCs w:val="21"/>
          <w:lang w:eastAsia="en-US"/>
        </w:rPr>
      </w:pPr>
    </w:p>
    <w:p w14:paraId="5F3BD6D9">
      <w:pPr>
        <w:kinsoku w:val="0"/>
        <w:autoSpaceDE w:val="0"/>
        <w:autoSpaceDN w:val="0"/>
        <w:adjustRightInd w:val="0"/>
        <w:snapToGrid w:val="0"/>
        <w:spacing w:before="157" w:line="240" w:lineRule="auto"/>
        <w:jc w:val="center"/>
        <w:textAlignment w:val="baseline"/>
        <w:rPr>
          <w:rFonts w:ascii="宋体" w:hAnsi="宋体" w:eastAsia="宋体" w:cs="宋体"/>
          <w:snapToGrid w:val="0"/>
          <w:color w:val="auto"/>
          <w:kern w:val="0"/>
          <w:sz w:val="24"/>
          <w:szCs w:val="24"/>
          <w:lang w:val="en-US" w:eastAsia="en-US" w:bidi="ar-SA"/>
        </w:rPr>
      </w:pPr>
      <w:r>
        <w:rPr>
          <w:rFonts w:hint="eastAsia" w:ascii="宋体" w:hAnsi="宋体" w:cs="宋体"/>
          <w:b/>
          <w:bCs/>
          <w:snapToGrid w:val="0"/>
          <w:color w:val="auto"/>
          <w:spacing w:val="-1"/>
          <w:kern w:val="0"/>
          <w:sz w:val="24"/>
          <w:szCs w:val="24"/>
          <w:lang w:val="en-US" w:eastAsia="zh-CN" w:bidi="ar-SA"/>
        </w:rPr>
        <w:t>专题</w:t>
      </w:r>
      <w:r>
        <w:rPr>
          <w:rFonts w:ascii="宋体" w:hAnsi="宋体" w:eastAsia="宋体" w:cs="宋体"/>
          <w:b/>
          <w:bCs/>
          <w:snapToGrid w:val="0"/>
          <w:color w:val="auto"/>
          <w:spacing w:val="-1"/>
          <w:kern w:val="0"/>
          <w:sz w:val="24"/>
          <w:szCs w:val="24"/>
          <w:lang w:val="en-US" w:eastAsia="en-US" w:bidi="ar-SA"/>
        </w:rPr>
        <w:t>表</w:t>
      </w:r>
      <w:r>
        <w:rPr>
          <w:rFonts w:ascii="宋体" w:hAnsi="宋体" w:eastAsia="宋体" w:cs="宋体"/>
          <w:snapToGrid w:val="0"/>
          <w:color w:val="auto"/>
          <w:spacing w:val="-53"/>
          <w:kern w:val="0"/>
          <w:sz w:val="24"/>
          <w:szCs w:val="24"/>
          <w:lang w:val="en-US" w:eastAsia="en-US" w:bidi="ar-SA"/>
        </w:rPr>
        <w:t xml:space="preserve"> </w:t>
      </w:r>
      <w:r>
        <w:rPr>
          <w:rFonts w:hint="eastAsia" w:eastAsia="宋体" w:cs="Times New Roman"/>
          <w:b/>
          <w:bCs/>
          <w:snapToGrid w:val="0"/>
          <w:color w:val="auto"/>
          <w:spacing w:val="-1"/>
          <w:kern w:val="0"/>
          <w:sz w:val="24"/>
          <w:szCs w:val="24"/>
          <w:lang w:val="en-US" w:eastAsia="zh-CN" w:bidi="ar-SA"/>
        </w:rPr>
        <w:t>3</w:t>
      </w:r>
      <w:r>
        <w:rPr>
          <w:rFonts w:ascii="Times New Roman" w:hAnsi="Times New Roman" w:eastAsia="Times New Roman" w:cs="Times New Roman"/>
          <w:b/>
          <w:bCs/>
          <w:snapToGrid w:val="0"/>
          <w:color w:val="auto"/>
          <w:spacing w:val="-1"/>
          <w:kern w:val="0"/>
          <w:sz w:val="24"/>
          <w:szCs w:val="24"/>
          <w:lang w:val="en-US" w:eastAsia="en-US" w:bidi="ar-SA"/>
        </w:rPr>
        <w:t xml:space="preserve">-5     </w:t>
      </w:r>
      <w:r>
        <w:rPr>
          <w:rFonts w:ascii="宋体" w:hAnsi="宋体" w:eastAsia="宋体" w:cs="宋体"/>
          <w:b/>
          <w:bCs/>
          <w:snapToGrid w:val="0"/>
          <w:color w:val="auto"/>
          <w:spacing w:val="-1"/>
          <w:kern w:val="0"/>
          <w:sz w:val="24"/>
          <w:szCs w:val="24"/>
          <w:lang w:val="en-US" w:eastAsia="en-US" w:bidi="ar-SA"/>
        </w:rPr>
        <w:t>评价区土壤侵蚀强度分级标准</w:t>
      </w:r>
    </w:p>
    <w:tbl>
      <w:tblPr>
        <w:tblStyle w:val="83"/>
        <w:tblW w:w="901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27"/>
        <w:gridCol w:w="4387"/>
      </w:tblGrid>
      <w:tr w14:paraId="359854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4627" w:type="dxa"/>
            <w:tcBorders>
              <w:top w:val="single" w:color="000000" w:sz="10" w:space="0"/>
              <w:left w:val="nil"/>
            </w:tcBorders>
            <w:vAlign w:val="center"/>
          </w:tcPr>
          <w:p w14:paraId="6E104F9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2"/>
                <w:szCs w:val="22"/>
                <w:lang w:eastAsia="en-US"/>
              </w:rPr>
            </w:pPr>
            <w:r>
              <w:rPr>
                <w:rFonts w:hint="default" w:ascii="Times New Roman" w:hAnsi="Times New Roman" w:eastAsia="宋体" w:cs="Times New Roman"/>
                <w:b/>
                <w:bCs/>
                <w:snapToGrid w:val="0"/>
                <w:color w:val="auto"/>
                <w:spacing w:val="-8"/>
                <w:kern w:val="0"/>
                <w:sz w:val="22"/>
                <w:szCs w:val="22"/>
                <w:lang w:eastAsia="en-US"/>
              </w:rPr>
              <w:t>级</w:t>
            </w:r>
            <w:r>
              <w:rPr>
                <w:rFonts w:hint="default" w:ascii="Times New Roman" w:hAnsi="Times New Roman" w:eastAsia="宋体" w:cs="Times New Roman"/>
                <w:snapToGrid w:val="0"/>
                <w:color w:val="auto"/>
                <w:spacing w:val="9"/>
                <w:kern w:val="0"/>
                <w:sz w:val="22"/>
                <w:szCs w:val="22"/>
                <w:lang w:eastAsia="en-US"/>
              </w:rPr>
              <w:t xml:space="preserve"> </w:t>
            </w:r>
            <w:r>
              <w:rPr>
                <w:rFonts w:hint="default" w:ascii="Times New Roman" w:hAnsi="Times New Roman" w:eastAsia="宋体" w:cs="Times New Roman"/>
                <w:b/>
                <w:bCs/>
                <w:snapToGrid w:val="0"/>
                <w:color w:val="auto"/>
                <w:spacing w:val="-8"/>
                <w:kern w:val="0"/>
                <w:sz w:val="22"/>
                <w:szCs w:val="22"/>
                <w:lang w:eastAsia="en-US"/>
              </w:rPr>
              <w:t>别</w:t>
            </w:r>
          </w:p>
        </w:tc>
        <w:tc>
          <w:tcPr>
            <w:tcW w:w="4387" w:type="dxa"/>
            <w:tcBorders>
              <w:top w:val="single" w:color="000000" w:sz="10" w:space="0"/>
              <w:right w:val="nil"/>
            </w:tcBorders>
            <w:vAlign w:val="center"/>
          </w:tcPr>
          <w:p w14:paraId="1F3AA638">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auto"/>
                <w:kern w:val="0"/>
                <w:sz w:val="22"/>
                <w:szCs w:val="22"/>
                <w:lang w:val="en-US" w:eastAsia="en-US" w:bidi="ar-SA"/>
              </w:rPr>
            </w:pPr>
            <w:r>
              <w:rPr>
                <w:rFonts w:hint="default" w:ascii="Times New Roman" w:hAnsi="Times New Roman" w:eastAsia="宋体" w:cs="Times New Roman"/>
                <w:b/>
                <w:bCs/>
                <w:snapToGrid w:val="0"/>
                <w:color w:val="auto"/>
                <w:spacing w:val="-1"/>
                <w:kern w:val="0"/>
                <w:sz w:val="22"/>
                <w:szCs w:val="22"/>
                <w:lang w:val="en-US" w:eastAsia="en-US" w:bidi="ar-SA"/>
              </w:rPr>
              <w:t>侵蚀模数</w:t>
            </w:r>
            <w:r>
              <w:rPr>
                <w:rFonts w:hint="default" w:ascii="Times New Roman" w:hAnsi="Times New Roman" w:eastAsia="Times New Roman" w:cs="Times New Roman"/>
                <w:b/>
                <w:bCs/>
                <w:snapToGrid w:val="0"/>
                <w:color w:val="auto"/>
                <w:spacing w:val="-1"/>
                <w:kern w:val="0"/>
                <w:sz w:val="22"/>
                <w:szCs w:val="22"/>
                <w:lang w:val="en-US" w:eastAsia="en-US" w:bidi="ar-SA"/>
              </w:rPr>
              <w:t>[t/(km</w:t>
            </w:r>
            <w:r>
              <w:rPr>
                <w:rFonts w:hint="default" w:ascii="Times New Roman" w:hAnsi="Times New Roman" w:eastAsia="Times New Roman" w:cs="Times New Roman"/>
                <w:b/>
                <w:bCs/>
                <w:snapToGrid w:val="0"/>
                <w:color w:val="auto"/>
                <w:spacing w:val="-1"/>
                <w:kern w:val="0"/>
                <w:position w:val="7"/>
                <w:sz w:val="14"/>
                <w:szCs w:val="14"/>
                <w:lang w:val="en-US" w:eastAsia="en-US" w:bidi="ar-SA"/>
              </w:rPr>
              <w:t>2</w:t>
            </w:r>
            <w:r>
              <w:rPr>
                <w:rFonts w:hint="default" w:ascii="Times New Roman" w:hAnsi="Times New Roman" w:eastAsia="Times New Roman" w:cs="Times New Roman"/>
                <w:b/>
                <w:bCs/>
                <w:snapToGrid w:val="0"/>
                <w:color w:val="auto"/>
                <w:spacing w:val="-1"/>
                <w:kern w:val="0"/>
                <w:sz w:val="22"/>
                <w:szCs w:val="22"/>
                <w:lang w:val="en-US" w:eastAsia="en-US" w:bidi="ar-SA"/>
              </w:rPr>
              <w:t>•a)]</w:t>
            </w:r>
          </w:p>
        </w:tc>
      </w:tr>
      <w:tr w14:paraId="1F7514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4627" w:type="dxa"/>
            <w:tcBorders>
              <w:left w:val="nil"/>
            </w:tcBorders>
            <w:vAlign w:val="center"/>
          </w:tcPr>
          <w:p w14:paraId="0F9FE10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2"/>
                <w:szCs w:val="22"/>
                <w:lang w:eastAsia="en-US"/>
              </w:rPr>
            </w:pPr>
            <w:r>
              <w:rPr>
                <w:rFonts w:hint="default" w:ascii="Times New Roman" w:hAnsi="Times New Roman" w:eastAsia="宋体" w:cs="Times New Roman"/>
                <w:snapToGrid w:val="0"/>
                <w:color w:val="auto"/>
                <w:spacing w:val="-2"/>
                <w:kern w:val="0"/>
                <w:sz w:val="22"/>
                <w:szCs w:val="22"/>
                <w:lang w:eastAsia="en-US"/>
              </w:rPr>
              <w:t>微度侵蚀</w:t>
            </w:r>
          </w:p>
        </w:tc>
        <w:tc>
          <w:tcPr>
            <w:tcW w:w="4387" w:type="dxa"/>
            <w:tcBorders>
              <w:right w:val="nil"/>
            </w:tcBorders>
            <w:vAlign w:val="center"/>
          </w:tcPr>
          <w:p w14:paraId="2088CBF6">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auto"/>
                <w:kern w:val="0"/>
                <w:sz w:val="22"/>
                <w:szCs w:val="22"/>
                <w:lang w:val="en-US" w:eastAsia="en-US" w:bidi="ar-SA"/>
              </w:rPr>
            </w:pPr>
            <w:r>
              <w:rPr>
                <w:rFonts w:hint="default" w:ascii="Times New Roman" w:hAnsi="Times New Roman" w:eastAsia="宋体" w:cs="Times New Roman"/>
                <w:snapToGrid w:val="0"/>
                <w:color w:val="auto"/>
                <w:spacing w:val="12"/>
                <w:kern w:val="0"/>
                <w:sz w:val="22"/>
                <w:szCs w:val="22"/>
                <w:lang w:val="en-US" w:eastAsia="en-US" w:bidi="ar-SA"/>
              </w:rPr>
              <w:t>&lt;</w:t>
            </w:r>
            <w:r>
              <w:rPr>
                <w:rFonts w:hint="default" w:ascii="Times New Roman" w:hAnsi="Times New Roman" w:eastAsia="Times New Roman" w:cs="Times New Roman"/>
                <w:snapToGrid w:val="0"/>
                <w:color w:val="auto"/>
                <w:spacing w:val="12"/>
                <w:kern w:val="0"/>
                <w:sz w:val="22"/>
                <w:szCs w:val="22"/>
                <w:lang w:val="en-US" w:eastAsia="en-US" w:bidi="ar-SA"/>
              </w:rPr>
              <w:t>200</w:t>
            </w:r>
            <w:r>
              <w:rPr>
                <w:rFonts w:hint="default" w:ascii="Times New Roman" w:hAnsi="Times New Roman" w:eastAsia="宋体" w:cs="Times New Roman"/>
                <w:snapToGrid w:val="0"/>
                <w:color w:val="auto"/>
                <w:spacing w:val="-12"/>
                <w:kern w:val="0"/>
                <w:sz w:val="22"/>
                <w:szCs w:val="22"/>
                <w:lang w:val="en-US" w:eastAsia="en-US" w:bidi="ar-SA"/>
              </w:rPr>
              <w:t>，＜</w:t>
            </w:r>
            <w:r>
              <w:rPr>
                <w:rFonts w:hint="default" w:ascii="Times New Roman" w:hAnsi="Times New Roman" w:eastAsia="Times New Roman" w:cs="Times New Roman"/>
                <w:snapToGrid w:val="0"/>
                <w:color w:val="auto"/>
                <w:spacing w:val="12"/>
                <w:kern w:val="0"/>
                <w:sz w:val="22"/>
                <w:szCs w:val="22"/>
                <w:lang w:val="en-US" w:eastAsia="en-US" w:bidi="ar-SA"/>
              </w:rPr>
              <w:t>500</w:t>
            </w:r>
            <w:r>
              <w:rPr>
                <w:rFonts w:hint="default" w:ascii="Times New Roman" w:hAnsi="Times New Roman" w:eastAsia="宋体" w:cs="Times New Roman"/>
                <w:snapToGrid w:val="0"/>
                <w:color w:val="auto"/>
                <w:spacing w:val="-12"/>
                <w:kern w:val="0"/>
                <w:sz w:val="22"/>
                <w:szCs w:val="22"/>
                <w:lang w:val="en-US" w:eastAsia="en-US" w:bidi="ar-SA"/>
              </w:rPr>
              <w:t>，＜</w:t>
            </w:r>
            <w:r>
              <w:rPr>
                <w:rFonts w:hint="default" w:ascii="Times New Roman" w:hAnsi="Times New Roman" w:eastAsia="Times New Roman" w:cs="Times New Roman"/>
                <w:snapToGrid w:val="0"/>
                <w:color w:val="auto"/>
                <w:spacing w:val="12"/>
                <w:kern w:val="0"/>
                <w:sz w:val="22"/>
                <w:szCs w:val="22"/>
                <w:lang w:val="en-US" w:eastAsia="en-US" w:bidi="ar-SA"/>
              </w:rPr>
              <w:t>1000</w:t>
            </w:r>
          </w:p>
        </w:tc>
      </w:tr>
      <w:tr w14:paraId="703CA2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4627" w:type="dxa"/>
            <w:tcBorders>
              <w:left w:val="nil"/>
            </w:tcBorders>
            <w:vAlign w:val="center"/>
          </w:tcPr>
          <w:p w14:paraId="6454DB2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2"/>
                <w:szCs w:val="22"/>
                <w:lang w:eastAsia="en-US"/>
              </w:rPr>
            </w:pPr>
            <w:r>
              <w:rPr>
                <w:rFonts w:hint="default" w:ascii="Times New Roman" w:hAnsi="Times New Roman" w:eastAsia="宋体" w:cs="Times New Roman"/>
                <w:snapToGrid w:val="0"/>
                <w:color w:val="auto"/>
                <w:spacing w:val="-3"/>
                <w:kern w:val="0"/>
                <w:sz w:val="22"/>
                <w:szCs w:val="22"/>
                <w:lang w:eastAsia="en-US"/>
              </w:rPr>
              <w:t>轻度侵蚀</w:t>
            </w:r>
          </w:p>
        </w:tc>
        <w:tc>
          <w:tcPr>
            <w:tcW w:w="4387" w:type="dxa"/>
            <w:tcBorders>
              <w:right w:val="nil"/>
            </w:tcBorders>
            <w:vAlign w:val="center"/>
          </w:tcPr>
          <w:p w14:paraId="6F84AA53">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auto"/>
                <w:kern w:val="0"/>
                <w:sz w:val="22"/>
                <w:szCs w:val="22"/>
                <w:lang w:val="en-US" w:eastAsia="en-US" w:bidi="ar-SA"/>
              </w:rPr>
            </w:pPr>
            <w:r>
              <w:rPr>
                <w:rFonts w:hint="default" w:ascii="Times New Roman" w:hAnsi="Times New Roman" w:eastAsia="Times New Roman" w:cs="Times New Roman"/>
                <w:snapToGrid w:val="0"/>
                <w:color w:val="auto"/>
                <w:spacing w:val="-4"/>
                <w:kern w:val="0"/>
                <w:sz w:val="22"/>
                <w:szCs w:val="22"/>
                <w:lang w:val="en-US" w:eastAsia="en-US" w:bidi="ar-SA"/>
              </w:rPr>
              <w:t>200</w:t>
            </w:r>
            <w:r>
              <w:rPr>
                <w:rFonts w:hint="default" w:ascii="Times New Roman" w:hAnsi="Times New Roman" w:eastAsia="Times New Roman" w:cs="Times New Roman"/>
                <w:snapToGrid w:val="0"/>
                <w:color w:val="auto"/>
                <w:spacing w:val="-19"/>
                <w:kern w:val="0"/>
                <w:sz w:val="22"/>
                <w:szCs w:val="22"/>
                <w:lang w:val="en-US" w:eastAsia="en-US" w:bidi="ar-SA"/>
              </w:rPr>
              <w:t xml:space="preserve"> </w:t>
            </w:r>
            <w:r>
              <w:rPr>
                <w:rFonts w:hint="default" w:ascii="Times New Roman" w:hAnsi="Times New Roman" w:eastAsia="宋体" w:cs="Times New Roman"/>
                <w:snapToGrid w:val="0"/>
                <w:color w:val="auto"/>
                <w:spacing w:val="-4"/>
                <w:kern w:val="0"/>
                <w:sz w:val="22"/>
                <w:szCs w:val="22"/>
                <w:lang w:val="en-US" w:eastAsia="en-US" w:bidi="ar-SA"/>
              </w:rPr>
              <w:t>，</w:t>
            </w:r>
            <w:r>
              <w:rPr>
                <w:rFonts w:hint="default" w:ascii="Times New Roman" w:hAnsi="Times New Roman" w:eastAsia="Times New Roman" w:cs="Times New Roman"/>
                <w:snapToGrid w:val="0"/>
                <w:color w:val="auto"/>
                <w:spacing w:val="-4"/>
                <w:kern w:val="0"/>
                <w:sz w:val="22"/>
                <w:szCs w:val="22"/>
                <w:lang w:val="en-US" w:eastAsia="en-US" w:bidi="ar-SA"/>
              </w:rPr>
              <w:t>500</w:t>
            </w:r>
            <w:r>
              <w:rPr>
                <w:rFonts w:hint="default" w:ascii="Times New Roman" w:hAnsi="Times New Roman" w:eastAsia="Times New Roman" w:cs="Times New Roman"/>
                <w:snapToGrid w:val="0"/>
                <w:color w:val="auto"/>
                <w:spacing w:val="-28"/>
                <w:kern w:val="0"/>
                <w:sz w:val="22"/>
                <w:szCs w:val="22"/>
                <w:lang w:val="en-US" w:eastAsia="en-US" w:bidi="ar-SA"/>
              </w:rPr>
              <w:t xml:space="preserve"> </w:t>
            </w:r>
            <w:r>
              <w:rPr>
                <w:rFonts w:hint="default" w:ascii="Times New Roman" w:hAnsi="Times New Roman" w:eastAsia="宋体" w:cs="Times New Roman"/>
                <w:snapToGrid w:val="0"/>
                <w:color w:val="auto"/>
                <w:spacing w:val="-4"/>
                <w:kern w:val="0"/>
                <w:sz w:val="22"/>
                <w:szCs w:val="22"/>
                <w:lang w:val="en-US" w:eastAsia="en-US" w:bidi="ar-SA"/>
              </w:rPr>
              <w:t>，</w:t>
            </w:r>
            <w:r>
              <w:rPr>
                <w:rFonts w:hint="default" w:ascii="Times New Roman" w:hAnsi="Times New Roman" w:eastAsia="Times New Roman" w:cs="Times New Roman"/>
                <w:snapToGrid w:val="0"/>
                <w:color w:val="auto"/>
                <w:spacing w:val="-4"/>
                <w:kern w:val="0"/>
                <w:sz w:val="22"/>
                <w:szCs w:val="22"/>
                <w:lang w:val="en-US" w:eastAsia="en-US" w:bidi="ar-SA"/>
              </w:rPr>
              <w:t>1000</w:t>
            </w:r>
            <w:r>
              <w:rPr>
                <w:rFonts w:hint="default" w:ascii="Times New Roman" w:hAnsi="Times New Roman" w:eastAsia="宋体" w:cs="Times New Roman"/>
                <w:snapToGrid w:val="0"/>
                <w:color w:val="auto"/>
                <w:spacing w:val="-4"/>
                <w:kern w:val="0"/>
                <w:sz w:val="22"/>
                <w:szCs w:val="22"/>
                <w:lang w:val="en-US" w:eastAsia="en-US" w:bidi="ar-SA"/>
              </w:rPr>
              <w:t>～</w:t>
            </w:r>
            <w:r>
              <w:rPr>
                <w:rFonts w:hint="default" w:ascii="Times New Roman" w:hAnsi="Times New Roman" w:eastAsia="Times New Roman" w:cs="Times New Roman"/>
                <w:snapToGrid w:val="0"/>
                <w:color w:val="auto"/>
                <w:spacing w:val="-4"/>
                <w:kern w:val="0"/>
                <w:sz w:val="22"/>
                <w:szCs w:val="22"/>
                <w:lang w:val="en-US" w:eastAsia="en-US" w:bidi="ar-SA"/>
              </w:rPr>
              <w:t>2500</w:t>
            </w:r>
          </w:p>
        </w:tc>
      </w:tr>
      <w:tr w14:paraId="794BDD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4627" w:type="dxa"/>
            <w:tcBorders>
              <w:left w:val="nil"/>
            </w:tcBorders>
            <w:vAlign w:val="center"/>
          </w:tcPr>
          <w:p w14:paraId="095D65E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2"/>
                <w:szCs w:val="22"/>
                <w:lang w:eastAsia="en-US"/>
              </w:rPr>
            </w:pPr>
            <w:r>
              <w:rPr>
                <w:rFonts w:hint="default" w:ascii="Times New Roman" w:hAnsi="Times New Roman" w:eastAsia="宋体" w:cs="Times New Roman"/>
                <w:snapToGrid w:val="0"/>
                <w:color w:val="auto"/>
                <w:spacing w:val="-8"/>
                <w:kern w:val="0"/>
                <w:sz w:val="22"/>
                <w:szCs w:val="22"/>
                <w:lang w:eastAsia="en-US"/>
              </w:rPr>
              <w:t>中度侵蚀</w:t>
            </w:r>
          </w:p>
        </w:tc>
        <w:tc>
          <w:tcPr>
            <w:tcW w:w="4387" w:type="dxa"/>
            <w:tcBorders>
              <w:right w:val="nil"/>
            </w:tcBorders>
            <w:vAlign w:val="center"/>
          </w:tcPr>
          <w:p w14:paraId="51C872E7">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auto"/>
                <w:kern w:val="0"/>
                <w:sz w:val="22"/>
                <w:szCs w:val="22"/>
                <w:lang w:val="en-US" w:eastAsia="en-US" w:bidi="ar-SA"/>
              </w:rPr>
            </w:pPr>
            <w:r>
              <w:rPr>
                <w:rFonts w:hint="default" w:ascii="Times New Roman" w:hAnsi="Times New Roman" w:eastAsia="Times New Roman" w:cs="Times New Roman"/>
                <w:snapToGrid w:val="0"/>
                <w:color w:val="auto"/>
                <w:spacing w:val="-1"/>
                <w:kern w:val="0"/>
                <w:sz w:val="22"/>
                <w:szCs w:val="22"/>
                <w:lang w:val="en-US" w:eastAsia="en-US" w:bidi="ar-SA"/>
              </w:rPr>
              <w:t>2500</w:t>
            </w:r>
            <w:r>
              <w:rPr>
                <w:rFonts w:hint="default" w:ascii="Times New Roman" w:hAnsi="Times New Roman" w:eastAsia="宋体" w:cs="Times New Roman"/>
                <w:snapToGrid w:val="0"/>
                <w:color w:val="auto"/>
                <w:spacing w:val="-1"/>
                <w:kern w:val="0"/>
                <w:sz w:val="22"/>
                <w:szCs w:val="22"/>
                <w:lang w:val="en-US" w:eastAsia="en-US" w:bidi="ar-SA"/>
              </w:rPr>
              <w:t>～</w:t>
            </w:r>
            <w:r>
              <w:rPr>
                <w:rFonts w:hint="default" w:ascii="Times New Roman" w:hAnsi="Times New Roman" w:eastAsia="Times New Roman" w:cs="Times New Roman"/>
                <w:snapToGrid w:val="0"/>
                <w:color w:val="auto"/>
                <w:spacing w:val="-1"/>
                <w:kern w:val="0"/>
                <w:sz w:val="22"/>
                <w:szCs w:val="22"/>
                <w:lang w:val="en-US" w:eastAsia="en-US" w:bidi="ar-SA"/>
              </w:rPr>
              <w:t>5000</w:t>
            </w:r>
          </w:p>
        </w:tc>
      </w:tr>
      <w:tr w14:paraId="7450E1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4627" w:type="dxa"/>
            <w:tcBorders>
              <w:left w:val="nil"/>
            </w:tcBorders>
            <w:vAlign w:val="center"/>
          </w:tcPr>
          <w:p w14:paraId="110CBBE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2"/>
                <w:szCs w:val="22"/>
                <w:lang w:eastAsia="en-US"/>
              </w:rPr>
            </w:pPr>
            <w:r>
              <w:rPr>
                <w:rFonts w:hint="default" w:ascii="Times New Roman" w:hAnsi="Times New Roman" w:eastAsia="宋体" w:cs="Times New Roman"/>
                <w:snapToGrid w:val="0"/>
                <w:color w:val="auto"/>
                <w:spacing w:val="-4"/>
                <w:kern w:val="0"/>
                <w:sz w:val="22"/>
                <w:szCs w:val="22"/>
                <w:lang w:eastAsia="en-US"/>
              </w:rPr>
              <w:t>强度侵蚀</w:t>
            </w:r>
          </w:p>
        </w:tc>
        <w:tc>
          <w:tcPr>
            <w:tcW w:w="4387" w:type="dxa"/>
            <w:tcBorders>
              <w:right w:val="nil"/>
            </w:tcBorders>
            <w:vAlign w:val="center"/>
          </w:tcPr>
          <w:p w14:paraId="41594BBE">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auto"/>
                <w:kern w:val="0"/>
                <w:sz w:val="22"/>
                <w:szCs w:val="22"/>
                <w:lang w:val="en-US" w:eastAsia="en-US" w:bidi="ar-SA"/>
              </w:rPr>
            </w:pPr>
            <w:r>
              <w:rPr>
                <w:rFonts w:hint="default" w:ascii="Times New Roman" w:hAnsi="Times New Roman" w:eastAsia="Times New Roman" w:cs="Times New Roman"/>
                <w:snapToGrid w:val="0"/>
                <w:color w:val="auto"/>
                <w:spacing w:val="-1"/>
                <w:kern w:val="0"/>
                <w:sz w:val="22"/>
                <w:szCs w:val="22"/>
                <w:lang w:val="en-US" w:eastAsia="en-US" w:bidi="ar-SA"/>
              </w:rPr>
              <w:t>5000</w:t>
            </w:r>
            <w:r>
              <w:rPr>
                <w:rFonts w:hint="default" w:ascii="Times New Roman" w:hAnsi="Times New Roman" w:eastAsia="宋体" w:cs="Times New Roman"/>
                <w:snapToGrid w:val="0"/>
                <w:color w:val="auto"/>
                <w:spacing w:val="-1"/>
                <w:kern w:val="0"/>
                <w:sz w:val="22"/>
                <w:szCs w:val="22"/>
                <w:lang w:val="en-US" w:eastAsia="en-US" w:bidi="ar-SA"/>
              </w:rPr>
              <w:t>～</w:t>
            </w:r>
            <w:r>
              <w:rPr>
                <w:rFonts w:hint="default" w:ascii="Times New Roman" w:hAnsi="Times New Roman" w:eastAsia="Times New Roman" w:cs="Times New Roman"/>
                <w:snapToGrid w:val="0"/>
                <w:color w:val="auto"/>
                <w:spacing w:val="-1"/>
                <w:kern w:val="0"/>
                <w:sz w:val="22"/>
                <w:szCs w:val="22"/>
                <w:lang w:val="en-US" w:eastAsia="en-US" w:bidi="ar-SA"/>
              </w:rPr>
              <w:t>8000</w:t>
            </w:r>
          </w:p>
        </w:tc>
      </w:tr>
      <w:tr w14:paraId="00D602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4627" w:type="dxa"/>
            <w:tcBorders>
              <w:left w:val="nil"/>
            </w:tcBorders>
            <w:vAlign w:val="center"/>
          </w:tcPr>
          <w:p w14:paraId="57576CF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2"/>
                <w:szCs w:val="22"/>
                <w:lang w:eastAsia="en-US"/>
              </w:rPr>
            </w:pPr>
            <w:r>
              <w:rPr>
                <w:rFonts w:hint="default" w:ascii="Times New Roman" w:hAnsi="Times New Roman" w:eastAsia="宋体" w:cs="Times New Roman"/>
                <w:snapToGrid w:val="0"/>
                <w:color w:val="auto"/>
                <w:spacing w:val="-3"/>
                <w:kern w:val="0"/>
                <w:sz w:val="22"/>
                <w:szCs w:val="22"/>
                <w:lang w:eastAsia="en-US"/>
              </w:rPr>
              <w:t>极强侵蚀</w:t>
            </w:r>
          </w:p>
        </w:tc>
        <w:tc>
          <w:tcPr>
            <w:tcW w:w="4387" w:type="dxa"/>
            <w:tcBorders>
              <w:right w:val="nil"/>
            </w:tcBorders>
            <w:vAlign w:val="center"/>
          </w:tcPr>
          <w:p w14:paraId="42B568F9">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auto"/>
                <w:kern w:val="0"/>
                <w:sz w:val="22"/>
                <w:szCs w:val="22"/>
                <w:lang w:val="en-US" w:eastAsia="en-US" w:bidi="ar-SA"/>
              </w:rPr>
            </w:pPr>
            <w:r>
              <w:rPr>
                <w:rFonts w:hint="default" w:ascii="Times New Roman" w:hAnsi="Times New Roman" w:eastAsia="Times New Roman" w:cs="Times New Roman"/>
                <w:snapToGrid w:val="0"/>
                <w:color w:val="auto"/>
                <w:spacing w:val="-2"/>
                <w:kern w:val="0"/>
                <w:sz w:val="22"/>
                <w:szCs w:val="22"/>
                <w:lang w:val="en-US" w:eastAsia="en-US" w:bidi="ar-SA"/>
              </w:rPr>
              <w:t>8000</w:t>
            </w:r>
            <w:r>
              <w:rPr>
                <w:rFonts w:hint="default" w:ascii="Times New Roman" w:hAnsi="Times New Roman" w:eastAsia="宋体" w:cs="Times New Roman"/>
                <w:snapToGrid w:val="0"/>
                <w:color w:val="auto"/>
                <w:spacing w:val="-2"/>
                <w:kern w:val="0"/>
                <w:sz w:val="22"/>
                <w:szCs w:val="22"/>
                <w:lang w:val="en-US" w:eastAsia="en-US" w:bidi="ar-SA"/>
              </w:rPr>
              <w:t>～</w:t>
            </w:r>
            <w:r>
              <w:rPr>
                <w:rFonts w:hint="default" w:ascii="Times New Roman" w:hAnsi="Times New Roman" w:eastAsia="Times New Roman" w:cs="Times New Roman"/>
                <w:snapToGrid w:val="0"/>
                <w:color w:val="auto"/>
                <w:spacing w:val="-2"/>
                <w:kern w:val="0"/>
                <w:sz w:val="22"/>
                <w:szCs w:val="22"/>
                <w:lang w:val="en-US" w:eastAsia="en-US" w:bidi="ar-SA"/>
              </w:rPr>
              <w:t>15000</w:t>
            </w:r>
          </w:p>
        </w:tc>
      </w:tr>
      <w:tr w14:paraId="30EEC3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4627" w:type="dxa"/>
            <w:tcBorders>
              <w:left w:val="nil"/>
              <w:bottom w:val="single" w:color="000000" w:sz="10" w:space="0"/>
            </w:tcBorders>
            <w:vAlign w:val="center"/>
          </w:tcPr>
          <w:p w14:paraId="6430AE8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2"/>
                <w:szCs w:val="22"/>
                <w:lang w:eastAsia="en-US"/>
              </w:rPr>
            </w:pPr>
            <w:r>
              <w:rPr>
                <w:rFonts w:hint="default" w:ascii="Times New Roman" w:hAnsi="Times New Roman" w:eastAsia="宋体" w:cs="Times New Roman"/>
                <w:snapToGrid w:val="0"/>
                <w:color w:val="auto"/>
                <w:spacing w:val="-3"/>
                <w:kern w:val="0"/>
                <w:sz w:val="22"/>
                <w:szCs w:val="22"/>
                <w:lang w:eastAsia="en-US"/>
              </w:rPr>
              <w:t>剧烈侵蚀</w:t>
            </w:r>
          </w:p>
        </w:tc>
        <w:tc>
          <w:tcPr>
            <w:tcW w:w="4387" w:type="dxa"/>
            <w:tcBorders>
              <w:bottom w:val="single" w:color="000000" w:sz="10" w:space="0"/>
              <w:right w:val="nil"/>
            </w:tcBorders>
            <w:vAlign w:val="center"/>
          </w:tcPr>
          <w:p w14:paraId="6F68F062">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auto"/>
                <w:kern w:val="0"/>
                <w:sz w:val="22"/>
                <w:szCs w:val="22"/>
                <w:lang w:val="en-US" w:eastAsia="en-US" w:bidi="ar-SA"/>
              </w:rPr>
            </w:pPr>
            <w:r>
              <w:rPr>
                <w:rFonts w:hint="default" w:ascii="Times New Roman" w:hAnsi="Times New Roman" w:eastAsia="宋体" w:cs="Times New Roman"/>
                <w:snapToGrid w:val="0"/>
                <w:color w:val="auto"/>
                <w:spacing w:val="13"/>
                <w:kern w:val="0"/>
                <w:sz w:val="22"/>
                <w:szCs w:val="22"/>
                <w:lang w:val="en-US" w:eastAsia="en-US" w:bidi="ar-SA"/>
              </w:rPr>
              <w:t>&gt;</w:t>
            </w:r>
            <w:r>
              <w:rPr>
                <w:rFonts w:hint="default" w:ascii="Times New Roman" w:hAnsi="Times New Roman" w:eastAsia="Times New Roman" w:cs="Times New Roman"/>
                <w:snapToGrid w:val="0"/>
                <w:color w:val="auto"/>
                <w:spacing w:val="13"/>
                <w:kern w:val="0"/>
                <w:sz w:val="22"/>
                <w:szCs w:val="22"/>
                <w:lang w:val="en-US" w:eastAsia="en-US" w:bidi="ar-SA"/>
              </w:rPr>
              <w:t>15000</w:t>
            </w:r>
          </w:p>
        </w:tc>
      </w:tr>
    </w:tbl>
    <w:p w14:paraId="1BA98D48">
      <w:pPr>
        <w:kinsoku w:val="0"/>
        <w:autoSpaceDE w:val="0"/>
        <w:autoSpaceDN w:val="0"/>
        <w:adjustRightInd w:val="0"/>
        <w:snapToGrid w:val="0"/>
        <w:spacing w:before="157" w:line="218" w:lineRule="auto"/>
        <w:ind w:left="737"/>
        <w:jc w:val="center"/>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snapToGrid w:val="0"/>
          <w:color w:val="auto"/>
          <w:spacing w:val="-1"/>
          <w:kern w:val="0"/>
          <w:sz w:val="24"/>
          <w:szCs w:val="24"/>
          <w:lang w:val="en-US" w:eastAsia="zh-CN" w:bidi="ar-SA"/>
        </w:rPr>
        <w:t>专题</w:t>
      </w:r>
      <w:r>
        <w:rPr>
          <w:rFonts w:hint="default" w:ascii="Times New Roman" w:hAnsi="Times New Roman" w:cs="Times New Roman"/>
          <w:b/>
          <w:bCs/>
          <w:snapToGrid w:val="0"/>
          <w:color w:val="auto"/>
          <w:spacing w:val="-1"/>
          <w:kern w:val="0"/>
          <w:sz w:val="24"/>
          <w:szCs w:val="24"/>
          <w:lang w:val="en-US" w:eastAsia="en-US" w:bidi="ar-SA"/>
        </w:rPr>
        <w:t>表</w:t>
      </w:r>
      <w:r>
        <w:rPr>
          <w:rFonts w:hint="default" w:ascii="Times New Roman" w:hAnsi="Times New Roman" w:cs="Times New Roman"/>
          <w:b/>
          <w:bCs/>
          <w:snapToGrid w:val="0"/>
          <w:color w:val="auto"/>
          <w:spacing w:val="-1"/>
          <w:kern w:val="0"/>
          <w:sz w:val="24"/>
          <w:szCs w:val="24"/>
          <w:lang w:val="en-US" w:eastAsia="zh-CN" w:bidi="ar-SA"/>
        </w:rPr>
        <w:t>3</w:t>
      </w:r>
      <w:r>
        <w:rPr>
          <w:rFonts w:hint="default" w:ascii="Times New Roman" w:hAnsi="Times New Roman" w:cs="Times New Roman"/>
          <w:b/>
          <w:bCs/>
          <w:snapToGrid w:val="0"/>
          <w:color w:val="auto"/>
          <w:spacing w:val="-1"/>
          <w:kern w:val="0"/>
          <w:sz w:val="24"/>
          <w:szCs w:val="24"/>
          <w:lang w:val="en-US" w:eastAsia="en-US" w:bidi="ar-SA"/>
        </w:rPr>
        <w:t xml:space="preserve">-6  </w:t>
      </w:r>
      <w:r>
        <w:rPr>
          <w:rFonts w:ascii="Times New Roman" w:hAnsi="Times New Roman" w:eastAsia="Times New Roman" w:cs="Times New Roman"/>
          <w:b/>
          <w:bCs/>
          <w:snapToGrid w:val="0"/>
          <w:color w:val="auto"/>
          <w:spacing w:val="-1"/>
          <w:kern w:val="0"/>
          <w:sz w:val="24"/>
          <w:szCs w:val="24"/>
          <w:lang w:val="en-US" w:eastAsia="en-US" w:bidi="ar-SA"/>
        </w:rPr>
        <w:t xml:space="preserve">   </w:t>
      </w:r>
      <w:r>
        <w:rPr>
          <w:rFonts w:ascii="宋体" w:hAnsi="宋体" w:eastAsia="宋体" w:cs="宋体"/>
          <w:b/>
          <w:bCs/>
          <w:snapToGrid w:val="0"/>
          <w:color w:val="auto"/>
          <w:spacing w:val="-1"/>
          <w:kern w:val="0"/>
          <w:sz w:val="24"/>
          <w:szCs w:val="24"/>
          <w:lang w:val="en-US" w:eastAsia="en-US" w:bidi="ar-SA"/>
        </w:rPr>
        <w:t>评价区各土壤侵蚀等级面积</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07"/>
        <w:gridCol w:w="2947"/>
        <w:gridCol w:w="2153"/>
        <w:gridCol w:w="2007"/>
      </w:tblGrid>
      <w:tr w14:paraId="125EC1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907" w:type="dxa"/>
            <w:tcBorders>
              <w:top w:val="single" w:color="000000" w:sz="10" w:space="0"/>
              <w:left w:val="nil"/>
            </w:tcBorders>
            <w:vAlign w:val="center"/>
          </w:tcPr>
          <w:p w14:paraId="5AF1F3E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4"/>
                <w:kern w:val="0"/>
                <w:sz w:val="20"/>
                <w:szCs w:val="20"/>
                <w:lang w:eastAsia="en-US"/>
              </w:rPr>
              <w:t>序号</w:t>
            </w:r>
          </w:p>
        </w:tc>
        <w:tc>
          <w:tcPr>
            <w:tcW w:w="2947" w:type="dxa"/>
            <w:tcBorders>
              <w:top w:val="single" w:color="000000" w:sz="10" w:space="0"/>
            </w:tcBorders>
            <w:vAlign w:val="center"/>
          </w:tcPr>
          <w:p w14:paraId="1314634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土壤侵蚀强度</w:t>
            </w:r>
          </w:p>
        </w:tc>
        <w:tc>
          <w:tcPr>
            <w:tcW w:w="2153" w:type="dxa"/>
            <w:tcBorders>
              <w:top w:val="single" w:color="000000" w:sz="10" w:space="0"/>
            </w:tcBorders>
            <w:vAlign w:val="center"/>
          </w:tcPr>
          <w:p w14:paraId="6EF19E6B">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b/>
                <w:bCs/>
                <w:snapToGrid w:val="0"/>
                <w:color w:val="auto"/>
                <w:spacing w:val="6"/>
                <w:kern w:val="0"/>
                <w:sz w:val="20"/>
                <w:szCs w:val="20"/>
                <w:lang w:val="en-US" w:eastAsia="en-US" w:bidi="ar-SA"/>
              </w:rPr>
              <w:t>面积（</w:t>
            </w:r>
            <w:r>
              <w:rPr>
                <w:rFonts w:ascii="Times New Roman" w:hAnsi="Times New Roman" w:eastAsia="Times New Roman" w:cs="Times New Roman"/>
                <w:b/>
                <w:bCs/>
                <w:snapToGrid w:val="0"/>
                <w:color w:val="auto"/>
                <w:kern w:val="0"/>
                <w:sz w:val="20"/>
                <w:szCs w:val="20"/>
                <w:lang w:val="en-US" w:eastAsia="en-US" w:bidi="ar-SA"/>
              </w:rPr>
              <w:t>hm</w:t>
            </w:r>
            <w:r>
              <w:rPr>
                <w:rFonts w:ascii="Times New Roman" w:hAnsi="Times New Roman" w:eastAsia="Times New Roman" w:cs="Times New Roman"/>
                <w:b/>
                <w:bCs/>
                <w:snapToGrid w:val="0"/>
                <w:color w:val="auto"/>
                <w:spacing w:val="6"/>
                <w:kern w:val="0"/>
                <w:position w:val="6"/>
                <w:sz w:val="13"/>
                <w:szCs w:val="13"/>
                <w:lang w:val="en-US" w:eastAsia="en-US" w:bidi="ar-SA"/>
              </w:rPr>
              <w:t>2</w:t>
            </w:r>
            <w:r>
              <w:rPr>
                <w:rFonts w:ascii="宋体" w:hAnsi="宋体" w:eastAsia="宋体" w:cs="宋体"/>
                <w:b/>
                <w:bCs/>
                <w:snapToGrid w:val="0"/>
                <w:color w:val="auto"/>
                <w:spacing w:val="6"/>
                <w:kern w:val="0"/>
                <w:sz w:val="20"/>
                <w:szCs w:val="20"/>
                <w:lang w:val="en-US" w:eastAsia="en-US" w:bidi="ar-SA"/>
              </w:rPr>
              <w:t>）</w:t>
            </w:r>
          </w:p>
        </w:tc>
        <w:tc>
          <w:tcPr>
            <w:tcW w:w="2007" w:type="dxa"/>
            <w:tcBorders>
              <w:top w:val="single" w:color="000000" w:sz="10" w:space="0"/>
              <w:right w:val="nil"/>
            </w:tcBorders>
            <w:vAlign w:val="center"/>
          </w:tcPr>
          <w:p w14:paraId="4F155089">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b/>
                <w:bCs/>
                <w:snapToGrid w:val="0"/>
                <w:color w:val="auto"/>
                <w:spacing w:val="-2"/>
                <w:kern w:val="0"/>
                <w:sz w:val="20"/>
                <w:szCs w:val="20"/>
                <w:lang w:val="en-US" w:eastAsia="en-US" w:bidi="ar-SA"/>
              </w:rPr>
              <w:t>占</w:t>
            </w:r>
            <w:r>
              <w:rPr>
                <w:rFonts w:hint="eastAsia" w:ascii="宋体" w:hAnsi="宋体" w:cs="宋体"/>
                <w:b/>
                <w:bCs/>
                <w:snapToGrid w:val="0"/>
                <w:color w:val="auto"/>
                <w:spacing w:val="-2"/>
                <w:kern w:val="0"/>
                <w:sz w:val="20"/>
                <w:szCs w:val="20"/>
                <w:lang w:val="en-US" w:eastAsia="zh-CN" w:bidi="ar-SA"/>
              </w:rPr>
              <w:t>比</w:t>
            </w:r>
            <w:r>
              <w:rPr>
                <w:rFonts w:ascii="宋体" w:hAnsi="宋体" w:eastAsia="宋体" w:cs="宋体"/>
                <w:b/>
                <w:bCs/>
                <w:snapToGrid w:val="0"/>
                <w:color w:val="auto"/>
                <w:spacing w:val="-2"/>
                <w:kern w:val="0"/>
                <w:sz w:val="20"/>
                <w:szCs w:val="20"/>
                <w:lang w:val="en-US" w:eastAsia="en-US" w:bidi="ar-SA"/>
              </w:rPr>
              <w:t>（</w:t>
            </w:r>
            <w:r>
              <w:rPr>
                <w:rFonts w:ascii="Times New Roman" w:hAnsi="Times New Roman" w:eastAsia="Times New Roman" w:cs="Times New Roman"/>
                <w:b/>
                <w:bCs/>
                <w:snapToGrid w:val="0"/>
                <w:color w:val="auto"/>
                <w:spacing w:val="-2"/>
                <w:kern w:val="0"/>
                <w:sz w:val="20"/>
                <w:szCs w:val="20"/>
                <w:lang w:val="en-US" w:eastAsia="en-US" w:bidi="ar-SA"/>
              </w:rPr>
              <w:t>%</w:t>
            </w:r>
            <w:r>
              <w:rPr>
                <w:rFonts w:ascii="宋体" w:hAnsi="宋体" w:eastAsia="宋体" w:cs="宋体"/>
                <w:b/>
                <w:bCs/>
                <w:snapToGrid w:val="0"/>
                <w:color w:val="auto"/>
                <w:spacing w:val="-2"/>
                <w:kern w:val="0"/>
                <w:sz w:val="20"/>
                <w:szCs w:val="20"/>
                <w:lang w:val="en-US" w:eastAsia="en-US" w:bidi="ar-SA"/>
              </w:rPr>
              <w:t>）</w:t>
            </w:r>
          </w:p>
        </w:tc>
      </w:tr>
      <w:tr w14:paraId="2092C5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907" w:type="dxa"/>
            <w:tcBorders>
              <w:left w:val="nil"/>
            </w:tcBorders>
            <w:vAlign w:val="center"/>
          </w:tcPr>
          <w:p w14:paraId="6C9C33AE">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1</w:t>
            </w:r>
          </w:p>
        </w:tc>
        <w:tc>
          <w:tcPr>
            <w:tcW w:w="2947" w:type="dxa"/>
            <w:vAlign w:val="center"/>
          </w:tcPr>
          <w:p w14:paraId="0BF7022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微度</w:t>
            </w:r>
            <w:r>
              <w:rPr>
                <w:rFonts w:hint="eastAsia" w:ascii="宋体" w:hAnsi="宋体" w:cs="宋体"/>
                <w:snapToGrid w:val="0"/>
                <w:color w:val="auto"/>
                <w:spacing w:val="8"/>
                <w:kern w:val="0"/>
                <w:sz w:val="20"/>
                <w:szCs w:val="20"/>
                <w:lang w:val="en-US" w:eastAsia="zh-CN"/>
              </w:rPr>
              <w:t>风</w:t>
            </w:r>
            <w:r>
              <w:rPr>
                <w:rFonts w:ascii="宋体" w:hAnsi="宋体" w:eastAsia="宋体" w:cs="宋体"/>
                <w:snapToGrid w:val="0"/>
                <w:color w:val="auto"/>
                <w:spacing w:val="8"/>
                <w:kern w:val="0"/>
                <w:sz w:val="20"/>
                <w:szCs w:val="20"/>
                <w:lang w:eastAsia="en-US"/>
              </w:rPr>
              <w:t>力侵蚀</w:t>
            </w:r>
          </w:p>
        </w:tc>
        <w:tc>
          <w:tcPr>
            <w:tcW w:w="2153" w:type="dxa"/>
            <w:vAlign w:val="center"/>
          </w:tcPr>
          <w:p w14:paraId="17E17D7D">
            <w:pPr>
              <w:keepNext w:val="0"/>
              <w:keepLines w:val="0"/>
              <w:widowControl/>
              <w:suppressLineNumbers w:val="0"/>
              <w:jc w:val="center"/>
              <w:textAlignment w:val="center"/>
              <w:rPr>
                <w:rFonts w:ascii="Times New Roman" w:hAnsi="Times New Roman" w:eastAsia="Times New Roman" w:cs="Times New Roman"/>
                <w:snapToGrid w:val="0"/>
                <w:color w:val="auto"/>
                <w:kern w:val="0"/>
                <w:sz w:val="20"/>
                <w:szCs w:val="20"/>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401.94</w:t>
            </w:r>
          </w:p>
        </w:tc>
        <w:tc>
          <w:tcPr>
            <w:tcW w:w="2007" w:type="dxa"/>
            <w:tcBorders>
              <w:right w:val="nil"/>
            </w:tcBorders>
            <w:vAlign w:val="center"/>
          </w:tcPr>
          <w:p w14:paraId="6653486A">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7.83</w:t>
            </w:r>
          </w:p>
        </w:tc>
      </w:tr>
      <w:tr w14:paraId="02186E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907" w:type="dxa"/>
            <w:tcBorders>
              <w:left w:val="nil"/>
            </w:tcBorders>
            <w:vAlign w:val="center"/>
          </w:tcPr>
          <w:p w14:paraId="3C6E35B2">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2</w:t>
            </w:r>
          </w:p>
        </w:tc>
        <w:tc>
          <w:tcPr>
            <w:tcW w:w="2947" w:type="dxa"/>
            <w:vAlign w:val="center"/>
          </w:tcPr>
          <w:p w14:paraId="50EEF3C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轻度</w:t>
            </w:r>
            <w:r>
              <w:rPr>
                <w:rFonts w:hint="eastAsia" w:ascii="宋体" w:hAnsi="宋体" w:cs="宋体"/>
                <w:snapToGrid w:val="0"/>
                <w:color w:val="auto"/>
                <w:spacing w:val="8"/>
                <w:kern w:val="0"/>
                <w:sz w:val="20"/>
                <w:szCs w:val="20"/>
                <w:lang w:val="en-US" w:eastAsia="zh-CN"/>
              </w:rPr>
              <w:t>风</w:t>
            </w:r>
            <w:r>
              <w:rPr>
                <w:rFonts w:ascii="宋体" w:hAnsi="宋体" w:eastAsia="宋体" w:cs="宋体"/>
                <w:snapToGrid w:val="0"/>
                <w:color w:val="auto"/>
                <w:spacing w:val="8"/>
                <w:kern w:val="0"/>
                <w:sz w:val="20"/>
                <w:szCs w:val="20"/>
                <w:lang w:eastAsia="en-US"/>
              </w:rPr>
              <w:t>力侵蚀</w:t>
            </w:r>
          </w:p>
        </w:tc>
        <w:tc>
          <w:tcPr>
            <w:tcW w:w="2153" w:type="dxa"/>
            <w:vAlign w:val="center"/>
          </w:tcPr>
          <w:p w14:paraId="2AD21511">
            <w:pPr>
              <w:keepNext w:val="0"/>
              <w:keepLines w:val="0"/>
              <w:widowControl/>
              <w:suppressLineNumbers w:val="0"/>
              <w:jc w:val="center"/>
              <w:textAlignment w:val="center"/>
              <w:rPr>
                <w:rFonts w:ascii="Times New Roman" w:hAnsi="Times New Roman" w:eastAsia="Times New Roman" w:cs="Times New Roman"/>
                <w:snapToGrid w:val="0"/>
                <w:color w:val="auto"/>
                <w:kern w:val="0"/>
                <w:sz w:val="20"/>
                <w:szCs w:val="20"/>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4478.87</w:t>
            </w:r>
          </w:p>
        </w:tc>
        <w:tc>
          <w:tcPr>
            <w:tcW w:w="2007" w:type="dxa"/>
            <w:tcBorders>
              <w:right w:val="nil"/>
            </w:tcBorders>
            <w:vAlign w:val="center"/>
          </w:tcPr>
          <w:p w14:paraId="16737F26">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87.26</w:t>
            </w:r>
          </w:p>
        </w:tc>
      </w:tr>
      <w:tr w14:paraId="3AF1FF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237" w:hRule="atLeast"/>
          <w:jc w:val="center"/>
        </w:trPr>
        <w:tc>
          <w:tcPr>
            <w:tcW w:w="1907" w:type="dxa"/>
            <w:tcBorders>
              <w:left w:val="nil"/>
            </w:tcBorders>
            <w:vAlign w:val="center"/>
          </w:tcPr>
          <w:p w14:paraId="0B28CAB4">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3</w:t>
            </w:r>
          </w:p>
        </w:tc>
        <w:tc>
          <w:tcPr>
            <w:tcW w:w="2947" w:type="dxa"/>
            <w:vAlign w:val="center"/>
          </w:tcPr>
          <w:p w14:paraId="77CA34A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4"/>
                <w:kern w:val="0"/>
                <w:sz w:val="20"/>
                <w:szCs w:val="20"/>
                <w:lang w:eastAsia="en-US"/>
              </w:rPr>
              <w:t>中度</w:t>
            </w:r>
            <w:r>
              <w:rPr>
                <w:rFonts w:hint="eastAsia" w:ascii="宋体" w:hAnsi="宋体" w:cs="宋体"/>
                <w:snapToGrid w:val="0"/>
                <w:color w:val="auto"/>
                <w:spacing w:val="8"/>
                <w:kern w:val="0"/>
                <w:sz w:val="20"/>
                <w:szCs w:val="20"/>
                <w:lang w:val="en-US" w:eastAsia="zh-CN"/>
              </w:rPr>
              <w:t>风</w:t>
            </w:r>
            <w:r>
              <w:rPr>
                <w:rFonts w:ascii="宋体" w:hAnsi="宋体" w:eastAsia="宋体" w:cs="宋体"/>
                <w:snapToGrid w:val="0"/>
                <w:color w:val="auto"/>
                <w:spacing w:val="4"/>
                <w:kern w:val="0"/>
                <w:sz w:val="20"/>
                <w:szCs w:val="20"/>
                <w:lang w:eastAsia="en-US"/>
              </w:rPr>
              <w:t>力侵蚀</w:t>
            </w:r>
          </w:p>
        </w:tc>
        <w:tc>
          <w:tcPr>
            <w:tcW w:w="2153" w:type="dxa"/>
            <w:vAlign w:val="center"/>
          </w:tcPr>
          <w:p w14:paraId="57A450F7">
            <w:pPr>
              <w:keepNext w:val="0"/>
              <w:keepLines w:val="0"/>
              <w:widowControl/>
              <w:suppressLineNumbers w:val="0"/>
              <w:jc w:val="center"/>
              <w:textAlignment w:val="center"/>
              <w:rPr>
                <w:rFonts w:ascii="Times New Roman" w:hAnsi="Times New Roman" w:eastAsia="Times New Roman" w:cs="Times New Roman"/>
                <w:snapToGrid w:val="0"/>
                <w:color w:val="auto"/>
                <w:kern w:val="0"/>
                <w:sz w:val="20"/>
                <w:szCs w:val="20"/>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231.09</w:t>
            </w:r>
          </w:p>
        </w:tc>
        <w:tc>
          <w:tcPr>
            <w:tcW w:w="2007" w:type="dxa"/>
            <w:tcBorders>
              <w:right w:val="nil"/>
            </w:tcBorders>
            <w:vAlign w:val="center"/>
          </w:tcPr>
          <w:p w14:paraId="62C3E013">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4.50</w:t>
            </w:r>
          </w:p>
        </w:tc>
      </w:tr>
      <w:tr w14:paraId="701B1D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271" w:hRule="atLeast"/>
          <w:jc w:val="center"/>
        </w:trPr>
        <w:tc>
          <w:tcPr>
            <w:tcW w:w="1907" w:type="dxa"/>
            <w:tcBorders>
              <w:left w:val="nil"/>
            </w:tcBorders>
            <w:vAlign w:val="center"/>
          </w:tcPr>
          <w:p w14:paraId="3A897192">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1"/>
                <w:kern w:val="0"/>
                <w:sz w:val="20"/>
                <w:szCs w:val="20"/>
                <w:lang w:val="en-US" w:eastAsia="en-US" w:bidi="ar-SA"/>
              </w:rPr>
              <w:t>4</w:t>
            </w:r>
          </w:p>
        </w:tc>
        <w:tc>
          <w:tcPr>
            <w:tcW w:w="2947" w:type="dxa"/>
            <w:vAlign w:val="center"/>
          </w:tcPr>
          <w:p w14:paraId="5FAF6D0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强烈水力侵蚀</w:t>
            </w:r>
          </w:p>
        </w:tc>
        <w:tc>
          <w:tcPr>
            <w:tcW w:w="2153" w:type="dxa"/>
            <w:vAlign w:val="center"/>
          </w:tcPr>
          <w:p w14:paraId="2283011D">
            <w:pPr>
              <w:keepNext w:val="0"/>
              <w:keepLines w:val="0"/>
              <w:widowControl/>
              <w:suppressLineNumbers w:val="0"/>
              <w:jc w:val="center"/>
              <w:textAlignment w:val="center"/>
              <w:rPr>
                <w:rFonts w:ascii="Times New Roman" w:hAnsi="Times New Roman" w:eastAsia="Times New Roman" w:cs="Times New Roman"/>
                <w:snapToGrid w:val="0"/>
                <w:color w:val="auto"/>
                <w:kern w:val="0"/>
                <w:sz w:val="20"/>
                <w:szCs w:val="20"/>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20.70</w:t>
            </w:r>
          </w:p>
        </w:tc>
        <w:tc>
          <w:tcPr>
            <w:tcW w:w="2007" w:type="dxa"/>
            <w:tcBorders>
              <w:right w:val="nil"/>
            </w:tcBorders>
            <w:vAlign w:val="center"/>
          </w:tcPr>
          <w:p w14:paraId="4D8A3C78">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0.41</w:t>
            </w:r>
          </w:p>
        </w:tc>
      </w:tr>
      <w:tr w14:paraId="09FF64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4854" w:type="dxa"/>
            <w:gridSpan w:val="2"/>
            <w:tcBorders>
              <w:left w:val="nil"/>
              <w:bottom w:val="single" w:color="000000" w:sz="10" w:space="0"/>
            </w:tcBorders>
            <w:vAlign w:val="center"/>
          </w:tcPr>
          <w:p w14:paraId="562E76C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合计</w:t>
            </w:r>
          </w:p>
        </w:tc>
        <w:tc>
          <w:tcPr>
            <w:tcW w:w="2153" w:type="dxa"/>
            <w:tcBorders>
              <w:bottom w:val="single" w:color="000000" w:sz="10" w:space="0"/>
            </w:tcBorders>
            <w:vAlign w:val="center"/>
          </w:tcPr>
          <w:p w14:paraId="6E67AF34">
            <w:pPr>
              <w:keepNext w:val="0"/>
              <w:keepLines w:val="0"/>
              <w:widowControl/>
              <w:suppressLineNumbers w:val="0"/>
              <w:jc w:val="center"/>
              <w:textAlignment w:val="center"/>
              <w:rPr>
                <w:rFonts w:ascii="Times New Roman" w:hAnsi="Times New Roman" w:eastAsia="Times New Roman" w:cs="Times New Roman"/>
                <w:snapToGrid w:val="0"/>
                <w:color w:val="auto"/>
                <w:kern w:val="0"/>
                <w:sz w:val="20"/>
                <w:szCs w:val="20"/>
                <w:lang w:val="en-US" w:eastAsia="en-US" w:bidi="ar-SA"/>
              </w:rPr>
            </w:pPr>
            <w:r>
              <w:rPr>
                <w:rFonts w:hint="default" w:ascii="Times New Roman" w:hAnsi="Times New Roman" w:eastAsia="宋体" w:cs="Times New Roman"/>
                <w:b/>
                <w:bCs/>
                <w:i w:val="0"/>
                <w:iCs w:val="0"/>
                <w:color w:val="auto"/>
                <w:kern w:val="0"/>
                <w:sz w:val="21"/>
                <w:szCs w:val="21"/>
                <w:u w:val="none"/>
                <w:lang w:val="en-US" w:eastAsia="zh-CN" w:bidi="ar"/>
              </w:rPr>
              <w:t>5132.60</w:t>
            </w:r>
          </w:p>
        </w:tc>
        <w:tc>
          <w:tcPr>
            <w:tcW w:w="2007" w:type="dxa"/>
            <w:tcBorders>
              <w:bottom w:val="single" w:color="000000" w:sz="10" w:space="0"/>
              <w:right w:val="nil"/>
            </w:tcBorders>
            <w:vAlign w:val="center"/>
          </w:tcPr>
          <w:p w14:paraId="03C55210">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2"/>
                <w:kern w:val="0"/>
                <w:sz w:val="20"/>
                <w:szCs w:val="20"/>
                <w:lang w:val="en-US" w:eastAsia="en-US" w:bidi="ar-SA"/>
              </w:rPr>
              <w:t>100.00</w:t>
            </w:r>
          </w:p>
        </w:tc>
      </w:tr>
    </w:tbl>
    <w:p w14:paraId="1C69DB4E">
      <w:pPr>
        <w:keepNext w:val="0"/>
        <w:keepLines w:val="0"/>
        <w:pageBreakBefore w:val="0"/>
        <w:widowControl w:val="0"/>
        <w:kinsoku w:val="0"/>
        <w:wordWrap/>
        <w:overflowPunct/>
        <w:topLinePunct w:val="0"/>
        <w:autoSpaceDE w:val="0"/>
        <w:autoSpaceDN w:val="0"/>
        <w:bidi w:val="0"/>
        <w:adjustRightInd w:val="0"/>
        <w:snapToGrid w:val="0"/>
        <w:spacing w:before="0" w:beforeLines="50" w:line="240" w:lineRule="auto"/>
        <w:ind w:left="0" w:firstLine="476" w:firstLineChars="200"/>
        <w:jc w:val="both"/>
        <w:textAlignment w:val="baseline"/>
        <w:rPr>
          <w:rFonts w:ascii="宋体" w:hAnsi="宋体" w:eastAsia="宋体" w:cs="宋体"/>
          <w:snapToGrid w:val="0"/>
          <w:color w:val="auto"/>
          <w:spacing w:val="-1"/>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全区土壤侵蚀分布见图</w:t>
      </w:r>
      <w:r>
        <w:rPr>
          <w:rFonts w:ascii="宋体" w:hAnsi="宋体" w:eastAsia="宋体" w:cs="宋体"/>
          <w:snapToGrid w:val="0"/>
          <w:color w:val="auto"/>
          <w:spacing w:val="-56"/>
          <w:kern w:val="0"/>
          <w:sz w:val="24"/>
          <w:szCs w:val="24"/>
          <w:lang w:val="en-US" w:eastAsia="en-US" w:bidi="ar-SA"/>
        </w:rPr>
        <w:t xml:space="preserve"> </w:t>
      </w:r>
      <w:r>
        <w:rPr>
          <w:rFonts w:hint="eastAsia" w:eastAsia="宋体" w:cs="Times New Roman"/>
          <w:snapToGrid w:val="0"/>
          <w:color w:val="auto"/>
          <w:spacing w:val="-1"/>
          <w:kern w:val="0"/>
          <w:sz w:val="24"/>
          <w:szCs w:val="24"/>
          <w:lang w:val="en-US" w:eastAsia="zh-CN" w:bidi="ar-SA"/>
        </w:rPr>
        <w:t>3</w:t>
      </w:r>
      <w:r>
        <w:rPr>
          <w:rFonts w:ascii="Times New Roman" w:hAnsi="Times New Roman" w:eastAsia="Times New Roman" w:cs="Times New Roman"/>
          <w:snapToGrid w:val="0"/>
          <w:color w:val="auto"/>
          <w:spacing w:val="-1"/>
          <w:kern w:val="0"/>
          <w:sz w:val="24"/>
          <w:szCs w:val="24"/>
          <w:lang w:val="en-US" w:eastAsia="en-US" w:bidi="ar-SA"/>
        </w:rPr>
        <w:t>-</w:t>
      </w:r>
      <w:r>
        <w:rPr>
          <w:rFonts w:hint="eastAsia" w:eastAsia="宋体" w:cs="Times New Roman"/>
          <w:snapToGrid w:val="0"/>
          <w:color w:val="auto"/>
          <w:spacing w:val="-1"/>
          <w:kern w:val="0"/>
          <w:sz w:val="24"/>
          <w:szCs w:val="24"/>
          <w:lang w:val="en-US" w:eastAsia="zh-CN" w:bidi="ar-SA"/>
        </w:rPr>
        <w:t>2</w:t>
      </w:r>
      <w:r>
        <w:rPr>
          <w:rFonts w:ascii="宋体" w:hAnsi="宋体" w:eastAsia="宋体" w:cs="宋体"/>
          <w:snapToGrid w:val="0"/>
          <w:color w:val="auto"/>
          <w:spacing w:val="-1"/>
          <w:kern w:val="0"/>
          <w:sz w:val="24"/>
          <w:szCs w:val="24"/>
          <w:lang w:val="en-US" w:eastAsia="en-US" w:bidi="ar-SA"/>
        </w:rPr>
        <w:t>。</w:t>
      </w:r>
    </w:p>
    <w:p w14:paraId="4A6D6347">
      <w:pPr>
        <w:keepNext w:val="0"/>
        <w:keepLines w:val="0"/>
        <w:pageBreakBefore w:val="0"/>
        <w:widowControl w:val="0"/>
        <w:kinsoku w:val="0"/>
        <w:wordWrap/>
        <w:overflowPunct/>
        <w:topLinePunct w:val="0"/>
        <w:autoSpaceDE w:val="0"/>
        <w:autoSpaceDN w:val="0"/>
        <w:bidi w:val="0"/>
        <w:adjustRightInd w:val="0"/>
        <w:snapToGrid w:val="0"/>
        <w:spacing w:before="0" w:beforeLines="50" w:line="240" w:lineRule="auto"/>
        <w:ind w:left="0" w:firstLine="476" w:firstLineChars="200"/>
        <w:jc w:val="both"/>
        <w:textAlignment w:val="baseline"/>
        <w:rPr>
          <w:rFonts w:ascii="Arial" w:hAnsi="Arial" w:eastAsia="Arial" w:cs="Arial"/>
          <w:snapToGrid w:val="0"/>
          <w:color w:val="auto"/>
          <w:kern w:val="0"/>
          <w:szCs w:val="21"/>
          <w:lang w:eastAsia="en-US"/>
        </w:rPr>
      </w:pPr>
      <w:r>
        <w:rPr>
          <w:rFonts w:hint="eastAsia" w:ascii="宋体" w:hAnsi="宋体" w:cs="宋体"/>
          <w:snapToGrid w:val="0"/>
          <w:color w:val="auto"/>
          <w:spacing w:val="-1"/>
          <w:kern w:val="0"/>
          <w:sz w:val="24"/>
          <w:szCs w:val="24"/>
          <w:lang w:val="en-US" w:eastAsia="zh-CN" w:bidi="ar-SA"/>
        </w:rPr>
        <w:t xml:space="preserve">      </w:t>
      </w:r>
      <w:r>
        <w:rPr>
          <w:rFonts w:ascii="Arial" w:hAnsi="Arial" w:eastAsia="Arial" w:cs="Arial"/>
          <w:snapToGrid w:val="0"/>
          <w:color w:val="auto"/>
          <w:kern w:val="0"/>
          <w:position w:val="-159"/>
          <w:szCs w:val="21"/>
          <w:lang w:eastAsia="en-US"/>
        </w:rPr>
        <w:drawing>
          <wp:inline distT="0" distB="0" distL="0" distR="0">
            <wp:extent cx="3825240" cy="5068570"/>
            <wp:effectExtent l="0" t="0" r="10160" b="11430"/>
            <wp:docPr id="48" name="IM 8"/>
            <wp:cNvGraphicFramePr/>
            <a:graphic xmlns:a="http://schemas.openxmlformats.org/drawingml/2006/main">
              <a:graphicData uri="http://schemas.openxmlformats.org/drawingml/2006/picture">
                <pic:pic xmlns:pic="http://schemas.openxmlformats.org/drawingml/2006/picture">
                  <pic:nvPicPr>
                    <pic:cNvPr id="48" name="IM 8"/>
                    <pic:cNvPicPr/>
                  </pic:nvPicPr>
                  <pic:blipFill>
                    <a:blip r:embed="rId129"/>
                    <a:stretch>
                      <a:fillRect/>
                    </a:stretch>
                  </pic:blipFill>
                  <pic:spPr>
                    <a:xfrm>
                      <a:off x="0" y="0"/>
                      <a:ext cx="3825240" cy="5068824"/>
                    </a:xfrm>
                    <a:prstGeom prst="rect">
                      <a:avLst/>
                    </a:prstGeom>
                  </pic:spPr>
                </pic:pic>
              </a:graphicData>
            </a:graphic>
          </wp:inline>
        </w:drawing>
      </w:r>
    </w:p>
    <w:p w14:paraId="6A0ED33F">
      <w:pPr>
        <w:keepNext w:val="0"/>
        <w:keepLines w:val="0"/>
        <w:pageBreakBefore w:val="0"/>
        <w:widowControl w:val="0"/>
        <w:kinsoku w:val="0"/>
        <w:wordWrap/>
        <w:overflowPunct/>
        <w:topLinePunct w:val="0"/>
        <w:autoSpaceDE w:val="0"/>
        <w:autoSpaceDN w:val="0"/>
        <w:bidi w:val="0"/>
        <w:adjustRightInd w:val="0"/>
        <w:snapToGrid w:val="0"/>
        <w:spacing w:line="240" w:lineRule="auto"/>
        <w:ind w:firstLine="2575" w:firstLineChars="1100"/>
        <w:jc w:val="both"/>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b/>
          <w:bCs/>
          <w:snapToGrid w:val="0"/>
          <w:color w:val="auto"/>
          <w:spacing w:val="-3"/>
          <w:kern w:val="0"/>
          <w:sz w:val="24"/>
          <w:szCs w:val="24"/>
          <w:lang w:val="en-US" w:eastAsia="en-US" w:bidi="ar-SA"/>
        </w:rPr>
        <w:t>图</w:t>
      </w:r>
      <w:r>
        <w:rPr>
          <w:rFonts w:hint="eastAsia" w:ascii="Times New Roman" w:hAnsi="Times New Roman" w:eastAsia="Times New Roman" w:cs="Times New Roman"/>
          <w:b/>
          <w:bCs/>
          <w:snapToGrid w:val="0"/>
          <w:color w:val="auto"/>
          <w:spacing w:val="-3"/>
          <w:kern w:val="0"/>
          <w:sz w:val="24"/>
          <w:szCs w:val="24"/>
          <w:lang w:val="en-US" w:eastAsia="zh-CN" w:bidi="ar-SA"/>
        </w:rPr>
        <w:t>3</w:t>
      </w:r>
      <w:r>
        <w:rPr>
          <w:rFonts w:ascii="Times New Roman" w:hAnsi="Times New Roman" w:eastAsia="Times New Roman" w:cs="Times New Roman"/>
          <w:b/>
          <w:bCs/>
          <w:snapToGrid w:val="0"/>
          <w:color w:val="auto"/>
          <w:spacing w:val="-3"/>
          <w:kern w:val="0"/>
          <w:sz w:val="24"/>
          <w:szCs w:val="24"/>
          <w:lang w:val="en-US" w:eastAsia="en-US" w:bidi="ar-SA"/>
        </w:rPr>
        <w:t>-</w:t>
      </w:r>
      <w:r>
        <w:rPr>
          <w:rFonts w:hint="eastAsia" w:ascii="Times New Roman" w:hAnsi="Times New Roman" w:eastAsia="Times New Roman" w:cs="Times New Roman"/>
          <w:b/>
          <w:bCs/>
          <w:snapToGrid w:val="0"/>
          <w:color w:val="auto"/>
          <w:spacing w:val="-3"/>
          <w:kern w:val="0"/>
          <w:sz w:val="24"/>
          <w:szCs w:val="24"/>
          <w:lang w:val="en-US" w:eastAsia="zh-CN" w:bidi="ar-SA"/>
        </w:rPr>
        <w:t xml:space="preserve">2 </w:t>
      </w:r>
      <w:r>
        <w:rPr>
          <w:rFonts w:ascii="Times New Roman" w:hAnsi="Times New Roman" w:eastAsia="Times New Roman" w:cs="Times New Roman"/>
          <w:b/>
          <w:bCs/>
          <w:snapToGrid w:val="0"/>
          <w:color w:val="auto"/>
          <w:spacing w:val="-3"/>
          <w:kern w:val="0"/>
          <w:sz w:val="24"/>
          <w:szCs w:val="24"/>
          <w:lang w:val="en-US" w:eastAsia="en-US" w:bidi="ar-SA"/>
        </w:rPr>
        <w:t xml:space="preserve"> 2023</w:t>
      </w:r>
      <w:r>
        <w:rPr>
          <w:rFonts w:ascii="宋体" w:hAnsi="宋体" w:eastAsia="宋体" w:cs="宋体"/>
          <w:b/>
          <w:bCs/>
          <w:snapToGrid w:val="0"/>
          <w:color w:val="auto"/>
          <w:spacing w:val="-3"/>
          <w:kern w:val="0"/>
          <w:sz w:val="24"/>
          <w:szCs w:val="24"/>
          <w:lang w:val="en-US" w:eastAsia="en-US" w:bidi="ar-SA"/>
        </w:rPr>
        <w:t>年全区土壤侵蚀分布图</w:t>
      </w:r>
    </w:p>
    <w:p w14:paraId="6F4932C2">
      <w:pPr>
        <w:kinsoku w:val="0"/>
        <w:autoSpaceDE w:val="0"/>
        <w:autoSpaceDN w:val="0"/>
        <w:adjustRightInd w:val="0"/>
        <w:snapToGrid w:val="0"/>
        <w:spacing w:before="185" w:line="359" w:lineRule="auto"/>
        <w:ind w:left="23" w:right="13" w:firstLine="479"/>
        <w:jc w:val="both"/>
        <w:textAlignment w:val="baseline"/>
        <w:rPr>
          <w:rFonts w:ascii="宋体" w:hAnsi="宋体" w:eastAsia="宋体" w:cs="宋体"/>
          <w:snapToGrid w:val="0"/>
          <w:color w:val="auto"/>
          <w:spacing w:val="0"/>
          <w:kern w:val="0"/>
          <w:position w:val="0"/>
          <w:sz w:val="24"/>
          <w:szCs w:val="24"/>
          <w:lang w:val="en-US" w:eastAsia="en-US" w:bidi="ar-SA"/>
        </w:rPr>
      </w:pPr>
      <w:r>
        <w:rPr>
          <w:rFonts w:ascii="宋体" w:hAnsi="宋体" w:eastAsia="宋体" w:cs="宋体"/>
          <w:snapToGrid w:val="0"/>
          <w:color w:val="auto"/>
          <w:spacing w:val="0"/>
          <w:kern w:val="0"/>
          <w:position w:val="0"/>
          <w:sz w:val="24"/>
          <w:szCs w:val="24"/>
          <w:lang w:val="en-US" w:eastAsia="en-US" w:bidi="ar-SA"/>
        </w:rPr>
        <w:t>评价区土壤侵蚀类型为水力侵蚀。由</w:t>
      </w:r>
      <w:r>
        <w:rPr>
          <w:rFonts w:hint="eastAsia" w:ascii="宋体" w:hAnsi="宋体" w:cs="宋体"/>
          <w:snapToGrid w:val="0"/>
          <w:color w:val="auto"/>
          <w:spacing w:val="0"/>
          <w:kern w:val="0"/>
          <w:position w:val="0"/>
          <w:sz w:val="24"/>
          <w:szCs w:val="24"/>
          <w:lang w:val="en-US" w:eastAsia="zh-CN" w:bidi="ar-SA"/>
        </w:rPr>
        <w:t>专题</w:t>
      </w:r>
      <w:r>
        <w:rPr>
          <w:rFonts w:ascii="宋体" w:hAnsi="宋体" w:eastAsia="宋体" w:cs="宋体"/>
          <w:snapToGrid w:val="0"/>
          <w:color w:val="auto"/>
          <w:spacing w:val="0"/>
          <w:kern w:val="0"/>
          <w:position w:val="0"/>
          <w:sz w:val="24"/>
          <w:szCs w:val="24"/>
          <w:lang w:val="en-US" w:eastAsia="en-US" w:bidi="ar-SA"/>
        </w:rPr>
        <w:t>表</w:t>
      </w:r>
      <w:r>
        <w:rPr>
          <w:rFonts w:hint="eastAsia" w:eastAsia="宋体" w:cs="Times New Roman"/>
          <w:snapToGrid w:val="0"/>
          <w:color w:val="auto"/>
          <w:spacing w:val="0"/>
          <w:kern w:val="0"/>
          <w:position w:val="0"/>
          <w:sz w:val="24"/>
          <w:szCs w:val="24"/>
          <w:lang w:val="en-US" w:eastAsia="zh-CN" w:bidi="ar-SA"/>
        </w:rPr>
        <w:t>3</w:t>
      </w:r>
      <w:r>
        <w:rPr>
          <w:rFonts w:ascii="Times New Roman" w:hAnsi="Times New Roman" w:eastAsia="Times New Roman" w:cs="Times New Roman"/>
          <w:snapToGrid w:val="0"/>
          <w:color w:val="auto"/>
          <w:spacing w:val="0"/>
          <w:kern w:val="0"/>
          <w:position w:val="0"/>
          <w:sz w:val="24"/>
          <w:szCs w:val="24"/>
          <w:lang w:val="en-US" w:eastAsia="en-US" w:bidi="ar-SA"/>
        </w:rPr>
        <w:t>-</w:t>
      </w:r>
      <w:r>
        <w:rPr>
          <w:rFonts w:hint="eastAsia" w:eastAsia="宋体" w:cs="Times New Roman"/>
          <w:snapToGrid w:val="0"/>
          <w:color w:val="auto"/>
          <w:spacing w:val="0"/>
          <w:kern w:val="0"/>
          <w:position w:val="0"/>
          <w:sz w:val="24"/>
          <w:szCs w:val="24"/>
          <w:lang w:val="en-US" w:eastAsia="zh-CN" w:bidi="ar-SA"/>
        </w:rPr>
        <w:t>6</w:t>
      </w:r>
      <w:r>
        <w:rPr>
          <w:rFonts w:ascii="宋体" w:hAnsi="宋体" w:eastAsia="宋体" w:cs="宋体"/>
          <w:snapToGrid w:val="0"/>
          <w:color w:val="auto"/>
          <w:spacing w:val="0"/>
          <w:kern w:val="0"/>
          <w:position w:val="0"/>
          <w:sz w:val="24"/>
          <w:szCs w:val="24"/>
          <w:lang w:val="en-US" w:eastAsia="en-US" w:bidi="ar-SA"/>
        </w:rPr>
        <w:t>和图</w:t>
      </w:r>
      <w:r>
        <w:rPr>
          <w:rFonts w:hint="eastAsia" w:eastAsia="宋体" w:cs="Times New Roman"/>
          <w:snapToGrid w:val="0"/>
          <w:color w:val="auto"/>
          <w:spacing w:val="0"/>
          <w:kern w:val="0"/>
          <w:position w:val="0"/>
          <w:sz w:val="24"/>
          <w:szCs w:val="24"/>
          <w:lang w:val="en-US" w:eastAsia="zh-CN" w:bidi="ar-SA"/>
        </w:rPr>
        <w:t>3</w:t>
      </w:r>
      <w:r>
        <w:rPr>
          <w:rFonts w:ascii="Times New Roman" w:hAnsi="Times New Roman" w:eastAsia="Times New Roman" w:cs="Times New Roman"/>
          <w:snapToGrid w:val="0"/>
          <w:color w:val="auto"/>
          <w:spacing w:val="0"/>
          <w:kern w:val="0"/>
          <w:position w:val="0"/>
          <w:sz w:val="24"/>
          <w:szCs w:val="24"/>
          <w:lang w:val="en-US" w:eastAsia="en-US" w:bidi="ar-SA"/>
        </w:rPr>
        <w:t>-</w:t>
      </w:r>
      <w:r>
        <w:rPr>
          <w:rFonts w:hint="eastAsia" w:eastAsia="宋体" w:cs="Times New Roman"/>
          <w:snapToGrid w:val="0"/>
          <w:color w:val="auto"/>
          <w:spacing w:val="0"/>
          <w:kern w:val="0"/>
          <w:position w:val="0"/>
          <w:sz w:val="24"/>
          <w:szCs w:val="24"/>
          <w:lang w:val="en-US" w:eastAsia="zh-CN" w:bidi="ar-SA"/>
        </w:rPr>
        <w:t>2</w:t>
      </w:r>
      <w:r>
        <w:rPr>
          <w:rFonts w:ascii="宋体" w:hAnsi="宋体" w:eastAsia="宋体" w:cs="宋体"/>
          <w:snapToGrid w:val="0"/>
          <w:color w:val="auto"/>
          <w:spacing w:val="0"/>
          <w:kern w:val="0"/>
          <w:position w:val="0"/>
          <w:sz w:val="24"/>
          <w:szCs w:val="24"/>
          <w:lang w:val="en-US" w:eastAsia="en-US" w:bidi="ar-SA"/>
        </w:rPr>
        <w:t>可以看出，评价区土壤侵蚀强度多为轻度</w:t>
      </w:r>
      <w:r>
        <w:rPr>
          <w:rFonts w:hint="eastAsia" w:ascii="宋体" w:hAnsi="宋体" w:eastAsia="宋体" w:cs="宋体"/>
          <w:snapToGrid w:val="0"/>
          <w:color w:val="auto"/>
          <w:spacing w:val="0"/>
          <w:kern w:val="0"/>
          <w:position w:val="0"/>
          <w:sz w:val="24"/>
          <w:szCs w:val="24"/>
          <w:lang w:val="en-US" w:eastAsia="en-US" w:bidi="ar-SA"/>
        </w:rPr>
        <w:t>风</w:t>
      </w:r>
      <w:r>
        <w:rPr>
          <w:rFonts w:ascii="宋体" w:hAnsi="宋体" w:eastAsia="宋体" w:cs="宋体"/>
          <w:snapToGrid w:val="0"/>
          <w:color w:val="auto"/>
          <w:spacing w:val="0"/>
          <w:kern w:val="0"/>
          <w:position w:val="0"/>
          <w:sz w:val="24"/>
          <w:szCs w:val="24"/>
          <w:lang w:val="en-US" w:eastAsia="en-US" w:bidi="ar-SA"/>
        </w:rPr>
        <w:t>力侵蚀，侵蚀面积为</w:t>
      </w:r>
      <w:r>
        <w:rPr>
          <w:rFonts w:hint="default" w:ascii="Times New Roman" w:hAnsi="Times New Roman" w:eastAsia="宋体" w:cs="Times New Roman"/>
          <w:snapToGrid w:val="0"/>
          <w:color w:val="auto"/>
          <w:spacing w:val="0"/>
          <w:kern w:val="0"/>
          <w:position w:val="0"/>
          <w:sz w:val="24"/>
          <w:szCs w:val="24"/>
          <w:lang w:val="en-US" w:eastAsia="en-US" w:bidi="ar-SA"/>
        </w:rPr>
        <w:t>4478.87</w:t>
      </w:r>
      <w:r>
        <w:rPr>
          <w:rFonts w:hint="default" w:ascii="Times New Roman" w:hAnsi="Times New Roman" w:eastAsia="Times New Roman" w:cs="Times New Roman"/>
          <w:snapToGrid w:val="0"/>
          <w:color w:val="auto"/>
          <w:spacing w:val="0"/>
          <w:kern w:val="0"/>
          <w:position w:val="0"/>
          <w:sz w:val="24"/>
          <w:szCs w:val="24"/>
          <w:lang w:val="en-US" w:eastAsia="en-US" w:bidi="ar-SA"/>
        </w:rPr>
        <w:t>h</w:t>
      </w:r>
      <w:r>
        <w:rPr>
          <w:rFonts w:ascii="Times New Roman" w:hAnsi="Times New Roman" w:eastAsia="Times New Roman" w:cs="Times New Roman"/>
          <w:snapToGrid w:val="0"/>
          <w:color w:val="auto"/>
          <w:spacing w:val="0"/>
          <w:kern w:val="0"/>
          <w:position w:val="0"/>
          <w:sz w:val="24"/>
          <w:szCs w:val="24"/>
          <w:lang w:val="en-US" w:eastAsia="en-US" w:bidi="ar-SA"/>
        </w:rPr>
        <w:t>m</w:t>
      </w:r>
      <w:r>
        <w:rPr>
          <w:rFonts w:hint="eastAsia" w:eastAsia="宋体" w:cs="Times New Roman"/>
          <w:snapToGrid w:val="0"/>
          <w:color w:val="auto"/>
          <w:spacing w:val="0"/>
          <w:kern w:val="0"/>
          <w:position w:val="0"/>
          <w:sz w:val="24"/>
          <w:szCs w:val="24"/>
          <w:vertAlign w:val="superscript"/>
          <w:lang w:val="en-US" w:eastAsia="zh-CN" w:bidi="ar-SA"/>
        </w:rPr>
        <w:t>2</w:t>
      </w:r>
      <w:r>
        <w:rPr>
          <w:rFonts w:ascii="宋体" w:hAnsi="宋体" w:eastAsia="宋体" w:cs="宋体"/>
          <w:snapToGrid w:val="0"/>
          <w:color w:val="auto"/>
          <w:spacing w:val="0"/>
          <w:kern w:val="0"/>
          <w:position w:val="0"/>
          <w:sz w:val="24"/>
          <w:szCs w:val="24"/>
          <w:lang w:val="en-US" w:eastAsia="en-US" w:bidi="ar-SA"/>
        </w:rPr>
        <w:t xml:space="preserve">，占整个评价区面积的 </w:t>
      </w:r>
      <w:r>
        <w:rPr>
          <w:rFonts w:hint="eastAsia" w:eastAsia="宋体" w:cs="Times New Roman"/>
          <w:snapToGrid w:val="0"/>
          <w:color w:val="auto"/>
          <w:spacing w:val="0"/>
          <w:kern w:val="0"/>
          <w:position w:val="0"/>
          <w:sz w:val="24"/>
          <w:szCs w:val="24"/>
          <w:lang w:val="en-US" w:eastAsia="zh-CN" w:bidi="ar-SA"/>
        </w:rPr>
        <w:t>87.26</w:t>
      </w:r>
      <w:r>
        <w:rPr>
          <w:rFonts w:ascii="Times New Roman" w:hAnsi="Times New Roman" w:eastAsia="Times New Roman" w:cs="Times New Roman"/>
          <w:snapToGrid w:val="0"/>
          <w:color w:val="auto"/>
          <w:spacing w:val="0"/>
          <w:kern w:val="0"/>
          <w:position w:val="0"/>
          <w:sz w:val="24"/>
          <w:szCs w:val="24"/>
          <w:lang w:val="en-US" w:eastAsia="en-US" w:bidi="ar-SA"/>
        </w:rPr>
        <w:t>%</w:t>
      </w:r>
      <w:r>
        <w:rPr>
          <w:rFonts w:ascii="宋体" w:hAnsi="宋体" w:eastAsia="宋体" w:cs="宋体"/>
          <w:snapToGrid w:val="0"/>
          <w:color w:val="auto"/>
          <w:spacing w:val="0"/>
          <w:kern w:val="0"/>
          <w:position w:val="0"/>
          <w:sz w:val="24"/>
          <w:szCs w:val="24"/>
          <w:lang w:val="en-US" w:eastAsia="en-US" w:bidi="ar-SA"/>
        </w:rPr>
        <w:t>。</w:t>
      </w:r>
    </w:p>
    <w:p w14:paraId="7C7E0B63">
      <w:pPr>
        <w:kinsoku w:val="0"/>
        <w:autoSpaceDE w:val="0"/>
        <w:autoSpaceDN w:val="0"/>
        <w:adjustRightInd w:val="0"/>
        <w:snapToGrid w:val="0"/>
        <w:spacing w:before="3" w:line="358" w:lineRule="auto"/>
        <w:ind w:left="22" w:right="13" w:firstLine="483"/>
        <w:jc w:val="both"/>
        <w:textAlignment w:val="baseline"/>
        <w:rPr>
          <w:rFonts w:ascii="宋体" w:hAnsi="宋体" w:eastAsia="宋体" w:cs="宋体"/>
          <w:snapToGrid w:val="0"/>
          <w:color w:val="auto"/>
          <w:spacing w:val="0"/>
          <w:kern w:val="0"/>
          <w:position w:val="0"/>
          <w:sz w:val="24"/>
          <w:szCs w:val="24"/>
          <w:lang w:val="en-US" w:eastAsia="en-US" w:bidi="ar-SA"/>
        </w:rPr>
      </w:pPr>
      <w:r>
        <w:rPr>
          <w:rFonts w:ascii="宋体" w:hAnsi="宋体" w:eastAsia="宋体" w:cs="宋体"/>
          <w:snapToGrid w:val="0"/>
          <w:color w:val="auto"/>
          <w:spacing w:val="0"/>
          <w:kern w:val="0"/>
          <w:position w:val="0"/>
          <w:sz w:val="24"/>
          <w:szCs w:val="24"/>
          <w:lang w:val="en-US" w:eastAsia="en-US" w:bidi="ar-SA"/>
        </w:rPr>
        <w:t>工程建设期间，不可避免的在塔基土方开挖、塔材运输和杆塔架设等机械施工会加剧土壤扰动，一定程度上增加土壤侵蚀强度。由于本项目为输电工程， 工程影响范围仅限于塔基和杆塔建设，影响面积较小。</w:t>
      </w:r>
    </w:p>
    <w:p w14:paraId="0CE7755A">
      <w:pPr>
        <w:kinsoku w:val="0"/>
        <w:autoSpaceDE w:val="0"/>
        <w:autoSpaceDN w:val="0"/>
        <w:adjustRightInd w:val="0"/>
        <w:snapToGrid w:val="0"/>
        <w:spacing w:before="1" w:line="359" w:lineRule="auto"/>
        <w:ind w:left="23" w:right="13" w:firstLine="47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在施工工区，采取挡墙防护措施，严禁雨天作业，对施工工区雨水</w:t>
      </w:r>
      <w:r>
        <w:rPr>
          <w:rFonts w:ascii="宋体" w:hAnsi="宋体" w:eastAsia="宋体" w:cs="宋体"/>
          <w:snapToGrid w:val="0"/>
          <w:color w:val="auto"/>
          <w:spacing w:val="-4"/>
          <w:kern w:val="0"/>
          <w:sz w:val="24"/>
          <w:szCs w:val="24"/>
          <w:lang w:val="en-US" w:eastAsia="en-US" w:bidi="ar-SA"/>
        </w:rPr>
        <w:t>等及时导</w:t>
      </w:r>
      <w:r>
        <w:rPr>
          <w:rFonts w:ascii="宋体" w:hAnsi="宋体" w:eastAsia="宋体" w:cs="宋体"/>
          <w:snapToGrid w:val="0"/>
          <w:color w:val="auto"/>
          <w:spacing w:val="-3"/>
          <w:kern w:val="0"/>
          <w:sz w:val="24"/>
          <w:szCs w:val="24"/>
          <w:lang w:val="en-US" w:eastAsia="en-US" w:bidi="ar-SA"/>
        </w:rPr>
        <w:t>流，禁止排放在周边地表水体，减少施工对区域水土流失的影响。工程施工时严</w:t>
      </w:r>
      <w:r>
        <w:rPr>
          <w:rFonts w:ascii="宋体" w:hAnsi="宋体" w:eastAsia="宋体" w:cs="宋体"/>
          <w:snapToGrid w:val="0"/>
          <w:color w:val="auto"/>
          <w:spacing w:val="-2"/>
          <w:kern w:val="0"/>
          <w:sz w:val="24"/>
          <w:szCs w:val="24"/>
          <w:lang w:val="en-US" w:eastAsia="en-US" w:bidi="ar-SA"/>
        </w:rPr>
        <w:t>格采取上述措施后，施工对土壤侵蚀的影响属可接受水平。</w:t>
      </w:r>
    </w:p>
    <w:p w14:paraId="67AE4ABE">
      <w:pPr>
        <w:widowControl/>
        <w:kinsoku w:val="0"/>
        <w:autoSpaceDE w:val="0"/>
        <w:autoSpaceDN w:val="0"/>
        <w:adjustRightInd w:val="0"/>
        <w:snapToGrid w:val="0"/>
        <w:spacing w:line="360" w:lineRule="auto"/>
        <w:ind w:left="20"/>
        <w:jc w:val="left"/>
        <w:textAlignment w:val="baseline"/>
        <w:outlineLvl w:val="2"/>
        <w:rPr>
          <w:rFonts w:hint="default" w:ascii="Times New Roman" w:hAnsi="Times New Roman" w:eastAsia="宋体" w:cs="Times New Roman"/>
          <w:b/>
          <w:bCs/>
          <w:color w:val="auto"/>
          <w:kern w:val="2"/>
          <w:sz w:val="24"/>
          <w:szCs w:val="24"/>
          <w:highlight w:val="none"/>
          <w:lang w:val="en-US" w:eastAsia="en-US" w:bidi="ar-SA"/>
        </w:rPr>
      </w:pPr>
      <w:r>
        <w:rPr>
          <w:rFonts w:hint="eastAsia"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en-US" w:bidi="ar-SA"/>
        </w:rPr>
        <w:t>.1.4生态环境质量指数</w:t>
      </w:r>
    </w:p>
    <w:p w14:paraId="1DDD1136">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eastAsia" w:ascii="宋体" w:hAnsi="宋体" w:cs="宋体"/>
          <w:snapToGrid w:val="0"/>
          <w:color w:val="auto"/>
          <w:spacing w:val="-3"/>
          <w:kern w:val="0"/>
          <w:sz w:val="24"/>
          <w:szCs w:val="24"/>
          <w:lang w:val="en-US" w:eastAsia="zh-CN" w:bidi="ar-SA"/>
        </w:rPr>
      </w:pPr>
      <w:r>
        <w:rPr>
          <w:rFonts w:ascii="宋体" w:hAnsi="宋体" w:eastAsia="宋体" w:cs="宋体"/>
          <w:snapToGrid w:val="0"/>
          <w:color w:val="auto"/>
          <w:spacing w:val="-4"/>
          <w:kern w:val="0"/>
          <w:sz w:val="24"/>
          <w:szCs w:val="24"/>
          <w:lang w:val="en-US" w:eastAsia="en-US" w:bidi="ar-SA"/>
        </w:rPr>
        <w:t>由于评价区面积较小，地理位置在固原市，因此评价区的生态环境质量</w:t>
      </w:r>
      <w:r>
        <w:rPr>
          <w:rFonts w:ascii="宋体" w:hAnsi="宋体" w:eastAsia="宋体" w:cs="宋体"/>
          <w:snapToGrid w:val="0"/>
          <w:color w:val="auto"/>
          <w:spacing w:val="-5"/>
          <w:kern w:val="0"/>
          <w:sz w:val="24"/>
          <w:szCs w:val="24"/>
          <w:lang w:val="en-US" w:eastAsia="en-US" w:bidi="ar-SA"/>
        </w:rPr>
        <w:t>参考</w:t>
      </w:r>
      <w:r>
        <w:rPr>
          <w:rFonts w:ascii="宋体" w:hAnsi="宋体" w:eastAsia="宋体" w:cs="宋体"/>
          <w:snapToGrid w:val="0"/>
          <w:color w:val="auto"/>
          <w:spacing w:val="-2"/>
          <w:kern w:val="0"/>
          <w:sz w:val="24"/>
          <w:szCs w:val="24"/>
          <w:lang w:val="en-US" w:eastAsia="en-US" w:bidi="ar-SA"/>
        </w:rPr>
        <w:t>固原市生态环境质量，依据《区域生态质量评价办法</w:t>
      </w:r>
      <w:r>
        <w:rPr>
          <w:rFonts w:ascii="Times New Roman" w:hAnsi="Times New Roman" w:eastAsia="Times New Roman" w:cs="Times New Roman"/>
          <w:snapToGrid w:val="0"/>
          <w:color w:val="auto"/>
          <w:spacing w:val="-2"/>
          <w:kern w:val="0"/>
          <w:sz w:val="24"/>
          <w:szCs w:val="24"/>
          <w:lang w:val="en-US" w:eastAsia="en-US" w:bidi="ar-SA"/>
        </w:rPr>
        <w:t>(</w:t>
      </w:r>
      <w:r>
        <w:rPr>
          <w:rFonts w:ascii="宋体" w:hAnsi="宋体" w:eastAsia="宋体" w:cs="宋体"/>
          <w:snapToGrid w:val="0"/>
          <w:color w:val="auto"/>
          <w:spacing w:val="-2"/>
          <w:kern w:val="0"/>
          <w:sz w:val="24"/>
          <w:szCs w:val="24"/>
          <w:lang w:val="en-US" w:eastAsia="en-US" w:bidi="ar-SA"/>
        </w:rPr>
        <w:t>试行</w:t>
      </w:r>
      <w:r>
        <w:rPr>
          <w:rFonts w:ascii="Times New Roman" w:hAnsi="Times New Roman" w:eastAsia="Times New Roman" w:cs="Times New Roman"/>
          <w:snapToGrid w:val="0"/>
          <w:color w:val="auto"/>
          <w:spacing w:val="-2"/>
          <w:kern w:val="0"/>
          <w:sz w:val="24"/>
          <w:szCs w:val="24"/>
          <w:lang w:val="en-US" w:eastAsia="en-US" w:bidi="ar-SA"/>
        </w:rPr>
        <w:t>)</w:t>
      </w:r>
      <w:r>
        <w:rPr>
          <w:rFonts w:ascii="宋体" w:hAnsi="宋体" w:eastAsia="宋体" w:cs="宋体"/>
          <w:snapToGrid w:val="0"/>
          <w:color w:val="auto"/>
          <w:spacing w:val="-2"/>
          <w:kern w:val="0"/>
          <w:sz w:val="24"/>
          <w:szCs w:val="24"/>
          <w:lang w:val="en-US" w:eastAsia="en-US" w:bidi="ar-SA"/>
        </w:rPr>
        <w:t>》（环监测〔</w:t>
      </w:r>
      <w:r>
        <w:rPr>
          <w:rFonts w:ascii="Times New Roman" w:hAnsi="Times New Roman" w:eastAsia="Times New Roman" w:cs="Times New Roman"/>
          <w:snapToGrid w:val="0"/>
          <w:color w:val="auto"/>
          <w:spacing w:val="-2"/>
          <w:kern w:val="0"/>
          <w:sz w:val="24"/>
          <w:szCs w:val="24"/>
          <w:lang w:val="en-US" w:eastAsia="en-US" w:bidi="ar-SA"/>
        </w:rPr>
        <w:t>2021</w:t>
      </w:r>
      <w:r>
        <w:rPr>
          <w:rFonts w:ascii="宋体" w:hAnsi="宋体" w:eastAsia="宋体" w:cs="宋体"/>
          <w:snapToGrid w:val="0"/>
          <w:color w:val="auto"/>
          <w:spacing w:val="-2"/>
          <w:kern w:val="0"/>
          <w:sz w:val="24"/>
          <w:szCs w:val="24"/>
          <w:lang w:val="en-US" w:eastAsia="en-US" w:bidi="ar-SA"/>
        </w:rPr>
        <w:t>〕</w:t>
      </w:r>
      <w:r>
        <w:rPr>
          <w:rFonts w:ascii="Times New Roman" w:hAnsi="Times New Roman" w:eastAsia="Times New Roman" w:cs="Times New Roman"/>
          <w:snapToGrid w:val="0"/>
          <w:color w:val="auto"/>
          <w:spacing w:val="-3"/>
          <w:kern w:val="0"/>
          <w:sz w:val="24"/>
          <w:szCs w:val="24"/>
          <w:lang w:val="en-US" w:eastAsia="en-US" w:bidi="ar-SA"/>
        </w:rPr>
        <w:t>99</w:t>
      </w:r>
      <w:r>
        <w:rPr>
          <w:rFonts w:ascii="宋体" w:hAnsi="宋体" w:eastAsia="宋体" w:cs="宋体"/>
          <w:snapToGrid w:val="0"/>
          <w:color w:val="auto"/>
          <w:spacing w:val="-3"/>
          <w:kern w:val="0"/>
          <w:sz w:val="24"/>
          <w:szCs w:val="24"/>
          <w:lang w:val="en-US" w:eastAsia="en-US" w:bidi="ar-SA"/>
        </w:rPr>
        <w:t>号）对评级区的生态环境质量进行评价。</w:t>
      </w:r>
    </w:p>
    <w:p w14:paraId="55E85BA8">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spacing w:val="-6"/>
          <w:kern w:val="0"/>
          <w:sz w:val="24"/>
          <w:szCs w:val="24"/>
          <w:lang w:val="en-US" w:eastAsia="en-US" w:bidi="ar-SA"/>
        </w:rPr>
      </w:pPr>
      <w:r>
        <w:rPr>
          <w:rFonts w:hint="default" w:ascii="Times New Roman" w:hAnsi="Times New Roman" w:cs="Times New Roman"/>
          <w:b w:val="0"/>
          <w:bCs w:val="0"/>
          <w:color w:val="auto"/>
          <w:kern w:val="0"/>
          <w:sz w:val="24"/>
          <w:highlight w:val="none"/>
          <w:lang w:eastAsia="zh-CN"/>
        </w:rPr>
        <w:t>⑴</w:t>
      </w:r>
      <w:r>
        <w:rPr>
          <w:rFonts w:ascii="宋体" w:hAnsi="宋体" w:eastAsia="宋体" w:cs="宋体"/>
          <w:snapToGrid w:val="0"/>
          <w:color w:val="auto"/>
          <w:spacing w:val="-4"/>
          <w:kern w:val="0"/>
          <w:sz w:val="24"/>
          <w:szCs w:val="24"/>
          <w:lang w:val="en-US" w:eastAsia="en-US" w:bidi="ar-SA"/>
        </w:rPr>
        <w:t>生态质</w:t>
      </w:r>
      <w:r>
        <w:rPr>
          <w:rFonts w:hint="default" w:ascii="Times New Roman" w:hAnsi="Times New Roman" w:eastAsia="宋体" w:cs="Times New Roman"/>
          <w:snapToGrid w:val="0"/>
          <w:color w:val="auto"/>
          <w:spacing w:val="-4"/>
          <w:kern w:val="0"/>
          <w:sz w:val="24"/>
          <w:szCs w:val="24"/>
          <w:lang w:val="en-US" w:eastAsia="en-US" w:bidi="ar-SA"/>
        </w:rPr>
        <w:t>量指数（</w:t>
      </w:r>
      <w:r>
        <w:rPr>
          <w:rFonts w:hint="default" w:ascii="Times New Roman" w:hAnsi="Times New Roman" w:eastAsia="Times New Roman" w:cs="Times New Roman"/>
          <w:snapToGrid w:val="0"/>
          <w:color w:val="auto"/>
          <w:spacing w:val="-4"/>
          <w:kern w:val="0"/>
          <w:sz w:val="24"/>
          <w:szCs w:val="24"/>
          <w:lang w:val="en-US" w:eastAsia="en-US" w:bidi="ar-SA"/>
        </w:rPr>
        <w:t>EQI</w:t>
      </w:r>
      <w:r>
        <w:rPr>
          <w:rFonts w:hint="default" w:ascii="Times New Roman" w:hAnsi="Times New Roman" w:eastAsia="宋体" w:cs="Times New Roman"/>
          <w:snapToGrid w:val="0"/>
          <w:color w:val="auto"/>
          <w:spacing w:val="-4"/>
          <w:kern w:val="0"/>
          <w:sz w:val="24"/>
          <w:szCs w:val="24"/>
          <w:lang w:val="en-US" w:eastAsia="en-US" w:bidi="ar-SA"/>
        </w:rPr>
        <w:t>）</w:t>
      </w:r>
      <w:r>
        <w:rPr>
          <w:rFonts w:hint="default" w:ascii="Times New Roman" w:hAnsi="Times New Roman" w:eastAsia="Times New Roman" w:cs="Times New Roman"/>
          <w:snapToGrid w:val="0"/>
          <w:color w:val="auto"/>
          <w:spacing w:val="-4"/>
          <w:kern w:val="0"/>
          <w:sz w:val="24"/>
          <w:szCs w:val="24"/>
          <w:lang w:val="en-US" w:eastAsia="en-US" w:bidi="ar-SA"/>
        </w:rPr>
        <w:t>= 0.36×</w:t>
      </w:r>
      <w:r>
        <w:rPr>
          <w:rFonts w:hint="default" w:ascii="Times New Roman" w:hAnsi="Times New Roman" w:eastAsia="宋体" w:cs="Times New Roman"/>
          <w:snapToGrid w:val="0"/>
          <w:color w:val="auto"/>
          <w:spacing w:val="-4"/>
          <w:kern w:val="0"/>
          <w:sz w:val="24"/>
          <w:szCs w:val="24"/>
          <w:lang w:val="en-US" w:eastAsia="en-US" w:bidi="ar-SA"/>
        </w:rPr>
        <w:t>生态格局</w:t>
      </w:r>
      <w:r>
        <w:rPr>
          <w:rFonts w:hint="default" w:ascii="Times New Roman" w:hAnsi="Times New Roman" w:eastAsia="Times New Roman" w:cs="Times New Roman"/>
          <w:snapToGrid w:val="0"/>
          <w:color w:val="auto"/>
          <w:spacing w:val="-4"/>
          <w:kern w:val="0"/>
          <w:sz w:val="24"/>
          <w:szCs w:val="24"/>
          <w:lang w:val="en-US" w:eastAsia="en-US" w:bidi="ar-SA"/>
        </w:rPr>
        <w:t>+ 0.35×</w:t>
      </w:r>
      <w:r>
        <w:rPr>
          <w:rFonts w:hint="default" w:ascii="Times New Roman" w:hAnsi="Times New Roman" w:eastAsia="宋体" w:cs="Times New Roman"/>
          <w:snapToGrid w:val="0"/>
          <w:color w:val="auto"/>
          <w:spacing w:val="-4"/>
          <w:kern w:val="0"/>
          <w:sz w:val="24"/>
          <w:szCs w:val="24"/>
          <w:lang w:val="en-US" w:eastAsia="en-US" w:bidi="ar-SA"/>
        </w:rPr>
        <w:t>生态功能</w:t>
      </w:r>
      <w:r>
        <w:rPr>
          <w:rFonts w:hint="default" w:ascii="Times New Roman" w:hAnsi="Times New Roman" w:eastAsia="Times New Roman" w:cs="Times New Roman"/>
          <w:snapToGrid w:val="0"/>
          <w:color w:val="auto"/>
          <w:spacing w:val="-4"/>
          <w:kern w:val="0"/>
          <w:sz w:val="24"/>
          <w:szCs w:val="24"/>
          <w:lang w:val="en-US" w:eastAsia="en-US" w:bidi="ar-SA"/>
        </w:rPr>
        <w:t>+0.19×</w:t>
      </w:r>
      <w:r>
        <w:rPr>
          <w:rFonts w:hint="default" w:ascii="Times New Roman" w:hAnsi="Times New Roman" w:eastAsia="宋体" w:cs="Times New Roman"/>
          <w:snapToGrid w:val="0"/>
          <w:color w:val="auto"/>
          <w:spacing w:val="-4"/>
          <w:kern w:val="0"/>
          <w:sz w:val="24"/>
          <w:szCs w:val="24"/>
          <w:lang w:val="en-US" w:eastAsia="en-US" w:bidi="ar-SA"/>
        </w:rPr>
        <w:t>生物</w:t>
      </w:r>
      <w:r>
        <w:rPr>
          <w:rFonts w:hint="default" w:ascii="Times New Roman" w:hAnsi="Times New Roman" w:eastAsia="宋体" w:cs="Times New Roman"/>
          <w:snapToGrid w:val="0"/>
          <w:color w:val="auto"/>
          <w:spacing w:val="-6"/>
          <w:kern w:val="0"/>
          <w:sz w:val="24"/>
          <w:szCs w:val="24"/>
          <w:lang w:val="en-US" w:eastAsia="en-US" w:bidi="ar-SA"/>
        </w:rPr>
        <w:t>多样性</w:t>
      </w:r>
      <w:r>
        <w:rPr>
          <w:rFonts w:hint="default" w:ascii="Times New Roman" w:hAnsi="Times New Roman" w:eastAsia="Times New Roman" w:cs="Times New Roman"/>
          <w:snapToGrid w:val="0"/>
          <w:color w:val="auto"/>
          <w:spacing w:val="-6"/>
          <w:kern w:val="0"/>
          <w:sz w:val="24"/>
          <w:szCs w:val="24"/>
          <w:lang w:val="en-US" w:eastAsia="en-US" w:bidi="ar-SA"/>
        </w:rPr>
        <w:t>+ 0.10×</w:t>
      </w:r>
      <w:r>
        <w:rPr>
          <w:rFonts w:hint="default" w:ascii="Times New Roman" w:hAnsi="Times New Roman" w:eastAsia="宋体" w:cs="Times New Roman"/>
          <w:snapToGrid w:val="0"/>
          <w:color w:val="auto"/>
          <w:spacing w:val="-6"/>
          <w:kern w:val="0"/>
          <w:sz w:val="24"/>
          <w:szCs w:val="24"/>
          <w:lang w:val="en-US" w:eastAsia="en-US" w:bidi="ar-SA"/>
        </w:rPr>
        <w:t>（</w:t>
      </w:r>
      <w:r>
        <w:rPr>
          <w:rFonts w:hint="default" w:ascii="Times New Roman" w:hAnsi="Times New Roman" w:eastAsia="Times New Roman" w:cs="Times New Roman"/>
          <w:snapToGrid w:val="0"/>
          <w:color w:val="auto"/>
          <w:spacing w:val="-6"/>
          <w:kern w:val="0"/>
          <w:sz w:val="24"/>
          <w:szCs w:val="24"/>
          <w:lang w:val="en-US" w:eastAsia="en-US" w:bidi="ar-SA"/>
        </w:rPr>
        <w:t>100 —</w:t>
      </w:r>
      <w:r>
        <w:rPr>
          <w:rFonts w:hint="default" w:ascii="Times New Roman" w:hAnsi="Times New Roman" w:eastAsia="宋体" w:cs="Times New Roman"/>
          <w:snapToGrid w:val="0"/>
          <w:color w:val="auto"/>
          <w:spacing w:val="-6"/>
          <w:kern w:val="0"/>
          <w:sz w:val="24"/>
          <w:szCs w:val="24"/>
          <w:lang w:val="en-US" w:eastAsia="en-US" w:bidi="ar-SA"/>
        </w:rPr>
        <w:t>生态胁迫</w:t>
      </w:r>
      <w:r>
        <w:rPr>
          <w:rFonts w:hint="default" w:ascii="Times New Roman" w:hAnsi="Times New Roman" w:eastAsia="Times New Roman" w:cs="Times New Roman"/>
          <w:snapToGrid w:val="0"/>
          <w:color w:val="auto"/>
          <w:spacing w:val="-6"/>
          <w:kern w:val="0"/>
          <w:sz w:val="24"/>
          <w:szCs w:val="24"/>
          <w:lang w:val="en-US" w:eastAsia="en-US" w:bidi="ar-SA"/>
        </w:rPr>
        <w:t>)</w:t>
      </w:r>
      <w:r>
        <w:rPr>
          <w:rFonts w:hint="default" w:ascii="Times New Roman" w:hAnsi="Times New Roman" w:eastAsia="宋体" w:cs="Times New Roman"/>
          <w:snapToGrid w:val="0"/>
          <w:color w:val="auto"/>
          <w:spacing w:val="-6"/>
          <w:kern w:val="0"/>
          <w:sz w:val="24"/>
          <w:szCs w:val="24"/>
          <w:lang w:val="en-US" w:eastAsia="en-US" w:bidi="ar-SA"/>
        </w:rPr>
        <w:t>。</w:t>
      </w:r>
    </w:p>
    <w:p w14:paraId="3E19A103">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360" w:lineRule="auto"/>
        <w:ind w:left="0" w:leftChars="0" w:right="0" w:rightChars="0" w:firstLine="480" w:firstLineChars="200"/>
        <w:jc w:val="both"/>
        <w:textAlignment w:val="baseline"/>
        <w:rPr>
          <w:rFonts w:hint="default" w:ascii="Times New Roman" w:hAnsi="Times New Roman" w:eastAsia="宋体" w:cs="Times New Roman"/>
          <w:snapToGrid w:val="0"/>
          <w:color w:val="auto"/>
          <w:spacing w:val="-1"/>
          <w:kern w:val="0"/>
          <w:sz w:val="24"/>
          <w:szCs w:val="24"/>
          <w:lang w:val="en-US" w:eastAsia="en-US" w:bidi="ar-SA"/>
        </w:rPr>
      </w:pPr>
      <w:r>
        <w:rPr>
          <w:rFonts w:hint="default" w:ascii="Times New Roman" w:hAnsi="Times New Roman" w:cs="Times New Roman"/>
          <w:b w:val="0"/>
          <w:bCs w:val="0"/>
          <w:color w:val="auto"/>
          <w:kern w:val="0"/>
          <w:sz w:val="24"/>
          <w:highlight w:val="none"/>
          <w:lang w:eastAsia="zh-CN"/>
        </w:rPr>
        <w:t>⑵</w:t>
      </w:r>
      <w:r>
        <w:rPr>
          <w:rFonts w:hint="default" w:ascii="Times New Roman" w:hAnsi="Times New Roman" w:eastAsia="宋体" w:cs="Times New Roman"/>
          <w:snapToGrid w:val="0"/>
          <w:color w:val="auto"/>
          <w:spacing w:val="-1"/>
          <w:kern w:val="0"/>
          <w:sz w:val="24"/>
          <w:szCs w:val="24"/>
          <w:lang w:val="en-US" w:eastAsia="en-US" w:bidi="ar-SA"/>
        </w:rPr>
        <w:t>生态质量分类 根据生态质量指数值，将生态质量类型分为五类，即一类、二类、三类、四类和五类，具体见</w:t>
      </w:r>
      <w:r>
        <w:rPr>
          <w:rFonts w:hint="default" w:ascii="Times New Roman" w:hAnsi="Times New Roman" w:cs="Times New Roman"/>
          <w:snapToGrid w:val="0"/>
          <w:color w:val="auto"/>
          <w:spacing w:val="-1"/>
          <w:kern w:val="0"/>
          <w:sz w:val="24"/>
          <w:szCs w:val="24"/>
          <w:lang w:val="en-US" w:eastAsia="zh-CN" w:bidi="ar-SA"/>
        </w:rPr>
        <w:t>专题</w:t>
      </w:r>
      <w:r>
        <w:rPr>
          <w:rFonts w:hint="default" w:ascii="Times New Roman" w:hAnsi="Times New Roman" w:eastAsia="宋体" w:cs="Times New Roman"/>
          <w:snapToGrid w:val="0"/>
          <w:color w:val="auto"/>
          <w:spacing w:val="-1"/>
          <w:kern w:val="0"/>
          <w:sz w:val="24"/>
          <w:szCs w:val="24"/>
          <w:lang w:val="en-US" w:eastAsia="en-US" w:bidi="ar-SA"/>
        </w:rPr>
        <w:t>表</w:t>
      </w:r>
      <w:r>
        <w:rPr>
          <w:rFonts w:hint="default" w:ascii="Times New Roman" w:hAnsi="Times New Roman" w:eastAsia="宋体" w:cs="Times New Roman"/>
          <w:snapToGrid w:val="0"/>
          <w:color w:val="auto"/>
          <w:spacing w:val="-50"/>
          <w:kern w:val="0"/>
          <w:sz w:val="24"/>
          <w:szCs w:val="24"/>
          <w:lang w:val="en-US" w:eastAsia="en-US" w:bidi="ar-SA"/>
        </w:rPr>
        <w:t xml:space="preserve"> </w:t>
      </w:r>
      <w:r>
        <w:rPr>
          <w:rFonts w:hint="eastAsia" w:ascii="Times New Roman" w:hAnsi="Times New Roman" w:eastAsia="宋体" w:cs="Times New Roman"/>
          <w:snapToGrid w:val="0"/>
          <w:color w:val="auto"/>
          <w:spacing w:val="-1"/>
          <w:kern w:val="0"/>
          <w:sz w:val="24"/>
          <w:szCs w:val="24"/>
          <w:lang w:val="en-US" w:eastAsia="zh-CN" w:bidi="ar-SA"/>
        </w:rPr>
        <w:t>3</w:t>
      </w:r>
      <w:r>
        <w:rPr>
          <w:rFonts w:hint="default" w:ascii="Times New Roman" w:hAnsi="Times New Roman" w:eastAsia="Times New Roman" w:cs="Times New Roman"/>
          <w:snapToGrid w:val="0"/>
          <w:color w:val="auto"/>
          <w:spacing w:val="-1"/>
          <w:kern w:val="0"/>
          <w:sz w:val="24"/>
          <w:szCs w:val="24"/>
          <w:lang w:val="en-US" w:eastAsia="en-US" w:bidi="ar-SA"/>
        </w:rPr>
        <w:t>-7</w:t>
      </w:r>
      <w:r>
        <w:rPr>
          <w:rFonts w:hint="default" w:ascii="Times New Roman" w:hAnsi="Times New Roman" w:eastAsia="宋体" w:cs="Times New Roman"/>
          <w:snapToGrid w:val="0"/>
          <w:color w:val="auto"/>
          <w:spacing w:val="-1"/>
          <w:kern w:val="0"/>
          <w:sz w:val="24"/>
          <w:szCs w:val="24"/>
          <w:lang w:val="en-US" w:eastAsia="en-US" w:bidi="ar-SA"/>
        </w:rPr>
        <w:t>。</w:t>
      </w:r>
    </w:p>
    <w:p w14:paraId="1D6CC1EF">
      <w:pPr>
        <w:jc w:val="center"/>
        <w:rPr>
          <w:rFonts w:hint="eastAsia" w:ascii="Times New Roman" w:hAnsi="Times New Roman" w:eastAsia="宋体" w:cs="Times New Roman"/>
          <w:b/>
          <w:bCs/>
          <w:color w:val="auto"/>
          <w:sz w:val="24"/>
          <w:highlight w:val="none"/>
          <w:lang w:val="en-US" w:eastAsia="en-US"/>
        </w:rPr>
      </w:pPr>
      <w:r>
        <w:rPr>
          <w:rFonts w:hint="eastAsia" w:cs="Times New Roman"/>
          <w:b/>
          <w:bCs/>
          <w:color w:val="auto"/>
          <w:sz w:val="24"/>
          <w:highlight w:val="none"/>
          <w:lang w:val="en-US" w:eastAsia="zh-CN"/>
        </w:rPr>
        <w:t>专题</w:t>
      </w:r>
      <w:r>
        <w:rPr>
          <w:rFonts w:hint="eastAsia" w:ascii="Times New Roman" w:hAnsi="Times New Roman" w:eastAsia="宋体" w:cs="Times New Roman"/>
          <w:b/>
          <w:bCs/>
          <w:color w:val="auto"/>
          <w:sz w:val="24"/>
          <w:highlight w:val="none"/>
          <w:lang w:val="en-US" w:eastAsia="en-US"/>
        </w:rPr>
        <w:t>表</w:t>
      </w:r>
      <w:r>
        <w:rPr>
          <w:rFonts w:hint="eastAsia" w:ascii="Times New Roman" w:hAnsi="Times New Roman" w:eastAsia="宋体" w:cs="Times New Roman"/>
          <w:b/>
          <w:bCs/>
          <w:color w:val="auto"/>
          <w:sz w:val="24"/>
          <w:highlight w:val="none"/>
          <w:lang w:val="en-US" w:eastAsia="zh-CN"/>
        </w:rPr>
        <w:t>3</w:t>
      </w:r>
      <w:r>
        <w:rPr>
          <w:rFonts w:hint="eastAsia" w:ascii="Times New Roman" w:hAnsi="Times New Roman" w:eastAsia="宋体" w:cs="Times New Roman"/>
          <w:b/>
          <w:bCs/>
          <w:color w:val="auto"/>
          <w:sz w:val="24"/>
          <w:highlight w:val="none"/>
          <w:lang w:val="en-US" w:eastAsia="en-US"/>
        </w:rPr>
        <w:t>-7        生态质量分类</w:t>
      </w:r>
    </w:p>
    <w:tbl>
      <w:tblPr>
        <w:tblStyle w:val="83"/>
        <w:tblW w:w="901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6"/>
        <w:gridCol w:w="1581"/>
        <w:gridCol w:w="1711"/>
        <w:gridCol w:w="2050"/>
        <w:gridCol w:w="1424"/>
        <w:gridCol w:w="1512"/>
      </w:tblGrid>
      <w:tr w14:paraId="588051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736" w:type="dxa"/>
            <w:tcBorders>
              <w:top w:val="single" w:color="000000" w:sz="10" w:space="0"/>
              <w:left w:val="nil"/>
            </w:tcBorders>
            <w:vAlign w:val="center"/>
          </w:tcPr>
          <w:p w14:paraId="5503787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2"/>
                <w:kern w:val="0"/>
                <w:sz w:val="20"/>
                <w:szCs w:val="20"/>
                <w:lang w:eastAsia="en-US"/>
              </w:rPr>
              <w:t>级别</w:t>
            </w:r>
          </w:p>
        </w:tc>
        <w:tc>
          <w:tcPr>
            <w:tcW w:w="1581" w:type="dxa"/>
            <w:tcBorders>
              <w:top w:val="single" w:color="000000" w:sz="10" w:space="0"/>
            </w:tcBorders>
            <w:vAlign w:val="center"/>
          </w:tcPr>
          <w:p w14:paraId="3706D39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2"/>
                <w:kern w:val="0"/>
                <w:sz w:val="20"/>
                <w:szCs w:val="20"/>
                <w:lang w:eastAsia="en-US"/>
              </w:rPr>
              <w:t>一类</w:t>
            </w:r>
          </w:p>
        </w:tc>
        <w:tc>
          <w:tcPr>
            <w:tcW w:w="1711" w:type="dxa"/>
            <w:tcBorders>
              <w:top w:val="single" w:color="000000" w:sz="10" w:space="0"/>
            </w:tcBorders>
            <w:vAlign w:val="center"/>
          </w:tcPr>
          <w:p w14:paraId="7E167D7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2"/>
                <w:kern w:val="0"/>
                <w:sz w:val="20"/>
                <w:szCs w:val="20"/>
                <w:lang w:eastAsia="en-US"/>
              </w:rPr>
              <w:t>二类</w:t>
            </w:r>
          </w:p>
        </w:tc>
        <w:tc>
          <w:tcPr>
            <w:tcW w:w="2050" w:type="dxa"/>
            <w:tcBorders>
              <w:top w:val="single" w:color="000000" w:sz="10" w:space="0"/>
            </w:tcBorders>
            <w:vAlign w:val="center"/>
          </w:tcPr>
          <w:p w14:paraId="7407648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三类</w:t>
            </w:r>
          </w:p>
        </w:tc>
        <w:tc>
          <w:tcPr>
            <w:tcW w:w="1424" w:type="dxa"/>
            <w:tcBorders>
              <w:top w:val="single" w:color="000000" w:sz="10" w:space="0"/>
            </w:tcBorders>
            <w:vAlign w:val="center"/>
          </w:tcPr>
          <w:p w14:paraId="1BD6D0D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四类</w:t>
            </w:r>
          </w:p>
        </w:tc>
        <w:tc>
          <w:tcPr>
            <w:tcW w:w="1512" w:type="dxa"/>
            <w:tcBorders>
              <w:top w:val="single" w:color="000000" w:sz="10" w:space="0"/>
              <w:right w:val="nil"/>
            </w:tcBorders>
            <w:vAlign w:val="center"/>
          </w:tcPr>
          <w:p w14:paraId="04B4036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2"/>
                <w:kern w:val="0"/>
                <w:sz w:val="20"/>
                <w:szCs w:val="20"/>
                <w:lang w:eastAsia="en-US"/>
              </w:rPr>
              <w:t>五类</w:t>
            </w:r>
          </w:p>
        </w:tc>
      </w:tr>
      <w:tr w14:paraId="515827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736" w:type="dxa"/>
            <w:tcBorders>
              <w:left w:val="nil"/>
            </w:tcBorders>
            <w:vAlign w:val="center"/>
          </w:tcPr>
          <w:p w14:paraId="200C19A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2"/>
                <w:kern w:val="0"/>
                <w:sz w:val="20"/>
                <w:szCs w:val="20"/>
                <w:lang w:eastAsia="en-US"/>
              </w:rPr>
              <w:t>指数</w:t>
            </w:r>
          </w:p>
        </w:tc>
        <w:tc>
          <w:tcPr>
            <w:tcW w:w="1581" w:type="dxa"/>
            <w:vAlign w:val="center"/>
          </w:tcPr>
          <w:p w14:paraId="26910D6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kern w:val="0"/>
                <w:sz w:val="24"/>
                <w:szCs w:val="24"/>
                <w:lang w:val="en-US" w:eastAsia="en-US" w:bidi="ar-SA"/>
              </w:rPr>
              <w:t>EQI</w:t>
            </w:r>
            <w:r>
              <w:rPr>
                <w:rFonts w:ascii="Times New Roman" w:hAnsi="Times New Roman" w:eastAsia="Times New Roman" w:cs="Times New Roman"/>
                <w:b/>
                <w:bCs/>
                <w:snapToGrid w:val="0"/>
                <w:color w:val="auto"/>
                <w:spacing w:val="3"/>
                <w:kern w:val="0"/>
                <w:sz w:val="20"/>
                <w:szCs w:val="20"/>
                <w:lang w:val="en-US" w:eastAsia="en-US" w:bidi="ar-SA"/>
              </w:rPr>
              <w:t>≥70</w:t>
            </w:r>
          </w:p>
        </w:tc>
        <w:tc>
          <w:tcPr>
            <w:tcW w:w="1711" w:type="dxa"/>
            <w:vAlign w:val="center"/>
          </w:tcPr>
          <w:p w14:paraId="1A4F5EF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4"/>
                <w:kern w:val="0"/>
                <w:sz w:val="20"/>
                <w:szCs w:val="20"/>
                <w:lang w:val="en-US" w:eastAsia="en-US" w:bidi="ar-SA"/>
              </w:rPr>
              <w:t>55≤</w:t>
            </w:r>
            <w:r>
              <w:rPr>
                <w:rFonts w:ascii="Times New Roman" w:hAnsi="Times New Roman" w:eastAsia="Times New Roman" w:cs="Times New Roman"/>
                <w:b/>
                <w:bCs/>
                <w:snapToGrid w:val="0"/>
                <w:color w:val="auto"/>
                <w:kern w:val="0"/>
                <w:sz w:val="24"/>
                <w:szCs w:val="24"/>
                <w:lang w:val="en-US" w:eastAsia="en-US" w:bidi="ar-SA"/>
              </w:rPr>
              <w:t>EQI</w:t>
            </w:r>
            <w:r>
              <w:rPr>
                <w:rFonts w:ascii="宋体" w:hAnsi="宋体" w:eastAsia="宋体" w:cs="宋体"/>
                <w:b/>
                <w:bCs/>
                <w:snapToGrid w:val="0"/>
                <w:color w:val="auto"/>
                <w:spacing w:val="4"/>
                <w:kern w:val="0"/>
                <w:sz w:val="20"/>
                <w:szCs w:val="20"/>
                <w:lang w:val="en-US" w:eastAsia="en-US" w:bidi="ar-SA"/>
              </w:rPr>
              <w:t>＜</w:t>
            </w:r>
            <w:r>
              <w:rPr>
                <w:rFonts w:ascii="Times New Roman" w:hAnsi="Times New Roman" w:eastAsia="Times New Roman" w:cs="Times New Roman"/>
                <w:b/>
                <w:bCs/>
                <w:snapToGrid w:val="0"/>
                <w:color w:val="auto"/>
                <w:spacing w:val="4"/>
                <w:kern w:val="0"/>
                <w:sz w:val="20"/>
                <w:szCs w:val="20"/>
                <w:lang w:val="en-US" w:eastAsia="en-US" w:bidi="ar-SA"/>
              </w:rPr>
              <w:t>70</w:t>
            </w:r>
          </w:p>
        </w:tc>
        <w:tc>
          <w:tcPr>
            <w:tcW w:w="2050" w:type="dxa"/>
            <w:vAlign w:val="center"/>
          </w:tcPr>
          <w:p w14:paraId="176CE19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4"/>
                <w:kern w:val="0"/>
                <w:sz w:val="20"/>
                <w:szCs w:val="20"/>
                <w:lang w:val="en-US" w:eastAsia="en-US" w:bidi="ar-SA"/>
              </w:rPr>
              <w:t>40≤</w:t>
            </w:r>
            <w:r>
              <w:rPr>
                <w:rFonts w:ascii="Times New Roman" w:hAnsi="Times New Roman" w:eastAsia="Times New Roman" w:cs="Times New Roman"/>
                <w:b/>
                <w:bCs/>
                <w:snapToGrid w:val="0"/>
                <w:color w:val="auto"/>
                <w:kern w:val="0"/>
                <w:sz w:val="24"/>
                <w:szCs w:val="24"/>
                <w:lang w:val="en-US" w:eastAsia="en-US" w:bidi="ar-SA"/>
              </w:rPr>
              <w:t>EQI</w:t>
            </w:r>
            <w:r>
              <w:rPr>
                <w:rFonts w:ascii="宋体" w:hAnsi="宋体" w:eastAsia="宋体" w:cs="宋体"/>
                <w:b/>
                <w:bCs/>
                <w:snapToGrid w:val="0"/>
                <w:color w:val="auto"/>
                <w:spacing w:val="4"/>
                <w:kern w:val="0"/>
                <w:sz w:val="20"/>
                <w:szCs w:val="20"/>
                <w:lang w:val="en-US" w:eastAsia="en-US" w:bidi="ar-SA"/>
              </w:rPr>
              <w:t>＜</w:t>
            </w:r>
            <w:r>
              <w:rPr>
                <w:rFonts w:ascii="Times New Roman" w:hAnsi="Times New Roman" w:eastAsia="Times New Roman" w:cs="Times New Roman"/>
                <w:b/>
                <w:bCs/>
                <w:snapToGrid w:val="0"/>
                <w:color w:val="auto"/>
                <w:spacing w:val="4"/>
                <w:kern w:val="0"/>
                <w:sz w:val="20"/>
                <w:szCs w:val="20"/>
                <w:lang w:val="en-US" w:eastAsia="en-US" w:bidi="ar-SA"/>
              </w:rPr>
              <w:t>55</w:t>
            </w:r>
          </w:p>
        </w:tc>
        <w:tc>
          <w:tcPr>
            <w:tcW w:w="1424" w:type="dxa"/>
            <w:vAlign w:val="center"/>
          </w:tcPr>
          <w:p w14:paraId="5066889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5"/>
                <w:kern w:val="0"/>
                <w:sz w:val="20"/>
                <w:szCs w:val="20"/>
                <w:lang w:val="en-US" w:eastAsia="en-US" w:bidi="ar-SA"/>
              </w:rPr>
              <w:t>30≤</w:t>
            </w:r>
            <w:r>
              <w:rPr>
                <w:rFonts w:ascii="Times New Roman" w:hAnsi="Times New Roman" w:eastAsia="Times New Roman" w:cs="Times New Roman"/>
                <w:b/>
                <w:bCs/>
                <w:snapToGrid w:val="0"/>
                <w:color w:val="auto"/>
                <w:kern w:val="0"/>
                <w:sz w:val="24"/>
                <w:szCs w:val="24"/>
                <w:lang w:val="en-US" w:eastAsia="en-US" w:bidi="ar-SA"/>
              </w:rPr>
              <w:t>EQI</w:t>
            </w:r>
            <w:r>
              <w:rPr>
                <w:rFonts w:ascii="宋体" w:hAnsi="宋体" w:eastAsia="宋体" w:cs="宋体"/>
                <w:b/>
                <w:bCs/>
                <w:snapToGrid w:val="0"/>
                <w:color w:val="auto"/>
                <w:spacing w:val="5"/>
                <w:kern w:val="0"/>
                <w:sz w:val="20"/>
                <w:szCs w:val="20"/>
                <w:lang w:val="en-US" w:eastAsia="en-US" w:bidi="ar-SA"/>
              </w:rPr>
              <w:t>＜</w:t>
            </w:r>
            <w:r>
              <w:rPr>
                <w:rFonts w:ascii="Times New Roman" w:hAnsi="Times New Roman" w:eastAsia="Times New Roman" w:cs="Times New Roman"/>
                <w:b/>
                <w:bCs/>
                <w:snapToGrid w:val="0"/>
                <w:color w:val="auto"/>
                <w:spacing w:val="5"/>
                <w:kern w:val="0"/>
                <w:sz w:val="20"/>
                <w:szCs w:val="20"/>
                <w:lang w:val="en-US" w:eastAsia="en-US" w:bidi="ar-SA"/>
              </w:rPr>
              <w:t>40</w:t>
            </w:r>
          </w:p>
        </w:tc>
        <w:tc>
          <w:tcPr>
            <w:tcW w:w="1512" w:type="dxa"/>
            <w:tcBorders>
              <w:right w:val="nil"/>
            </w:tcBorders>
            <w:vAlign w:val="center"/>
          </w:tcPr>
          <w:p w14:paraId="29965BF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kern w:val="0"/>
                <w:sz w:val="24"/>
                <w:szCs w:val="24"/>
                <w:lang w:val="en-US" w:eastAsia="en-US" w:bidi="ar-SA"/>
              </w:rPr>
              <w:t>EQI</w:t>
            </w:r>
            <w:r>
              <w:rPr>
                <w:rFonts w:ascii="宋体" w:hAnsi="宋体" w:eastAsia="宋体" w:cs="宋体"/>
                <w:b/>
                <w:bCs/>
                <w:snapToGrid w:val="0"/>
                <w:color w:val="auto"/>
                <w:spacing w:val="4"/>
                <w:kern w:val="0"/>
                <w:sz w:val="20"/>
                <w:szCs w:val="20"/>
                <w:lang w:val="en-US" w:eastAsia="en-US" w:bidi="ar-SA"/>
              </w:rPr>
              <w:t>＜</w:t>
            </w:r>
            <w:r>
              <w:rPr>
                <w:rFonts w:ascii="Times New Roman" w:hAnsi="Times New Roman" w:eastAsia="Times New Roman" w:cs="Times New Roman"/>
                <w:b/>
                <w:bCs/>
                <w:snapToGrid w:val="0"/>
                <w:color w:val="auto"/>
                <w:spacing w:val="4"/>
                <w:kern w:val="0"/>
                <w:sz w:val="20"/>
                <w:szCs w:val="20"/>
                <w:lang w:val="en-US" w:eastAsia="en-US" w:bidi="ar-SA"/>
              </w:rPr>
              <w:t>30</w:t>
            </w:r>
          </w:p>
        </w:tc>
      </w:tr>
      <w:tr w14:paraId="23DA4C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736" w:type="dxa"/>
            <w:tcBorders>
              <w:left w:val="nil"/>
              <w:bottom w:val="single" w:color="000000" w:sz="10" w:space="0"/>
            </w:tcBorders>
            <w:vAlign w:val="center"/>
          </w:tcPr>
          <w:p w14:paraId="7EE92E6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p w14:paraId="6CE46A1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p w14:paraId="2E6385C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p w14:paraId="295C070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p w14:paraId="598601D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4"/>
                <w:kern w:val="0"/>
                <w:sz w:val="20"/>
                <w:szCs w:val="20"/>
                <w:lang w:eastAsia="en-US"/>
              </w:rPr>
              <w:t>状态</w:t>
            </w:r>
          </w:p>
        </w:tc>
        <w:tc>
          <w:tcPr>
            <w:tcW w:w="1581" w:type="dxa"/>
            <w:tcBorders>
              <w:bottom w:val="single" w:color="000000" w:sz="10" w:space="0"/>
            </w:tcBorders>
            <w:vAlign w:val="center"/>
          </w:tcPr>
          <w:p w14:paraId="6D5047E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1"/>
                <w:kern w:val="0"/>
                <w:sz w:val="20"/>
                <w:szCs w:val="20"/>
                <w:lang w:eastAsia="en-US"/>
              </w:rPr>
              <w:t>自然生态系统</w:t>
            </w:r>
          </w:p>
          <w:p w14:paraId="434753D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4"/>
                <w:kern w:val="0"/>
                <w:sz w:val="20"/>
                <w:szCs w:val="20"/>
                <w:lang w:eastAsia="en-US"/>
              </w:rPr>
              <w:t>覆盖比例高、</w:t>
            </w:r>
          </w:p>
          <w:p w14:paraId="68CEFDF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5"/>
                <w:kern w:val="0"/>
                <w:sz w:val="20"/>
                <w:szCs w:val="20"/>
                <w:lang w:eastAsia="en-US"/>
              </w:rPr>
              <w:t>人类干扰强度</w:t>
            </w:r>
          </w:p>
          <w:p w14:paraId="170C57D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5"/>
                <w:kern w:val="0"/>
                <w:sz w:val="20"/>
                <w:szCs w:val="20"/>
                <w:lang w:eastAsia="en-US"/>
              </w:rPr>
              <w:t>低、生物多样</w:t>
            </w:r>
          </w:p>
          <w:p w14:paraId="5C8BDA7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3"/>
                <w:kern w:val="0"/>
                <w:sz w:val="20"/>
                <w:szCs w:val="20"/>
                <w:lang w:eastAsia="en-US"/>
              </w:rPr>
              <w:t>性丰富、生态结</w:t>
            </w:r>
          </w:p>
          <w:p w14:paraId="20AFED1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3"/>
                <w:kern w:val="0"/>
                <w:sz w:val="20"/>
                <w:szCs w:val="20"/>
                <w:lang w:eastAsia="en-US"/>
              </w:rPr>
              <w:t>构完整、系统稳</w:t>
            </w:r>
          </w:p>
          <w:p w14:paraId="33C0A28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3"/>
                <w:kern w:val="0"/>
                <w:sz w:val="20"/>
                <w:szCs w:val="20"/>
                <w:lang w:eastAsia="en-US"/>
              </w:rPr>
              <w:t>定、生态功能完</w:t>
            </w:r>
          </w:p>
          <w:p w14:paraId="4C86E69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1"/>
                <w:kern w:val="0"/>
                <w:sz w:val="20"/>
                <w:szCs w:val="20"/>
                <w:lang w:eastAsia="en-US"/>
              </w:rPr>
              <w:t>善。</w:t>
            </w:r>
          </w:p>
        </w:tc>
        <w:tc>
          <w:tcPr>
            <w:tcW w:w="1711" w:type="dxa"/>
            <w:tcBorders>
              <w:bottom w:val="single" w:color="000000" w:sz="10" w:space="0"/>
            </w:tcBorders>
            <w:vAlign w:val="center"/>
          </w:tcPr>
          <w:p w14:paraId="3EB8541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2"/>
                <w:kern w:val="0"/>
                <w:sz w:val="20"/>
                <w:szCs w:val="20"/>
                <w:lang w:eastAsia="en-US"/>
              </w:rPr>
              <w:t>自然生态系统</w:t>
            </w:r>
          </w:p>
          <w:p w14:paraId="29274FE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覆盖比例较</w:t>
            </w:r>
          </w:p>
          <w:p w14:paraId="2840A4A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高、人类干扰</w:t>
            </w:r>
          </w:p>
          <w:p w14:paraId="256824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强度较低、生</w:t>
            </w:r>
          </w:p>
          <w:p w14:paraId="21EEA8E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物多样性较丰</w:t>
            </w:r>
          </w:p>
          <w:p w14:paraId="772FC94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6"/>
                <w:kern w:val="0"/>
                <w:sz w:val="20"/>
                <w:szCs w:val="20"/>
                <w:lang w:eastAsia="en-US"/>
              </w:rPr>
              <w:t>富、生态结构</w:t>
            </w:r>
          </w:p>
          <w:p w14:paraId="115AF14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较完整、系统</w:t>
            </w:r>
          </w:p>
          <w:p w14:paraId="4C71A95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较稳定、生态</w:t>
            </w:r>
          </w:p>
          <w:p w14:paraId="17608E4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6"/>
                <w:kern w:val="0"/>
                <w:sz w:val="20"/>
                <w:szCs w:val="20"/>
                <w:lang w:eastAsia="en-US"/>
              </w:rPr>
              <w:t>功能较完善。</w:t>
            </w:r>
          </w:p>
        </w:tc>
        <w:tc>
          <w:tcPr>
            <w:tcW w:w="2050" w:type="dxa"/>
            <w:tcBorders>
              <w:bottom w:val="single" w:color="000000" w:sz="10" w:space="0"/>
            </w:tcBorders>
            <w:vAlign w:val="center"/>
          </w:tcPr>
          <w:p w14:paraId="74876A8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p w14:paraId="65E3B87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5"/>
                <w:kern w:val="0"/>
                <w:sz w:val="20"/>
                <w:szCs w:val="20"/>
                <w:lang w:eastAsia="en-US"/>
              </w:rPr>
              <w:t>自然生态系统覆盖比</w:t>
            </w:r>
          </w:p>
          <w:p w14:paraId="6551D5C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例一般、受到一定程</w:t>
            </w:r>
          </w:p>
          <w:p w14:paraId="01F7376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度的人类活动干扰、</w:t>
            </w:r>
          </w:p>
          <w:p w14:paraId="1953165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9"/>
                <w:kern w:val="0"/>
                <w:sz w:val="20"/>
                <w:szCs w:val="20"/>
                <w:lang w:eastAsia="en-US"/>
              </w:rPr>
              <w:t>生物多样性丰富度一般、生态结构完整性</w:t>
            </w:r>
            <w:r>
              <w:rPr>
                <w:rFonts w:ascii="宋体" w:hAnsi="宋体" w:eastAsia="宋体" w:cs="宋体"/>
                <w:snapToGrid w:val="0"/>
                <w:color w:val="auto"/>
                <w:spacing w:val="8"/>
                <w:kern w:val="0"/>
                <w:sz w:val="20"/>
                <w:szCs w:val="20"/>
                <w:lang w:eastAsia="en-US"/>
              </w:rPr>
              <w:t>和稳定性一般、生态</w:t>
            </w:r>
            <w:r>
              <w:rPr>
                <w:rFonts w:ascii="宋体" w:hAnsi="宋体" w:eastAsia="宋体" w:cs="宋体"/>
                <w:snapToGrid w:val="0"/>
                <w:color w:val="auto"/>
                <w:spacing w:val="6"/>
                <w:kern w:val="0"/>
                <w:sz w:val="20"/>
                <w:szCs w:val="20"/>
                <w:lang w:eastAsia="en-US"/>
              </w:rPr>
              <w:t>功能基本完善。</w:t>
            </w:r>
          </w:p>
        </w:tc>
        <w:tc>
          <w:tcPr>
            <w:tcW w:w="1424" w:type="dxa"/>
            <w:tcBorders>
              <w:bottom w:val="single" w:color="000000" w:sz="10" w:space="0"/>
            </w:tcBorders>
            <w:vAlign w:val="center"/>
          </w:tcPr>
          <w:p w14:paraId="116A2C8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p w14:paraId="01C98E3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2"/>
                <w:kern w:val="0"/>
                <w:sz w:val="20"/>
                <w:szCs w:val="20"/>
                <w:lang w:eastAsia="en-US"/>
              </w:rPr>
              <w:t>自然生态本底</w:t>
            </w:r>
          </w:p>
          <w:p w14:paraId="41EFEB3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条件较差或人</w:t>
            </w:r>
          </w:p>
          <w:p w14:paraId="6FAA68D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类干扰强度较</w:t>
            </w:r>
          </w:p>
          <w:p w14:paraId="3B68DE3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2"/>
                <w:kern w:val="0"/>
                <w:sz w:val="20"/>
                <w:szCs w:val="20"/>
                <w:lang w:eastAsia="en-US"/>
              </w:rPr>
              <w:t>大，</w:t>
            </w:r>
            <w:r>
              <w:rPr>
                <w:rFonts w:ascii="宋体" w:hAnsi="宋体" w:eastAsia="宋体" w:cs="宋体"/>
                <w:snapToGrid w:val="0"/>
                <w:color w:val="auto"/>
                <w:spacing w:val="-42"/>
                <w:kern w:val="0"/>
                <w:sz w:val="20"/>
                <w:szCs w:val="20"/>
                <w:lang w:eastAsia="en-US"/>
              </w:rPr>
              <w:t xml:space="preserve"> </w:t>
            </w:r>
            <w:r>
              <w:rPr>
                <w:rFonts w:ascii="宋体" w:hAnsi="宋体" w:eastAsia="宋体" w:cs="宋体"/>
                <w:snapToGrid w:val="0"/>
                <w:color w:val="auto"/>
                <w:spacing w:val="-2"/>
                <w:kern w:val="0"/>
                <w:sz w:val="20"/>
                <w:szCs w:val="20"/>
                <w:lang w:eastAsia="en-US"/>
              </w:rPr>
              <w:t>自然生态</w:t>
            </w:r>
          </w:p>
          <w:p w14:paraId="5959C1D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6"/>
                <w:kern w:val="0"/>
                <w:sz w:val="20"/>
                <w:szCs w:val="20"/>
                <w:lang w:eastAsia="en-US"/>
              </w:rPr>
              <w:t>系统较脆弱，</w:t>
            </w:r>
          </w:p>
          <w:p w14:paraId="10FB70D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生态功能较</w:t>
            </w:r>
          </w:p>
          <w:p w14:paraId="7A6B333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kern w:val="0"/>
                <w:sz w:val="20"/>
                <w:szCs w:val="20"/>
                <w:lang w:eastAsia="en-US"/>
              </w:rPr>
              <w:t>低。</w:t>
            </w:r>
          </w:p>
        </w:tc>
        <w:tc>
          <w:tcPr>
            <w:tcW w:w="1512" w:type="dxa"/>
            <w:tcBorders>
              <w:bottom w:val="single" w:color="000000" w:sz="10" w:space="0"/>
              <w:right w:val="nil"/>
            </w:tcBorders>
            <w:vAlign w:val="center"/>
          </w:tcPr>
          <w:p w14:paraId="31367A6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Arial" w:hAnsi="Arial" w:eastAsia="Arial" w:cs="Arial"/>
                <w:snapToGrid w:val="0"/>
                <w:color w:val="auto"/>
                <w:kern w:val="0"/>
                <w:sz w:val="21"/>
                <w:szCs w:val="21"/>
                <w:lang w:eastAsia="en-US"/>
              </w:rPr>
            </w:pPr>
          </w:p>
          <w:p w14:paraId="14C26F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2"/>
                <w:kern w:val="0"/>
                <w:sz w:val="20"/>
                <w:szCs w:val="20"/>
                <w:lang w:eastAsia="en-US"/>
              </w:rPr>
              <w:t>自然生态本底</w:t>
            </w:r>
          </w:p>
          <w:p w14:paraId="130289E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条件差或人类</w:t>
            </w:r>
          </w:p>
          <w:p w14:paraId="467B4E1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6"/>
                <w:kern w:val="0"/>
                <w:sz w:val="20"/>
                <w:szCs w:val="20"/>
                <w:lang w:eastAsia="en-US"/>
              </w:rPr>
              <w:t>干扰强度大，</w:t>
            </w:r>
          </w:p>
          <w:p w14:paraId="63BD8AA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2"/>
                <w:kern w:val="0"/>
                <w:sz w:val="20"/>
                <w:szCs w:val="20"/>
                <w:lang w:eastAsia="en-US"/>
              </w:rPr>
              <w:t>自然生态系统</w:t>
            </w:r>
          </w:p>
          <w:p w14:paraId="74E550A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脆弱，生态功</w:t>
            </w:r>
          </w:p>
          <w:p w14:paraId="645EACC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kern w:val="0"/>
                <w:sz w:val="20"/>
                <w:szCs w:val="20"/>
                <w:lang w:eastAsia="en-US"/>
              </w:rPr>
              <w:t>能低。</w:t>
            </w:r>
          </w:p>
        </w:tc>
      </w:tr>
    </w:tbl>
    <w:p w14:paraId="46A13CC2">
      <w:pPr>
        <w:keepNext w:val="0"/>
        <w:keepLines w:val="0"/>
        <w:pageBreakBefore w:val="0"/>
        <w:widowControl w:val="0"/>
        <w:kinsoku w:val="0"/>
        <w:wordWrap/>
        <w:overflowPunct/>
        <w:topLinePunct w:val="0"/>
        <w:autoSpaceDE w:val="0"/>
        <w:autoSpaceDN w:val="0"/>
        <w:bidi w:val="0"/>
        <w:adjustRightInd w:val="0"/>
        <w:snapToGrid w:val="0"/>
        <w:spacing w:before="0" w:beforeLines="50" w:line="360" w:lineRule="auto"/>
        <w:ind w:left="0" w:right="0" w:firstLine="472"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根据《</w:t>
      </w:r>
      <w:r>
        <w:rPr>
          <w:rFonts w:ascii="Times New Roman" w:hAnsi="Times New Roman" w:eastAsia="Times New Roman" w:cs="Times New Roman"/>
          <w:snapToGrid w:val="0"/>
          <w:color w:val="auto"/>
          <w:spacing w:val="-2"/>
          <w:kern w:val="0"/>
          <w:sz w:val="24"/>
          <w:szCs w:val="24"/>
          <w:lang w:val="en-US" w:eastAsia="en-US" w:bidi="ar-SA"/>
        </w:rPr>
        <w:t>2024</w:t>
      </w:r>
      <w:r>
        <w:rPr>
          <w:rFonts w:ascii="宋体" w:hAnsi="宋体" w:eastAsia="宋体" w:cs="宋体"/>
          <w:snapToGrid w:val="0"/>
          <w:color w:val="auto"/>
          <w:spacing w:val="-2"/>
          <w:kern w:val="0"/>
          <w:sz w:val="24"/>
          <w:szCs w:val="24"/>
          <w:lang w:val="en-US" w:eastAsia="en-US" w:bidi="ar-SA"/>
        </w:rPr>
        <w:t>年宁夏回族自治区生态环境状况公报》，固原市</w:t>
      </w:r>
      <w:r>
        <w:rPr>
          <w:rFonts w:ascii="宋体" w:hAnsi="宋体" w:eastAsia="宋体" w:cs="宋体"/>
          <w:snapToGrid w:val="0"/>
          <w:color w:val="auto"/>
          <w:spacing w:val="-55"/>
          <w:kern w:val="0"/>
          <w:sz w:val="24"/>
          <w:szCs w:val="24"/>
          <w:lang w:val="en-US" w:eastAsia="en-US" w:bidi="ar-SA"/>
        </w:rPr>
        <w:t xml:space="preserve"> </w:t>
      </w:r>
      <w:r>
        <w:rPr>
          <w:rFonts w:ascii="Times New Roman" w:hAnsi="Times New Roman" w:eastAsia="Times New Roman" w:cs="Times New Roman"/>
          <w:snapToGrid w:val="0"/>
          <w:color w:val="auto"/>
          <w:spacing w:val="-2"/>
          <w:kern w:val="0"/>
          <w:sz w:val="24"/>
          <w:szCs w:val="24"/>
          <w:lang w:val="en-US" w:eastAsia="en-US" w:bidi="ar-SA"/>
        </w:rPr>
        <w:t>EQI</w:t>
      </w:r>
      <w:r>
        <w:rPr>
          <w:rFonts w:ascii="宋体" w:hAnsi="宋体" w:eastAsia="宋体" w:cs="宋体"/>
          <w:snapToGrid w:val="0"/>
          <w:color w:val="auto"/>
          <w:spacing w:val="-2"/>
          <w:kern w:val="0"/>
          <w:sz w:val="24"/>
          <w:szCs w:val="24"/>
          <w:lang w:val="en-US" w:eastAsia="en-US" w:bidi="ar-SA"/>
        </w:rPr>
        <w:t>为</w:t>
      </w:r>
      <w:r>
        <w:rPr>
          <w:rFonts w:ascii="宋体" w:hAnsi="宋体" w:eastAsia="宋体" w:cs="宋体"/>
          <w:snapToGrid w:val="0"/>
          <w:color w:val="auto"/>
          <w:spacing w:val="-50"/>
          <w:kern w:val="0"/>
          <w:sz w:val="24"/>
          <w:szCs w:val="24"/>
          <w:lang w:val="en-US" w:eastAsia="en-US" w:bidi="ar-SA"/>
        </w:rPr>
        <w:t xml:space="preserve"> </w:t>
      </w:r>
      <w:r>
        <w:rPr>
          <w:rFonts w:ascii="Times New Roman" w:hAnsi="Times New Roman" w:eastAsia="Times New Roman" w:cs="Times New Roman"/>
          <w:snapToGrid w:val="0"/>
          <w:color w:val="auto"/>
          <w:spacing w:val="-2"/>
          <w:kern w:val="0"/>
          <w:sz w:val="24"/>
          <w:szCs w:val="24"/>
          <w:lang w:val="en-US" w:eastAsia="en-US" w:bidi="ar-SA"/>
        </w:rPr>
        <w:t>62.24</w:t>
      </w:r>
      <w:r>
        <w:rPr>
          <w:rFonts w:ascii="宋体" w:hAnsi="宋体" w:eastAsia="宋体" w:cs="宋体"/>
          <w:snapToGrid w:val="0"/>
          <w:color w:val="auto"/>
          <w:spacing w:val="-2"/>
          <w:kern w:val="0"/>
          <w:sz w:val="24"/>
          <w:szCs w:val="24"/>
          <w:lang w:val="en-US" w:eastAsia="en-US" w:bidi="ar-SA"/>
        </w:rPr>
        <w:t>，</w:t>
      </w:r>
      <w:r>
        <w:rPr>
          <w:rFonts w:ascii="宋体" w:hAnsi="宋体" w:eastAsia="宋体" w:cs="宋体"/>
          <w:snapToGrid w:val="0"/>
          <w:color w:val="auto"/>
          <w:spacing w:val="-3"/>
          <w:kern w:val="0"/>
          <w:sz w:val="24"/>
          <w:szCs w:val="24"/>
          <w:lang w:val="en-US" w:eastAsia="en-US" w:bidi="ar-SA"/>
        </w:rPr>
        <w:t>生态质量属于二类，自然生态系统覆盖比例较高、人类干扰强度较低、生物多样</w:t>
      </w:r>
      <w:r>
        <w:rPr>
          <w:rFonts w:ascii="宋体" w:hAnsi="宋体" w:eastAsia="宋体" w:cs="宋体"/>
          <w:snapToGrid w:val="0"/>
          <w:color w:val="auto"/>
          <w:spacing w:val="-2"/>
          <w:kern w:val="0"/>
          <w:sz w:val="24"/>
          <w:szCs w:val="24"/>
          <w:lang w:val="en-US" w:eastAsia="en-US" w:bidi="ar-SA"/>
        </w:rPr>
        <w:t>性较丰富、生态结构较完整、系统较稳定、生态功能较完善。</w:t>
      </w:r>
    </w:p>
    <w:p w14:paraId="41E9835C">
      <w:pPr>
        <w:keepNext w:val="0"/>
        <w:keepLines w:val="0"/>
        <w:pageBreakBefore w:val="0"/>
        <w:kinsoku w:val="0"/>
        <w:wordWrap/>
        <w:overflowPunct/>
        <w:topLinePunct w:val="0"/>
        <w:autoSpaceDE w:val="0"/>
        <w:autoSpaceDN w:val="0"/>
        <w:bidi w:val="0"/>
        <w:adjustRightInd w:val="0"/>
        <w:snapToGrid w:val="0"/>
        <w:spacing w:line="360" w:lineRule="auto"/>
        <w:jc w:val="both"/>
        <w:textAlignment w:val="baseline"/>
        <w:outlineLvl w:val="2"/>
        <w:rPr>
          <w:rFonts w:hint="default" w:ascii="Times New Roman" w:hAnsi="Times New Roman" w:eastAsia="宋体" w:cs="Times New Roman"/>
          <w:b/>
          <w:bCs/>
          <w:color w:val="auto"/>
          <w:kern w:val="2"/>
          <w:sz w:val="24"/>
          <w:szCs w:val="24"/>
          <w:highlight w:val="none"/>
          <w:lang w:val="en-US" w:eastAsia="en-US" w:bidi="ar-SA"/>
        </w:rPr>
      </w:pP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en-US" w:bidi="ar-SA"/>
        </w:rPr>
        <w:t>.1.5珍稀保护野生植物及古树名木</w:t>
      </w:r>
    </w:p>
    <w:p w14:paraId="3F55A461">
      <w:pPr>
        <w:keepNext w:val="0"/>
        <w:keepLines w:val="0"/>
        <w:pageBreakBefore w:val="0"/>
        <w:widowControl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ascii="宋体" w:hAnsi="宋体" w:eastAsia="宋体" w:cs="宋体"/>
          <w:snapToGrid w:val="0"/>
          <w:color w:val="auto"/>
          <w:spacing w:val="0"/>
          <w:kern w:val="0"/>
          <w:sz w:val="24"/>
          <w:szCs w:val="24"/>
          <w:lang w:val="en-US" w:eastAsia="en-US" w:bidi="ar-SA"/>
        </w:rPr>
      </w:pPr>
      <w:r>
        <w:rPr>
          <w:rFonts w:ascii="宋体" w:hAnsi="宋体" w:eastAsia="宋体" w:cs="宋体"/>
          <w:snapToGrid w:val="0"/>
          <w:color w:val="auto"/>
          <w:spacing w:val="0"/>
          <w:kern w:val="0"/>
          <w:sz w:val="24"/>
          <w:szCs w:val="24"/>
          <w:lang w:val="en-US" w:eastAsia="en-US" w:bidi="ar-SA"/>
        </w:rPr>
        <w:t>根据现场踏勘及相关部门了解，本项目评价范围内未发现《国家重点保护野生植物名录》（</w:t>
      </w:r>
      <w:r>
        <w:rPr>
          <w:rFonts w:ascii="Times New Roman" w:hAnsi="Times New Roman" w:eastAsia="Times New Roman" w:cs="Times New Roman"/>
          <w:snapToGrid w:val="0"/>
          <w:color w:val="auto"/>
          <w:spacing w:val="0"/>
          <w:kern w:val="0"/>
          <w:sz w:val="24"/>
          <w:szCs w:val="24"/>
          <w:lang w:val="en-US" w:eastAsia="en-US" w:bidi="ar-SA"/>
        </w:rPr>
        <w:t>2021</w:t>
      </w:r>
      <w:r>
        <w:rPr>
          <w:rFonts w:ascii="宋体" w:hAnsi="宋体" w:eastAsia="宋体" w:cs="宋体"/>
          <w:snapToGrid w:val="0"/>
          <w:color w:val="auto"/>
          <w:spacing w:val="0"/>
          <w:kern w:val="0"/>
          <w:sz w:val="24"/>
          <w:szCs w:val="24"/>
          <w:lang w:val="en-US" w:eastAsia="en-US" w:bidi="ar-SA"/>
        </w:rPr>
        <w:t>年）和《宁夏回族自治区重点保护野生植物名录（第一批）》中收录的重点保护野生植物，评价范围内无挂牌的古树名木。</w:t>
      </w:r>
    </w:p>
    <w:p w14:paraId="2BEEC196">
      <w:pPr>
        <w:keepNext w:val="0"/>
        <w:keepLines w:val="0"/>
        <w:pageBreakBefore w:val="0"/>
        <w:kinsoku w:val="0"/>
        <w:wordWrap/>
        <w:overflowPunct/>
        <w:topLinePunct w:val="0"/>
        <w:autoSpaceDE w:val="0"/>
        <w:autoSpaceDN w:val="0"/>
        <w:bidi w:val="0"/>
        <w:adjustRightInd w:val="0"/>
        <w:snapToGrid w:val="0"/>
        <w:spacing w:line="360" w:lineRule="auto"/>
        <w:jc w:val="both"/>
        <w:textAlignment w:val="baseline"/>
        <w:outlineLvl w:val="1"/>
        <w:rPr>
          <w:rFonts w:ascii="宋体" w:hAnsi="宋体" w:eastAsia="宋体" w:cs="宋体"/>
          <w:snapToGrid w:val="0"/>
          <w:color w:val="auto"/>
          <w:kern w:val="0"/>
          <w:sz w:val="24"/>
          <w:szCs w:val="24"/>
          <w:lang w:val="en-US" w:eastAsia="en-US" w:bidi="ar-SA"/>
        </w:rPr>
      </w:pPr>
      <w:bookmarkStart w:id="528" w:name="_Toc26671"/>
      <w:bookmarkStart w:id="529" w:name="_Toc4700"/>
      <w:r>
        <w:rPr>
          <w:rFonts w:hint="eastAsia" w:ascii="Times New Roman" w:hAnsi="Times New Roman" w:eastAsia="宋体" w:cs="Times New Roman"/>
          <w:b/>
          <w:bCs/>
          <w:snapToGrid w:val="0"/>
          <w:color w:val="auto"/>
          <w:spacing w:val="-17"/>
          <w:kern w:val="0"/>
          <w:sz w:val="24"/>
          <w:szCs w:val="24"/>
          <w:lang w:val="en-US" w:eastAsia="zh-CN" w:bidi="ar-SA"/>
        </w:rPr>
        <w:t>3</w:t>
      </w:r>
      <w:r>
        <w:rPr>
          <w:rFonts w:ascii="Times New Roman" w:hAnsi="Times New Roman" w:eastAsia="Times New Roman" w:cs="Times New Roman"/>
          <w:b/>
          <w:bCs/>
          <w:snapToGrid w:val="0"/>
          <w:color w:val="auto"/>
          <w:spacing w:val="-17"/>
          <w:kern w:val="0"/>
          <w:sz w:val="24"/>
          <w:szCs w:val="24"/>
          <w:lang w:val="en-US" w:eastAsia="en-US" w:bidi="ar-SA"/>
        </w:rPr>
        <w:t xml:space="preserve">.2 </w:t>
      </w:r>
      <w:r>
        <w:rPr>
          <w:rFonts w:ascii="宋体" w:hAnsi="宋体" w:eastAsia="宋体" w:cs="宋体"/>
          <w:b/>
          <w:bCs/>
          <w:snapToGrid w:val="0"/>
          <w:color w:val="auto"/>
          <w:spacing w:val="0"/>
          <w:kern w:val="0"/>
          <w:sz w:val="24"/>
          <w:szCs w:val="24"/>
          <w:lang w:val="en-US" w:eastAsia="en-US" w:bidi="ar-SA"/>
        </w:rPr>
        <w:t>生态影响预测与评价</w:t>
      </w:r>
      <w:bookmarkEnd w:id="528"/>
      <w:bookmarkEnd w:id="529"/>
    </w:p>
    <w:p w14:paraId="77303ACC">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2"/>
        <w:rPr>
          <w:rFonts w:hint="eastAsia" w:ascii="Times New Roman" w:hAnsi="Times New Roman" w:eastAsia="宋体" w:cs="Times New Roman"/>
          <w:b/>
          <w:bCs/>
          <w:color w:val="auto"/>
          <w:kern w:val="2"/>
          <w:sz w:val="24"/>
          <w:szCs w:val="24"/>
          <w:highlight w:val="none"/>
          <w:lang w:val="en-US" w:eastAsia="en-US" w:bidi="ar-SA"/>
        </w:rPr>
      </w:pPr>
      <w:r>
        <w:rPr>
          <w:rFonts w:hint="eastAsia" w:ascii="Times New Roman" w:hAnsi="Times New Roman" w:eastAsia="宋体"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en-US" w:bidi="ar-SA"/>
        </w:rPr>
        <w:t>.2.1对土地利用的影响</w:t>
      </w:r>
    </w:p>
    <w:p w14:paraId="035E8139">
      <w:pPr>
        <w:keepNext w:val="0"/>
        <w:keepLines w:val="0"/>
        <w:pageBreakBefore w:val="0"/>
        <w:widowControl w:val="0"/>
        <w:kinsoku w:val="0"/>
        <w:wordWrap/>
        <w:overflowPunct/>
        <w:topLinePunct w:val="0"/>
        <w:autoSpaceDE w:val="0"/>
        <w:autoSpaceDN w:val="0"/>
        <w:bidi w:val="0"/>
        <w:adjustRightInd w:val="0"/>
        <w:snapToGrid w:val="0"/>
        <w:spacing w:line="360" w:lineRule="auto"/>
        <w:ind w:right="0" w:firstLine="464"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4"/>
          <w:kern w:val="0"/>
          <w:sz w:val="24"/>
          <w:szCs w:val="24"/>
          <w:lang w:val="en-US" w:eastAsia="en-US" w:bidi="ar-SA"/>
        </w:rPr>
        <w:t>本项目占地总面积为</w:t>
      </w:r>
      <w:r>
        <w:rPr>
          <w:rFonts w:hint="default" w:ascii="Times New Roman" w:hAnsi="Times New Roman" w:cs="Times New Roman"/>
          <w:snapToGrid w:val="0"/>
          <w:color w:val="auto"/>
          <w:spacing w:val="0"/>
          <w:kern w:val="0"/>
          <w:sz w:val="24"/>
          <w:szCs w:val="24"/>
          <w:lang w:val="en-US" w:eastAsia="zh-CN" w:bidi="ar-SA"/>
        </w:rPr>
        <w:t>7.5510</w:t>
      </w:r>
      <w:r>
        <w:rPr>
          <w:rFonts w:hint="default" w:ascii="Times New Roman" w:hAnsi="Times New Roman" w:eastAsia="Times New Roman" w:cs="Times New Roman"/>
          <w:snapToGrid w:val="0"/>
          <w:color w:val="auto"/>
          <w:spacing w:val="0"/>
          <w:kern w:val="0"/>
          <w:sz w:val="24"/>
          <w:szCs w:val="24"/>
          <w:lang w:val="en-US" w:eastAsia="en-US" w:bidi="ar-SA"/>
        </w:rPr>
        <w:t>hm</w:t>
      </w:r>
      <w:r>
        <w:rPr>
          <w:rFonts w:hint="default" w:ascii="Times New Roman" w:hAnsi="Times New Roman" w:eastAsia="Times New Roman" w:cs="Times New Roman"/>
          <w:snapToGrid w:val="0"/>
          <w:color w:val="auto"/>
          <w:spacing w:val="0"/>
          <w:kern w:val="0"/>
          <w:position w:val="8"/>
          <w:sz w:val="15"/>
          <w:szCs w:val="15"/>
          <w:lang w:val="en-US" w:eastAsia="en-US" w:bidi="ar-SA"/>
        </w:rPr>
        <w:t>2</w:t>
      </w:r>
      <w:r>
        <w:rPr>
          <w:rFonts w:hint="default" w:ascii="Times New Roman" w:hAnsi="Times New Roman" w:eastAsia="宋体" w:cs="Times New Roman"/>
          <w:snapToGrid w:val="0"/>
          <w:color w:val="auto"/>
          <w:spacing w:val="0"/>
          <w:kern w:val="0"/>
          <w:sz w:val="24"/>
          <w:szCs w:val="24"/>
          <w:lang w:val="en-US" w:eastAsia="en-US" w:bidi="ar-SA"/>
        </w:rPr>
        <w:t>，</w:t>
      </w:r>
      <w:r>
        <w:rPr>
          <w:rFonts w:ascii="宋体" w:hAnsi="宋体" w:eastAsia="宋体" w:cs="宋体"/>
          <w:snapToGrid w:val="0"/>
          <w:color w:val="auto"/>
          <w:spacing w:val="-4"/>
          <w:kern w:val="0"/>
          <w:sz w:val="24"/>
          <w:szCs w:val="24"/>
          <w:lang w:val="en-US" w:eastAsia="en-US" w:bidi="ar-SA"/>
        </w:rPr>
        <w:t>包</w:t>
      </w:r>
      <w:r>
        <w:rPr>
          <w:rFonts w:ascii="宋体" w:hAnsi="宋体" w:eastAsia="宋体" w:cs="宋体"/>
          <w:snapToGrid w:val="0"/>
          <w:color w:val="auto"/>
          <w:spacing w:val="-5"/>
          <w:kern w:val="0"/>
          <w:sz w:val="24"/>
          <w:szCs w:val="24"/>
          <w:lang w:val="en-US" w:eastAsia="en-US" w:bidi="ar-SA"/>
        </w:rPr>
        <w:t>括永久占地和临时占地两种类型，这两</w:t>
      </w:r>
      <w:r>
        <w:rPr>
          <w:rFonts w:ascii="宋体" w:hAnsi="宋体" w:eastAsia="宋体" w:cs="宋体"/>
          <w:snapToGrid w:val="0"/>
          <w:color w:val="auto"/>
          <w:spacing w:val="-2"/>
          <w:kern w:val="0"/>
          <w:sz w:val="24"/>
          <w:szCs w:val="24"/>
          <w:lang w:val="en-US" w:eastAsia="en-US" w:bidi="ar-SA"/>
        </w:rPr>
        <w:t>类用地对评价区土地利用类型和功能的影响不同。</w:t>
      </w:r>
    </w:p>
    <w:p w14:paraId="6B77FDBC">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⑴</w:t>
      </w:r>
      <w:r>
        <w:rPr>
          <w:rFonts w:ascii="宋体" w:hAnsi="宋体" w:eastAsia="宋体" w:cs="宋体"/>
          <w:b/>
          <w:bCs/>
          <w:snapToGrid w:val="0"/>
          <w:color w:val="auto"/>
          <w:spacing w:val="-3"/>
          <w:kern w:val="0"/>
          <w:sz w:val="24"/>
          <w:szCs w:val="24"/>
          <w:lang w:val="en-US" w:eastAsia="en-US" w:bidi="ar-SA"/>
        </w:rPr>
        <w:t>永久占地对土地利用的影响分析</w:t>
      </w:r>
    </w:p>
    <w:p w14:paraId="29F95554">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本项目永久占地面积为</w:t>
      </w:r>
      <w:r>
        <w:rPr>
          <w:rFonts w:ascii="宋体" w:hAnsi="宋体" w:eastAsia="宋体" w:cs="宋体"/>
          <w:snapToGrid w:val="0"/>
          <w:color w:val="auto"/>
          <w:spacing w:val="-51"/>
          <w:kern w:val="0"/>
          <w:sz w:val="24"/>
          <w:szCs w:val="24"/>
          <w:lang w:val="en-US" w:eastAsia="en-US" w:bidi="ar-SA"/>
        </w:rPr>
        <w:t xml:space="preserve"> </w:t>
      </w:r>
      <w:r>
        <w:rPr>
          <w:rFonts w:hint="default" w:ascii="Times New Roman" w:hAnsi="Times New Roman" w:cs="Times New Roman"/>
          <w:color w:val="auto"/>
          <w:sz w:val="24"/>
          <w:highlight w:val="none"/>
          <w:lang w:val="en-US" w:eastAsia="zh-CN"/>
        </w:rPr>
        <w:t>0.3003</w:t>
      </w:r>
      <w:r>
        <w:rPr>
          <w:rFonts w:ascii="Times New Roman" w:hAnsi="Times New Roman" w:eastAsia="Times New Roman" w:cs="Times New Roman"/>
          <w:snapToGrid w:val="0"/>
          <w:color w:val="auto"/>
          <w:spacing w:val="-2"/>
          <w:kern w:val="0"/>
          <w:sz w:val="24"/>
          <w:szCs w:val="24"/>
          <w:lang w:val="en-US" w:eastAsia="en-US" w:bidi="ar-SA"/>
        </w:rPr>
        <w:t>hm</w:t>
      </w:r>
      <w:r>
        <w:rPr>
          <w:rFonts w:ascii="Times New Roman" w:hAnsi="Times New Roman" w:eastAsia="Times New Roman" w:cs="Times New Roman"/>
          <w:snapToGrid w:val="0"/>
          <w:color w:val="auto"/>
          <w:spacing w:val="-2"/>
          <w:kern w:val="0"/>
          <w:position w:val="8"/>
          <w:sz w:val="15"/>
          <w:szCs w:val="15"/>
          <w:lang w:val="en-US" w:eastAsia="en-US" w:bidi="ar-SA"/>
        </w:rPr>
        <w:t>2</w:t>
      </w:r>
      <w:r>
        <w:rPr>
          <w:rFonts w:ascii="宋体" w:hAnsi="宋体" w:eastAsia="宋体" w:cs="宋体"/>
          <w:snapToGrid w:val="0"/>
          <w:color w:val="auto"/>
          <w:spacing w:val="-2"/>
          <w:kern w:val="0"/>
          <w:sz w:val="24"/>
          <w:szCs w:val="24"/>
          <w:lang w:val="en-US" w:eastAsia="en-US" w:bidi="ar-SA"/>
        </w:rPr>
        <w:t>，主要为输电线路塔基占地，占地类</w:t>
      </w:r>
      <w:r>
        <w:rPr>
          <w:rFonts w:ascii="宋体" w:hAnsi="宋体" w:eastAsia="宋体" w:cs="宋体"/>
          <w:snapToGrid w:val="0"/>
          <w:color w:val="auto"/>
          <w:spacing w:val="-3"/>
          <w:kern w:val="0"/>
          <w:sz w:val="24"/>
          <w:szCs w:val="24"/>
          <w:lang w:val="en-US" w:eastAsia="en-US" w:bidi="ar-SA"/>
        </w:rPr>
        <w:t>型包</w:t>
      </w:r>
      <w:r>
        <w:rPr>
          <w:rFonts w:ascii="宋体" w:hAnsi="宋体" w:eastAsia="宋体" w:cs="宋体"/>
          <w:snapToGrid w:val="0"/>
          <w:color w:val="auto"/>
          <w:spacing w:val="-1"/>
          <w:kern w:val="0"/>
          <w:sz w:val="24"/>
          <w:szCs w:val="24"/>
          <w:lang w:val="en-US" w:eastAsia="en-US" w:bidi="ar-SA"/>
        </w:rPr>
        <w:t>括</w:t>
      </w:r>
      <w:r>
        <w:rPr>
          <w:rFonts w:hint="default" w:ascii="Times New Roman" w:hAnsi="Times New Roman" w:cs="Times New Roman"/>
          <w:bCs/>
          <w:color w:val="auto"/>
          <w:sz w:val="24"/>
          <w:highlight w:val="none"/>
          <w:lang w:val="en-US" w:eastAsia="zh-CN"/>
        </w:rPr>
        <w:t>旱地、水浇地、灌木林地、乔木林地、其他</w:t>
      </w:r>
      <w:r>
        <w:rPr>
          <w:rFonts w:hint="default" w:ascii="Times New Roman" w:hAnsi="Times New Roman" w:eastAsia="宋体" w:cs="Times New Roman"/>
          <w:color w:val="auto"/>
          <w:sz w:val="24"/>
          <w:highlight w:val="none"/>
          <w:lang w:val="en-US" w:eastAsia="zh-CN"/>
        </w:rPr>
        <w:t>林地、人工牧草地、天然牧草地、果园和农村道路</w:t>
      </w:r>
      <w:r>
        <w:rPr>
          <w:rFonts w:ascii="宋体" w:hAnsi="宋体" w:eastAsia="宋体" w:cs="宋体"/>
          <w:snapToGrid w:val="0"/>
          <w:color w:val="auto"/>
          <w:spacing w:val="-7"/>
          <w:kern w:val="0"/>
          <w:sz w:val="24"/>
          <w:szCs w:val="24"/>
          <w:lang w:val="en-US" w:eastAsia="en-US" w:bidi="ar-SA"/>
        </w:rPr>
        <w:t>。占地面积很小，对区域土地利用结构影响很小。</w:t>
      </w:r>
    </w:p>
    <w:p w14:paraId="247625CC">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⑵</w:t>
      </w:r>
      <w:r>
        <w:rPr>
          <w:rFonts w:ascii="宋体" w:hAnsi="宋体" w:eastAsia="宋体" w:cs="宋体"/>
          <w:b/>
          <w:bCs/>
          <w:snapToGrid w:val="0"/>
          <w:color w:val="auto"/>
          <w:spacing w:val="-3"/>
          <w:kern w:val="0"/>
          <w:sz w:val="24"/>
          <w:szCs w:val="24"/>
          <w:lang w:val="en-US" w:eastAsia="en-US" w:bidi="ar-SA"/>
        </w:rPr>
        <w:t>临时占地对土地利用的影响分析</w:t>
      </w:r>
    </w:p>
    <w:p w14:paraId="3E9E3FA8">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spacing w:val="-2"/>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本项目施工临时占地面积为7.2507hm</w:t>
      </w:r>
      <w:r>
        <w:rPr>
          <w:rFonts w:hint="default" w:ascii="Times New Roman" w:hAnsi="Times New Roman" w:eastAsia="宋体" w:cs="Times New Roman"/>
          <w:snapToGrid w:val="0"/>
          <w:color w:val="auto"/>
          <w:spacing w:val="-2"/>
          <w:kern w:val="0"/>
          <w:sz w:val="24"/>
          <w:szCs w:val="24"/>
          <w:vertAlign w:val="superscript"/>
          <w:lang w:val="en-US" w:eastAsia="en-US" w:bidi="ar-SA"/>
        </w:rPr>
        <w:t>2</w:t>
      </w:r>
      <w:r>
        <w:rPr>
          <w:rFonts w:hint="default" w:ascii="Times New Roman" w:hAnsi="Times New Roman" w:eastAsia="宋体" w:cs="Times New Roman"/>
          <w:snapToGrid w:val="0"/>
          <w:color w:val="auto"/>
          <w:spacing w:val="-2"/>
          <w:kern w:val="0"/>
          <w:sz w:val="24"/>
          <w:szCs w:val="24"/>
          <w:lang w:val="en-US" w:eastAsia="en-US" w:bidi="ar-SA"/>
        </w:rPr>
        <w:t>，包括</w:t>
      </w:r>
      <w:r>
        <w:rPr>
          <w:rFonts w:hint="default" w:ascii="Times New Roman" w:hAnsi="Times New Roman" w:eastAsia="宋体" w:cs="Times New Roman"/>
          <w:snapToGrid w:val="0"/>
          <w:color w:val="auto"/>
          <w:spacing w:val="-2"/>
          <w:kern w:val="0"/>
          <w:sz w:val="24"/>
          <w:szCs w:val="24"/>
          <w:lang w:val="en-US" w:eastAsia="zh-CN" w:bidi="ar-SA"/>
        </w:rPr>
        <w:t>跨越架</w:t>
      </w:r>
      <w:r>
        <w:rPr>
          <w:rFonts w:hint="default" w:ascii="Times New Roman" w:hAnsi="Times New Roman" w:eastAsia="宋体" w:cs="Times New Roman"/>
          <w:snapToGrid w:val="0"/>
          <w:color w:val="auto"/>
          <w:spacing w:val="-2"/>
          <w:kern w:val="0"/>
          <w:sz w:val="24"/>
          <w:szCs w:val="24"/>
          <w:lang w:val="en-US" w:eastAsia="en-US" w:bidi="ar-SA"/>
        </w:rPr>
        <w:t>、</w:t>
      </w:r>
      <w:r>
        <w:rPr>
          <w:rFonts w:hint="default" w:ascii="Times New Roman" w:hAnsi="Times New Roman" w:eastAsia="宋体" w:cs="Times New Roman"/>
          <w:snapToGrid w:val="0"/>
          <w:color w:val="auto"/>
          <w:spacing w:val="-2"/>
          <w:kern w:val="0"/>
          <w:sz w:val="24"/>
          <w:szCs w:val="24"/>
          <w:lang w:val="en-US" w:eastAsia="zh-CN" w:bidi="ar-SA"/>
        </w:rPr>
        <w:t>农用地表土剥离堆放场</w:t>
      </w:r>
      <w:r>
        <w:rPr>
          <w:rFonts w:hint="default" w:ascii="Times New Roman" w:hAnsi="Times New Roman" w:eastAsia="宋体" w:cs="Times New Roman"/>
          <w:snapToGrid w:val="0"/>
          <w:color w:val="auto"/>
          <w:spacing w:val="-2"/>
          <w:kern w:val="0"/>
          <w:sz w:val="24"/>
          <w:szCs w:val="24"/>
          <w:lang w:val="en-US" w:eastAsia="en-US" w:bidi="ar-SA"/>
        </w:rPr>
        <w:t>、</w:t>
      </w:r>
      <w:r>
        <w:rPr>
          <w:rFonts w:hint="default" w:ascii="Times New Roman" w:hAnsi="Times New Roman" w:eastAsia="宋体" w:cs="Times New Roman"/>
          <w:snapToGrid w:val="0"/>
          <w:color w:val="auto"/>
          <w:spacing w:val="-2"/>
          <w:kern w:val="0"/>
          <w:sz w:val="24"/>
          <w:szCs w:val="24"/>
          <w:lang w:val="en-US" w:eastAsia="zh-CN" w:bidi="ar-SA"/>
        </w:rPr>
        <w:t>牵张场、</w:t>
      </w:r>
      <w:r>
        <w:rPr>
          <w:rFonts w:hint="default" w:ascii="Times New Roman" w:hAnsi="Times New Roman" w:eastAsia="宋体" w:cs="Times New Roman"/>
          <w:snapToGrid w:val="0"/>
          <w:color w:val="auto"/>
          <w:spacing w:val="-2"/>
          <w:kern w:val="0"/>
          <w:sz w:val="24"/>
          <w:szCs w:val="24"/>
          <w:lang w:val="en-US" w:eastAsia="en-US" w:bidi="ar-SA"/>
        </w:rPr>
        <w:t>施工便道</w:t>
      </w:r>
      <w:r>
        <w:rPr>
          <w:rFonts w:hint="default" w:ascii="Times New Roman" w:hAnsi="Times New Roman" w:eastAsia="宋体" w:cs="Times New Roman"/>
          <w:snapToGrid w:val="0"/>
          <w:color w:val="auto"/>
          <w:spacing w:val="-2"/>
          <w:kern w:val="0"/>
          <w:sz w:val="24"/>
          <w:szCs w:val="24"/>
          <w:lang w:val="en-US" w:eastAsia="zh-CN" w:bidi="ar-SA"/>
        </w:rPr>
        <w:t>、拓宽道路和塔基施工作业区（含线路抬高改造工程塔基施工作业区）</w:t>
      </w:r>
      <w:r>
        <w:rPr>
          <w:rFonts w:hint="default" w:ascii="Times New Roman" w:hAnsi="Times New Roman" w:eastAsia="宋体" w:cs="Times New Roman"/>
          <w:snapToGrid w:val="0"/>
          <w:color w:val="auto"/>
          <w:spacing w:val="-2"/>
          <w:kern w:val="0"/>
          <w:sz w:val="24"/>
          <w:szCs w:val="24"/>
          <w:lang w:val="en-US" w:eastAsia="en-US" w:bidi="ar-SA"/>
        </w:rPr>
        <w:t>等， 占地类型包括</w:t>
      </w:r>
      <w:r>
        <w:rPr>
          <w:rFonts w:hint="default" w:ascii="Times New Roman" w:hAnsi="Times New Roman" w:eastAsia="宋体" w:cs="Times New Roman"/>
          <w:snapToGrid w:val="0"/>
          <w:color w:val="auto"/>
          <w:spacing w:val="-2"/>
          <w:kern w:val="0"/>
          <w:sz w:val="24"/>
          <w:szCs w:val="24"/>
          <w:lang w:val="en-US" w:eastAsia="zh-CN" w:bidi="ar-SA"/>
        </w:rPr>
        <w:t>旱地、水浇地、灌木林地、乔木林地、其他林地、人工牧草地、天然牧草地、其他草地、果园和农村道路</w:t>
      </w:r>
      <w:r>
        <w:rPr>
          <w:rFonts w:hint="default" w:ascii="Times New Roman" w:hAnsi="Times New Roman" w:eastAsia="宋体" w:cs="Times New Roman"/>
          <w:snapToGrid w:val="0"/>
          <w:color w:val="auto"/>
          <w:spacing w:val="-2"/>
          <w:kern w:val="0"/>
          <w:sz w:val="24"/>
          <w:szCs w:val="24"/>
          <w:lang w:val="en-US" w:eastAsia="en-US" w:bidi="ar-SA"/>
        </w:rPr>
        <w:t>。工程占地会破坏一定植被，所以在项目建设期和运营期，要尽早恢复占地的植被。在采取相关措施后，整体上不会改变评价区内现有的土地利用类型的基本格局。</w:t>
      </w:r>
    </w:p>
    <w:p w14:paraId="78D1610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both"/>
        <w:textAlignment w:val="baseline"/>
        <w:outlineLvl w:val="2"/>
        <w:rPr>
          <w:rFonts w:hint="eastAsia" w:ascii="Times New Roman" w:hAnsi="Times New Roman" w:eastAsia="宋体" w:cs="Times New Roman"/>
          <w:b/>
          <w:bCs/>
          <w:color w:val="auto"/>
          <w:kern w:val="2"/>
          <w:sz w:val="24"/>
          <w:szCs w:val="24"/>
          <w:highlight w:val="none"/>
          <w:lang w:val="en-US" w:eastAsia="en-US" w:bidi="ar-SA"/>
        </w:rPr>
      </w:pPr>
      <w:r>
        <w:rPr>
          <w:rFonts w:hint="eastAsia" w:ascii="Times New Roman" w:hAnsi="Times New Roman" w:eastAsia="宋体"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en-US" w:bidi="ar-SA"/>
        </w:rPr>
        <w:t>.2.2对陆生植物的影响</w:t>
      </w:r>
    </w:p>
    <w:p w14:paraId="2F674DF6">
      <w:pPr>
        <w:keepNext w:val="0"/>
        <w:keepLines w:val="0"/>
        <w:pageBreakBefore w:val="0"/>
        <w:kinsoku w:val="0"/>
        <w:wordWrap/>
        <w:overflowPunct/>
        <w:topLinePunct w:val="0"/>
        <w:autoSpaceDE w:val="0"/>
        <w:autoSpaceDN w:val="0"/>
        <w:bidi w:val="0"/>
        <w:adjustRightInd w:val="0"/>
        <w:snapToGrid w:val="0"/>
        <w:spacing w:line="360" w:lineRule="auto"/>
        <w:ind w:left="0" w:right="0"/>
        <w:jc w:val="both"/>
        <w:textAlignment w:val="baseline"/>
        <w:outlineLvl w:val="3"/>
        <w:rPr>
          <w:rFonts w:ascii="宋体" w:hAnsi="宋体" w:eastAsia="宋体" w:cs="宋体"/>
          <w:snapToGrid w:val="0"/>
          <w:color w:val="auto"/>
          <w:kern w:val="0"/>
          <w:sz w:val="24"/>
          <w:szCs w:val="24"/>
          <w:lang w:val="en-US" w:eastAsia="en-US" w:bidi="ar-SA"/>
        </w:rPr>
      </w:pPr>
      <w:r>
        <w:rPr>
          <w:rFonts w:hint="eastAsia" w:ascii="Times New Roman" w:hAnsi="Times New Roman" w:eastAsia="宋体" w:cs="Times New Roman"/>
          <w:b/>
          <w:bCs/>
          <w:snapToGrid w:val="0"/>
          <w:color w:val="auto"/>
          <w:spacing w:val="-2"/>
          <w:kern w:val="0"/>
          <w:sz w:val="24"/>
          <w:szCs w:val="24"/>
          <w:lang w:val="en-US" w:eastAsia="zh-CN" w:bidi="ar-SA"/>
        </w:rPr>
        <w:t>3</w:t>
      </w:r>
      <w:r>
        <w:rPr>
          <w:rFonts w:ascii="Times New Roman" w:hAnsi="Times New Roman" w:eastAsia="Times New Roman" w:cs="Times New Roman"/>
          <w:b/>
          <w:bCs/>
          <w:snapToGrid w:val="0"/>
          <w:color w:val="auto"/>
          <w:spacing w:val="-2"/>
          <w:kern w:val="0"/>
          <w:sz w:val="24"/>
          <w:szCs w:val="24"/>
          <w:lang w:val="en-US" w:eastAsia="en-US" w:bidi="ar-SA"/>
        </w:rPr>
        <w:t>.2.2.1</w:t>
      </w:r>
      <w:r>
        <w:rPr>
          <w:rFonts w:ascii="宋体" w:hAnsi="宋体" w:eastAsia="宋体" w:cs="宋体"/>
          <w:b/>
          <w:bCs/>
          <w:snapToGrid w:val="0"/>
          <w:color w:val="auto"/>
          <w:spacing w:val="-2"/>
          <w:kern w:val="0"/>
          <w:sz w:val="24"/>
          <w:szCs w:val="24"/>
          <w:lang w:val="en-US" w:eastAsia="en-US" w:bidi="ar-SA"/>
        </w:rPr>
        <w:t>施工期对植物的影响分析</w:t>
      </w:r>
    </w:p>
    <w:p w14:paraId="59C1FF7D">
      <w:pPr>
        <w:keepNext w:val="0"/>
        <w:keepLines w:val="0"/>
        <w:pageBreakBefore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⑴</w:t>
      </w:r>
      <w:r>
        <w:rPr>
          <w:rFonts w:ascii="宋体" w:hAnsi="宋体" w:eastAsia="宋体" w:cs="宋体"/>
          <w:b/>
          <w:bCs/>
          <w:snapToGrid w:val="0"/>
          <w:color w:val="auto"/>
          <w:spacing w:val="-3"/>
          <w:kern w:val="0"/>
          <w:sz w:val="24"/>
          <w:szCs w:val="24"/>
          <w:lang w:val="en-US" w:eastAsia="en-US" w:bidi="ar-SA"/>
        </w:rPr>
        <w:t>对植被和植物资源的影响</w:t>
      </w:r>
    </w:p>
    <w:p w14:paraId="7D227E83">
      <w:pPr>
        <w:keepNext w:val="0"/>
        <w:keepLines w:val="0"/>
        <w:pageBreakBefore w:val="0"/>
        <w:kinsoku w:val="0"/>
        <w:wordWrap/>
        <w:overflowPunct/>
        <w:topLinePunct w:val="0"/>
        <w:autoSpaceDE w:val="0"/>
        <w:autoSpaceDN w:val="0"/>
        <w:bidi w:val="0"/>
        <w:adjustRightInd w:val="0"/>
        <w:snapToGrid w:val="0"/>
        <w:spacing w:line="360" w:lineRule="auto"/>
        <w:ind w:left="0" w:right="0" w:firstLine="478"/>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输电项目建设对植被的影响主要集中在施工期及施工场地恢复期</w:t>
      </w:r>
      <w:r>
        <w:rPr>
          <w:rFonts w:ascii="宋体" w:hAnsi="宋体" w:eastAsia="宋体" w:cs="宋体"/>
          <w:snapToGrid w:val="0"/>
          <w:color w:val="auto"/>
          <w:spacing w:val="-4"/>
          <w:kern w:val="0"/>
          <w:sz w:val="24"/>
          <w:szCs w:val="24"/>
          <w:lang w:val="en-US" w:eastAsia="en-US" w:bidi="ar-SA"/>
        </w:rPr>
        <w:t>。线路杆塔</w:t>
      </w:r>
      <w:r>
        <w:rPr>
          <w:rFonts w:ascii="宋体" w:hAnsi="宋体" w:eastAsia="宋体" w:cs="宋体"/>
          <w:snapToGrid w:val="0"/>
          <w:color w:val="auto"/>
          <w:spacing w:val="-3"/>
          <w:kern w:val="0"/>
          <w:sz w:val="24"/>
          <w:szCs w:val="24"/>
          <w:lang w:val="en-US" w:eastAsia="en-US" w:bidi="ar-SA"/>
        </w:rPr>
        <w:t>的施工建设会有一定的永久占地和临时占地，一定程度上改变现状植被；线路的永久占地除塔基桩脚外，可部分恢复现状植被或转变为其他植被类型；临时占地</w:t>
      </w:r>
      <w:r>
        <w:rPr>
          <w:rFonts w:ascii="宋体" w:hAnsi="宋体" w:eastAsia="宋体" w:cs="宋体"/>
          <w:snapToGrid w:val="0"/>
          <w:color w:val="auto"/>
          <w:spacing w:val="-6"/>
          <w:kern w:val="0"/>
          <w:sz w:val="24"/>
          <w:szCs w:val="24"/>
          <w:lang w:val="en-US" w:eastAsia="en-US" w:bidi="ar-SA"/>
        </w:rPr>
        <w:t>经过一段时间自然保育或人工恢复，可恢复现状植被。输电线</w:t>
      </w:r>
      <w:r>
        <w:rPr>
          <w:rFonts w:ascii="宋体" w:hAnsi="宋体" w:eastAsia="宋体" w:cs="宋体"/>
          <w:snapToGrid w:val="0"/>
          <w:color w:val="auto"/>
          <w:spacing w:val="-7"/>
          <w:kern w:val="0"/>
          <w:sz w:val="24"/>
          <w:szCs w:val="24"/>
          <w:lang w:val="en-US" w:eastAsia="en-US" w:bidi="ar-SA"/>
        </w:rPr>
        <w:t>路杆塔施工， 塔基</w:t>
      </w:r>
      <w:r>
        <w:rPr>
          <w:rFonts w:ascii="宋体" w:hAnsi="宋体" w:eastAsia="宋体" w:cs="宋体"/>
          <w:snapToGrid w:val="0"/>
          <w:color w:val="auto"/>
          <w:spacing w:val="-3"/>
          <w:kern w:val="0"/>
          <w:sz w:val="24"/>
          <w:szCs w:val="24"/>
          <w:lang w:val="en-US" w:eastAsia="en-US" w:bidi="ar-SA"/>
        </w:rPr>
        <w:t>开挖、铁塔安装，会对地表的植被造成破坏。</w:t>
      </w:r>
    </w:p>
    <w:p w14:paraId="72A02A6C">
      <w:pPr>
        <w:keepNext w:val="0"/>
        <w:keepLines w:val="0"/>
        <w:pageBreakBefore w:val="0"/>
        <w:kinsoku w:val="0"/>
        <w:wordWrap/>
        <w:overflowPunct/>
        <w:topLinePunct w:val="0"/>
        <w:autoSpaceDE w:val="0"/>
        <w:autoSpaceDN w:val="0"/>
        <w:bidi w:val="0"/>
        <w:adjustRightInd w:val="0"/>
        <w:snapToGrid w:val="0"/>
        <w:spacing w:line="240" w:lineRule="auto"/>
        <w:ind w:left="0" w:right="0"/>
        <w:jc w:val="center"/>
        <w:textAlignment w:val="baseline"/>
        <w:rPr>
          <w:rFonts w:ascii="宋体" w:hAnsi="宋体" w:eastAsia="宋体" w:cs="宋体"/>
          <w:snapToGrid w:val="0"/>
          <w:color w:val="auto"/>
          <w:kern w:val="0"/>
          <w:sz w:val="24"/>
          <w:szCs w:val="24"/>
          <w:lang w:val="en-US" w:eastAsia="en-US" w:bidi="ar-SA"/>
        </w:rPr>
      </w:pPr>
      <w:r>
        <w:rPr>
          <w:rFonts w:hint="eastAsia" w:ascii="宋体" w:hAnsi="宋体" w:cs="宋体"/>
          <w:b/>
          <w:bCs/>
          <w:snapToGrid w:val="0"/>
          <w:color w:val="auto"/>
          <w:spacing w:val="-2"/>
          <w:kern w:val="0"/>
          <w:sz w:val="24"/>
          <w:szCs w:val="24"/>
          <w:lang w:val="en-US" w:eastAsia="zh-CN" w:bidi="ar-SA"/>
        </w:rPr>
        <w:t>专题</w:t>
      </w:r>
      <w:r>
        <w:rPr>
          <w:rFonts w:ascii="宋体" w:hAnsi="宋体" w:eastAsia="宋体" w:cs="宋体"/>
          <w:b/>
          <w:bCs/>
          <w:snapToGrid w:val="0"/>
          <w:color w:val="auto"/>
          <w:spacing w:val="-2"/>
          <w:kern w:val="0"/>
          <w:sz w:val="24"/>
          <w:szCs w:val="24"/>
          <w:lang w:val="en-US" w:eastAsia="en-US" w:bidi="ar-SA"/>
        </w:rPr>
        <w:t>表</w:t>
      </w:r>
      <w:r>
        <w:rPr>
          <w:rFonts w:hint="eastAsia" w:ascii="宋体" w:hAnsi="宋体" w:cs="宋体"/>
          <w:b/>
          <w:bCs/>
          <w:snapToGrid w:val="0"/>
          <w:color w:val="auto"/>
          <w:spacing w:val="-2"/>
          <w:kern w:val="0"/>
          <w:sz w:val="24"/>
          <w:szCs w:val="24"/>
          <w:lang w:val="en-US" w:eastAsia="zh-CN" w:bidi="ar-SA"/>
        </w:rPr>
        <w:t>3-8</w:t>
      </w:r>
      <w:r>
        <w:rPr>
          <w:rFonts w:ascii="Times New Roman" w:hAnsi="Times New Roman" w:eastAsia="Times New Roman" w:cs="Times New Roman"/>
          <w:b/>
          <w:bCs/>
          <w:snapToGrid w:val="0"/>
          <w:color w:val="auto"/>
          <w:spacing w:val="-2"/>
          <w:kern w:val="0"/>
          <w:sz w:val="24"/>
          <w:szCs w:val="24"/>
          <w:lang w:val="en-US" w:eastAsia="en-US" w:bidi="ar-SA"/>
        </w:rPr>
        <w:t xml:space="preserve">     </w:t>
      </w:r>
      <w:r>
        <w:rPr>
          <w:rFonts w:ascii="宋体" w:hAnsi="宋体" w:eastAsia="宋体" w:cs="宋体"/>
          <w:b/>
          <w:bCs/>
          <w:snapToGrid w:val="0"/>
          <w:color w:val="auto"/>
          <w:spacing w:val="-2"/>
          <w:kern w:val="0"/>
          <w:sz w:val="24"/>
          <w:szCs w:val="24"/>
          <w:lang w:val="en-US" w:eastAsia="en-US" w:bidi="ar-SA"/>
        </w:rPr>
        <w:t>占地区植被面积一览表</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6"/>
        <w:gridCol w:w="1116"/>
        <w:gridCol w:w="1130"/>
        <w:gridCol w:w="1025"/>
        <w:gridCol w:w="1501"/>
        <w:gridCol w:w="1364"/>
        <w:gridCol w:w="1162"/>
      </w:tblGrid>
      <w:tr w14:paraId="2869D7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jc w:val="center"/>
        </w:trPr>
        <w:tc>
          <w:tcPr>
            <w:tcW w:w="1676" w:type="dxa"/>
            <w:vMerge w:val="restart"/>
            <w:tcBorders>
              <w:top w:val="single" w:color="000000" w:sz="10" w:space="0"/>
              <w:left w:val="nil"/>
              <w:bottom w:val="nil"/>
            </w:tcBorders>
            <w:vAlign w:val="center"/>
          </w:tcPr>
          <w:p w14:paraId="29885EF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植被类型</w:t>
            </w:r>
          </w:p>
        </w:tc>
        <w:tc>
          <w:tcPr>
            <w:tcW w:w="3195" w:type="dxa"/>
            <w:gridSpan w:val="3"/>
            <w:tcBorders>
              <w:top w:val="single" w:color="000000" w:sz="10" w:space="0"/>
            </w:tcBorders>
            <w:vAlign w:val="center"/>
          </w:tcPr>
          <w:p w14:paraId="340A3D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1"/>
                <w:kern w:val="0"/>
                <w:sz w:val="20"/>
                <w:szCs w:val="20"/>
                <w:lang w:eastAsia="en-US"/>
              </w:rPr>
              <w:t>占地面积（</w:t>
            </w:r>
            <w:r>
              <w:rPr>
                <w:rFonts w:ascii="宋体" w:hAnsi="宋体" w:eastAsia="宋体" w:cs="宋体"/>
                <w:b/>
                <w:bCs/>
                <w:snapToGrid w:val="0"/>
                <w:color w:val="auto"/>
                <w:kern w:val="0"/>
                <w:sz w:val="20"/>
                <w:szCs w:val="20"/>
                <w:lang w:eastAsia="en-US"/>
              </w:rPr>
              <w:t>hm</w:t>
            </w:r>
            <w:r>
              <w:rPr>
                <w:rFonts w:ascii="宋体" w:hAnsi="宋体" w:eastAsia="宋体" w:cs="宋体"/>
                <w:b/>
                <w:bCs/>
                <w:snapToGrid w:val="0"/>
                <w:color w:val="auto"/>
                <w:spacing w:val="1"/>
                <w:kern w:val="0"/>
                <w:position w:val="10"/>
                <w:sz w:val="10"/>
                <w:szCs w:val="10"/>
                <w:lang w:eastAsia="en-US"/>
              </w:rPr>
              <w:t>2</w:t>
            </w:r>
            <w:r>
              <w:rPr>
                <w:rFonts w:ascii="宋体" w:hAnsi="宋体" w:eastAsia="宋体" w:cs="宋体"/>
                <w:b/>
                <w:bCs/>
                <w:snapToGrid w:val="0"/>
                <w:color w:val="auto"/>
                <w:spacing w:val="1"/>
                <w:kern w:val="0"/>
                <w:sz w:val="20"/>
                <w:szCs w:val="20"/>
                <w:lang w:eastAsia="en-US"/>
              </w:rPr>
              <w:t>）</w:t>
            </w:r>
          </w:p>
        </w:tc>
        <w:tc>
          <w:tcPr>
            <w:tcW w:w="3932" w:type="dxa"/>
            <w:gridSpan w:val="3"/>
            <w:tcBorders>
              <w:top w:val="single" w:color="000000" w:sz="10" w:space="0"/>
              <w:right w:val="nil"/>
            </w:tcBorders>
            <w:vAlign w:val="center"/>
          </w:tcPr>
          <w:p w14:paraId="2CBCC24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5"/>
                <w:kern w:val="0"/>
                <w:sz w:val="20"/>
                <w:szCs w:val="20"/>
                <w:lang w:eastAsia="en-US"/>
              </w:rPr>
              <w:t>占评价范围内同类型植被面积比例（%）</w:t>
            </w:r>
          </w:p>
        </w:tc>
      </w:tr>
      <w:tr w14:paraId="0D34D7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jc w:val="center"/>
        </w:trPr>
        <w:tc>
          <w:tcPr>
            <w:tcW w:w="1676" w:type="dxa"/>
            <w:vMerge w:val="continue"/>
            <w:tcBorders>
              <w:top w:val="nil"/>
              <w:left w:val="nil"/>
            </w:tcBorders>
            <w:vAlign w:val="center"/>
          </w:tcPr>
          <w:p w14:paraId="5E1CED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auto"/>
                <w:kern w:val="0"/>
                <w:sz w:val="21"/>
                <w:szCs w:val="21"/>
                <w:lang w:eastAsia="en-US"/>
              </w:rPr>
            </w:pPr>
          </w:p>
        </w:tc>
        <w:tc>
          <w:tcPr>
            <w:tcW w:w="1090" w:type="dxa"/>
            <w:vAlign w:val="center"/>
          </w:tcPr>
          <w:p w14:paraId="34529F9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永久占地</w:t>
            </w:r>
          </w:p>
        </w:tc>
        <w:tc>
          <w:tcPr>
            <w:tcW w:w="1104" w:type="dxa"/>
            <w:vAlign w:val="center"/>
          </w:tcPr>
          <w:p w14:paraId="6955C3A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临时占地</w:t>
            </w:r>
          </w:p>
        </w:tc>
        <w:tc>
          <w:tcPr>
            <w:tcW w:w="1001" w:type="dxa"/>
            <w:vAlign w:val="center"/>
          </w:tcPr>
          <w:p w14:paraId="336423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合计</w:t>
            </w:r>
          </w:p>
        </w:tc>
        <w:tc>
          <w:tcPr>
            <w:tcW w:w="1466" w:type="dxa"/>
            <w:vAlign w:val="center"/>
          </w:tcPr>
          <w:p w14:paraId="708B33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永久占地</w:t>
            </w:r>
          </w:p>
        </w:tc>
        <w:tc>
          <w:tcPr>
            <w:tcW w:w="1332" w:type="dxa"/>
            <w:vAlign w:val="center"/>
          </w:tcPr>
          <w:p w14:paraId="0D5A6BF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临时占地</w:t>
            </w:r>
          </w:p>
        </w:tc>
        <w:tc>
          <w:tcPr>
            <w:tcW w:w="1134" w:type="dxa"/>
            <w:tcBorders>
              <w:right w:val="nil"/>
            </w:tcBorders>
            <w:vAlign w:val="center"/>
          </w:tcPr>
          <w:p w14:paraId="60FEF82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合计</w:t>
            </w:r>
          </w:p>
        </w:tc>
      </w:tr>
      <w:tr w14:paraId="24D007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jc w:val="center"/>
        </w:trPr>
        <w:tc>
          <w:tcPr>
            <w:tcW w:w="1676" w:type="dxa"/>
            <w:tcBorders>
              <w:left w:val="nil"/>
            </w:tcBorders>
            <w:vAlign w:val="center"/>
          </w:tcPr>
          <w:p w14:paraId="60F7D0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森林植被</w:t>
            </w:r>
          </w:p>
        </w:tc>
        <w:tc>
          <w:tcPr>
            <w:tcW w:w="1090" w:type="dxa"/>
            <w:vAlign w:val="center"/>
          </w:tcPr>
          <w:p w14:paraId="1D158A8D">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ascii="Times New Roman" w:hAnsi="Times New Roman" w:eastAsia="Times New Roman" w:cs="Times New Roman"/>
                <w:snapToGrid w:val="0"/>
                <w:color w:val="auto"/>
                <w:spacing w:val="3"/>
                <w:kern w:val="0"/>
                <w:sz w:val="20"/>
                <w:szCs w:val="20"/>
                <w:lang w:val="en-US" w:eastAsia="en-US" w:bidi="ar-SA"/>
              </w:rPr>
              <w:t>0.</w:t>
            </w:r>
            <w:r>
              <w:rPr>
                <w:rFonts w:hint="eastAsia" w:eastAsia="宋体" w:cs="Times New Roman"/>
                <w:snapToGrid w:val="0"/>
                <w:color w:val="auto"/>
                <w:spacing w:val="3"/>
                <w:kern w:val="0"/>
                <w:sz w:val="20"/>
                <w:szCs w:val="20"/>
                <w:lang w:val="en-US" w:eastAsia="zh-CN" w:bidi="ar-SA"/>
              </w:rPr>
              <w:t>0621</w:t>
            </w:r>
          </w:p>
        </w:tc>
        <w:tc>
          <w:tcPr>
            <w:tcW w:w="1104" w:type="dxa"/>
            <w:vAlign w:val="center"/>
          </w:tcPr>
          <w:p w14:paraId="390BCBF3">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1.7163</w:t>
            </w:r>
          </w:p>
        </w:tc>
        <w:tc>
          <w:tcPr>
            <w:tcW w:w="1001" w:type="dxa"/>
            <w:vAlign w:val="center"/>
          </w:tcPr>
          <w:p w14:paraId="597DF5BD">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1.7784</w:t>
            </w:r>
          </w:p>
        </w:tc>
        <w:tc>
          <w:tcPr>
            <w:tcW w:w="1466" w:type="dxa"/>
            <w:vAlign w:val="center"/>
          </w:tcPr>
          <w:p w14:paraId="7E48C8F7">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0.01</w:t>
            </w:r>
          </w:p>
        </w:tc>
        <w:tc>
          <w:tcPr>
            <w:tcW w:w="1332" w:type="dxa"/>
            <w:vAlign w:val="center"/>
          </w:tcPr>
          <w:p w14:paraId="621E1DF7">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0.20</w:t>
            </w:r>
          </w:p>
        </w:tc>
        <w:tc>
          <w:tcPr>
            <w:tcW w:w="1134" w:type="dxa"/>
            <w:tcBorders>
              <w:right w:val="nil"/>
            </w:tcBorders>
            <w:vAlign w:val="center"/>
          </w:tcPr>
          <w:p w14:paraId="17BA12C5">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0.21</w:t>
            </w:r>
          </w:p>
        </w:tc>
      </w:tr>
      <w:tr w14:paraId="4C88EC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jc w:val="center"/>
        </w:trPr>
        <w:tc>
          <w:tcPr>
            <w:tcW w:w="1676" w:type="dxa"/>
            <w:tcBorders>
              <w:left w:val="nil"/>
            </w:tcBorders>
            <w:vAlign w:val="center"/>
          </w:tcPr>
          <w:p w14:paraId="300A8B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6"/>
                <w:kern w:val="0"/>
                <w:sz w:val="20"/>
                <w:szCs w:val="20"/>
                <w:lang w:eastAsia="en-US"/>
              </w:rPr>
              <w:t>灌丛植被</w:t>
            </w:r>
          </w:p>
        </w:tc>
        <w:tc>
          <w:tcPr>
            <w:tcW w:w="1090" w:type="dxa"/>
            <w:vAlign w:val="center"/>
          </w:tcPr>
          <w:p w14:paraId="496FA87E">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spacing w:val="3"/>
                <w:kern w:val="0"/>
                <w:sz w:val="20"/>
                <w:szCs w:val="20"/>
                <w:lang w:val="en-US" w:eastAsia="zh-CN" w:bidi="ar-SA"/>
              </w:rPr>
              <w:t>0.1188</w:t>
            </w:r>
          </w:p>
        </w:tc>
        <w:tc>
          <w:tcPr>
            <w:tcW w:w="1104" w:type="dxa"/>
            <w:vAlign w:val="center"/>
          </w:tcPr>
          <w:p w14:paraId="74272792">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spacing w:val="3"/>
                <w:kern w:val="0"/>
                <w:sz w:val="20"/>
                <w:szCs w:val="20"/>
                <w:lang w:val="en-US" w:eastAsia="zh-CN" w:bidi="ar-SA"/>
              </w:rPr>
              <w:t>2.7373</w:t>
            </w:r>
          </w:p>
        </w:tc>
        <w:tc>
          <w:tcPr>
            <w:tcW w:w="1001" w:type="dxa"/>
            <w:vAlign w:val="center"/>
          </w:tcPr>
          <w:p w14:paraId="101BD559">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spacing w:val="3"/>
                <w:kern w:val="0"/>
                <w:sz w:val="20"/>
                <w:szCs w:val="20"/>
                <w:lang w:val="en-US" w:eastAsia="zh-CN" w:bidi="ar-SA"/>
              </w:rPr>
              <w:t>2.8561</w:t>
            </w:r>
          </w:p>
        </w:tc>
        <w:tc>
          <w:tcPr>
            <w:tcW w:w="1466" w:type="dxa"/>
            <w:vAlign w:val="center"/>
          </w:tcPr>
          <w:p w14:paraId="3FF0FD96">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0.04</w:t>
            </w:r>
          </w:p>
        </w:tc>
        <w:tc>
          <w:tcPr>
            <w:tcW w:w="1332" w:type="dxa"/>
            <w:vAlign w:val="center"/>
          </w:tcPr>
          <w:p w14:paraId="3E8ABD8F">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0.72</w:t>
            </w:r>
          </w:p>
        </w:tc>
        <w:tc>
          <w:tcPr>
            <w:tcW w:w="1134" w:type="dxa"/>
            <w:tcBorders>
              <w:right w:val="nil"/>
            </w:tcBorders>
            <w:vAlign w:val="center"/>
          </w:tcPr>
          <w:p w14:paraId="49A04ADD">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0.76</w:t>
            </w:r>
          </w:p>
        </w:tc>
      </w:tr>
      <w:tr w14:paraId="118E71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jc w:val="center"/>
        </w:trPr>
        <w:tc>
          <w:tcPr>
            <w:tcW w:w="1676" w:type="dxa"/>
            <w:tcBorders>
              <w:left w:val="nil"/>
            </w:tcBorders>
            <w:vAlign w:val="center"/>
          </w:tcPr>
          <w:p w14:paraId="39C7A05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6"/>
                <w:kern w:val="0"/>
                <w:sz w:val="20"/>
                <w:szCs w:val="20"/>
                <w:lang w:eastAsia="en-US"/>
              </w:rPr>
              <w:t>草原植被</w:t>
            </w:r>
          </w:p>
        </w:tc>
        <w:tc>
          <w:tcPr>
            <w:tcW w:w="1090" w:type="dxa"/>
            <w:vAlign w:val="center"/>
          </w:tcPr>
          <w:p w14:paraId="2AF8C992">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0.0251</w:t>
            </w:r>
          </w:p>
        </w:tc>
        <w:tc>
          <w:tcPr>
            <w:tcW w:w="1104" w:type="dxa"/>
            <w:vAlign w:val="center"/>
          </w:tcPr>
          <w:p w14:paraId="5DB1B9E1">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0.5596</w:t>
            </w:r>
          </w:p>
        </w:tc>
        <w:tc>
          <w:tcPr>
            <w:tcW w:w="1001" w:type="dxa"/>
            <w:vAlign w:val="center"/>
          </w:tcPr>
          <w:p w14:paraId="5F3041DE">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ascii="Times New Roman" w:hAnsi="Times New Roman" w:eastAsia="Times New Roman" w:cs="Times New Roman"/>
                <w:snapToGrid w:val="0"/>
                <w:color w:val="auto"/>
                <w:spacing w:val="3"/>
                <w:kern w:val="0"/>
                <w:sz w:val="20"/>
                <w:szCs w:val="20"/>
                <w:lang w:val="en-US" w:eastAsia="en-US" w:bidi="ar-SA"/>
              </w:rPr>
              <w:t>0.</w:t>
            </w:r>
            <w:r>
              <w:rPr>
                <w:rFonts w:hint="eastAsia" w:eastAsia="宋体" w:cs="Times New Roman"/>
                <w:snapToGrid w:val="0"/>
                <w:color w:val="auto"/>
                <w:spacing w:val="3"/>
                <w:kern w:val="0"/>
                <w:sz w:val="20"/>
                <w:szCs w:val="20"/>
                <w:lang w:val="en-US" w:eastAsia="zh-CN" w:bidi="ar-SA"/>
              </w:rPr>
              <w:t>5847</w:t>
            </w:r>
          </w:p>
        </w:tc>
        <w:tc>
          <w:tcPr>
            <w:tcW w:w="1466" w:type="dxa"/>
            <w:vAlign w:val="center"/>
          </w:tcPr>
          <w:p w14:paraId="77F38F9F">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0.03</w:t>
            </w:r>
          </w:p>
        </w:tc>
        <w:tc>
          <w:tcPr>
            <w:tcW w:w="1332" w:type="dxa"/>
            <w:vAlign w:val="center"/>
          </w:tcPr>
          <w:p w14:paraId="37E9D651">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0.02</w:t>
            </w:r>
          </w:p>
        </w:tc>
        <w:tc>
          <w:tcPr>
            <w:tcW w:w="1134" w:type="dxa"/>
            <w:tcBorders>
              <w:right w:val="nil"/>
            </w:tcBorders>
            <w:vAlign w:val="center"/>
          </w:tcPr>
          <w:p w14:paraId="7850229E">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0.05</w:t>
            </w:r>
          </w:p>
        </w:tc>
      </w:tr>
      <w:tr w14:paraId="466778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jc w:val="center"/>
        </w:trPr>
        <w:tc>
          <w:tcPr>
            <w:tcW w:w="1676" w:type="dxa"/>
            <w:tcBorders>
              <w:left w:val="nil"/>
            </w:tcBorders>
            <w:vAlign w:val="center"/>
          </w:tcPr>
          <w:p w14:paraId="10B6D4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农田栽培植</w:t>
            </w:r>
            <w:r>
              <w:rPr>
                <w:rFonts w:ascii="宋体" w:hAnsi="宋体" w:eastAsia="宋体" w:cs="宋体"/>
                <w:snapToGrid w:val="0"/>
                <w:color w:val="auto"/>
                <w:kern w:val="0"/>
                <w:sz w:val="20"/>
                <w:szCs w:val="20"/>
                <w:lang w:eastAsia="en-US"/>
              </w:rPr>
              <w:t>被</w:t>
            </w:r>
          </w:p>
        </w:tc>
        <w:tc>
          <w:tcPr>
            <w:tcW w:w="1090" w:type="dxa"/>
            <w:vAlign w:val="center"/>
          </w:tcPr>
          <w:p w14:paraId="3D2FD497">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spacing w:val="3"/>
                <w:kern w:val="0"/>
                <w:sz w:val="20"/>
                <w:szCs w:val="20"/>
                <w:lang w:val="en-US" w:eastAsia="zh-CN" w:bidi="ar-SA"/>
              </w:rPr>
              <w:t>0.1502</w:t>
            </w:r>
          </w:p>
        </w:tc>
        <w:tc>
          <w:tcPr>
            <w:tcW w:w="1104" w:type="dxa"/>
            <w:vAlign w:val="center"/>
          </w:tcPr>
          <w:p w14:paraId="3370FC5D">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2.2364</w:t>
            </w:r>
          </w:p>
        </w:tc>
        <w:tc>
          <w:tcPr>
            <w:tcW w:w="1001" w:type="dxa"/>
            <w:vAlign w:val="center"/>
          </w:tcPr>
          <w:p w14:paraId="0F61F2AE">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2.1864</w:t>
            </w:r>
          </w:p>
        </w:tc>
        <w:tc>
          <w:tcPr>
            <w:tcW w:w="1466" w:type="dxa"/>
            <w:vAlign w:val="center"/>
          </w:tcPr>
          <w:p w14:paraId="68C1F157">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0.02</w:t>
            </w:r>
          </w:p>
        </w:tc>
        <w:tc>
          <w:tcPr>
            <w:tcW w:w="1332" w:type="dxa"/>
            <w:vAlign w:val="center"/>
          </w:tcPr>
          <w:p w14:paraId="7ECE4335">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0.53</w:t>
            </w:r>
          </w:p>
        </w:tc>
        <w:tc>
          <w:tcPr>
            <w:tcW w:w="1134" w:type="dxa"/>
            <w:tcBorders>
              <w:right w:val="nil"/>
            </w:tcBorders>
            <w:vAlign w:val="center"/>
          </w:tcPr>
          <w:p w14:paraId="7FE1B064">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0.56</w:t>
            </w:r>
          </w:p>
        </w:tc>
      </w:tr>
      <w:tr w14:paraId="236E5E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jc w:val="center"/>
        </w:trPr>
        <w:tc>
          <w:tcPr>
            <w:tcW w:w="1676" w:type="dxa"/>
            <w:tcBorders>
              <w:left w:val="nil"/>
            </w:tcBorders>
            <w:vAlign w:val="center"/>
          </w:tcPr>
          <w:p w14:paraId="1E81247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4"/>
                <w:kern w:val="0"/>
                <w:sz w:val="20"/>
                <w:szCs w:val="20"/>
                <w:lang w:eastAsia="en-US"/>
              </w:rPr>
              <w:t>其他</w:t>
            </w:r>
          </w:p>
        </w:tc>
        <w:tc>
          <w:tcPr>
            <w:tcW w:w="1090" w:type="dxa"/>
            <w:vAlign w:val="center"/>
          </w:tcPr>
          <w:p w14:paraId="6256E293">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0.1443</w:t>
            </w:r>
          </w:p>
        </w:tc>
        <w:tc>
          <w:tcPr>
            <w:tcW w:w="1104" w:type="dxa"/>
            <w:vAlign w:val="center"/>
          </w:tcPr>
          <w:p w14:paraId="3FB29673">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0.0011</w:t>
            </w:r>
          </w:p>
        </w:tc>
        <w:tc>
          <w:tcPr>
            <w:tcW w:w="1001" w:type="dxa"/>
            <w:vAlign w:val="center"/>
          </w:tcPr>
          <w:p w14:paraId="2D9167B4">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3"/>
                <w:kern w:val="0"/>
                <w:sz w:val="20"/>
                <w:szCs w:val="20"/>
                <w:lang w:val="en-US" w:eastAsia="en-US" w:bidi="ar-SA"/>
              </w:rPr>
              <w:t>0.1454</w:t>
            </w:r>
          </w:p>
        </w:tc>
        <w:tc>
          <w:tcPr>
            <w:tcW w:w="1466" w:type="dxa"/>
            <w:vAlign w:val="center"/>
          </w:tcPr>
          <w:p w14:paraId="2E7898DE">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0.00</w:t>
            </w:r>
          </w:p>
        </w:tc>
        <w:tc>
          <w:tcPr>
            <w:tcW w:w="1332" w:type="dxa"/>
            <w:vAlign w:val="center"/>
          </w:tcPr>
          <w:p w14:paraId="69305A07">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0.04</w:t>
            </w:r>
          </w:p>
        </w:tc>
        <w:tc>
          <w:tcPr>
            <w:tcW w:w="1134" w:type="dxa"/>
            <w:tcBorders>
              <w:right w:val="nil"/>
            </w:tcBorders>
            <w:vAlign w:val="center"/>
          </w:tcPr>
          <w:p w14:paraId="2EF706C5">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0.04</w:t>
            </w:r>
          </w:p>
        </w:tc>
      </w:tr>
      <w:tr w14:paraId="6E5495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1676" w:type="dxa"/>
            <w:tcBorders>
              <w:left w:val="nil"/>
              <w:bottom w:val="single" w:color="000000" w:sz="10" w:space="0"/>
            </w:tcBorders>
            <w:vAlign w:val="center"/>
          </w:tcPr>
          <w:p w14:paraId="5D8D99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4"/>
                <w:kern w:val="0"/>
                <w:sz w:val="20"/>
                <w:szCs w:val="20"/>
                <w:lang w:eastAsia="en-US"/>
              </w:rPr>
              <w:t>合计</w:t>
            </w:r>
          </w:p>
        </w:tc>
        <w:tc>
          <w:tcPr>
            <w:tcW w:w="1090" w:type="dxa"/>
            <w:tcBorders>
              <w:bottom w:val="single" w:color="000000" w:sz="10" w:space="0"/>
            </w:tcBorders>
            <w:vAlign w:val="center"/>
          </w:tcPr>
          <w:p w14:paraId="73A4E04C">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0.3003</w:t>
            </w:r>
          </w:p>
        </w:tc>
        <w:tc>
          <w:tcPr>
            <w:tcW w:w="1104" w:type="dxa"/>
            <w:tcBorders>
              <w:bottom w:val="single" w:color="000000" w:sz="10" w:space="0"/>
            </w:tcBorders>
            <w:vAlign w:val="center"/>
          </w:tcPr>
          <w:p w14:paraId="233C12B0">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7.2507</w:t>
            </w:r>
          </w:p>
        </w:tc>
        <w:tc>
          <w:tcPr>
            <w:tcW w:w="1001" w:type="dxa"/>
            <w:tcBorders>
              <w:bottom w:val="single" w:color="000000" w:sz="10" w:space="0"/>
            </w:tcBorders>
            <w:vAlign w:val="center"/>
          </w:tcPr>
          <w:p w14:paraId="1F152ADC">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7.5510</w:t>
            </w:r>
          </w:p>
        </w:tc>
        <w:tc>
          <w:tcPr>
            <w:tcW w:w="1466" w:type="dxa"/>
            <w:tcBorders>
              <w:bottom w:val="single" w:color="000000" w:sz="10" w:space="0"/>
            </w:tcBorders>
            <w:vAlign w:val="center"/>
          </w:tcPr>
          <w:p w14:paraId="04052B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auto"/>
                <w:kern w:val="0"/>
                <w:sz w:val="21"/>
                <w:szCs w:val="21"/>
                <w:lang w:eastAsia="en-US"/>
              </w:rPr>
            </w:pPr>
          </w:p>
        </w:tc>
        <w:tc>
          <w:tcPr>
            <w:tcW w:w="1332" w:type="dxa"/>
            <w:tcBorders>
              <w:bottom w:val="single" w:color="000000" w:sz="10" w:space="0"/>
            </w:tcBorders>
            <w:vAlign w:val="center"/>
          </w:tcPr>
          <w:p w14:paraId="7179926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auto"/>
                <w:kern w:val="0"/>
                <w:sz w:val="21"/>
                <w:szCs w:val="21"/>
                <w:lang w:eastAsia="en-US"/>
              </w:rPr>
            </w:pPr>
          </w:p>
        </w:tc>
        <w:tc>
          <w:tcPr>
            <w:tcW w:w="1134" w:type="dxa"/>
            <w:tcBorders>
              <w:bottom w:val="single" w:color="000000" w:sz="10" w:space="0"/>
              <w:right w:val="nil"/>
            </w:tcBorders>
            <w:vAlign w:val="center"/>
          </w:tcPr>
          <w:p w14:paraId="5DCC71B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auto"/>
                <w:kern w:val="0"/>
                <w:sz w:val="21"/>
                <w:szCs w:val="21"/>
                <w:lang w:eastAsia="en-US"/>
              </w:rPr>
            </w:pPr>
          </w:p>
        </w:tc>
      </w:tr>
    </w:tbl>
    <w:p w14:paraId="2FF3047C">
      <w:pPr>
        <w:keepNext w:val="0"/>
        <w:keepLines w:val="0"/>
        <w:pageBreakBefore w:val="0"/>
        <w:widowControl w:val="0"/>
        <w:kinsoku w:val="0"/>
        <w:wordWrap/>
        <w:overflowPunct/>
        <w:topLinePunct w:val="0"/>
        <w:autoSpaceDE w:val="0"/>
        <w:autoSpaceDN w:val="0"/>
        <w:bidi w:val="0"/>
        <w:adjustRightInd w:val="0"/>
        <w:snapToGrid w:val="0"/>
        <w:spacing w:before="0" w:beforeLines="50"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①永久占地的影响</w:t>
      </w:r>
    </w:p>
    <w:p w14:paraId="6B9320D7">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本项目永久占地主要为输电线路塔基永久占地，占地总面积</w:t>
      </w:r>
      <w:r>
        <w:rPr>
          <w:rFonts w:ascii="宋体" w:hAnsi="宋体" w:eastAsia="宋体" w:cs="宋体"/>
          <w:snapToGrid w:val="0"/>
          <w:color w:val="auto"/>
          <w:spacing w:val="-35"/>
          <w:kern w:val="0"/>
          <w:sz w:val="24"/>
          <w:szCs w:val="24"/>
          <w:lang w:val="en-US" w:eastAsia="en-US" w:bidi="ar-SA"/>
        </w:rPr>
        <w:t xml:space="preserve"> </w:t>
      </w:r>
      <w:r>
        <w:rPr>
          <w:rFonts w:ascii="Times New Roman" w:hAnsi="Times New Roman" w:eastAsia="Times New Roman" w:cs="Times New Roman"/>
          <w:snapToGrid w:val="0"/>
          <w:color w:val="auto"/>
          <w:spacing w:val="-1"/>
          <w:kern w:val="0"/>
          <w:sz w:val="24"/>
          <w:szCs w:val="24"/>
          <w:lang w:val="en-US" w:eastAsia="en-US" w:bidi="ar-SA"/>
        </w:rPr>
        <w:t>0.</w:t>
      </w:r>
      <w:r>
        <w:rPr>
          <w:rFonts w:hint="eastAsia" w:eastAsia="宋体" w:cs="Times New Roman"/>
          <w:snapToGrid w:val="0"/>
          <w:color w:val="auto"/>
          <w:spacing w:val="-1"/>
          <w:kern w:val="0"/>
          <w:sz w:val="24"/>
          <w:szCs w:val="24"/>
          <w:lang w:val="en-US" w:eastAsia="zh-CN" w:bidi="ar-SA"/>
        </w:rPr>
        <w:t>3003</w:t>
      </w:r>
      <w:r>
        <w:rPr>
          <w:rFonts w:ascii="Times New Roman" w:hAnsi="Times New Roman" w:eastAsia="Times New Roman" w:cs="Times New Roman"/>
          <w:snapToGrid w:val="0"/>
          <w:color w:val="auto"/>
          <w:spacing w:val="-2"/>
          <w:kern w:val="0"/>
          <w:sz w:val="24"/>
          <w:szCs w:val="24"/>
          <w:lang w:val="en-US" w:eastAsia="en-US" w:bidi="ar-SA"/>
        </w:rPr>
        <w:t>hm</w:t>
      </w:r>
      <w:r>
        <w:rPr>
          <w:rFonts w:ascii="Times New Roman" w:hAnsi="Times New Roman" w:eastAsia="Times New Roman" w:cs="Times New Roman"/>
          <w:snapToGrid w:val="0"/>
          <w:color w:val="auto"/>
          <w:spacing w:val="-2"/>
          <w:kern w:val="0"/>
          <w:position w:val="8"/>
          <w:sz w:val="15"/>
          <w:szCs w:val="15"/>
          <w:lang w:val="en-US" w:eastAsia="en-US" w:bidi="ar-SA"/>
        </w:rPr>
        <w:t>2</w:t>
      </w:r>
      <w:r>
        <w:rPr>
          <w:rFonts w:ascii="宋体" w:hAnsi="宋体" w:eastAsia="宋体" w:cs="宋体"/>
          <w:snapToGrid w:val="0"/>
          <w:color w:val="auto"/>
          <w:spacing w:val="-2"/>
          <w:kern w:val="0"/>
          <w:sz w:val="24"/>
          <w:szCs w:val="24"/>
          <w:lang w:val="en-US" w:eastAsia="en-US" w:bidi="ar-SA"/>
        </w:rPr>
        <w:t>，其</w:t>
      </w:r>
      <w:r>
        <w:rPr>
          <w:rFonts w:ascii="宋体" w:hAnsi="宋体" w:eastAsia="宋体" w:cs="宋体"/>
          <w:snapToGrid w:val="0"/>
          <w:color w:val="auto"/>
          <w:kern w:val="0"/>
          <w:sz w:val="24"/>
          <w:szCs w:val="24"/>
          <w:lang w:val="en-US" w:eastAsia="en-US" w:bidi="ar-SA"/>
        </w:rPr>
        <w:t>中占用植被面积</w:t>
      </w:r>
      <w:r>
        <w:rPr>
          <w:rFonts w:ascii="宋体" w:hAnsi="宋体" w:eastAsia="宋体" w:cs="宋体"/>
          <w:snapToGrid w:val="0"/>
          <w:color w:val="auto"/>
          <w:spacing w:val="-37"/>
          <w:kern w:val="0"/>
          <w:sz w:val="24"/>
          <w:szCs w:val="24"/>
          <w:lang w:val="en-US" w:eastAsia="en-US" w:bidi="ar-SA"/>
        </w:rPr>
        <w:t xml:space="preserve"> </w:t>
      </w:r>
      <w:r>
        <w:rPr>
          <w:rFonts w:ascii="Times New Roman" w:hAnsi="Times New Roman" w:eastAsia="Times New Roman" w:cs="Times New Roman"/>
          <w:snapToGrid w:val="0"/>
          <w:color w:val="auto"/>
          <w:kern w:val="0"/>
          <w:sz w:val="24"/>
          <w:szCs w:val="24"/>
          <w:lang w:val="en-US" w:eastAsia="en-US" w:bidi="ar-SA"/>
        </w:rPr>
        <w:t>0.</w:t>
      </w:r>
      <w:r>
        <w:rPr>
          <w:rFonts w:hint="eastAsia" w:eastAsia="宋体" w:cs="Times New Roman"/>
          <w:snapToGrid w:val="0"/>
          <w:color w:val="auto"/>
          <w:kern w:val="0"/>
          <w:sz w:val="24"/>
          <w:szCs w:val="24"/>
          <w:lang w:val="en-US" w:eastAsia="zh-CN" w:bidi="ar-SA"/>
        </w:rPr>
        <w:t>1560</w:t>
      </w:r>
      <w:r>
        <w:rPr>
          <w:rFonts w:ascii="Times New Roman" w:hAnsi="Times New Roman" w:eastAsia="Times New Roman" w:cs="Times New Roman"/>
          <w:snapToGrid w:val="0"/>
          <w:color w:val="auto"/>
          <w:kern w:val="0"/>
          <w:sz w:val="24"/>
          <w:szCs w:val="24"/>
          <w:lang w:val="en-US" w:eastAsia="en-US" w:bidi="ar-SA"/>
        </w:rPr>
        <w:t>hm</w:t>
      </w:r>
      <w:r>
        <w:rPr>
          <w:rFonts w:ascii="Times New Roman" w:hAnsi="Times New Roman" w:eastAsia="Times New Roman" w:cs="Times New Roman"/>
          <w:snapToGrid w:val="0"/>
          <w:color w:val="auto"/>
          <w:kern w:val="0"/>
          <w:position w:val="8"/>
          <w:sz w:val="15"/>
          <w:szCs w:val="15"/>
          <w:lang w:val="en-US" w:eastAsia="en-US" w:bidi="ar-SA"/>
        </w:rPr>
        <w:t>2</w:t>
      </w:r>
      <w:r>
        <w:rPr>
          <w:rFonts w:ascii="宋体" w:hAnsi="宋体" w:eastAsia="宋体" w:cs="宋体"/>
          <w:snapToGrid w:val="0"/>
          <w:color w:val="auto"/>
          <w:kern w:val="0"/>
          <w:sz w:val="24"/>
          <w:szCs w:val="24"/>
          <w:lang w:val="en-US" w:eastAsia="en-US" w:bidi="ar-SA"/>
        </w:rPr>
        <w:t>，占地植被类型包括森</w:t>
      </w:r>
      <w:r>
        <w:rPr>
          <w:rFonts w:hint="eastAsia" w:ascii="宋体" w:hAnsi="宋体" w:eastAsia="宋体" w:cs="宋体"/>
          <w:snapToGrid w:val="0"/>
          <w:color w:val="auto"/>
          <w:kern w:val="0"/>
          <w:sz w:val="24"/>
          <w:szCs w:val="24"/>
          <w:lang w:val="en-US" w:eastAsia="en-US" w:bidi="ar-SA"/>
        </w:rPr>
        <w:t>林、灌丛、草地及农田植被，</w:t>
      </w:r>
      <w:r>
        <w:rPr>
          <w:rFonts w:ascii="宋体" w:hAnsi="宋体" w:eastAsia="宋体" w:cs="宋体"/>
          <w:snapToGrid w:val="0"/>
          <w:color w:val="auto"/>
          <w:spacing w:val="-2"/>
          <w:kern w:val="0"/>
          <w:sz w:val="24"/>
          <w:szCs w:val="24"/>
          <w:lang w:val="en-US" w:eastAsia="en-US" w:bidi="ar-SA"/>
        </w:rPr>
        <w:t>占用面积分别为</w:t>
      </w:r>
      <w:r>
        <w:rPr>
          <w:rFonts w:ascii="宋体" w:hAnsi="宋体" w:eastAsia="宋体" w:cs="宋体"/>
          <w:snapToGrid w:val="0"/>
          <w:color w:val="auto"/>
          <w:spacing w:val="-52"/>
          <w:kern w:val="0"/>
          <w:sz w:val="24"/>
          <w:szCs w:val="24"/>
          <w:lang w:val="en-US" w:eastAsia="en-US" w:bidi="ar-SA"/>
        </w:rPr>
        <w:t xml:space="preserve"> </w:t>
      </w:r>
      <w:r>
        <w:rPr>
          <w:rFonts w:ascii="Times New Roman" w:hAnsi="Times New Roman" w:eastAsia="Times New Roman" w:cs="Times New Roman"/>
          <w:snapToGrid w:val="0"/>
          <w:color w:val="auto"/>
          <w:spacing w:val="-2"/>
          <w:kern w:val="0"/>
          <w:sz w:val="24"/>
          <w:szCs w:val="24"/>
          <w:lang w:val="en-US" w:eastAsia="en-US" w:bidi="ar-SA"/>
        </w:rPr>
        <w:t>0.</w:t>
      </w:r>
      <w:r>
        <w:rPr>
          <w:rFonts w:hint="eastAsia" w:eastAsia="宋体" w:cs="Times New Roman"/>
          <w:snapToGrid w:val="0"/>
          <w:color w:val="auto"/>
          <w:spacing w:val="-2"/>
          <w:kern w:val="0"/>
          <w:sz w:val="24"/>
          <w:szCs w:val="24"/>
          <w:lang w:val="en-US" w:eastAsia="zh-CN" w:bidi="ar-SA"/>
        </w:rPr>
        <w:t>0621</w:t>
      </w:r>
      <w:r>
        <w:rPr>
          <w:rFonts w:ascii="Times New Roman" w:hAnsi="Times New Roman" w:eastAsia="Times New Roman" w:cs="Times New Roman"/>
          <w:snapToGrid w:val="0"/>
          <w:color w:val="auto"/>
          <w:spacing w:val="-2"/>
          <w:kern w:val="0"/>
          <w:sz w:val="24"/>
          <w:szCs w:val="24"/>
          <w:lang w:val="en-US" w:eastAsia="en-US" w:bidi="ar-SA"/>
        </w:rPr>
        <w:t>hm</w:t>
      </w:r>
      <w:r>
        <w:rPr>
          <w:rFonts w:ascii="Times New Roman" w:hAnsi="Times New Roman" w:eastAsia="Times New Roman" w:cs="Times New Roman"/>
          <w:snapToGrid w:val="0"/>
          <w:color w:val="auto"/>
          <w:spacing w:val="-2"/>
          <w:kern w:val="0"/>
          <w:position w:val="7"/>
          <w:sz w:val="15"/>
          <w:szCs w:val="15"/>
          <w:lang w:val="en-US" w:eastAsia="en-US" w:bidi="ar-SA"/>
        </w:rPr>
        <w:t>2</w:t>
      </w:r>
      <w:r>
        <w:rPr>
          <w:rFonts w:ascii="Times New Roman" w:hAnsi="Times New Roman" w:eastAsia="Times New Roman" w:cs="Times New Roman"/>
          <w:snapToGrid w:val="0"/>
          <w:color w:val="auto"/>
          <w:spacing w:val="-10"/>
          <w:kern w:val="0"/>
          <w:position w:val="7"/>
          <w:sz w:val="15"/>
          <w:szCs w:val="15"/>
          <w:lang w:val="en-US" w:eastAsia="en-US" w:bidi="ar-SA"/>
        </w:rPr>
        <w:t xml:space="preserve"> </w:t>
      </w:r>
      <w:r>
        <w:rPr>
          <w:rFonts w:ascii="宋体" w:hAnsi="宋体" w:eastAsia="宋体" w:cs="宋体"/>
          <w:snapToGrid w:val="0"/>
          <w:color w:val="auto"/>
          <w:spacing w:val="-2"/>
          <w:kern w:val="0"/>
          <w:sz w:val="24"/>
          <w:szCs w:val="24"/>
          <w:lang w:val="en-US" w:eastAsia="en-US" w:bidi="ar-SA"/>
        </w:rPr>
        <w:t>、</w:t>
      </w:r>
      <w:r>
        <w:rPr>
          <w:rFonts w:ascii="Times New Roman" w:hAnsi="Times New Roman" w:eastAsia="Times New Roman" w:cs="Times New Roman"/>
          <w:snapToGrid w:val="0"/>
          <w:color w:val="auto"/>
          <w:spacing w:val="-2"/>
          <w:kern w:val="0"/>
          <w:sz w:val="24"/>
          <w:szCs w:val="24"/>
          <w:lang w:val="en-US" w:eastAsia="en-US" w:bidi="ar-SA"/>
        </w:rPr>
        <w:t>0.</w:t>
      </w:r>
      <w:r>
        <w:rPr>
          <w:rFonts w:hint="eastAsia" w:eastAsia="宋体" w:cs="Times New Roman"/>
          <w:snapToGrid w:val="0"/>
          <w:color w:val="auto"/>
          <w:spacing w:val="-2"/>
          <w:kern w:val="0"/>
          <w:sz w:val="24"/>
          <w:szCs w:val="24"/>
          <w:lang w:val="en-US" w:eastAsia="zh-CN" w:bidi="ar-SA"/>
        </w:rPr>
        <w:t>11</w:t>
      </w:r>
      <w:r>
        <w:rPr>
          <w:rFonts w:ascii="Times New Roman" w:hAnsi="Times New Roman" w:eastAsia="Times New Roman" w:cs="Times New Roman"/>
          <w:snapToGrid w:val="0"/>
          <w:color w:val="auto"/>
          <w:spacing w:val="-2"/>
          <w:kern w:val="0"/>
          <w:sz w:val="24"/>
          <w:szCs w:val="24"/>
          <w:lang w:val="en-US" w:eastAsia="en-US" w:bidi="ar-SA"/>
        </w:rPr>
        <w:t>88hm</w:t>
      </w:r>
      <w:r>
        <w:rPr>
          <w:rFonts w:ascii="Times New Roman" w:hAnsi="Times New Roman" w:eastAsia="Times New Roman" w:cs="Times New Roman"/>
          <w:snapToGrid w:val="0"/>
          <w:color w:val="auto"/>
          <w:spacing w:val="-2"/>
          <w:kern w:val="0"/>
          <w:position w:val="7"/>
          <w:sz w:val="15"/>
          <w:szCs w:val="15"/>
          <w:lang w:val="en-US" w:eastAsia="en-US" w:bidi="ar-SA"/>
        </w:rPr>
        <w:t>2</w:t>
      </w:r>
      <w:r>
        <w:rPr>
          <w:rFonts w:ascii="Times New Roman" w:hAnsi="Times New Roman" w:eastAsia="Times New Roman" w:cs="Times New Roman"/>
          <w:snapToGrid w:val="0"/>
          <w:color w:val="auto"/>
          <w:spacing w:val="-12"/>
          <w:kern w:val="0"/>
          <w:position w:val="7"/>
          <w:sz w:val="15"/>
          <w:szCs w:val="15"/>
          <w:lang w:val="en-US" w:eastAsia="en-US" w:bidi="ar-SA"/>
        </w:rPr>
        <w:t xml:space="preserve"> </w:t>
      </w:r>
      <w:r>
        <w:rPr>
          <w:rFonts w:ascii="宋体" w:hAnsi="宋体" w:eastAsia="宋体" w:cs="宋体"/>
          <w:snapToGrid w:val="0"/>
          <w:color w:val="auto"/>
          <w:spacing w:val="-2"/>
          <w:kern w:val="0"/>
          <w:sz w:val="24"/>
          <w:szCs w:val="24"/>
          <w:lang w:val="en-US" w:eastAsia="en-US" w:bidi="ar-SA"/>
        </w:rPr>
        <w:t>、</w:t>
      </w:r>
      <w:r>
        <w:rPr>
          <w:rFonts w:ascii="Times New Roman" w:hAnsi="Times New Roman" w:eastAsia="Times New Roman" w:cs="Times New Roman"/>
          <w:snapToGrid w:val="0"/>
          <w:color w:val="auto"/>
          <w:spacing w:val="-2"/>
          <w:kern w:val="0"/>
          <w:sz w:val="24"/>
          <w:szCs w:val="24"/>
          <w:lang w:val="en-US" w:eastAsia="en-US" w:bidi="ar-SA"/>
        </w:rPr>
        <w:t>0.0</w:t>
      </w:r>
      <w:r>
        <w:rPr>
          <w:rFonts w:hint="eastAsia" w:eastAsia="宋体" w:cs="Times New Roman"/>
          <w:snapToGrid w:val="0"/>
          <w:color w:val="auto"/>
          <w:spacing w:val="-2"/>
          <w:kern w:val="0"/>
          <w:sz w:val="24"/>
          <w:szCs w:val="24"/>
          <w:lang w:val="en-US" w:eastAsia="zh-CN" w:bidi="ar-SA"/>
        </w:rPr>
        <w:t>251</w:t>
      </w:r>
      <w:r>
        <w:rPr>
          <w:rFonts w:ascii="Times New Roman" w:hAnsi="Times New Roman" w:eastAsia="Times New Roman" w:cs="Times New Roman"/>
          <w:snapToGrid w:val="0"/>
          <w:color w:val="auto"/>
          <w:spacing w:val="-3"/>
          <w:kern w:val="0"/>
          <w:sz w:val="24"/>
          <w:szCs w:val="24"/>
          <w:lang w:val="en-US" w:eastAsia="en-US" w:bidi="ar-SA"/>
        </w:rPr>
        <w:t>hm</w:t>
      </w:r>
      <w:r>
        <w:rPr>
          <w:rFonts w:ascii="Times New Roman" w:hAnsi="Times New Roman" w:eastAsia="Times New Roman" w:cs="Times New Roman"/>
          <w:snapToGrid w:val="0"/>
          <w:color w:val="auto"/>
          <w:spacing w:val="-3"/>
          <w:kern w:val="0"/>
          <w:position w:val="7"/>
          <w:sz w:val="15"/>
          <w:szCs w:val="15"/>
          <w:lang w:val="en-US" w:eastAsia="en-US" w:bidi="ar-SA"/>
        </w:rPr>
        <w:t>2</w:t>
      </w:r>
      <w:r>
        <w:rPr>
          <w:rFonts w:ascii="Times New Roman" w:hAnsi="Times New Roman" w:eastAsia="Times New Roman" w:cs="Times New Roman"/>
          <w:snapToGrid w:val="0"/>
          <w:color w:val="auto"/>
          <w:spacing w:val="-11"/>
          <w:kern w:val="0"/>
          <w:position w:val="7"/>
          <w:sz w:val="15"/>
          <w:szCs w:val="15"/>
          <w:lang w:val="en-US" w:eastAsia="en-US" w:bidi="ar-SA"/>
        </w:rPr>
        <w:t xml:space="preserve"> </w:t>
      </w:r>
      <w:r>
        <w:rPr>
          <w:rFonts w:ascii="宋体" w:hAnsi="宋体" w:eastAsia="宋体" w:cs="宋体"/>
          <w:snapToGrid w:val="0"/>
          <w:color w:val="auto"/>
          <w:spacing w:val="-3"/>
          <w:kern w:val="0"/>
          <w:sz w:val="24"/>
          <w:szCs w:val="24"/>
          <w:lang w:val="en-US" w:eastAsia="en-US" w:bidi="ar-SA"/>
        </w:rPr>
        <w:t>、</w:t>
      </w:r>
      <w:r>
        <w:rPr>
          <w:rFonts w:ascii="Times New Roman" w:hAnsi="Times New Roman" w:eastAsia="Times New Roman" w:cs="Times New Roman"/>
          <w:snapToGrid w:val="0"/>
          <w:color w:val="auto"/>
          <w:spacing w:val="-3"/>
          <w:kern w:val="0"/>
          <w:sz w:val="24"/>
          <w:szCs w:val="24"/>
          <w:lang w:val="en-US" w:eastAsia="en-US" w:bidi="ar-SA"/>
        </w:rPr>
        <w:t>0.</w:t>
      </w:r>
      <w:r>
        <w:rPr>
          <w:rFonts w:hint="eastAsia" w:eastAsia="宋体" w:cs="Times New Roman"/>
          <w:snapToGrid w:val="0"/>
          <w:color w:val="auto"/>
          <w:spacing w:val="-3"/>
          <w:kern w:val="0"/>
          <w:sz w:val="24"/>
          <w:szCs w:val="24"/>
          <w:lang w:val="en-US" w:eastAsia="zh-CN" w:bidi="ar-SA"/>
        </w:rPr>
        <w:t>1502</w:t>
      </w:r>
      <w:r>
        <w:rPr>
          <w:rFonts w:ascii="Times New Roman" w:hAnsi="Times New Roman" w:eastAsia="Times New Roman" w:cs="Times New Roman"/>
          <w:snapToGrid w:val="0"/>
          <w:color w:val="auto"/>
          <w:spacing w:val="-3"/>
          <w:kern w:val="0"/>
          <w:sz w:val="24"/>
          <w:szCs w:val="24"/>
          <w:lang w:val="en-US" w:eastAsia="en-US" w:bidi="ar-SA"/>
        </w:rPr>
        <w:t>hm</w:t>
      </w:r>
      <w:r>
        <w:rPr>
          <w:rFonts w:ascii="Times New Roman" w:hAnsi="Times New Roman" w:eastAsia="Times New Roman" w:cs="Times New Roman"/>
          <w:snapToGrid w:val="0"/>
          <w:color w:val="auto"/>
          <w:spacing w:val="-3"/>
          <w:kern w:val="0"/>
          <w:position w:val="7"/>
          <w:sz w:val="15"/>
          <w:szCs w:val="15"/>
          <w:lang w:val="en-US" w:eastAsia="en-US" w:bidi="ar-SA"/>
        </w:rPr>
        <w:t>2</w:t>
      </w:r>
      <w:r>
        <w:rPr>
          <w:rFonts w:ascii="Times New Roman" w:hAnsi="Times New Roman" w:eastAsia="Times New Roman" w:cs="Times New Roman"/>
          <w:snapToGrid w:val="0"/>
          <w:color w:val="auto"/>
          <w:spacing w:val="-9"/>
          <w:kern w:val="0"/>
          <w:position w:val="7"/>
          <w:sz w:val="15"/>
          <w:szCs w:val="15"/>
          <w:lang w:val="en-US" w:eastAsia="en-US" w:bidi="ar-SA"/>
        </w:rPr>
        <w:t xml:space="preserve"> </w:t>
      </w:r>
      <w:r>
        <w:rPr>
          <w:rFonts w:ascii="宋体" w:hAnsi="宋体" w:eastAsia="宋体" w:cs="宋体"/>
          <w:snapToGrid w:val="0"/>
          <w:color w:val="auto"/>
          <w:spacing w:val="-3"/>
          <w:kern w:val="0"/>
          <w:sz w:val="24"/>
          <w:szCs w:val="24"/>
          <w:lang w:val="en-US" w:eastAsia="en-US" w:bidi="ar-SA"/>
        </w:rPr>
        <w:t>，分别占评价范</w:t>
      </w:r>
      <w:r>
        <w:rPr>
          <w:rFonts w:ascii="宋体" w:hAnsi="宋体" w:eastAsia="宋体" w:cs="宋体"/>
          <w:snapToGrid w:val="0"/>
          <w:color w:val="auto"/>
          <w:spacing w:val="-4"/>
          <w:kern w:val="0"/>
          <w:sz w:val="24"/>
          <w:szCs w:val="24"/>
          <w:lang w:val="en-US" w:eastAsia="en-US" w:bidi="ar-SA"/>
        </w:rPr>
        <w:t>围对应植被面积的</w:t>
      </w:r>
      <w:r>
        <w:rPr>
          <w:rFonts w:ascii="宋体" w:hAnsi="宋体" w:eastAsia="宋体" w:cs="宋体"/>
          <w:snapToGrid w:val="0"/>
          <w:color w:val="auto"/>
          <w:spacing w:val="-52"/>
          <w:kern w:val="0"/>
          <w:sz w:val="24"/>
          <w:szCs w:val="24"/>
          <w:lang w:val="en-US" w:eastAsia="en-US" w:bidi="ar-SA"/>
        </w:rPr>
        <w:t xml:space="preserve"> </w:t>
      </w:r>
      <w:r>
        <w:rPr>
          <w:rFonts w:ascii="Times New Roman" w:hAnsi="Times New Roman" w:eastAsia="Times New Roman" w:cs="Times New Roman"/>
          <w:snapToGrid w:val="0"/>
          <w:color w:val="auto"/>
          <w:spacing w:val="-4"/>
          <w:kern w:val="0"/>
          <w:sz w:val="24"/>
          <w:szCs w:val="24"/>
          <w:lang w:val="en-US" w:eastAsia="en-US" w:bidi="ar-SA"/>
        </w:rPr>
        <w:t>0.01%</w:t>
      </w:r>
      <w:r>
        <w:rPr>
          <w:rFonts w:ascii="宋体" w:hAnsi="宋体" w:eastAsia="宋体" w:cs="宋体"/>
          <w:snapToGrid w:val="0"/>
          <w:color w:val="auto"/>
          <w:spacing w:val="-4"/>
          <w:kern w:val="0"/>
          <w:sz w:val="24"/>
          <w:szCs w:val="24"/>
          <w:lang w:val="en-US" w:eastAsia="en-US" w:bidi="ar-SA"/>
        </w:rPr>
        <w:t>、</w:t>
      </w:r>
      <w:r>
        <w:rPr>
          <w:rFonts w:ascii="Times New Roman" w:hAnsi="Times New Roman" w:eastAsia="Times New Roman" w:cs="Times New Roman"/>
          <w:snapToGrid w:val="0"/>
          <w:color w:val="auto"/>
          <w:spacing w:val="-4"/>
          <w:kern w:val="0"/>
          <w:sz w:val="24"/>
          <w:szCs w:val="24"/>
          <w:lang w:val="en-US" w:eastAsia="en-US" w:bidi="ar-SA"/>
        </w:rPr>
        <w:t>0.04%</w:t>
      </w:r>
      <w:r>
        <w:rPr>
          <w:rFonts w:ascii="宋体" w:hAnsi="宋体" w:eastAsia="宋体" w:cs="宋体"/>
          <w:snapToGrid w:val="0"/>
          <w:color w:val="auto"/>
          <w:spacing w:val="-4"/>
          <w:kern w:val="0"/>
          <w:sz w:val="24"/>
          <w:szCs w:val="24"/>
          <w:lang w:val="en-US" w:eastAsia="en-US" w:bidi="ar-SA"/>
        </w:rPr>
        <w:t>、</w:t>
      </w:r>
      <w:r>
        <w:rPr>
          <w:rFonts w:ascii="Times New Roman" w:hAnsi="Times New Roman" w:eastAsia="Times New Roman" w:cs="Times New Roman"/>
          <w:snapToGrid w:val="0"/>
          <w:color w:val="auto"/>
          <w:spacing w:val="-4"/>
          <w:kern w:val="0"/>
          <w:sz w:val="24"/>
          <w:szCs w:val="24"/>
          <w:lang w:val="en-US" w:eastAsia="en-US" w:bidi="ar-SA"/>
        </w:rPr>
        <w:t>0.03%</w:t>
      </w:r>
      <w:r>
        <w:rPr>
          <w:rFonts w:ascii="宋体" w:hAnsi="宋体" w:eastAsia="宋体" w:cs="宋体"/>
          <w:snapToGrid w:val="0"/>
          <w:color w:val="auto"/>
          <w:spacing w:val="-4"/>
          <w:kern w:val="0"/>
          <w:sz w:val="24"/>
          <w:szCs w:val="24"/>
          <w:lang w:val="en-US" w:eastAsia="en-US" w:bidi="ar-SA"/>
        </w:rPr>
        <w:t>、</w:t>
      </w:r>
      <w:r>
        <w:rPr>
          <w:rFonts w:ascii="Times New Roman" w:hAnsi="Times New Roman" w:eastAsia="Times New Roman" w:cs="Times New Roman"/>
          <w:snapToGrid w:val="0"/>
          <w:color w:val="auto"/>
          <w:spacing w:val="-4"/>
          <w:kern w:val="0"/>
          <w:sz w:val="24"/>
          <w:szCs w:val="24"/>
          <w:lang w:val="en-US" w:eastAsia="en-US" w:bidi="ar-SA"/>
        </w:rPr>
        <w:t>0.02%</w:t>
      </w:r>
      <w:r>
        <w:rPr>
          <w:rFonts w:ascii="宋体" w:hAnsi="宋体" w:eastAsia="宋体" w:cs="宋体"/>
          <w:snapToGrid w:val="0"/>
          <w:color w:val="auto"/>
          <w:spacing w:val="-4"/>
          <w:kern w:val="0"/>
          <w:sz w:val="24"/>
          <w:szCs w:val="24"/>
          <w:lang w:val="en-US" w:eastAsia="en-US" w:bidi="ar-SA"/>
        </w:rPr>
        <w:t>。农田主要以玉米</w:t>
      </w:r>
      <w:r>
        <w:rPr>
          <w:rFonts w:ascii="宋体" w:hAnsi="宋体" w:eastAsia="宋体" w:cs="宋体"/>
          <w:snapToGrid w:val="0"/>
          <w:color w:val="auto"/>
          <w:spacing w:val="-5"/>
          <w:kern w:val="0"/>
          <w:sz w:val="24"/>
          <w:szCs w:val="24"/>
          <w:lang w:val="en-US" w:eastAsia="en-US" w:bidi="ar-SA"/>
        </w:rPr>
        <w:t>、小麦为主，</w:t>
      </w:r>
      <w:r>
        <w:rPr>
          <w:rFonts w:ascii="宋体" w:hAnsi="宋体" w:eastAsia="宋体" w:cs="宋体"/>
          <w:snapToGrid w:val="0"/>
          <w:color w:val="auto"/>
          <w:spacing w:val="-6"/>
          <w:kern w:val="0"/>
          <w:sz w:val="24"/>
          <w:szCs w:val="24"/>
          <w:lang w:val="en-US" w:eastAsia="en-US" w:bidi="ar-SA"/>
        </w:rPr>
        <w:t>林地主要以山杏、柠条灌丛等为主， 草原主要为针茅群系。永</w:t>
      </w:r>
      <w:r>
        <w:rPr>
          <w:rFonts w:ascii="宋体" w:hAnsi="宋体" w:eastAsia="宋体" w:cs="宋体"/>
          <w:snapToGrid w:val="0"/>
          <w:color w:val="auto"/>
          <w:spacing w:val="-7"/>
          <w:kern w:val="0"/>
          <w:sz w:val="24"/>
          <w:szCs w:val="24"/>
          <w:lang w:val="en-US" w:eastAsia="en-US" w:bidi="ar-SA"/>
        </w:rPr>
        <w:t>久占地导致农田植</w:t>
      </w:r>
      <w:r>
        <w:rPr>
          <w:rFonts w:ascii="宋体" w:hAnsi="宋体" w:eastAsia="宋体" w:cs="宋体"/>
          <w:snapToGrid w:val="0"/>
          <w:color w:val="auto"/>
          <w:spacing w:val="-6"/>
          <w:kern w:val="0"/>
          <w:sz w:val="24"/>
          <w:szCs w:val="24"/>
          <w:lang w:val="en-US" w:eastAsia="en-US" w:bidi="ar-SA"/>
        </w:rPr>
        <w:t>被、草原、林地面积不同程度减少， 造成生物量的永久损失，</w:t>
      </w:r>
      <w:r>
        <w:rPr>
          <w:rFonts w:ascii="宋体" w:hAnsi="宋体" w:eastAsia="宋体" w:cs="宋体"/>
          <w:snapToGrid w:val="0"/>
          <w:color w:val="auto"/>
          <w:spacing w:val="-7"/>
          <w:kern w:val="0"/>
          <w:sz w:val="24"/>
          <w:szCs w:val="24"/>
          <w:lang w:val="en-US" w:eastAsia="en-US" w:bidi="ar-SA"/>
        </w:rPr>
        <w:t>但本项目永久占用</w:t>
      </w:r>
      <w:r>
        <w:rPr>
          <w:rFonts w:ascii="宋体" w:hAnsi="宋体" w:eastAsia="宋体" w:cs="宋体"/>
          <w:snapToGrid w:val="0"/>
          <w:color w:val="auto"/>
          <w:spacing w:val="5"/>
          <w:kern w:val="0"/>
          <w:sz w:val="24"/>
          <w:szCs w:val="24"/>
          <w:lang w:val="en-US" w:eastAsia="en-US" w:bidi="ar-SA"/>
        </w:rPr>
        <w:t>面积较小，对项目区同类植被量减少的影响很小。项目塔基永久占地仅为其</w:t>
      </w:r>
      <w:r>
        <w:rPr>
          <w:rFonts w:ascii="宋体" w:hAnsi="宋体" w:eastAsia="宋体" w:cs="宋体"/>
          <w:snapToGrid w:val="0"/>
          <w:color w:val="auto"/>
          <w:spacing w:val="-38"/>
          <w:kern w:val="0"/>
          <w:sz w:val="24"/>
          <w:szCs w:val="24"/>
          <w:lang w:val="en-US" w:eastAsia="en-US" w:bidi="ar-SA"/>
        </w:rPr>
        <w:t xml:space="preserve"> </w:t>
      </w:r>
      <w:r>
        <w:rPr>
          <w:rFonts w:ascii="Times New Roman" w:hAnsi="Times New Roman" w:eastAsia="Times New Roman" w:cs="Times New Roman"/>
          <w:snapToGrid w:val="0"/>
          <w:color w:val="auto"/>
          <w:spacing w:val="5"/>
          <w:kern w:val="0"/>
          <w:sz w:val="24"/>
          <w:szCs w:val="24"/>
          <w:lang w:val="en-US" w:eastAsia="en-US" w:bidi="ar-SA"/>
        </w:rPr>
        <w:t>4</w:t>
      </w:r>
      <w:r>
        <w:rPr>
          <w:rFonts w:ascii="宋体" w:hAnsi="宋体" w:eastAsia="宋体" w:cs="宋体"/>
          <w:snapToGrid w:val="0"/>
          <w:color w:val="auto"/>
          <w:spacing w:val="-3"/>
          <w:kern w:val="0"/>
          <w:sz w:val="24"/>
          <w:szCs w:val="24"/>
          <w:lang w:val="en-US" w:eastAsia="en-US" w:bidi="ar-SA"/>
        </w:rPr>
        <w:t>个支撑脚，且为分段占用，施工结束后塔基中间部分可恢复其原有植被，不会明</w:t>
      </w:r>
      <w:r>
        <w:rPr>
          <w:rFonts w:ascii="宋体" w:hAnsi="宋体" w:eastAsia="宋体" w:cs="宋体"/>
          <w:snapToGrid w:val="0"/>
          <w:color w:val="auto"/>
          <w:spacing w:val="-4"/>
          <w:kern w:val="0"/>
          <w:sz w:val="24"/>
          <w:szCs w:val="24"/>
          <w:lang w:val="en-US" w:eastAsia="en-US" w:bidi="ar-SA"/>
        </w:rPr>
        <w:t>显改变区域植被群落。</w:t>
      </w:r>
    </w:p>
    <w:p w14:paraId="14B39C48">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②临时占地的影响</w:t>
      </w:r>
    </w:p>
    <w:p w14:paraId="4EBA8BEA">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8"/>
          <w:kern w:val="0"/>
          <w:sz w:val="24"/>
          <w:szCs w:val="24"/>
          <w:lang w:val="en-US" w:eastAsia="en-US" w:bidi="ar-SA"/>
        </w:rPr>
        <w:t>本项目临时占地主要包括</w:t>
      </w:r>
      <w:r>
        <w:rPr>
          <w:rFonts w:hint="default" w:ascii="Times New Roman" w:hAnsi="Times New Roman" w:eastAsia="宋体" w:cs="Times New Roman"/>
          <w:snapToGrid w:val="0"/>
          <w:color w:val="auto"/>
          <w:spacing w:val="-2"/>
          <w:kern w:val="0"/>
          <w:sz w:val="24"/>
          <w:szCs w:val="24"/>
          <w:lang w:val="en-US" w:eastAsia="zh-CN" w:bidi="ar-SA"/>
        </w:rPr>
        <w:t>跨越架</w:t>
      </w:r>
      <w:r>
        <w:rPr>
          <w:rFonts w:hint="default" w:ascii="Times New Roman" w:hAnsi="Times New Roman" w:eastAsia="宋体" w:cs="Times New Roman"/>
          <w:snapToGrid w:val="0"/>
          <w:color w:val="auto"/>
          <w:spacing w:val="-2"/>
          <w:kern w:val="0"/>
          <w:sz w:val="24"/>
          <w:szCs w:val="24"/>
          <w:lang w:val="en-US" w:eastAsia="en-US" w:bidi="ar-SA"/>
        </w:rPr>
        <w:t>、</w:t>
      </w:r>
      <w:r>
        <w:rPr>
          <w:rFonts w:hint="default" w:ascii="Times New Roman" w:hAnsi="Times New Roman" w:eastAsia="宋体" w:cs="Times New Roman"/>
          <w:snapToGrid w:val="0"/>
          <w:color w:val="auto"/>
          <w:spacing w:val="-2"/>
          <w:kern w:val="0"/>
          <w:sz w:val="24"/>
          <w:szCs w:val="24"/>
          <w:lang w:val="en-US" w:eastAsia="zh-CN" w:bidi="ar-SA"/>
        </w:rPr>
        <w:t>农用地表土剥离堆放场</w:t>
      </w:r>
      <w:r>
        <w:rPr>
          <w:rFonts w:hint="default" w:ascii="Times New Roman" w:hAnsi="Times New Roman" w:eastAsia="宋体" w:cs="Times New Roman"/>
          <w:snapToGrid w:val="0"/>
          <w:color w:val="auto"/>
          <w:spacing w:val="-2"/>
          <w:kern w:val="0"/>
          <w:sz w:val="24"/>
          <w:szCs w:val="24"/>
          <w:lang w:val="en-US" w:eastAsia="en-US" w:bidi="ar-SA"/>
        </w:rPr>
        <w:t>、</w:t>
      </w:r>
      <w:r>
        <w:rPr>
          <w:rFonts w:hint="default" w:ascii="Times New Roman" w:hAnsi="Times New Roman" w:eastAsia="宋体" w:cs="Times New Roman"/>
          <w:snapToGrid w:val="0"/>
          <w:color w:val="auto"/>
          <w:spacing w:val="-2"/>
          <w:kern w:val="0"/>
          <w:sz w:val="24"/>
          <w:szCs w:val="24"/>
          <w:lang w:val="en-US" w:eastAsia="zh-CN" w:bidi="ar-SA"/>
        </w:rPr>
        <w:t>牵张场、</w:t>
      </w:r>
      <w:r>
        <w:rPr>
          <w:rFonts w:hint="default" w:ascii="Times New Roman" w:hAnsi="Times New Roman" w:eastAsia="宋体" w:cs="Times New Roman"/>
          <w:snapToGrid w:val="0"/>
          <w:color w:val="auto"/>
          <w:spacing w:val="-2"/>
          <w:kern w:val="0"/>
          <w:sz w:val="24"/>
          <w:szCs w:val="24"/>
          <w:lang w:val="en-US" w:eastAsia="en-US" w:bidi="ar-SA"/>
        </w:rPr>
        <w:t>施工便道</w:t>
      </w:r>
      <w:r>
        <w:rPr>
          <w:rFonts w:hint="default" w:ascii="Times New Roman" w:hAnsi="Times New Roman" w:eastAsia="宋体" w:cs="Times New Roman"/>
          <w:snapToGrid w:val="0"/>
          <w:color w:val="auto"/>
          <w:spacing w:val="-2"/>
          <w:kern w:val="0"/>
          <w:sz w:val="24"/>
          <w:szCs w:val="24"/>
          <w:lang w:val="en-US" w:eastAsia="zh-CN" w:bidi="ar-SA"/>
        </w:rPr>
        <w:t>、拓宽道路和塔基施工作业区（含线路抬高改造工程塔基施工作业区）</w:t>
      </w:r>
      <w:r>
        <w:rPr>
          <w:rFonts w:ascii="宋体" w:hAnsi="宋体" w:eastAsia="宋体" w:cs="宋体"/>
          <w:snapToGrid w:val="0"/>
          <w:color w:val="auto"/>
          <w:spacing w:val="-8"/>
          <w:kern w:val="0"/>
          <w:sz w:val="24"/>
          <w:szCs w:val="24"/>
          <w:lang w:val="en-US" w:eastAsia="en-US" w:bidi="ar-SA"/>
        </w:rPr>
        <w:t>等，</w:t>
      </w:r>
      <w:r>
        <w:rPr>
          <w:rFonts w:hint="eastAsia" w:ascii="宋体" w:hAnsi="宋体" w:cs="宋体"/>
          <w:snapToGrid w:val="0"/>
          <w:color w:val="auto"/>
          <w:spacing w:val="-8"/>
          <w:kern w:val="0"/>
          <w:sz w:val="24"/>
          <w:szCs w:val="24"/>
          <w:lang w:val="en-US" w:eastAsia="zh-CN" w:bidi="ar-SA"/>
        </w:rPr>
        <w:t>临时</w:t>
      </w:r>
      <w:r>
        <w:rPr>
          <w:rFonts w:ascii="宋体" w:hAnsi="宋体" w:eastAsia="宋体" w:cs="宋体"/>
          <w:snapToGrid w:val="0"/>
          <w:color w:val="auto"/>
          <w:spacing w:val="-8"/>
          <w:kern w:val="0"/>
          <w:sz w:val="24"/>
          <w:szCs w:val="24"/>
          <w:lang w:val="en-US" w:eastAsia="en-US" w:bidi="ar-SA"/>
        </w:rPr>
        <w:t>占地</w:t>
      </w:r>
      <w:r>
        <w:rPr>
          <w:rFonts w:ascii="宋体" w:hAnsi="宋体" w:eastAsia="宋体" w:cs="宋体"/>
          <w:snapToGrid w:val="0"/>
          <w:color w:val="auto"/>
          <w:spacing w:val="-3"/>
          <w:kern w:val="0"/>
          <w:sz w:val="24"/>
          <w:szCs w:val="24"/>
          <w:lang w:val="en-US" w:eastAsia="en-US" w:bidi="ar-SA"/>
        </w:rPr>
        <w:t>总面积</w:t>
      </w:r>
      <w:r>
        <w:rPr>
          <w:rFonts w:ascii="宋体" w:hAnsi="宋体" w:eastAsia="宋体" w:cs="宋体"/>
          <w:snapToGrid w:val="0"/>
          <w:color w:val="auto"/>
          <w:spacing w:val="-26"/>
          <w:kern w:val="0"/>
          <w:sz w:val="24"/>
          <w:szCs w:val="24"/>
          <w:lang w:val="en-US" w:eastAsia="en-US" w:bidi="ar-SA"/>
        </w:rPr>
        <w:t xml:space="preserve"> </w:t>
      </w:r>
      <w:r>
        <w:rPr>
          <w:rFonts w:hint="eastAsia" w:eastAsia="宋体" w:cs="Times New Roman"/>
          <w:snapToGrid w:val="0"/>
          <w:color w:val="auto"/>
          <w:spacing w:val="-3"/>
          <w:kern w:val="0"/>
          <w:sz w:val="24"/>
          <w:szCs w:val="24"/>
          <w:lang w:val="en-US" w:eastAsia="zh-CN" w:bidi="ar-SA"/>
        </w:rPr>
        <w:t>7.2507</w:t>
      </w:r>
      <w:r>
        <w:rPr>
          <w:rFonts w:ascii="Times New Roman" w:hAnsi="Times New Roman" w:eastAsia="Times New Roman" w:cs="Times New Roman"/>
          <w:snapToGrid w:val="0"/>
          <w:color w:val="auto"/>
          <w:spacing w:val="-3"/>
          <w:kern w:val="0"/>
          <w:sz w:val="24"/>
          <w:szCs w:val="24"/>
          <w:lang w:val="en-US" w:eastAsia="en-US" w:bidi="ar-SA"/>
        </w:rPr>
        <w:t xml:space="preserve"> hm</w:t>
      </w:r>
      <w:r>
        <w:rPr>
          <w:rFonts w:ascii="Times New Roman" w:hAnsi="Times New Roman" w:eastAsia="Times New Roman" w:cs="Times New Roman"/>
          <w:snapToGrid w:val="0"/>
          <w:color w:val="auto"/>
          <w:spacing w:val="-3"/>
          <w:kern w:val="0"/>
          <w:position w:val="7"/>
          <w:sz w:val="15"/>
          <w:szCs w:val="15"/>
          <w:lang w:val="en-US" w:eastAsia="en-US" w:bidi="ar-SA"/>
        </w:rPr>
        <w:t>2</w:t>
      </w:r>
      <w:r>
        <w:rPr>
          <w:rFonts w:ascii="宋体" w:hAnsi="宋体" w:eastAsia="宋体" w:cs="宋体"/>
          <w:snapToGrid w:val="0"/>
          <w:color w:val="auto"/>
          <w:spacing w:val="-3"/>
          <w:kern w:val="0"/>
          <w:sz w:val="24"/>
          <w:szCs w:val="24"/>
          <w:lang w:val="en-US" w:eastAsia="en-US" w:bidi="ar-SA"/>
        </w:rPr>
        <w:t>，其中占用植被面积</w:t>
      </w:r>
      <w:r>
        <w:rPr>
          <w:rFonts w:hint="eastAsia" w:eastAsia="宋体" w:cs="Times New Roman"/>
          <w:snapToGrid w:val="0"/>
          <w:color w:val="auto"/>
          <w:spacing w:val="-3"/>
          <w:kern w:val="0"/>
          <w:sz w:val="24"/>
          <w:szCs w:val="24"/>
          <w:lang w:val="en-US" w:eastAsia="zh-CN" w:bidi="ar-SA"/>
        </w:rPr>
        <w:t>7.2496</w:t>
      </w:r>
      <w:r>
        <w:rPr>
          <w:rFonts w:ascii="Times New Roman" w:hAnsi="Times New Roman" w:eastAsia="Times New Roman" w:cs="Times New Roman"/>
          <w:snapToGrid w:val="0"/>
          <w:color w:val="auto"/>
          <w:spacing w:val="-3"/>
          <w:kern w:val="0"/>
          <w:sz w:val="24"/>
          <w:szCs w:val="24"/>
          <w:lang w:val="en-US" w:eastAsia="en-US" w:bidi="ar-SA"/>
        </w:rPr>
        <w:t>hm</w:t>
      </w:r>
      <w:r>
        <w:rPr>
          <w:rFonts w:ascii="Times New Roman" w:hAnsi="Times New Roman" w:eastAsia="Times New Roman" w:cs="Times New Roman"/>
          <w:snapToGrid w:val="0"/>
          <w:color w:val="auto"/>
          <w:spacing w:val="-3"/>
          <w:kern w:val="0"/>
          <w:position w:val="7"/>
          <w:sz w:val="15"/>
          <w:szCs w:val="15"/>
          <w:lang w:val="en-US" w:eastAsia="en-US" w:bidi="ar-SA"/>
        </w:rPr>
        <w:t>2</w:t>
      </w:r>
      <w:r>
        <w:rPr>
          <w:rFonts w:ascii="宋体" w:hAnsi="宋体" w:eastAsia="宋体" w:cs="宋体"/>
          <w:snapToGrid w:val="0"/>
          <w:color w:val="auto"/>
          <w:spacing w:val="-3"/>
          <w:kern w:val="0"/>
          <w:sz w:val="24"/>
          <w:szCs w:val="24"/>
          <w:lang w:val="en-US" w:eastAsia="en-US" w:bidi="ar-SA"/>
        </w:rPr>
        <w:t>，占地植被类型包括森林、</w:t>
      </w:r>
      <w:r>
        <w:rPr>
          <w:rFonts w:ascii="宋体" w:hAnsi="宋体" w:eastAsia="宋体" w:cs="宋体"/>
          <w:snapToGrid w:val="0"/>
          <w:color w:val="auto"/>
          <w:spacing w:val="-1"/>
          <w:kern w:val="0"/>
          <w:sz w:val="24"/>
          <w:szCs w:val="24"/>
          <w:lang w:val="en-US" w:eastAsia="en-US" w:bidi="ar-SA"/>
        </w:rPr>
        <w:t>灌丛、草地及农田植被，占用面积分别为</w:t>
      </w:r>
      <w:r>
        <w:rPr>
          <w:rFonts w:ascii="宋体" w:hAnsi="宋体" w:eastAsia="宋体" w:cs="宋体"/>
          <w:snapToGrid w:val="0"/>
          <w:color w:val="auto"/>
          <w:spacing w:val="-55"/>
          <w:kern w:val="0"/>
          <w:sz w:val="24"/>
          <w:szCs w:val="24"/>
          <w:lang w:val="en-US" w:eastAsia="en-US" w:bidi="ar-SA"/>
        </w:rPr>
        <w:t xml:space="preserve"> </w:t>
      </w:r>
      <w:r>
        <w:rPr>
          <w:rFonts w:hint="eastAsia" w:eastAsia="宋体" w:cs="Times New Roman"/>
          <w:snapToGrid w:val="0"/>
          <w:color w:val="auto"/>
          <w:spacing w:val="-1"/>
          <w:kern w:val="0"/>
          <w:sz w:val="24"/>
          <w:szCs w:val="24"/>
          <w:lang w:val="en-US" w:eastAsia="zh-CN" w:bidi="ar-SA"/>
        </w:rPr>
        <w:t>1.7163</w:t>
      </w:r>
      <w:r>
        <w:rPr>
          <w:rFonts w:ascii="Times New Roman" w:hAnsi="Times New Roman" w:eastAsia="Times New Roman" w:cs="Times New Roman"/>
          <w:snapToGrid w:val="0"/>
          <w:color w:val="auto"/>
          <w:spacing w:val="-1"/>
          <w:kern w:val="0"/>
          <w:sz w:val="24"/>
          <w:szCs w:val="24"/>
          <w:lang w:val="en-US" w:eastAsia="en-US" w:bidi="ar-SA"/>
        </w:rPr>
        <w:t>hm</w:t>
      </w:r>
      <w:r>
        <w:rPr>
          <w:rFonts w:ascii="Times New Roman" w:hAnsi="Times New Roman" w:eastAsia="Times New Roman" w:cs="Times New Roman"/>
          <w:snapToGrid w:val="0"/>
          <w:color w:val="auto"/>
          <w:spacing w:val="-1"/>
          <w:kern w:val="0"/>
          <w:position w:val="7"/>
          <w:sz w:val="15"/>
          <w:szCs w:val="15"/>
          <w:lang w:val="en-US" w:eastAsia="en-US" w:bidi="ar-SA"/>
        </w:rPr>
        <w:t>2</w:t>
      </w:r>
      <w:r>
        <w:rPr>
          <w:rFonts w:ascii="Times New Roman" w:hAnsi="Times New Roman" w:eastAsia="Times New Roman" w:cs="Times New Roman"/>
          <w:snapToGrid w:val="0"/>
          <w:color w:val="auto"/>
          <w:spacing w:val="-10"/>
          <w:kern w:val="0"/>
          <w:position w:val="7"/>
          <w:sz w:val="15"/>
          <w:szCs w:val="15"/>
          <w:lang w:val="en-US" w:eastAsia="en-US" w:bidi="ar-SA"/>
        </w:rPr>
        <w:t xml:space="preserve"> </w:t>
      </w:r>
      <w:r>
        <w:rPr>
          <w:rFonts w:ascii="宋体" w:hAnsi="宋体" w:eastAsia="宋体" w:cs="宋体"/>
          <w:snapToGrid w:val="0"/>
          <w:color w:val="auto"/>
          <w:spacing w:val="-1"/>
          <w:kern w:val="0"/>
          <w:sz w:val="24"/>
          <w:szCs w:val="24"/>
          <w:lang w:val="en-US" w:eastAsia="en-US" w:bidi="ar-SA"/>
        </w:rPr>
        <w:t>、</w:t>
      </w:r>
      <w:r>
        <w:rPr>
          <w:rFonts w:hint="eastAsia" w:eastAsia="宋体" w:cs="Times New Roman"/>
          <w:snapToGrid w:val="0"/>
          <w:color w:val="auto"/>
          <w:spacing w:val="-1"/>
          <w:kern w:val="0"/>
          <w:sz w:val="24"/>
          <w:szCs w:val="24"/>
          <w:lang w:val="en-US" w:eastAsia="zh-CN" w:bidi="ar-SA"/>
        </w:rPr>
        <w:t>2.7373</w:t>
      </w:r>
      <w:r>
        <w:rPr>
          <w:rFonts w:ascii="Times New Roman" w:hAnsi="Times New Roman" w:eastAsia="Times New Roman" w:cs="Times New Roman"/>
          <w:snapToGrid w:val="0"/>
          <w:color w:val="auto"/>
          <w:spacing w:val="-2"/>
          <w:kern w:val="0"/>
          <w:sz w:val="24"/>
          <w:szCs w:val="24"/>
          <w:lang w:val="en-US" w:eastAsia="en-US" w:bidi="ar-SA"/>
        </w:rPr>
        <w:t>hm</w:t>
      </w:r>
      <w:r>
        <w:rPr>
          <w:rFonts w:ascii="Times New Roman" w:hAnsi="Times New Roman" w:eastAsia="Times New Roman" w:cs="Times New Roman"/>
          <w:snapToGrid w:val="0"/>
          <w:color w:val="auto"/>
          <w:spacing w:val="-2"/>
          <w:kern w:val="0"/>
          <w:position w:val="7"/>
          <w:sz w:val="15"/>
          <w:szCs w:val="15"/>
          <w:lang w:val="en-US" w:eastAsia="en-US" w:bidi="ar-SA"/>
        </w:rPr>
        <w:t>2</w:t>
      </w:r>
      <w:r>
        <w:rPr>
          <w:rFonts w:ascii="Times New Roman" w:hAnsi="Times New Roman" w:eastAsia="Times New Roman" w:cs="Times New Roman"/>
          <w:snapToGrid w:val="0"/>
          <w:color w:val="auto"/>
          <w:spacing w:val="-11"/>
          <w:kern w:val="0"/>
          <w:position w:val="7"/>
          <w:sz w:val="15"/>
          <w:szCs w:val="15"/>
          <w:lang w:val="en-US" w:eastAsia="en-US" w:bidi="ar-SA"/>
        </w:rPr>
        <w:t xml:space="preserve"> </w:t>
      </w:r>
      <w:r>
        <w:rPr>
          <w:rFonts w:ascii="宋体" w:hAnsi="宋体" w:eastAsia="宋体" w:cs="宋体"/>
          <w:snapToGrid w:val="0"/>
          <w:color w:val="auto"/>
          <w:spacing w:val="-2"/>
          <w:kern w:val="0"/>
          <w:sz w:val="24"/>
          <w:szCs w:val="24"/>
          <w:lang w:val="en-US" w:eastAsia="en-US" w:bidi="ar-SA"/>
        </w:rPr>
        <w:t>、</w:t>
      </w:r>
      <w:r>
        <w:rPr>
          <w:rFonts w:ascii="Times New Roman" w:hAnsi="Times New Roman" w:eastAsia="Times New Roman" w:cs="Times New Roman"/>
          <w:snapToGrid w:val="0"/>
          <w:color w:val="auto"/>
          <w:spacing w:val="-2"/>
          <w:kern w:val="0"/>
          <w:sz w:val="24"/>
          <w:szCs w:val="24"/>
          <w:lang w:val="en-US" w:eastAsia="en-US" w:bidi="ar-SA"/>
        </w:rPr>
        <w:t>0.</w:t>
      </w:r>
      <w:r>
        <w:rPr>
          <w:rFonts w:hint="eastAsia" w:eastAsia="宋体" w:cs="Times New Roman"/>
          <w:snapToGrid w:val="0"/>
          <w:color w:val="auto"/>
          <w:spacing w:val="-2"/>
          <w:kern w:val="0"/>
          <w:sz w:val="24"/>
          <w:szCs w:val="24"/>
          <w:lang w:val="en-US" w:eastAsia="zh-CN" w:bidi="ar-SA"/>
        </w:rPr>
        <w:t>5596</w:t>
      </w:r>
      <w:r>
        <w:rPr>
          <w:rFonts w:ascii="Times New Roman" w:hAnsi="Times New Roman" w:eastAsia="Times New Roman" w:cs="Times New Roman"/>
          <w:snapToGrid w:val="0"/>
          <w:color w:val="auto"/>
          <w:spacing w:val="-2"/>
          <w:kern w:val="0"/>
          <w:sz w:val="24"/>
          <w:szCs w:val="24"/>
          <w:lang w:val="en-US" w:eastAsia="en-US" w:bidi="ar-SA"/>
        </w:rPr>
        <w:t>hm</w:t>
      </w:r>
      <w:r>
        <w:rPr>
          <w:rFonts w:ascii="Times New Roman" w:hAnsi="Times New Roman" w:eastAsia="Times New Roman" w:cs="Times New Roman"/>
          <w:snapToGrid w:val="0"/>
          <w:color w:val="auto"/>
          <w:spacing w:val="-2"/>
          <w:kern w:val="0"/>
          <w:position w:val="7"/>
          <w:sz w:val="15"/>
          <w:szCs w:val="15"/>
          <w:lang w:val="en-US" w:eastAsia="en-US" w:bidi="ar-SA"/>
        </w:rPr>
        <w:t>2</w:t>
      </w:r>
      <w:r>
        <w:rPr>
          <w:rFonts w:ascii="宋体" w:hAnsi="宋体" w:eastAsia="宋体" w:cs="宋体"/>
          <w:snapToGrid w:val="0"/>
          <w:color w:val="auto"/>
          <w:spacing w:val="-2"/>
          <w:kern w:val="0"/>
          <w:sz w:val="24"/>
          <w:szCs w:val="24"/>
          <w:lang w:val="en-US" w:eastAsia="en-US" w:bidi="ar-SA"/>
        </w:rPr>
        <w:t>、</w:t>
      </w:r>
      <w:r>
        <w:rPr>
          <w:rFonts w:hint="eastAsia" w:eastAsia="宋体" w:cs="Times New Roman"/>
          <w:snapToGrid w:val="0"/>
          <w:color w:val="auto"/>
          <w:spacing w:val="-4"/>
          <w:kern w:val="0"/>
          <w:sz w:val="24"/>
          <w:szCs w:val="24"/>
          <w:lang w:val="en-US" w:eastAsia="zh-CN" w:bidi="ar-SA"/>
        </w:rPr>
        <w:t>2.2364</w:t>
      </w:r>
      <w:r>
        <w:rPr>
          <w:rFonts w:ascii="Times New Roman" w:hAnsi="Times New Roman" w:eastAsia="Times New Roman" w:cs="Times New Roman"/>
          <w:snapToGrid w:val="0"/>
          <w:color w:val="auto"/>
          <w:spacing w:val="-4"/>
          <w:kern w:val="0"/>
          <w:sz w:val="24"/>
          <w:szCs w:val="24"/>
          <w:lang w:val="en-US" w:eastAsia="en-US" w:bidi="ar-SA"/>
        </w:rPr>
        <w:t>hm</w:t>
      </w:r>
      <w:r>
        <w:rPr>
          <w:rFonts w:ascii="Times New Roman" w:hAnsi="Times New Roman" w:eastAsia="Times New Roman" w:cs="Times New Roman"/>
          <w:snapToGrid w:val="0"/>
          <w:color w:val="auto"/>
          <w:spacing w:val="-4"/>
          <w:kern w:val="0"/>
          <w:position w:val="8"/>
          <w:sz w:val="15"/>
          <w:szCs w:val="15"/>
          <w:lang w:val="en-US" w:eastAsia="en-US" w:bidi="ar-SA"/>
        </w:rPr>
        <w:t>2</w:t>
      </w:r>
      <w:r>
        <w:rPr>
          <w:rFonts w:ascii="Times New Roman" w:hAnsi="Times New Roman" w:eastAsia="Times New Roman" w:cs="Times New Roman"/>
          <w:snapToGrid w:val="0"/>
          <w:color w:val="auto"/>
          <w:spacing w:val="-7"/>
          <w:kern w:val="0"/>
          <w:position w:val="8"/>
          <w:sz w:val="15"/>
          <w:szCs w:val="15"/>
          <w:lang w:val="en-US" w:eastAsia="en-US" w:bidi="ar-SA"/>
        </w:rPr>
        <w:t xml:space="preserve"> </w:t>
      </w:r>
      <w:r>
        <w:rPr>
          <w:rFonts w:ascii="宋体" w:hAnsi="宋体" w:eastAsia="宋体" w:cs="宋体"/>
          <w:snapToGrid w:val="0"/>
          <w:color w:val="auto"/>
          <w:spacing w:val="-4"/>
          <w:kern w:val="0"/>
          <w:sz w:val="24"/>
          <w:szCs w:val="24"/>
          <w:lang w:val="en-US" w:eastAsia="en-US" w:bidi="ar-SA"/>
        </w:rPr>
        <w:t>，分别占评价范围对应植被面积的</w:t>
      </w:r>
      <w:r>
        <w:rPr>
          <w:rFonts w:ascii="宋体" w:hAnsi="宋体" w:eastAsia="宋体" w:cs="宋体"/>
          <w:snapToGrid w:val="0"/>
          <w:color w:val="auto"/>
          <w:spacing w:val="-52"/>
          <w:kern w:val="0"/>
          <w:sz w:val="24"/>
          <w:szCs w:val="24"/>
          <w:lang w:val="en-US" w:eastAsia="en-US" w:bidi="ar-SA"/>
        </w:rPr>
        <w:t xml:space="preserve"> </w:t>
      </w:r>
      <w:r>
        <w:rPr>
          <w:rFonts w:ascii="Times New Roman" w:hAnsi="Times New Roman" w:eastAsia="Times New Roman" w:cs="Times New Roman"/>
          <w:snapToGrid w:val="0"/>
          <w:color w:val="auto"/>
          <w:spacing w:val="-4"/>
          <w:kern w:val="0"/>
          <w:sz w:val="24"/>
          <w:szCs w:val="24"/>
          <w:lang w:val="en-US" w:eastAsia="en-US" w:bidi="ar-SA"/>
        </w:rPr>
        <w:t>0.20%</w:t>
      </w:r>
      <w:r>
        <w:rPr>
          <w:rFonts w:ascii="Times New Roman" w:hAnsi="Times New Roman" w:eastAsia="Times New Roman" w:cs="Times New Roman"/>
          <w:snapToGrid w:val="0"/>
          <w:color w:val="auto"/>
          <w:spacing w:val="-32"/>
          <w:kern w:val="0"/>
          <w:sz w:val="24"/>
          <w:szCs w:val="24"/>
          <w:lang w:val="en-US" w:eastAsia="en-US" w:bidi="ar-SA"/>
        </w:rPr>
        <w:t xml:space="preserve"> </w:t>
      </w:r>
      <w:r>
        <w:rPr>
          <w:rFonts w:ascii="宋体" w:hAnsi="宋体" w:eastAsia="宋体" w:cs="宋体"/>
          <w:snapToGrid w:val="0"/>
          <w:color w:val="auto"/>
          <w:spacing w:val="-4"/>
          <w:kern w:val="0"/>
          <w:sz w:val="24"/>
          <w:szCs w:val="24"/>
          <w:lang w:val="en-US" w:eastAsia="en-US" w:bidi="ar-SA"/>
        </w:rPr>
        <w:t>、</w:t>
      </w:r>
      <w:r>
        <w:rPr>
          <w:rFonts w:ascii="Times New Roman" w:hAnsi="Times New Roman" w:eastAsia="Times New Roman" w:cs="Times New Roman"/>
          <w:snapToGrid w:val="0"/>
          <w:color w:val="auto"/>
          <w:spacing w:val="-4"/>
          <w:kern w:val="0"/>
          <w:sz w:val="24"/>
          <w:szCs w:val="24"/>
          <w:lang w:val="en-US" w:eastAsia="en-US" w:bidi="ar-SA"/>
        </w:rPr>
        <w:t>0.72%</w:t>
      </w:r>
      <w:r>
        <w:rPr>
          <w:rFonts w:ascii="Times New Roman" w:hAnsi="Times New Roman" w:eastAsia="Times New Roman" w:cs="Times New Roman"/>
          <w:snapToGrid w:val="0"/>
          <w:color w:val="auto"/>
          <w:spacing w:val="-34"/>
          <w:kern w:val="0"/>
          <w:sz w:val="24"/>
          <w:szCs w:val="24"/>
          <w:lang w:val="en-US" w:eastAsia="en-US" w:bidi="ar-SA"/>
        </w:rPr>
        <w:t xml:space="preserve"> </w:t>
      </w:r>
      <w:r>
        <w:rPr>
          <w:rFonts w:ascii="宋体" w:hAnsi="宋体" w:eastAsia="宋体" w:cs="宋体"/>
          <w:snapToGrid w:val="0"/>
          <w:color w:val="auto"/>
          <w:spacing w:val="-4"/>
          <w:kern w:val="0"/>
          <w:sz w:val="24"/>
          <w:szCs w:val="24"/>
          <w:lang w:val="en-US" w:eastAsia="en-US" w:bidi="ar-SA"/>
        </w:rPr>
        <w:t>、</w:t>
      </w:r>
      <w:r>
        <w:rPr>
          <w:rFonts w:ascii="Times New Roman" w:hAnsi="Times New Roman" w:eastAsia="Times New Roman" w:cs="Times New Roman"/>
          <w:snapToGrid w:val="0"/>
          <w:color w:val="auto"/>
          <w:spacing w:val="-4"/>
          <w:kern w:val="0"/>
          <w:sz w:val="24"/>
          <w:szCs w:val="24"/>
          <w:lang w:val="en-US" w:eastAsia="en-US" w:bidi="ar-SA"/>
        </w:rPr>
        <w:t>0.02%</w:t>
      </w:r>
      <w:r>
        <w:rPr>
          <w:rFonts w:ascii="Times New Roman" w:hAnsi="Times New Roman" w:eastAsia="Times New Roman" w:cs="Times New Roman"/>
          <w:snapToGrid w:val="0"/>
          <w:color w:val="auto"/>
          <w:spacing w:val="-35"/>
          <w:kern w:val="0"/>
          <w:sz w:val="24"/>
          <w:szCs w:val="24"/>
          <w:lang w:val="en-US" w:eastAsia="en-US" w:bidi="ar-SA"/>
        </w:rPr>
        <w:t xml:space="preserve"> </w:t>
      </w:r>
      <w:r>
        <w:rPr>
          <w:rFonts w:ascii="宋体" w:hAnsi="宋体" w:eastAsia="宋体" w:cs="宋体"/>
          <w:snapToGrid w:val="0"/>
          <w:color w:val="auto"/>
          <w:spacing w:val="-4"/>
          <w:kern w:val="0"/>
          <w:sz w:val="24"/>
          <w:szCs w:val="24"/>
          <w:lang w:val="en-US" w:eastAsia="en-US" w:bidi="ar-SA"/>
        </w:rPr>
        <w:t>、</w:t>
      </w:r>
      <w:r>
        <w:rPr>
          <w:rFonts w:ascii="Times New Roman" w:hAnsi="Times New Roman" w:eastAsia="Times New Roman" w:cs="Times New Roman"/>
          <w:snapToGrid w:val="0"/>
          <w:color w:val="auto"/>
          <w:spacing w:val="-5"/>
          <w:kern w:val="0"/>
          <w:sz w:val="24"/>
          <w:szCs w:val="24"/>
          <w:lang w:val="en-US" w:eastAsia="en-US" w:bidi="ar-SA"/>
        </w:rPr>
        <w:t>0.53%</w:t>
      </w:r>
      <w:r>
        <w:rPr>
          <w:rFonts w:ascii="宋体" w:hAnsi="宋体" w:eastAsia="宋体" w:cs="宋体"/>
          <w:snapToGrid w:val="0"/>
          <w:color w:val="auto"/>
          <w:spacing w:val="-5"/>
          <w:kern w:val="0"/>
          <w:sz w:val="24"/>
          <w:szCs w:val="24"/>
          <w:lang w:val="en-US" w:eastAsia="en-US" w:bidi="ar-SA"/>
        </w:rPr>
        <w:t>。由</w:t>
      </w:r>
      <w:r>
        <w:rPr>
          <w:rFonts w:ascii="宋体" w:hAnsi="宋体" w:eastAsia="宋体" w:cs="宋体"/>
          <w:snapToGrid w:val="0"/>
          <w:color w:val="auto"/>
          <w:spacing w:val="-3"/>
          <w:kern w:val="0"/>
          <w:sz w:val="24"/>
          <w:szCs w:val="24"/>
          <w:lang w:val="en-US" w:eastAsia="en-US" w:bidi="ar-SA"/>
        </w:rPr>
        <w:t>于输电线路占地为点状，单个塔基施工时间较短，工程量较小，施工结束后可进行土地复耕和植被恢复，基本不影响其原有的土地用途。输电线路施工时会破坏部分自然植被，可能会对生态环境产生一定的影响，但是一般在施工结束后即可</w:t>
      </w:r>
      <w:r>
        <w:rPr>
          <w:rFonts w:ascii="宋体" w:hAnsi="宋体" w:eastAsia="宋体" w:cs="宋体"/>
          <w:snapToGrid w:val="0"/>
          <w:color w:val="auto"/>
          <w:spacing w:val="-11"/>
          <w:kern w:val="0"/>
          <w:sz w:val="24"/>
          <w:szCs w:val="24"/>
          <w:lang w:val="en-US" w:eastAsia="en-US" w:bidi="ar-SA"/>
        </w:rPr>
        <w:t>恢复。</w:t>
      </w:r>
    </w:p>
    <w:p w14:paraId="79BC2021">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52"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7"/>
          <w:kern w:val="0"/>
          <w:sz w:val="24"/>
          <w:szCs w:val="24"/>
          <w:lang w:val="en-US" w:eastAsia="en-US" w:bidi="ar-SA"/>
        </w:rPr>
        <w:t>场地平整、塔基开挖、车辆运输等造成扬尘， 会对环境空气造成暂时性和局</w:t>
      </w:r>
      <w:r>
        <w:rPr>
          <w:rFonts w:ascii="宋体" w:hAnsi="宋体" w:eastAsia="宋体" w:cs="宋体"/>
          <w:snapToGrid w:val="0"/>
          <w:color w:val="auto"/>
          <w:spacing w:val="-3"/>
          <w:kern w:val="0"/>
          <w:sz w:val="24"/>
          <w:szCs w:val="24"/>
          <w:lang w:val="en-US" w:eastAsia="en-US" w:bidi="ar-SA"/>
        </w:rPr>
        <w:t>部的影响，此外开挖对土壤层形成扰动，临时材料堆放也将改变土壤紧实度</w:t>
      </w:r>
      <w:r>
        <w:rPr>
          <w:rFonts w:ascii="宋体" w:hAnsi="宋体" w:eastAsia="宋体" w:cs="宋体"/>
          <w:snapToGrid w:val="0"/>
          <w:color w:val="auto"/>
          <w:spacing w:val="-4"/>
          <w:kern w:val="0"/>
          <w:sz w:val="24"/>
          <w:szCs w:val="24"/>
          <w:lang w:val="en-US" w:eastAsia="en-US" w:bidi="ar-SA"/>
        </w:rPr>
        <w:t>，可</w:t>
      </w:r>
      <w:r>
        <w:rPr>
          <w:rFonts w:ascii="宋体" w:hAnsi="宋体" w:eastAsia="宋体" w:cs="宋体"/>
          <w:snapToGrid w:val="0"/>
          <w:color w:val="auto"/>
          <w:spacing w:val="-6"/>
          <w:kern w:val="0"/>
          <w:sz w:val="24"/>
          <w:szCs w:val="24"/>
          <w:lang w:val="en-US" w:eastAsia="en-US" w:bidi="ar-SA"/>
        </w:rPr>
        <w:t>能加剧水土流失。</w:t>
      </w:r>
    </w:p>
    <w:p w14:paraId="0ED8D265">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⑵</w:t>
      </w:r>
      <w:r>
        <w:rPr>
          <w:rFonts w:ascii="宋体" w:hAnsi="宋体" w:eastAsia="宋体" w:cs="宋体"/>
          <w:b/>
          <w:bCs/>
          <w:snapToGrid w:val="0"/>
          <w:color w:val="auto"/>
          <w:spacing w:val="-3"/>
          <w:kern w:val="0"/>
          <w:sz w:val="24"/>
          <w:szCs w:val="24"/>
          <w:lang w:val="en-US" w:eastAsia="en-US" w:bidi="ar-SA"/>
        </w:rPr>
        <w:t>对植被生物量损失的影响</w:t>
      </w:r>
    </w:p>
    <w:p w14:paraId="3F9D9769">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项目施工期占地包括塔基永久占地，</w:t>
      </w:r>
      <w:r>
        <w:rPr>
          <w:rFonts w:hint="default" w:ascii="Times New Roman" w:hAnsi="Times New Roman" w:cs="Times New Roman"/>
          <w:color w:val="auto"/>
          <w:sz w:val="24"/>
          <w:highlight w:val="none"/>
          <w:lang w:val="en-US" w:eastAsia="zh-CN"/>
        </w:rPr>
        <w:t>跨越架</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农用地表土剥离堆放场</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z w:val="24"/>
          <w:highlight w:val="none"/>
          <w:lang w:val="en-US" w:eastAsia="zh-CN"/>
        </w:rPr>
        <w:t>牵张场、</w:t>
      </w:r>
      <w:r>
        <w:rPr>
          <w:rFonts w:hint="default" w:ascii="Times New Roman" w:hAnsi="Times New Roman" w:cs="Times New Roman"/>
          <w:color w:val="auto"/>
          <w:sz w:val="24"/>
          <w:highlight w:val="none"/>
        </w:rPr>
        <w:t>施工便道</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拓宽道路和</w:t>
      </w:r>
      <w:r>
        <w:rPr>
          <w:rFonts w:hint="default" w:ascii="Times New Roman" w:hAnsi="Times New Roman" w:eastAsia="宋体" w:cs="Times New Roman"/>
          <w:color w:val="auto"/>
          <w:sz w:val="24"/>
          <w:highlight w:val="none"/>
          <w:lang w:val="en-US" w:eastAsia="zh-CN"/>
        </w:rPr>
        <w:t>塔基施工作业区（含线路抬高改造工程塔基施工作业区）</w:t>
      </w:r>
      <w:r>
        <w:rPr>
          <w:rFonts w:ascii="宋体" w:hAnsi="宋体" w:eastAsia="宋体" w:cs="宋体"/>
          <w:snapToGrid w:val="0"/>
          <w:color w:val="auto"/>
          <w:spacing w:val="-3"/>
          <w:kern w:val="0"/>
          <w:sz w:val="24"/>
          <w:szCs w:val="24"/>
          <w:lang w:val="en-US" w:eastAsia="en-US" w:bidi="ar-SA"/>
        </w:rPr>
        <w:t>等临时占地，占地范围内的植被均不同程度遭到破坏，对生物量随之造成</w:t>
      </w:r>
      <w:r>
        <w:rPr>
          <w:rFonts w:ascii="宋体" w:hAnsi="宋体" w:eastAsia="宋体" w:cs="宋体"/>
          <w:snapToGrid w:val="0"/>
          <w:color w:val="auto"/>
          <w:spacing w:val="-1"/>
          <w:kern w:val="0"/>
          <w:sz w:val="24"/>
          <w:szCs w:val="24"/>
          <w:lang w:val="en-US" w:eastAsia="en-US" w:bidi="ar-SA"/>
        </w:rPr>
        <w:t>损失。经估算，项目施工期造成植被生物量损失</w:t>
      </w:r>
      <w:r>
        <w:rPr>
          <w:rFonts w:ascii="宋体" w:hAnsi="宋体" w:eastAsia="宋体" w:cs="宋体"/>
          <w:snapToGrid w:val="0"/>
          <w:color w:val="auto"/>
          <w:spacing w:val="-51"/>
          <w:kern w:val="0"/>
          <w:sz w:val="24"/>
          <w:szCs w:val="24"/>
          <w:lang w:val="en-US" w:eastAsia="en-US" w:bidi="ar-SA"/>
        </w:rPr>
        <w:t xml:space="preserve"> </w:t>
      </w:r>
      <w:r>
        <w:rPr>
          <w:rFonts w:hint="eastAsia" w:eastAsia="宋体" w:cs="Times New Roman"/>
          <w:snapToGrid w:val="0"/>
          <w:color w:val="auto"/>
          <w:spacing w:val="-1"/>
          <w:kern w:val="0"/>
          <w:sz w:val="24"/>
          <w:szCs w:val="24"/>
          <w:lang w:val="en-US" w:eastAsia="zh-CN" w:bidi="ar-SA"/>
        </w:rPr>
        <w:t>219.35</w:t>
      </w:r>
      <w:r>
        <w:rPr>
          <w:rFonts w:ascii="Times New Roman" w:hAnsi="Times New Roman" w:eastAsia="Times New Roman" w:cs="Times New Roman"/>
          <w:snapToGrid w:val="0"/>
          <w:color w:val="auto"/>
          <w:spacing w:val="-1"/>
          <w:kern w:val="0"/>
          <w:sz w:val="24"/>
          <w:szCs w:val="24"/>
          <w:lang w:val="en-US" w:eastAsia="en-US" w:bidi="ar-SA"/>
        </w:rPr>
        <w:t>t</w:t>
      </w:r>
      <w:r>
        <w:rPr>
          <w:rFonts w:ascii="宋体" w:hAnsi="宋体" w:eastAsia="宋体" w:cs="宋体"/>
          <w:snapToGrid w:val="0"/>
          <w:color w:val="auto"/>
          <w:spacing w:val="-1"/>
          <w:kern w:val="0"/>
          <w:sz w:val="24"/>
          <w:szCs w:val="24"/>
          <w:lang w:val="en-US" w:eastAsia="en-US" w:bidi="ar-SA"/>
        </w:rPr>
        <w:t>，详见</w:t>
      </w:r>
      <w:r>
        <w:rPr>
          <w:rFonts w:hint="eastAsia" w:ascii="宋体" w:hAnsi="宋体" w:cs="宋体"/>
          <w:snapToGrid w:val="0"/>
          <w:color w:val="auto"/>
          <w:spacing w:val="-1"/>
          <w:kern w:val="0"/>
          <w:sz w:val="24"/>
          <w:szCs w:val="24"/>
          <w:lang w:val="en-US" w:eastAsia="zh-CN" w:bidi="ar-SA"/>
        </w:rPr>
        <w:t>专题</w:t>
      </w:r>
      <w:r>
        <w:rPr>
          <w:rFonts w:hint="default" w:ascii="Times New Roman" w:hAnsi="Times New Roman" w:eastAsia="宋体" w:cs="Times New Roman"/>
          <w:snapToGrid w:val="0"/>
          <w:color w:val="auto"/>
          <w:spacing w:val="-1"/>
          <w:kern w:val="0"/>
          <w:sz w:val="24"/>
          <w:szCs w:val="24"/>
          <w:lang w:val="en-US" w:eastAsia="en-US" w:bidi="ar-SA"/>
        </w:rPr>
        <w:t>表</w:t>
      </w:r>
      <w:r>
        <w:rPr>
          <w:rFonts w:hint="default" w:ascii="Times New Roman" w:hAnsi="Times New Roman" w:cs="Times New Roman"/>
          <w:snapToGrid w:val="0"/>
          <w:color w:val="auto"/>
          <w:spacing w:val="-44"/>
          <w:kern w:val="0"/>
          <w:sz w:val="24"/>
          <w:szCs w:val="24"/>
          <w:lang w:val="en-US" w:eastAsia="zh-CN" w:bidi="ar-SA"/>
        </w:rPr>
        <w:t>3</w:t>
      </w:r>
      <w:r>
        <w:rPr>
          <w:rFonts w:hint="default" w:ascii="Times New Roman" w:hAnsi="Times New Roman" w:eastAsia="Times New Roman" w:cs="Times New Roman"/>
          <w:snapToGrid w:val="0"/>
          <w:color w:val="auto"/>
          <w:spacing w:val="-1"/>
          <w:kern w:val="0"/>
          <w:sz w:val="24"/>
          <w:szCs w:val="24"/>
          <w:lang w:val="en-US" w:eastAsia="en-US" w:bidi="ar-SA"/>
        </w:rPr>
        <w:t>-</w:t>
      </w:r>
      <w:r>
        <w:rPr>
          <w:rFonts w:hint="default" w:ascii="Times New Roman" w:hAnsi="Times New Roman" w:eastAsia="宋体" w:cs="Times New Roman"/>
          <w:snapToGrid w:val="0"/>
          <w:color w:val="auto"/>
          <w:spacing w:val="-1"/>
          <w:kern w:val="0"/>
          <w:sz w:val="24"/>
          <w:szCs w:val="24"/>
          <w:lang w:val="en-US" w:eastAsia="zh-CN" w:bidi="ar-SA"/>
        </w:rPr>
        <w:t>9</w:t>
      </w:r>
      <w:r>
        <w:rPr>
          <w:rFonts w:hint="default" w:ascii="Times New Roman" w:hAnsi="Times New Roman" w:eastAsia="宋体" w:cs="Times New Roman"/>
          <w:snapToGrid w:val="0"/>
          <w:color w:val="auto"/>
          <w:spacing w:val="-1"/>
          <w:kern w:val="0"/>
          <w:sz w:val="24"/>
          <w:szCs w:val="24"/>
          <w:lang w:val="en-US" w:eastAsia="en-US" w:bidi="ar-SA"/>
        </w:rPr>
        <w:t>。</w:t>
      </w:r>
    </w:p>
    <w:p w14:paraId="40E6E0D1">
      <w:pPr>
        <w:spacing w:line="240" w:lineRule="auto"/>
        <w:jc w:val="center"/>
        <w:rPr>
          <w:rFonts w:hint="default" w:ascii="Times New Roman" w:hAnsi="Times New Roman" w:eastAsia="宋体" w:cs="Times New Roman"/>
          <w:b/>
          <w:bCs/>
          <w:color w:val="auto"/>
          <w:sz w:val="24"/>
          <w:highlight w:val="none"/>
          <w:lang w:val="en-US" w:eastAsia="en-US"/>
        </w:rPr>
      </w:pPr>
      <w:r>
        <w:rPr>
          <w:rFonts w:hint="eastAsia" w:ascii="Times New Roman" w:hAnsi="Times New Roman" w:eastAsia="宋体" w:cs="Times New Roman"/>
          <w:b/>
          <w:bCs/>
          <w:color w:val="auto"/>
          <w:sz w:val="24"/>
          <w:highlight w:val="none"/>
          <w:lang w:val="en-US" w:eastAsia="zh-CN"/>
        </w:rPr>
        <w:t>专题</w:t>
      </w:r>
      <w:r>
        <w:rPr>
          <w:rFonts w:hint="default" w:ascii="Times New Roman" w:hAnsi="Times New Roman" w:eastAsia="宋体" w:cs="Times New Roman"/>
          <w:b/>
          <w:bCs/>
          <w:color w:val="auto"/>
          <w:sz w:val="24"/>
          <w:highlight w:val="none"/>
          <w:lang w:val="en-US" w:eastAsia="en-US"/>
        </w:rPr>
        <w:t>表</w:t>
      </w:r>
      <w:r>
        <w:rPr>
          <w:rFonts w:hint="eastAsia"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val="en-US" w:eastAsia="en-US"/>
        </w:rPr>
        <w:t>-</w:t>
      </w:r>
      <w:r>
        <w:rPr>
          <w:rFonts w:hint="eastAsia"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lang w:val="en-US" w:eastAsia="en-US"/>
        </w:rPr>
        <w:t xml:space="preserve">   施工期植被生物量损失估算表</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1"/>
        <w:gridCol w:w="1469"/>
        <w:gridCol w:w="1675"/>
        <w:gridCol w:w="2812"/>
        <w:gridCol w:w="1126"/>
        <w:gridCol w:w="1081"/>
      </w:tblGrid>
      <w:tr w14:paraId="2D2FB8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851" w:type="dxa"/>
            <w:tcBorders>
              <w:left w:val="nil"/>
            </w:tcBorders>
            <w:vAlign w:val="center"/>
          </w:tcPr>
          <w:p w14:paraId="6C9A4648">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4"/>
                <w:kern w:val="0"/>
                <w:sz w:val="20"/>
                <w:szCs w:val="20"/>
                <w:lang w:eastAsia="en-US"/>
              </w:rPr>
              <w:t>序号</w:t>
            </w:r>
          </w:p>
        </w:tc>
        <w:tc>
          <w:tcPr>
            <w:tcW w:w="1469" w:type="dxa"/>
            <w:vAlign w:val="center"/>
          </w:tcPr>
          <w:p w14:paraId="17005320">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植被类型</w:t>
            </w:r>
          </w:p>
        </w:tc>
        <w:tc>
          <w:tcPr>
            <w:tcW w:w="1675" w:type="dxa"/>
            <w:vAlign w:val="center"/>
          </w:tcPr>
          <w:p w14:paraId="0DF7CF63">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b/>
                <w:bCs/>
                <w:snapToGrid w:val="0"/>
                <w:color w:val="auto"/>
                <w:spacing w:val="6"/>
                <w:kern w:val="0"/>
                <w:sz w:val="20"/>
                <w:szCs w:val="20"/>
                <w:lang w:val="en-US" w:eastAsia="en-US" w:bidi="ar-SA"/>
              </w:rPr>
              <w:t>面积（</w:t>
            </w:r>
            <w:r>
              <w:rPr>
                <w:rFonts w:ascii="Times New Roman" w:hAnsi="Times New Roman" w:eastAsia="Times New Roman" w:cs="Times New Roman"/>
                <w:b/>
                <w:bCs/>
                <w:snapToGrid w:val="0"/>
                <w:color w:val="auto"/>
                <w:kern w:val="0"/>
                <w:sz w:val="20"/>
                <w:szCs w:val="20"/>
                <w:lang w:val="en-US" w:eastAsia="en-US" w:bidi="ar-SA"/>
              </w:rPr>
              <w:t>hm</w:t>
            </w:r>
            <w:r>
              <w:rPr>
                <w:rFonts w:ascii="Times New Roman" w:hAnsi="Times New Roman" w:eastAsia="Times New Roman" w:cs="Times New Roman"/>
                <w:b/>
                <w:bCs/>
                <w:snapToGrid w:val="0"/>
                <w:color w:val="auto"/>
                <w:spacing w:val="6"/>
                <w:kern w:val="0"/>
                <w:position w:val="6"/>
                <w:sz w:val="13"/>
                <w:szCs w:val="13"/>
                <w:lang w:val="en-US" w:eastAsia="en-US" w:bidi="ar-SA"/>
              </w:rPr>
              <w:t>2</w:t>
            </w:r>
            <w:r>
              <w:rPr>
                <w:rFonts w:ascii="宋体" w:hAnsi="宋体" w:eastAsia="宋体" w:cs="宋体"/>
                <w:b/>
                <w:bCs/>
                <w:snapToGrid w:val="0"/>
                <w:color w:val="auto"/>
                <w:spacing w:val="6"/>
                <w:kern w:val="0"/>
                <w:sz w:val="20"/>
                <w:szCs w:val="20"/>
                <w:lang w:val="en-US" w:eastAsia="en-US" w:bidi="ar-SA"/>
              </w:rPr>
              <w:t>）</w:t>
            </w:r>
          </w:p>
        </w:tc>
        <w:tc>
          <w:tcPr>
            <w:tcW w:w="2812" w:type="dxa"/>
            <w:vAlign w:val="center"/>
          </w:tcPr>
          <w:p w14:paraId="6E03B7D7">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b/>
                <w:bCs/>
                <w:snapToGrid w:val="0"/>
                <w:color w:val="auto"/>
                <w:spacing w:val="6"/>
                <w:kern w:val="0"/>
                <w:sz w:val="20"/>
                <w:szCs w:val="20"/>
                <w:lang w:val="en-US" w:eastAsia="en-US" w:bidi="ar-SA"/>
              </w:rPr>
              <w:t>单位面积生物</w:t>
            </w:r>
            <w:r>
              <w:rPr>
                <w:rFonts w:ascii="宋体" w:hAnsi="宋体" w:eastAsia="宋体" w:cs="宋体"/>
                <w:b/>
                <w:bCs/>
                <w:snapToGrid w:val="0"/>
                <w:color w:val="auto"/>
                <w:spacing w:val="4"/>
                <w:kern w:val="0"/>
                <w:sz w:val="20"/>
                <w:szCs w:val="20"/>
                <w:lang w:val="en-US" w:eastAsia="en-US" w:bidi="ar-SA"/>
              </w:rPr>
              <w:t>量（</w:t>
            </w:r>
            <w:r>
              <w:rPr>
                <w:rFonts w:ascii="Times New Roman" w:hAnsi="Times New Roman" w:eastAsia="Times New Roman" w:cs="Times New Roman"/>
                <w:b/>
                <w:bCs/>
                <w:snapToGrid w:val="0"/>
                <w:color w:val="auto"/>
                <w:spacing w:val="4"/>
                <w:kern w:val="0"/>
                <w:sz w:val="20"/>
                <w:szCs w:val="20"/>
                <w:lang w:val="en-US" w:eastAsia="en-US" w:bidi="ar-SA"/>
              </w:rPr>
              <w:t>t/</w:t>
            </w:r>
            <w:r>
              <w:rPr>
                <w:rFonts w:ascii="Times New Roman" w:hAnsi="Times New Roman" w:eastAsia="Times New Roman" w:cs="Times New Roman"/>
                <w:b/>
                <w:bCs/>
                <w:snapToGrid w:val="0"/>
                <w:color w:val="auto"/>
                <w:kern w:val="0"/>
                <w:sz w:val="20"/>
                <w:szCs w:val="20"/>
                <w:lang w:val="en-US" w:eastAsia="en-US" w:bidi="ar-SA"/>
              </w:rPr>
              <w:t>hm</w:t>
            </w:r>
            <w:r>
              <w:rPr>
                <w:rFonts w:ascii="Times New Roman" w:hAnsi="Times New Roman" w:eastAsia="Times New Roman" w:cs="Times New Roman"/>
                <w:b/>
                <w:bCs/>
                <w:snapToGrid w:val="0"/>
                <w:color w:val="auto"/>
                <w:spacing w:val="4"/>
                <w:kern w:val="0"/>
                <w:sz w:val="20"/>
                <w:szCs w:val="20"/>
                <w:lang w:val="en-US" w:eastAsia="en-US" w:bidi="ar-SA"/>
              </w:rPr>
              <w:t>2</w:t>
            </w:r>
            <w:r>
              <w:rPr>
                <w:rFonts w:ascii="宋体" w:hAnsi="宋体" w:eastAsia="宋体" w:cs="宋体"/>
                <w:b/>
                <w:bCs/>
                <w:snapToGrid w:val="0"/>
                <w:color w:val="auto"/>
                <w:spacing w:val="4"/>
                <w:kern w:val="0"/>
                <w:sz w:val="20"/>
                <w:szCs w:val="20"/>
                <w:lang w:val="en-US" w:eastAsia="en-US" w:bidi="ar-SA"/>
              </w:rPr>
              <w:t>）</w:t>
            </w:r>
          </w:p>
        </w:tc>
        <w:tc>
          <w:tcPr>
            <w:tcW w:w="1126" w:type="dxa"/>
            <w:vAlign w:val="center"/>
          </w:tcPr>
          <w:p w14:paraId="6A4A97A3">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val="en-US" w:eastAsia="en-US" w:bidi="ar-SA"/>
              </w:rPr>
            </w:pPr>
            <w:r>
              <w:rPr>
                <w:rFonts w:ascii="宋体" w:hAnsi="宋体" w:eastAsia="宋体" w:cs="宋体"/>
                <w:b/>
                <w:bCs/>
                <w:snapToGrid w:val="0"/>
                <w:color w:val="auto"/>
                <w:spacing w:val="4"/>
                <w:kern w:val="0"/>
                <w:sz w:val="20"/>
                <w:szCs w:val="20"/>
                <w:lang w:val="en-US" w:eastAsia="en-US" w:bidi="ar-SA"/>
              </w:rPr>
              <w:t>生物量（</w:t>
            </w:r>
            <w:r>
              <w:rPr>
                <w:rFonts w:ascii="Times New Roman" w:hAnsi="Times New Roman" w:eastAsia="Times New Roman" w:cs="Times New Roman"/>
                <w:b/>
                <w:bCs/>
                <w:snapToGrid w:val="0"/>
                <w:color w:val="auto"/>
                <w:spacing w:val="4"/>
                <w:kern w:val="0"/>
                <w:sz w:val="20"/>
                <w:szCs w:val="20"/>
                <w:lang w:val="en-US" w:eastAsia="en-US" w:bidi="ar-SA"/>
              </w:rPr>
              <w:t>t</w:t>
            </w:r>
            <w:r>
              <w:rPr>
                <w:rFonts w:ascii="宋体" w:hAnsi="宋体" w:eastAsia="宋体" w:cs="宋体"/>
                <w:b/>
                <w:bCs/>
                <w:snapToGrid w:val="0"/>
                <w:color w:val="auto"/>
                <w:spacing w:val="4"/>
                <w:kern w:val="0"/>
                <w:sz w:val="20"/>
                <w:szCs w:val="20"/>
                <w:lang w:val="en-US" w:eastAsia="en-US" w:bidi="ar-SA"/>
              </w:rPr>
              <w:t>）</w:t>
            </w:r>
          </w:p>
        </w:tc>
        <w:tc>
          <w:tcPr>
            <w:tcW w:w="1081" w:type="dxa"/>
            <w:tcBorders>
              <w:right w:val="nil"/>
            </w:tcBorders>
            <w:vAlign w:val="center"/>
          </w:tcPr>
          <w:p w14:paraId="720D99E6">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14"/>
                <w:kern w:val="0"/>
                <w:sz w:val="20"/>
                <w:szCs w:val="20"/>
                <w:lang w:eastAsia="en-US"/>
              </w:rPr>
              <w:t>占比</w:t>
            </w:r>
          </w:p>
        </w:tc>
      </w:tr>
      <w:tr w14:paraId="7638BC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851" w:type="dxa"/>
            <w:tcBorders>
              <w:left w:val="nil"/>
            </w:tcBorders>
            <w:vAlign w:val="center"/>
          </w:tcPr>
          <w:p w14:paraId="04032B1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1</w:t>
            </w:r>
          </w:p>
        </w:tc>
        <w:tc>
          <w:tcPr>
            <w:tcW w:w="1469" w:type="dxa"/>
            <w:vAlign w:val="center"/>
          </w:tcPr>
          <w:p w14:paraId="12F046CA">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1"/>
                <w:kern w:val="0"/>
                <w:sz w:val="20"/>
                <w:szCs w:val="20"/>
                <w:lang w:eastAsia="en-US"/>
              </w:rPr>
              <w:t>阔叶林</w:t>
            </w:r>
          </w:p>
        </w:tc>
        <w:tc>
          <w:tcPr>
            <w:tcW w:w="1675" w:type="dxa"/>
            <w:vAlign w:val="center"/>
          </w:tcPr>
          <w:p w14:paraId="4BCD3EE4">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kern w:val="0"/>
                <w:sz w:val="20"/>
                <w:szCs w:val="20"/>
                <w:lang w:val="en-US" w:eastAsia="zh-CN" w:bidi="ar-SA"/>
              </w:rPr>
              <w:t>1.7784</w:t>
            </w:r>
          </w:p>
        </w:tc>
        <w:tc>
          <w:tcPr>
            <w:tcW w:w="2812" w:type="dxa"/>
            <w:vAlign w:val="center"/>
          </w:tcPr>
          <w:p w14:paraId="6D47D586">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68.26</w:t>
            </w:r>
          </w:p>
        </w:tc>
        <w:tc>
          <w:tcPr>
            <w:tcW w:w="1126" w:type="dxa"/>
            <w:vAlign w:val="center"/>
          </w:tcPr>
          <w:p w14:paraId="298D1186">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ascii="Times New Roman" w:hAnsi="Times New Roman" w:eastAsia="Times New Roman" w:cs="Times New Roman"/>
                <w:snapToGrid w:val="0"/>
                <w:color w:val="auto"/>
                <w:kern w:val="0"/>
                <w:sz w:val="20"/>
                <w:szCs w:val="20"/>
                <w:lang w:val="en-US" w:eastAsia="en-US" w:bidi="ar-SA"/>
              </w:rPr>
              <w:t>1</w:t>
            </w:r>
            <w:r>
              <w:rPr>
                <w:rFonts w:hint="eastAsia" w:eastAsia="宋体" w:cs="Times New Roman"/>
                <w:snapToGrid w:val="0"/>
                <w:color w:val="auto"/>
                <w:kern w:val="0"/>
                <w:sz w:val="20"/>
                <w:szCs w:val="20"/>
                <w:lang w:val="en-US" w:eastAsia="zh-CN" w:bidi="ar-SA"/>
              </w:rPr>
              <w:t>21.39</w:t>
            </w:r>
          </w:p>
        </w:tc>
        <w:tc>
          <w:tcPr>
            <w:tcW w:w="1081" w:type="dxa"/>
            <w:tcBorders>
              <w:right w:val="nil"/>
            </w:tcBorders>
            <w:vAlign w:val="center"/>
          </w:tcPr>
          <w:p w14:paraId="735B1BA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spacing w:val="4"/>
                <w:kern w:val="0"/>
                <w:sz w:val="20"/>
                <w:szCs w:val="20"/>
                <w:lang w:val="en-US" w:eastAsia="zh-CN" w:bidi="ar-SA"/>
              </w:rPr>
              <w:t>55.34</w:t>
            </w:r>
            <w:r>
              <w:rPr>
                <w:rFonts w:ascii="Times New Roman" w:hAnsi="Times New Roman" w:eastAsia="Times New Roman" w:cs="Times New Roman"/>
                <w:snapToGrid w:val="0"/>
                <w:color w:val="auto"/>
                <w:spacing w:val="4"/>
                <w:kern w:val="0"/>
                <w:sz w:val="20"/>
                <w:szCs w:val="20"/>
                <w:lang w:val="en-US" w:eastAsia="en-US" w:bidi="ar-SA"/>
              </w:rPr>
              <w:t>%</w:t>
            </w:r>
          </w:p>
        </w:tc>
      </w:tr>
      <w:tr w14:paraId="499616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851" w:type="dxa"/>
            <w:tcBorders>
              <w:left w:val="nil"/>
            </w:tcBorders>
            <w:vAlign w:val="center"/>
          </w:tcPr>
          <w:p w14:paraId="71326E1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2</w:t>
            </w:r>
          </w:p>
        </w:tc>
        <w:tc>
          <w:tcPr>
            <w:tcW w:w="1469" w:type="dxa"/>
            <w:vAlign w:val="center"/>
          </w:tcPr>
          <w:p w14:paraId="53B87738">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落叶阔叶灌丛</w:t>
            </w:r>
          </w:p>
        </w:tc>
        <w:tc>
          <w:tcPr>
            <w:tcW w:w="1675" w:type="dxa"/>
            <w:vAlign w:val="center"/>
          </w:tcPr>
          <w:p w14:paraId="1B65ECB9">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spacing w:val="3"/>
                <w:kern w:val="0"/>
                <w:sz w:val="20"/>
                <w:szCs w:val="20"/>
                <w:lang w:val="en-US" w:eastAsia="zh-CN" w:bidi="ar-SA"/>
              </w:rPr>
              <w:t>2.8561</w:t>
            </w:r>
          </w:p>
        </w:tc>
        <w:tc>
          <w:tcPr>
            <w:tcW w:w="2812" w:type="dxa"/>
            <w:vAlign w:val="center"/>
          </w:tcPr>
          <w:p w14:paraId="27BD942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3"/>
                <w:kern w:val="0"/>
                <w:sz w:val="20"/>
                <w:szCs w:val="20"/>
                <w:lang w:val="en-US" w:eastAsia="en-US" w:bidi="ar-SA"/>
              </w:rPr>
              <w:t>25.89</w:t>
            </w:r>
          </w:p>
        </w:tc>
        <w:tc>
          <w:tcPr>
            <w:tcW w:w="1126" w:type="dxa"/>
            <w:vAlign w:val="center"/>
          </w:tcPr>
          <w:p w14:paraId="5F80AB4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spacing w:val="3"/>
                <w:kern w:val="0"/>
                <w:sz w:val="20"/>
                <w:szCs w:val="20"/>
                <w:lang w:val="en-US" w:eastAsia="zh-CN" w:bidi="ar-SA"/>
              </w:rPr>
              <w:t>73.94</w:t>
            </w:r>
          </w:p>
        </w:tc>
        <w:tc>
          <w:tcPr>
            <w:tcW w:w="1081" w:type="dxa"/>
            <w:tcBorders>
              <w:right w:val="nil"/>
            </w:tcBorders>
            <w:vAlign w:val="center"/>
          </w:tcPr>
          <w:p w14:paraId="5011418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spacing w:val="4"/>
                <w:kern w:val="0"/>
                <w:sz w:val="20"/>
                <w:szCs w:val="20"/>
                <w:lang w:val="en-US" w:eastAsia="zh-CN" w:bidi="ar-SA"/>
              </w:rPr>
              <w:t>33.71</w:t>
            </w:r>
            <w:r>
              <w:rPr>
                <w:rFonts w:ascii="Times New Roman" w:hAnsi="Times New Roman" w:eastAsia="Times New Roman" w:cs="Times New Roman"/>
                <w:snapToGrid w:val="0"/>
                <w:color w:val="auto"/>
                <w:spacing w:val="4"/>
                <w:kern w:val="0"/>
                <w:sz w:val="20"/>
                <w:szCs w:val="20"/>
                <w:lang w:val="en-US" w:eastAsia="en-US" w:bidi="ar-SA"/>
              </w:rPr>
              <w:t>%</w:t>
            </w:r>
          </w:p>
        </w:tc>
      </w:tr>
      <w:tr w14:paraId="46B903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851" w:type="dxa"/>
            <w:tcBorders>
              <w:left w:val="nil"/>
            </w:tcBorders>
            <w:vAlign w:val="center"/>
          </w:tcPr>
          <w:p w14:paraId="3060536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3</w:t>
            </w:r>
          </w:p>
        </w:tc>
        <w:tc>
          <w:tcPr>
            <w:tcW w:w="1469" w:type="dxa"/>
            <w:vAlign w:val="center"/>
          </w:tcPr>
          <w:p w14:paraId="2078C2F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丛生禾草草原</w:t>
            </w:r>
          </w:p>
        </w:tc>
        <w:tc>
          <w:tcPr>
            <w:tcW w:w="1675" w:type="dxa"/>
            <w:vAlign w:val="center"/>
          </w:tcPr>
          <w:p w14:paraId="1A06BCD5">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3"/>
                <w:kern w:val="0"/>
                <w:sz w:val="20"/>
                <w:szCs w:val="20"/>
                <w:lang w:val="en-US" w:eastAsia="en-US" w:bidi="ar-SA"/>
              </w:rPr>
              <w:t>0.</w:t>
            </w:r>
            <w:r>
              <w:rPr>
                <w:rFonts w:hint="eastAsia" w:eastAsia="宋体" w:cs="Times New Roman"/>
                <w:snapToGrid w:val="0"/>
                <w:color w:val="auto"/>
                <w:spacing w:val="3"/>
                <w:kern w:val="0"/>
                <w:sz w:val="20"/>
                <w:szCs w:val="20"/>
                <w:lang w:val="en-US" w:eastAsia="zh-CN" w:bidi="ar-SA"/>
              </w:rPr>
              <w:t>5847</w:t>
            </w:r>
          </w:p>
        </w:tc>
        <w:tc>
          <w:tcPr>
            <w:tcW w:w="2812" w:type="dxa"/>
            <w:vAlign w:val="center"/>
          </w:tcPr>
          <w:p w14:paraId="2BC8D83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5.56</w:t>
            </w:r>
          </w:p>
        </w:tc>
        <w:tc>
          <w:tcPr>
            <w:tcW w:w="1126" w:type="dxa"/>
            <w:vAlign w:val="center"/>
          </w:tcPr>
          <w:p w14:paraId="46B06EEA">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ascii="Times New Roman" w:hAnsi="Times New Roman" w:eastAsia="Times New Roman" w:cs="Times New Roman"/>
                <w:snapToGrid w:val="0"/>
                <w:color w:val="auto"/>
                <w:spacing w:val="1"/>
                <w:kern w:val="0"/>
                <w:sz w:val="20"/>
                <w:szCs w:val="20"/>
                <w:lang w:val="en-US" w:eastAsia="en-US" w:bidi="ar-SA"/>
              </w:rPr>
              <w:t>3.</w:t>
            </w:r>
            <w:r>
              <w:rPr>
                <w:rFonts w:hint="eastAsia" w:eastAsia="宋体" w:cs="Times New Roman"/>
                <w:snapToGrid w:val="0"/>
                <w:color w:val="auto"/>
                <w:spacing w:val="1"/>
                <w:kern w:val="0"/>
                <w:sz w:val="20"/>
                <w:szCs w:val="20"/>
                <w:lang w:val="en-US" w:eastAsia="zh-CN" w:bidi="ar-SA"/>
              </w:rPr>
              <w:t>25</w:t>
            </w:r>
          </w:p>
        </w:tc>
        <w:tc>
          <w:tcPr>
            <w:tcW w:w="1081" w:type="dxa"/>
            <w:tcBorders>
              <w:right w:val="nil"/>
            </w:tcBorders>
            <w:vAlign w:val="center"/>
          </w:tcPr>
          <w:p w14:paraId="1DBEF8A5">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spacing w:val="3"/>
                <w:kern w:val="0"/>
                <w:sz w:val="20"/>
                <w:szCs w:val="20"/>
                <w:lang w:val="en-US" w:eastAsia="zh-CN" w:bidi="ar-SA"/>
              </w:rPr>
              <w:t>1.48</w:t>
            </w:r>
            <w:r>
              <w:rPr>
                <w:rFonts w:ascii="Times New Roman" w:hAnsi="Times New Roman" w:eastAsia="Times New Roman" w:cs="Times New Roman"/>
                <w:snapToGrid w:val="0"/>
                <w:color w:val="auto"/>
                <w:spacing w:val="3"/>
                <w:kern w:val="0"/>
                <w:sz w:val="20"/>
                <w:szCs w:val="20"/>
                <w:lang w:val="en-US" w:eastAsia="en-US" w:bidi="ar-SA"/>
              </w:rPr>
              <w:t>%</w:t>
            </w:r>
          </w:p>
        </w:tc>
      </w:tr>
      <w:tr w14:paraId="3E1F05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851" w:type="dxa"/>
            <w:tcBorders>
              <w:left w:val="nil"/>
            </w:tcBorders>
            <w:vAlign w:val="center"/>
          </w:tcPr>
          <w:p w14:paraId="604C4E12">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1"/>
                <w:kern w:val="0"/>
                <w:sz w:val="20"/>
                <w:szCs w:val="20"/>
                <w:lang w:val="en-US" w:eastAsia="en-US" w:bidi="ar-SA"/>
              </w:rPr>
              <w:t>4</w:t>
            </w:r>
          </w:p>
        </w:tc>
        <w:tc>
          <w:tcPr>
            <w:tcW w:w="1469" w:type="dxa"/>
            <w:vAlign w:val="center"/>
          </w:tcPr>
          <w:p w14:paraId="7620E706">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农田植被</w:t>
            </w:r>
          </w:p>
        </w:tc>
        <w:tc>
          <w:tcPr>
            <w:tcW w:w="1675" w:type="dxa"/>
            <w:vAlign w:val="center"/>
          </w:tcPr>
          <w:p w14:paraId="17A431D7">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kern w:val="0"/>
                <w:sz w:val="20"/>
                <w:szCs w:val="20"/>
                <w:lang w:val="en-US" w:eastAsia="zh-CN" w:bidi="ar-SA"/>
              </w:rPr>
              <w:t>2.1864</w:t>
            </w:r>
          </w:p>
        </w:tc>
        <w:tc>
          <w:tcPr>
            <w:tcW w:w="2812" w:type="dxa"/>
            <w:vAlign w:val="center"/>
          </w:tcPr>
          <w:p w14:paraId="4422F17E">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1"/>
                <w:kern w:val="0"/>
                <w:sz w:val="20"/>
                <w:szCs w:val="20"/>
                <w:lang w:val="en-US" w:eastAsia="en-US" w:bidi="ar-SA"/>
              </w:rPr>
              <w:t>9.5</w:t>
            </w:r>
          </w:p>
        </w:tc>
        <w:tc>
          <w:tcPr>
            <w:tcW w:w="1126" w:type="dxa"/>
            <w:vAlign w:val="center"/>
          </w:tcPr>
          <w:p w14:paraId="069BA150">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spacing w:val="3"/>
                <w:kern w:val="0"/>
                <w:sz w:val="20"/>
                <w:szCs w:val="20"/>
                <w:lang w:val="en-US" w:eastAsia="zh-CN" w:bidi="ar-SA"/>
              </w:rPr>
              <w:t>20.77</w:t>
            </w:r>
          </w:p>
        </w:tc>
        <w:tc>
          <w:tcPr>
            <w:tcW w:w="1081" w:type="dxa"/>
            <w:tcBorders>
              <w:right w:val="nil"/>
            </w:tcBorders>
            <w:vAlign w:val="center"/>
          </w:tcPr>
          <w:p w14:paraId="0243994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kern w:val="0"/>
                <w:sz w:val="20"/>
                <w:szCs w:val="20"/>
                <w:lang w:val="en-US" w:eastAsia="zh-CN" w:bidi="ar-SA"/>
              </w:rPr>
              <w:t>9.47</w:t>
            </w:r>
            <w:r>
              <w:rPr>
                <w:rFonts w:ascii="Times New Roman" w:hAnsi="Times New Roman" w:eastAsia="Times New Roman" w:cs="Times New Roman"/>
                <w:snapToGrid w:val="0"/>
                <w:color w:val="auto"/>
                <w:kern w:val="0"/>
                <w:sz w:val="20"/>
                <w:szCs w:val="20"/>
                <w:lang w:val="en-US" w:eastAsia="en-US" w:bidi="ar-SA"/>
              </w:rPr>
              <w:t>%</w:t>
            </w:r>
          </w:p>
        </w:tc>
      </w:tr>
      <w:tr w14:paraId="67812F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851" w:type="dxa"/>
            <w:tcBorders>
              <w:left w:val="nil"/>
            </w:tcBorders>
            <w:vAlign w:val="center"/>
          </w:tcPr>
          <w:p w14:paraId="22AB5B83">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5</w:t>
            </w:r>
          </w:p>
        </w:tc>
        <w:tc>
          <w:tcPr>
            <w:tcW w:w="1469" w:type="dxa"/>
            <w:vAlign w:val="center"/>
          </w:tcPr>
          <w:p w14:paraId="12B60242">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4"/>
                <w:kern w:val="0"/>
                <w:sz w:val="20"/>
                <w:szCs w:val="20"/>
                <w:lang w:eastAsia="en-US"/>
              </w:rPr>
              <w:t>其他</w:t>
            </w:r>
          </w:p>
        </w:tc>
        <w:tc>
          <w:tcPr>
            <w:tcW w:w="1675" w:type="dxa"/>
            <w:vAlign w:val="center"/>
          </w:tcPr>
          <w:p w14:paraId="05316801">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3"/>
                <w:kern w:val="0"/>
                <w:sz w:val="20"/>
                <w:szCs w:val="20"/>
                <w:lang w:val="en-US" w:eastAsia="en-US" w:bidi="ar-SA"/>
              </w:rPr>
              <w:t>0.1454</w:t>
            </w:r>
          </w:p>
        </w:tc>
        <w:tc>
          <w:tcPr>
            <w:tcW w:w="2812" w:type="dxa"/>
            <w:vAlign w:val="center"/>
          </w:tcPr>
          <w:p w14:paraId="2FA91848">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0</w:t>
            </w:r>
          </w:p>
        </w:tc>
        <w:tc>
          <w:tcPr>
            <w:tcW w:w="1126" w:type="dxa"/>
            <w:vAlign w:val="center"/>
          </w:tcPr>
          <w:p w14:paraId="446F061C">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0.00</w:t>
            </w:r>
          </w:p>
        </w:tc>
        <w:tc>
          <w:tcPr>
            <w:tcW w:w="1081" w:type="dxa"/>
            <w:tcBorders>
              <w:right w:val="nil"/>
            </w:tcBorders>
            <w:vAlign w:val="center"/>
          </w:tcPr>
          <w:p w14:paraId="18788633">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3"/>
                <w:kern w:val="0"/>
                <w:sz w:val="20"/>
                <w:szCs w:val="20"/>
                <w:lang w:val="en-US" w:eastAsia="en-US" w:bidi="ar-SA"/>
              </w:rPr>
              <w:t>0.00%</w:t>
            </w:r>
          </w:p>
        </w:tc>
      </w:tr>
      <w:tr w14:paraId="370E0B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2320" w:type="dxa"/>
            <w:gridSpan w:val="2"/>
            <w:tcBorders>
              <w:left w:val="nil"/>
            </w:tcBorders>
            <w:vAlign w:val="center"/>
          </w:tcPr>
          <w:p w14:paraId="668C886D">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合计</w:t>
            </w:r>
          </w:p>
        </w:tc>
        <w:tc>
          <w:tcPr>
            <w:tcW w:w="1675" w:type="dxa"/>
            <w:vAlign w:val="center"/>
          </w:tcPr>
          <w:p w14:paraId="35540876">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kern w:val="0"/>
                <w:sz w:val="20"/>
                <w:szCs w:val="20"/>
                <w:lang w:val="en-US" w:eastAsia="zh-CN" w:bidi="ar-SA"/>
              </w:rPr>
              <w:t>7.5510</w:t>
            </w:r>
          </w:p>
        </w:tc>
        <w:tc>
          <w:tcPr>
            <w:tcW w:w="2812" w:type="dxa"/>
            <w:vAlign w:val="center"/>
          </w:tcPr>
          <w:p w14:paraId="537AD746">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tc>
        <w:tc>
          <w:tcPr>
            <w:tcW w:w="1126" w:type="dxa"/>
            <w:vAlign w:val="center"/>
          </w:tcPr>
          <w:p w14:paraId="1DA9836B">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b/>
                <w:bCs/>
                <w:snapToGrid w:val="0"/>
                <w:color w:val="auto"/>
                <w:spacing w:val="3"/>
                <w:kern w:val="0"/>
                <w:sz w:val="20"/>
                <w:szCs w:val="20"/>
                <w:lang w:val="en-US" w:eastAsia="zh-CN" w:bidi="ar-SA"/>
              </w:rPr>
              <w:t>219.35</w:t>
            </w:r>
          </w:p>
        </w:tc>
        <w:tc>
          <w:tcPr>
            <w:tcW w:w="1081" w:type="dxa"/>
            <w:tcBorders>
              <w:right w:val="nil"/>
            </w:tcBorders>
            <w:vAlign w:val="center"/>
          </w:tcPr>
          <w:p w14:paraId="39AE2211">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3"/>
                <w:kern w:val="0"/>
                <w:sz w:val="20"/>
                <w:szCs w:val="20"/>
                <w:lang w:val="en-US" w:eastAsia="en-US" w:bidi="ar-SA"/>
              </w:rPr>
              <w:t>100.00%</w:t>
            </w:r>
          </w:p>
        </w:tc>
      </w:tr>
    </w:tbl>
    <w:p w14:paraId="38ED512B">
      <w:pPr>
        <w:kinsoku w:val="0"/>
        <w:autoSpaceDE w:val="0"/>
        <w:autoSpaceDN w:val="0"/>
        <w:adjustRightInd w:val="0"/>
        <w:snapToGrid w:val="0"/>
        <w:spacing w:before="78" w:line="360" w:lineRule="auto"/>
        <w:ind w:left="509"/>
        <w:jc w:val="left"/>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⑶</w:t>
      </w:r>
      <w:r>
        <w:rPr>
          <w:rFonts w:ascii="宋体" w:hAnsi="宋体" w:eastAsia="宋体" w:cs="宋体"/>
          <w:b/>
          <w:bCs/>
          <w:snapToGrid w:val="0"/>
          <w:color w:val="auto"/>
          <w:spacing w:val="-3"/>
          <w:kern w:val="0"/>
          <w:sz w:val="24"/>
          <w:szCs w:val="24"/>
          <w:lang w:val="en-US" w:eastAsia="en-US" w:bidi="ar-SA"/>
        </w:rPr>
        <w:t>生态环境风险分析</w:t>
      </w:r>
    </w:p>
    <w:p w14:paraId="66C0F415">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6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本项目对植被的影响，主要是工程占地范围内植被的破坏，本</w:t>
      </w:r>
      <w:r>
        <w:rPr>
          <w:rFonts w:ascii="宋体" w:hAnsi="宋体" w:eastAsia="宋体" w:cs="宋体"/>
          <w:snapToGrid w:val="0"/>
          <w:color w:val="auto"/>
          <w:spacing w:val="-4"/>
          <w:kern w:val="0"/>
          <w:sz w:val="24"/>
          <w:szCs w:val="24"/>
          <w:lang w:val="en-US" w:eastAsia="en-US" w:bidi="ar-SA"/>
        </w:rPr>
        <w:t>项目为线性工</w:t>
      </w:r>
      <w:r>
        <w:rPr>
          <w:rFonts w:ascii="宋体" w:hAnsi="宋体" w:eastAsia="宋体" w:cs="宋体"/>
          <w:snapToGrid w:val="0"/>
          <w:color w:val="auto"/>
          <w:spacing w:val="-2"/>
          <w:kern w:val="0"/>
          <w:sz w:val="24"/>
          <w:szCs w:val="24"/>
          <w:lang w:val="en-US" w:eastAsia="en-US" w:bidi="ar-SA"/>
        </w:rPr>
        <w:t>程占地较为</w:t>
      </w:r>
      <w:r>
        <w:rPr>
          <w:rFonts w:hint="eastAsia" w:ascii="宋体" w:hAnsi="宋体" w:cs="宋体"/>
          <w:snapToGrid w:val="0"/>
          <w:color w:val="auto"/>
          <w:spacing w:val="-2"/>
          <w:kern w:val="0"/>
          <w:sz w:val="24"/>
          <w:szCs w:val="24"/>
          <w:lang w:val="en-US" w:eastAsia="zh-CN" w:bidi="ar-SA"/>
        </w:rPr>
        <w:t>分散</w:t>
      </w:r>
      <w:r>
        <w:rPr>
          <w:rFonts w:ascii="宋体" w:hAnsi="宋体" w:eastAsia="宋体" w:cs="宋体"/>
          <w:snapToGrid w:val="0"/>
          <w:color w:val="auto"/>
          <w:spacing w:val="-2"/>
          <w:kern w:val="0"/>
          <w:sz w:val="24"/>
          <w:szCs w:val="24"/>
          <w:lang w:val="en-US" w:eastAsia="en-US" w:bidi="ar-SA"/>
        </w:rPr>
        <w:t>，对植被带来的损失相对较小，施工期根据其不同的占地类型，</w:t>
      </w:r>
      <w:r>
        <w:rPr>
          <w:rFonts w:ascii="宋体" w:hAnsi="宋体" w:eastAsia="宋体" w:cs="宋体"/>
          <w:snapToGrid w:val="0"/>
          <w:color w:val="auto"/>
          <w:spacing w:val="-5"/>
          <w:kern w:val="0"/>
          <w:sz w:val="24"/>
          <w:szCs w:val="24"/>
          <w:lang w:val="en-US" w:eastAsia="en-US" w:bidi="ar-SA"/>
        </w:rPr>
        <w:t>对沿线占用耕地、林地和草地恢复其原有植被，</w:t>
      </w:r>
      <w:r>
        <w:rPr>
          <w:rFonts w:ascii="宋体" w:hAnsi="宋体" w:eastAsia="宋体" w:cs="宋体"/>
          <w:snapToGrid w:val="0"/>
          <w:color w:val="auto"/>
          <w:spacing w:val="-48"/>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恢复的植被种类均为占地区域生</w:t>
      </w:r>
      <w:r>
        <w:rPr>
          <w:rFonts w:ascii="宋体" w:hAnsi="宋体" w:eastAsia="宋体" w:cs="宋体"/>
          <w:snapToGrid w:val="0"/>
          <w:color w:val="auto"/>
          <w:spacing w:val="-6"/>
          <w:kern w:val="0"/>
          <w:sz w:val="24"/>
          <w:szCs w:val="24"/>
          <w:lang w:val="en-US" w:eastAsia="en-US" w:bidi="ar-SA"/>
        </w:rPr>
        <w:t>物群落的优势种、建群种。项目临时占地恢复后， 最终可形成</w:t>
      </w:r>
      <w:r>
        <w:rPr>
          <w:rFonts w:ascii="宋体" w:hAnsi="宋体" w:eastAsia="宋体" w:cs="宋体"/>
          <w:snapToGrid w:val="0"/>
          <w:color w:val="auto"/>
          <w:spacing w:val="-7"/>
          <w:kern w:val="0"/>
          <w:sz w:val="24"/>
          <w:szCs w:val="24"/>
          <w:lang w:val="en-US" w:eastAsia="en-US" w:bidi="ar-SA"/>
        </w:rPr>
        <w:t>与周边生态环境相</w:t>
      </w:r>
      <w:r>
        <w:rPr>
          <w:rFonts w:ascii="宋体" w:hAnsi="宋体" w:eastAsia="宋体" w:cs="宋体"/>
          <w:snapToGrid w:val="0"/>
          <w:color w:val="auto"/>
          <w:spacing w:val="-6"/>
          <w:kern w:val="0"/>
          <w:sz w:val="24"/>
          <w:szCs w:val="24"/>
          <w:lang w:val="en-US" w:eastAsia="en-US" w:bidi="ar-SA"/>
        </w:rPr>
        <w:t>协调的植物群落及生态系统。因此， 本项目不涉及因外源生物</w:t>
      </w:r>
      <w:r>
        <w:rPr>
          <w:rFonts w:ascii="宋体" w:hAnsi="宋体" w:eastAsia="宋体" w:cs="宋体"/>
          <w:snapToGrid w:val="0"/>
          <w:color w:val="auto"/>
          <w:spacing w:val="-7"/>
          <w:kern w:val="0"/>
          <w:sz w:val="24"/>
          <w:szCs w:val="24"/>
          <w:lang w:val="en-US" w:eastAsia="en-US" w:bidi="ar-SA"/>
        </w:rPr>
        <w:t>入侵，而导致的生态环境风险。</w:t>
      </w:r>
    </w:p>
    <w:p w14:paraId="1E716652">
      <w:pPr>
        <w:keepNext w:val="0"/>
        <w:keepLines w:val="0"/>
        <w:pageBreakBefore w:val="0"/>
        <w:widowControl w:val="0"/>
        <w:kinsoku w:val="0"/>
        <w:wordWrap/>
        <w:overflowPunct/>
        <w:topLinePunct w:val="0"/>
        <w:autoSpaceDE w:val="0"/>
        <w:autoSpaceDN w:val="0"/>
        <w:bidi w:val="0"/>
        <w:adjustRightInd w:val="0"/>
        <w:snapToGrid w:val="0"/>
        <w:spacing w:line="360" w:lineRule="auto"/>
        <w:ind w:left="0"/>
        <w:jc w:val="both"/>
        <w:textAlignment w:val="baseline"/>
        <w:outlineLvl w:val="3"/>
        <w:rPr>
          <w:rFonts w:hint="eastAsia" w:ascii="Times New Roman" w:hAnsi="Times New Roman" w:eastAsia="宋体" w:cs="Times New Roman"/>
          <w:b/>
          <w:bCs/>
          <w:color w:val="auto"/>
          <w:kern w:val="2"/>
          <w:sz w:val="24"/>
          <w:szCs w:val="24"/>
          <w:highlight w:val="none"/>
          <w:lang w:val="en-US" w:eastAsia="en-US" w:bidi="ar-SA"/>
        </w:rPr>
      </w:pPr>
      <w:r>
        <w:rPr>
          <w:rFonts w:hint="eastAsia" w:ascii="Times New Roman" w:hAnsi="Times New Roman" w:eastAsia="宋体"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en-US" w:bidi="ar-SA"/>
        </w:rPr>
        <w:t>.2.2.2运行期对植物的影响分析</w:t>
      </w:r>
    </w:p>
    <w:p w14:paraId="1CA40647">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1"/>
        <w:jc w:val="both"/>
        <w:textAlignment w:val="baseline"/>
        <w:rPr>
          <w:rFonts w:hint="default" w:ascii="Times New Roman" w:hAnsi="Times New Roman" w:eastAsia="宋体" w:cs="Times New Roman"/>
          <w:snapToGrid w:val="0"/>
          <w:color w:val="auto"/>
          <w:spacing w:val="-2"/>
          <w:kern w:val="0"/>
          <w:sz w:val="24"/>
          <w:szCs w:val="24"/>
          <w:lang w:val="en-US" w:eastAsia="en-US" w:bidi="ar-SA"/>
        </w:rPr>
      </w:pPr>
      <w:r>
        <w:rPr>
          <w:rFonts w:ascii="宋体" w:hAnsi="宋体" w:eastAsia="宋体" w:cs="宋体"/>
          <w:snapToGrid w:val="0"/>
          <w:color w:val="auto"/>
          <w:spacing w:val="-7"/>
          <w:kern w:val="0"/>
          <w:sz w:val="24"/>
          <w:szCs w:val="24"/>
          <w:lang w:val="en-US" w:eastAsia="en-US" w:bidi="ar-SA"/>
        </w:rPr>
        <w:t>项目运行期除杆塔四腿外，其余区域均进行土地复垦、植被恢复，工程临时</w:t>
      </w:r>
      <w:r>
        <w:rPr>
          <w:rFonts w:ascii="宋体" w:hAnsi="宋体" w:eastAsia="宋体" w:cs="宋体"/>
          <w:snapToGrid w:val="0"/>
          <w:color w:val="auto"/>
          <w:spacing w:val="-2"/>
          <w:kern w:val="0"/>
          <w:sz w:val="24"/>
          <w:szCs w:val="24"/>
          <w:lang w:val="en-US" w:eastAsia="en-US" w:bidi="ar-SA"/>
        </w:rPr>
        <w:t>占地区域内生物量逐步恢复至原有水平，损失的生物量为塔基永久占地生物量，</w:t>
      </w:r>
      <w:r>
        <w:rPr>
          <w:rFonts w:ascii="宋体" w:hAnsi="宋体" w:eastAsia="宋体" w:cs="宋体"/>
          <w:snapToGrid w:val="0"/>
          <w:color w:val="auto"/>
          <w:spacing w:val="-1"/>
          <w:kern w:val="0"/>
          <w:sz w:val="24"/>
          <w:szCs w:val="24"/>
          <w:lang w:val="en-US" w:eastAsia="en-US" w:bidi="ar-SA"/>
        </w:rPr>
        <w:t>经估算，运行期造成植被生物量损失</w:t>
      </w:r>
      <w:r>
        <w:rPr>
          <w:rFonts w:ascii="宋体" w:hAnsi="宋体" w:eastAsia="宋体" w:cs="宋体"/>
          <w:snapToGrid w:val="0"/>
          <w:color w:val="auto"/>
          <w:spacing w:val="-55"/>
          <w:kern w:val="0"/>
          <w:sz w:val="24"/>
          <w:szCs w:val="24"/>
          <w:lang w:val="en-US" w:eastAsia="en-US" w:bidi="ar-SA"/>
        </w:rPr>
        <w:t xml:space="preserve"> </w:t>
      </w:r>
      <w:r>
        <w:rPr>
          <w:rFonts w:hint="eastAsia" w:eastAsia="宋体" w:cs="Times New Roman"/>
          <w:snapToGrid w:val="0"/>
          <w:color w:val="auto"/>
          <w:spacing w:val="-1"/>
          <w:kern w:val="0"/>
          <w:sz w:val="24"/>
          <w:szCs w:val="24"/>
          <w:lang w:val="en-US" w:eastAsia="zh-CN" w:bidi="ar-SA"/>
        </w:rPr>
        <w:t>8.89</w:t>
      </w:r>
      <w:r>
        <w:rPr>
          <w:rFonts w:ascii="Times New Roman" w:hAnsi="Times New Roman" w:eastAsia="Times New Roman" w:cs="Times New Roman"/>
          <w:snapToGrid w:val="0"/>
          <w:color w:val="auto"/>
          <w:spacing w:val="-1"/>
          <w:kern w:val="0"/>
          <w:sz w:val="24"/>
          <w:szCs w:val="24"/>
          <w:lang w:val="en-US" w:eastAsia="en-US" w:bidi="ar-SA"/>
        </w:rPr>
        <w:t>t</w:t>
      </w:r>
      <w:r>
        <w:rPr>
          <w:rFonts w:ascii="宋体" w:hAnsi="宋体" w:eastAsia="宋体" w:cs="宋体"/>
          <w:snapToGrid w:val="0"/>
          <w:color w:val="auto"/>
          <w:spacing w:val="-1"/>
          <w:kern w:val="0"/>
          <w:sz w:val="24"/>
          <w:szCs w:val="24"/>
          <w:lang w:val="en-US" w:eastAsia="en-US" w:bidi="ar-SA"/>
        </w:rPr>
        <w:t>，详见</w:t>
      </w:r>
      <w:r>
        <w:rPr>
          <w:rFonts w:hint="eastAsia" w:ascii="宋体" w:hAnsi="宋体" w:cs="宋体"/>
          <w:snapToGrid w:val="0"/>
          <w:color w:val="auto"/>
          <w:spacing w:val="-1"/>
          <w:kern w:val="0"/>
          <w:sz w:val="24"/>
          <w:szCs w:val="24"/>
          <w:lang w:val="en-US" w:eastAsia="zh-CN" w:bidi="ar-SA"/>
        </w:rPr>
        <w:t>专题</w:t>
      </w:r>
      <w:r>
        <w:rPr>
          <w:rFonts w:ascii="宋体" w:hAnsi="宋体" w:eastAsia="宋体" w:cs="宋体"/>
          <w:snapToGrid w:val="0"/>
          <w:color w:val="auto"/>
          <w:spacing w:val="-1"/>
          <w:kern w:val="0"/>
          <w:sz w:val="24"/>
          <w:szCs w:val="24"/>
          <w:lang w:val="en-US" w:eastAsia="en-US" w:bidi="ar-SA"/>
        </w:rPr>
        <w:t>表</w:t>
      </w:r>
      <w:r>
        <w:rPr>
          <w:rFonts w:hint="default" w:ascii="Times New Roman" w:hAnsi="Times New Roman" w:cs="Times New Roman"/>
          <w:snapToGrid w:val="0"/>
          <w:color w:val="auto"/>
          <w:spacing w:val="-44"/>
          <w:kern w:val="0"/>
          <w:sz w:val="24"/>
          <w:szCs w:val="24"/>
          <w:lang w:val="en-US" w:eastAsia="zh-CN" w:bidi="ar-SA"/>
        </w:rPr>
        <w:t>3</w:t>
      </w:r>
      <w:r>
        <w:rPr>
          <w:rFonts w:hint="default" w:ascii="Times New Roman" w:hAnsi="Times New Roman" w:eastAsia="Times New Roman" w:cs="Times New Roman"/>
          <w:snapToGrid w:val="0"/>
          <w:color w:val="auto"/>
          <w:spacing w:val="-2"/>
          <w:kern w:val="0"/>
          <w:sz w:val="24"/>
          <w:szCs w:val="24"/>
          <w:lang w:val="en-US" w:eastAsia="en-US" w:bidi="ar-SA"/>
        </w:rPr>
        <w:t>-</w:t>
      </w:r>
      <w:r>
        <w:rPr>
          <w:rFonts w:hint="default" w:ascii="Times New Roman" w:hAnsi="Times New Roman" w:eastAsia="宋体" w:cs="Times New Roman"/>
          <w:snapToGrid w:val="0"/>
          <w:color w:val="auto"/>
          <w:spacing w:val="-2"/>
          <w:kern w:val="0"/>
          <w:sz w:val="24"/>
          <w:szCs w:val="24"/>
          <w:lang w:val="en-US" w:eastAsia="zh-CN" w:bidi="ar-SA"/>
        </w:rPr>
        <w:t>10</w:t>
      </w:r>
      <w:r>
        <w:rPr>
          <w:rFonts w:hint="default" w:ascii="Times New Roman" w:hAnsi="Times New Roman" w:eastAsia="宋体" w:cs="Times New Roman"/>
          <w:snapToGrid w:val="0"/>
          <w:color w:val="auto"/>
          <w:spacing w:val="-2"/>
          <w:kern w:val="0"/>
          <w:sz w:val="24"/>
          <w:szCs w:val="24"/>
          <w:lang w:val="en-US" w:eastAsia="en-US" w:bidi="ar-SA"/>
        </w:rPr>
        <w:t>。</w:t>
      </w:r>
    </w:p>
    <w:p w14:paraId="13076493">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2"/>
          <w:szCs w:val="22"/>
          <w:lang w:val="en-US" w:eastAsia="en-US" w:bidi="ar-SA"/>
        </w:rPr>
      </w:pPr>
      <w:r>
        <w:rPr>
          <w:rFonts w:hint="default" w:ascii="Times New Roman" w:hAnsi="Times New Roman" w:cs="Times New Roman"/>
          <w:b/>
          <w:bCs/>
          <w:snapToGrid w:val="0"/>
          <w:color w:val="auto"/>
          <w:spacing w:val="-1"/>
          <w:kern w:val="0"/>
          <w:sz w:val="22"/>
          <w:szCs w:val="22"/>
          <w:lang w:val="en-US" w:eastAsia="zh-CN" w:bidi="ar-SA"/>
        </w:rPr>
        <w:t>专题</w:t>
      </w:r>
      <w:r>
        <w:rPr>
          <w:rFonts w:hint="default" w:ascii="Times New Roman" w:hAnsi="Times New Roman" w:eastAsia="宋体" w:cs="Times New Roman"/>
          <w:b/>
          <w:bCs/>
          <w:snapToGrid w:val="0"/>
          <w:color w:val="auto"/>
          <w:spacing w:val="-1"/>
          <w:kern w:val="0"/>
          <w:sz w:val="22"/>
          <w:szCs w:val="22"/>
          <w:lang w:val="en-US" w:eastAsia="en-US" w:bidi="ar-SA"/>
        </w:rPr>
        <w:t>表</w:t>
      </w:r>
      <w:r>
        <w:rPr>
          <w:rFonts w:hint="default" w:ascii="Times New Roman" w:hAnsi="Times New Roman" w:eastAsia="宋体" w:cs="Times New Roman"/>
          <w:snapToGrid w:val="0"/>
          <w:color w:val="auto"/>
          <w:spacing w:val="-39"/>
          <w:kern w:val="0"/>
          <w:sz w:val="22"/>
          <w:szCs w:val="22"/>
          <w:lang w:val="en-US" w:eastAsia="en-US" w:bidi="ar-SA"/>
        </w:rPr>
        <w:t xml:space="preserve"> </w:t>
      </w:r>
      <w:r>
        <w:rPr>
          <w:rFonts w:hint="default" w:ascii="Times New Roman" w:hAnsi="Times New Roman" w:eastAsia="宋体" w:cs="Times New Roman"/>
          <w:b/>
          <w:bCs/>
          <w:snapToGrid w:val="0"/>
          <w:color w:val="auto"/>
          <w:spacing w:val="-1"/>
          <w:kern w:val="0"/>
          <w:sz w:val="22"/>
          <w:szCs w:val="22"/>
          <w:lang w:val="en-US" w:eastAsia="zh-CN" w:bidi="ar-SA"/>
        </w:rPr>
        <w:t>3</w:t>
      </w:r>
      <w:r>
        <w:rPr>
          <w:rFonts w:hint="default" w:ascii="Times New Roman" w:hAnsi="Times New Roman" w:eastAsia="Times New Roman" w:cs="Times New Roman"/>
          <w:b/>
          <w:bCs/>
          <w:snapToGrid w:val="0"/>
          <w:color w:val="auto"/>
          <w:spacing w:val="-1"/>
          <w:kern w:val="0"/>
          <w:sz w:val="22"/>
          <w:szCs w:val="22"/>
          <w:lang w:val="en-US" w:eastAsia="en-US" w:bidi="ar-SA"/>
        </w:rPr>
        <w:t>-</w:t>
      </w:r>
      <w:r>
        <w:rPr>
          <w:rFonts w:hint="default" w:ascii="Times New Roman" w:hAnsi="Times New Roman" w:eastAsia="宋体" w:cs="Times New Roman"/>
          <w:b/>
          <w:bCs/>
          <w:snapToGrid w:val="0"/>
          <w:color w:val="auto"/>
          <w:spacing w:val="-1"/>
          <w:kern w:val="0"/>
          <w:sz w:val="22"/>
          <w:szCs w:val="22"/>
          <w:lang w:val="en-US" w:eastAsia="zh-CN" w:bidi="ar-SA"/>
        </w:rPr>
        <w:t>10</w:t>
      </w:r>
      <w:r>
        <w:rPr>
          <w:rFonts w:hint="default" w:ascii="Times New Roman" w:hAnsi="Times New Roman" w:eastAsia="Times New Roman" w:cs="Times New Roman"/>
          <w:b/>
          <w:bCs/>
          <w:snapToGrid w:val="0"/>
          <w:color w:val="auto"/>
          <w:spacing w:val="-1"/>
          <w:kern w:val="0"/>
          <w:sz w:val="22"/>
          <w:szCs w:val="22"/>
          <w:lang w:val="en-US" w:eastAsia="en-US" w:bidi="ar-SA"/>
        </w:rPr>
        <w:t xml:space="preserve">    </w:t>
      </w:r>
      <w:r>
        <w:rPr>
          <w:rFonts w:hint="default" w:ascii="Times New Roman" w:hAnsi="Times New Roman" w:eastAsia="宋体" w:cs="Times New Roman"/>
          <w:b/>
          <w:bCs/>
          <w:snapToGrid w:val="0"/>
          <w:color w:val="auto"/>
          <w:spacing w:val="-1"/>
          <w:kern w:val="0"/>
          <w:sz w:val="22"/>
          <w:szCs w:val="22"/>
          <w:lang w:val="en-US" w:eastAsia="en-US" w:bidi="ar-SA"/>
        </w:rPr>
        <w:t>运行期植被生物量损失估算表</w:t>
      </w:r>
    </w:p>
    <w:tbl>
      <w:tblPr>
        <w:tblStyle w:val="83"/>
        <w:tblW w:w="832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0"/>
        <w:gridCol w:w="1430"/>
        <w:gridCol w:w="1240"/>
        <w:gridCol w:w="2382"/>
        <w:gridCol w:w="1081"/>
        <w:gridCol w:w="1546"/>
      </w:tblGrid>
      <w:tr w14:paraId="7088E2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0" w:hRule="atLeast"/>
        </w:trPr>
        <w:tc>
          <w:tcPr>
            <w:tcW w:w="650" w:type="dxa"/>
            <w:tcBorders>
              <w:left w:val="nil"/>
            </w:tcBorders>
            <w:vAlign w:val="center"/>
          </w:tcPr>
          <w:p w14:paraId="563FF33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0"/>
                <w:szCs w:val="20"/>
                <w:lang w:eastAsia="en-US"/>
              </w:rPr>
            </w:pPr>
            <w:r>
              <w:rPr>
                <w:rFonts w:ascii="宋体" w:hAnsi="宋体" w:eastAsia="宋体" w:cs="宋体"/>
                <w:b/>
                <w:bCs/>
                <w:snapToGrid w:val="0"/>
                <w:color w:val="auto"/>
                <w:spacing w:val="5"/>
                <w:kern w:val="0"/>
                <w:sz w:val="20"/>
                <w:szCs w:val="20"/>
                <w:lang w:eastAsia="en-US"/>
              </w:rPr>
              <w:t>序号</w:t>
            </w:r>
          </w:p>
        </w:tc>
        <w:tc>
          <w:tcPr>
            <w:tcW w:w="1430" w:type="dxa"/>
            <w:vAlign w:val="center"/>
          </w:tcPr>
          <w:p w14:paraId="18BCEA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0"/>
                <w:szCs w:val="20"/>
                <w:lang w:eastAsia="en-US"/>
              </w:rPr>
            </w:pPr>
            <w:r>
              <w:rPr>
                <w:rFonts w:ascii="宋体" w:hAnsi="宋体" w:eastAsia="宋体" w:cs="宋体"/>
                <w:b/>
                <w:bCs/>
                <w:snapToGrid w:val="0"/>
                <w:color w:val="auto"/>
                <w:spacing w:val="7"/>
                <w:kern w:val="0"/>
                <w:sz w:val="20"/>
                <w:szCs w:val="20"/>
                <w:lang w:eastAsia="en-US"/>
              </w:rPr>
              <w:t>植被类型</w:t>
            </w:r>
          </w:p>
        </w:tc>
        <w:tc>
          <w:tcPr>
            <w:tcW w:w="1240" w:type="dxa"/>
            <w:vAlign w:val="center"/>
          </w:tcPr>
          <w:p w14:paraId="0707E386">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0"/>
                <w:szCs w:val="20"/>
                <w:lang w:val="en-US" w:eastAsia="en-US" w:bidi="ar-SA"/>
              </w:rPr>
            </w:pPr>
            <w:r>
              <w:rPr>
                <w:rFonts w:ascii="宋体" w:hAnsi="宋体" w:eastAsia="宋体" w:cs="宋体"/>
                <w:b/>
                <w:bCs/>
                <w:snapToGrid w:val="0"/>
                <w:color w:val="auto"/>
                <w:spacing w:val="7"/>
                <w:kern w:val="0"/>
                <w:sz w:val="20"/>
                <w:szCs w:val="20"/>
                <w:lang w:val="en-US" w:eastAsia="en-US" w:bidi="ar-SA"/>
              </w:rPr>
              <w:t>面积（</w:t>
            </w:r>
            <w:r>
              <w:rPr>
                <w:rFonts w:ascii="Times New Roman" w:hAnsi="Times New Roman" w:eastAsia="Times New Roman" w:cs="Times New Roman"/>
                <w:b/>
                <w:bCs/>
                <w:snapToGrid w:val="0"/>
                <w:color w:val="auto"/>
                <w:kern w:val="0"/>
                <w:sz w:val="20"/>
                <w:szCs w:val="20"/>
                <w:lang w:val="en-US" w:eastAsia="en-US" w:bidi="ar-SA"/>
              </w:rPr>
              <w:t>hm</w:t>
            </w:r>
            <w:r>
              <w:rPr>
                <w:rFonts w:ascii="Times New Roman" w:hAnsi="Times New Roman" w:eastAsia="Times New Roman" w:cs="Times New Roman"/>
                <w:b/>
                <w:bCs/>
                <w:snapToGrid w:val="0"/>
                <w:color w:val="auto"/>
                <w:spacing w:val="7"/>
                <w:kern w:val="0"/>
                <w:position w:val="6"/>
                <w:sz w:val="13"/>
                <w:szCs w:val="13"/>
                <w:lang w:val="en-US" w:eastAsia="en-US" w:bidi="ar-SA"/>
              </w:rPr>
              <w:t>2</w:t>
            </w:r>
            <w:r>
              <w:rPr>
                <w:rFonts w:ascii="宋体" w:hAnsi="宋体" w:eastAsia="宋体" w:cs="宋体"/>
                <w:b/>
                <w:bCs/>
                <w:snapToGrid w:val="0"/>
                <w:color w:val="auto"/>
                <w:spacing w:val="7"/>
                <w:kern w:val="0"/>
                <w:sz w:val="20"/>
                <w:szCs w:val="20"/>
                <w:lang w:val="en-US" w:eastAsia="en-US" w:bidi="ar-SA"/>
              </w:rPr>
              <w:t>）</w:t>
            </w:r>
          </w:p>
        </w:tc>
        <w:tc>
          <w:tcPr>
            <w:tcW w:w="2382" w:type="dxa"/>
            <w:vAlign w:val="center"/>
          </w:tcPr>
          <w:p w14:paraId="769D3EA0">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0"/>
                <w:szCs w:val="20"/>
                <w:lang w:val="en-US" w:eastAsia="en-US" w:bidi="ar-SA"/>
              </w:rPr>
            </w:pPr>
            <w:r>
              <w:rPr>
                <w:rFonts w:ascii="宋体" w:hAnsi="宋体" w:eastAsia="宋体" w:cs="宋体"/>
                <w:b/>
                <w:bCs/>
                <w:snapToGrid w:val="0"/>
                <w:color w:val="auto"/>
                <w:spacing w:val="7"/>
                <w:kern w:val="0"/>
                <w:sz w:val="20"/>
                <w:szCs w:val="20"/>
                <w:lang w:val="en-US" w:eastAsia="en-US" w:bidi="ar-SA"/>
              </w:rPr>
              <w:t>单位面积生物</w:t>
            </w:r>
            <w:r>
              <w:rPr>
                <w:rFonts w:ascii="宋体" w:hAnsi="宋体" w:eastAsia="宋体" w:cs="宋体"/>
                <w:b/>
                <w:bCs/>
                <w:snapToGrid w:val="0"/>
                <w:color w:val="auto"/>
                <w:spacing w:val="5"/>
                <w:kern w:val="0"/>
                <w:sz w:val="20"/>
                <w:szCs w:val="20"/>
                <w:lang w:val="en-US" w:eastAsia="en-US" w:bidi="ar-SA"/>
              </w:rPr>
              <w:t>量（</w:t>
            </w:r>
            <w:r>
              <w:rPr>
                <w:rFonts w:ascii="Times New Roman" w:hAnsi="Times New Roman" w:eastAsia="Times New Roman" w:cs="Times New Roman"/>
                <w:b/>
                <w:bCs/>
                <w:snapToGrid w:val="0"/>
                <w:color w:val="auto"/>
                <w:spacing w:val="5"/>
                <w:kern w:val="0"/>
                <w:sz w:val="20"/>
                <w:szCs w:val="20"/>
                <w:lang w:val="en-US" w:eastAsia="en-US" w:bidi="ar-SA"/>
              </w:rPr>
              <w:t>t/</w:t>
            </w:r>
            <w:r>
              <w:rPr>
                <w:rFonts w:ascii="Times New Roman" w:hAnsi="Times New Roman" w:eastAsia="Times New Roman" w:cs="Times New Roman"/>
                <w:b/>
                <w:bCs/>
                <w:snapToGrid w:val="0"/>
                <w:color w:val="auto"/>
                <w:kern w:val="0"/>
                <w:sz w:val="20"/>
                <w:szCs w:val="20"/>
                <w:lang w:val="en-US" w:eastAsia="en-US" w:bidi="ar-SA"/>
              </w:rPr>
              <w:t>hm</w:t>
            </w:r>
            <w:r>
              <w:rPr>
                <w:rFonts w:ascii="Times New Roman" w:hAnsi="Times New Roman" w:eastAsia="Times New Roman" w:cs="Times New Roman"/>
                <w:b/>
                <w:bCs/>
                <w:snapToGrid w:val="0"/>
                <w:color w:val="auto"/>
                <w:spacing w:val="5"/>
                <w:kern w:val="0"/>
                <w:sz w:val="20"/>
                <w:szCs w:val="20"/>
                <w:vertAlign w:val="superscript"/>
                <w:lang w:val="en-US" w:eastAsia="en-US" w:bidi="ar-SA"/>
              </w:rPr>
              <w:t>2</w:t>
            </w:r>
            <w:r>
              <w:rPr>
                <w:rFonts w:ascii="宋体" w:hAnsi="宋体" w:eastAsia="宋体" w:cs="宋体"/>
                <w:b/>
                <w:bCs/>
                <w:snapToGrid w:val="0"/>
                <w:color w:val="auto"/>
                <w:spacing w:val="5"/>
                <w:kern w:val="0"/>
                <w:sz w:val="20"/>
                <w:szCs w:val="20"/>
                <w:lang w:val="en-US" w:eastAsia="en-US" w:bidi="ar-SA"/>
              </w:rPr>
              <w:t>）</w:t>
            </w:r>
          </w:p>
        </w:tc>
        <w:tc>
          <w:tcPr>
            <w:tcW w:w="1081" w:type="dxa"/>
            <w:vAlign w:val="center"/>
          </w:tcPr>
          <w:p w14:paraId="01A11164">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0"/>
                <w:szCs w:val="20"/>
                <w:lang w:val="en-US" w:eastAsia="en-US" w:bidi="ar-SA"/>
              </w:rPr>
            </w:pPr>
            <w:r>
              <w:rPr>
                <w:rFonts w:ascii="宋体" w:hAnsi="宋体" w:eastAsia="宋体" w:cs="宋体"/>
                <w:b/>
                <w:bCs/>
                <w:snapToGrid w:val="0"/>
                <w:color w:val="auto"/>
                <w:spacing w:val="5"/>
                <w:kern w:val="0"/>
                <w:sz w:val="20"/>
                <w:szCs w:val="20"/>
                <w:lang w:val="en-US" w:eastAsia="en-US" w:bidi="ar-SA"/>
              </w:rPr>
              <w:t>生物量（</w:t>
            </w:r>
            <w:r>
              <w:rPr>
                <w:rFonts w:ascii="Times New Roman" w:hAnsi="Times New Roman" w:eastAsia="Times New Roman" w:cs="Times New Roman"/>
                <w:b/>
                <w:bCs/>
                <w:snapToGrid w:val="0"/>
                <w:color w:val="auto"/>
                <w:spacing w:val="5"/>
                <w:kern w:val="0"/>
                <w:sz w:val="20"/>
                <w:szCs w:val="20"/>
                <w:lang w:val="en-US" w:eastAsia="en-US" w:bidi="ar-SA"/>
              </w:rPr>
              <w:t>t</w:t>
            </w:r>
            <w:r>
              <w:rPr>
                <w:rFonts w:ascii="宋体" w:hAnsi="宋体" w:eastAsia="宋体" w:cs="宋体"/>
                <w:b/>
                <w:bCs/>
                <w:snapToGrid w:val="0"/>
                <w:color w:val="auto"/>
                <w:spacing w:val="5"/>
                <w:kern w:val="0"/>
                <w:sz w:val="20"/>
                <w:szCs w:val="20"/>
                <w:lang w:val="en-US" w:eastAsia="en-US" w:bidi="ar-SA"/>
              </w:rPr>
              <w:t>）</w:t>
            </w:r>
          </w:p>
        </w:tc>
        <w:tc>
          <w:tcPr>
            <w:tcW w:w="1546" w:type="dxa"/>
            <w:tcBorders>
              <w:right w:val="nil"/>
            </w:tcBorders>
            <w:vAlign w:val="center"/>
          </w:tcPr>
          <w:p w14:paraId="52ED35F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b/>
                <w:bCs/>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占总生物量比例</w:t>
            </w:r>
          </w:p>
        </w:tc>
      </w:tr>
      <w:tr w14:paraId="20B35E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650" w:type="dxa"/>
            <w:tcBorders>
              <w:left w:val="nil"/>
            </w:tcBorders>
            <w:vAlign w:val="center"/>
          </w:tcPr>
          <w:p w14:paraId="109873E7">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1</w:t>
            </w:r>
          </w:p>
        </w:tc>
        <w:tc>
          <w:tcPr>
            <w:tcW w:w="1430" w:type="dxa"/>
            <w:vAlign w:val="center"/>
          </w:tcPr>
          <w:p w14:paraId="25245B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1"/>
                <w:kern w:val="0"/>
                <w:sz w:val="20"/>
                <w:szCs w:val="20"/>
                <w:lang w:eastAsia="en-US"/>
              </w:rPr>
              <w:t>阔叶林</w:t>
            </w:r>
          </w:p>
        </w:tc>
        <w:tc>
          <w:tcPr>
            <w:tcW w:w="1240" w:type="dxa"/>
            <w:vAlign w:val="center"/>
          </w:tcPr>
          <w:p w14:paraId="5FC96BC1">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3"/>
                <w:kern w:val="0"/>
                <w:sz w:val="20"/>
                <w:szCs w:val="20"/>
                <w:lang w:val="en-US" w:eastAsia="en-US" w:bidi="ar-SA"/>
              </w:rPr>
              <w:t>0.</w:t>
            </w:r>
            <w:r>
              <w:rPr>
                <w:rFonts w:hint="eastAsia" w:eastAsia="宋体" w:cs="Times New Roman"/>
                <w:snapToGrid w:val="0"/>
                <w:color w:val="auto"/>
                <w:spacing w:val="3"/>
                <w:kern w:val="0"/>
                <w:sz w:val="20"/>
                <w:szCs w:val="20"/>
                <w:lang w:val="en-US" w:eastAsia="zh-CN" w:bidi="ar-SA"/>
              </w:rPr>
              <w:t>0621</w:t>
            </w:r>
          </w:p>
        </w:tc>
        <w:tc>
          <w:tcPr>
            <w:tcW w:w="2382" w:type="dxa"/>
            <w:vAlign w:val="center"/>
          </w:tcPr>
          <w:p w14:paraId="74E32AF6">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68.26</w:t>
            </w:r>
          </w:p>
        </w:tc>
        <w:tc>
          <w:tcPr>
            <w:tcW w:w="1081" w:type="dxa"/>
            <w:vAlign w:val="center"/>
          </w:tcPr>
          <w:p w14:paraId="65BD487A">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spacing w:val="1"/>
                <w:kern w:val="0"/>
                <w:sz w:val="20"/>
                <w:szCs w:val="20"/>
                <w:lang w:val="en-US" w:eastAsia="zh-CN" w:bidi="ar-SA"/>
              </w:rPr>
              <w:t>4.24</w:t>
            </w:r>
          </w:p>
        </w:tc>
        <w:tc>
          <w:tcPr>
            <w:tcW w:w="1546" w:type="dxa"/>
            <w:tcBorders>
              <w:right w:val="nil"/>
            </w:tcBorders>
            <w:vAlign w:val="center"/>
          </w:tcPr>
          <w:p w14:paraId="0BE4C7B8">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4"/>
                <w:kern w:val="0"/>
                <w:sz w:val="20"/>
                <w:szCs w:val="20"/>
                <w:lang w:val="en-US" w:eastAsia="en-US" w:bidi="ar-SA"/>
              </w:rPr>
              <w:t>4</w:t>
            </w:r>
            <w:r>
              <w:rPr>
                <w:rFonts w:hint="eastAsia" w:eastAsia="宋体" w:cs="Times New Roman"/>
                <w:snapToGrid w:val="0"/>
                <w:color w:val="auto"/>
                <w:spacing w:val="4"/>
                <w:kern w:val="0"/>
                <w:sz w:val="20"/>
                <w:szCs w:val="20"/>
                <w:lang w:val="en-US" w:eastAsia="zh-CN" w:bidi="ar-SA"/>
              </w:rPr>
              <w:t>7.69</w:t>
            </w:r>
            <w:r>
              <w:rPr>
                <w:rFonts w:ascii="Times New Roman" w:hAnsi="Times New Roman" w:eastAsia="Times New Roman" w:cs="Times New Roman"/>
                <w:snapToGrid w:val="0"/>
                <w:color w:val="auto"/>
                <w:spacing w:val="4"/>
                <w:kern w:val="0"/>
                <w:sz w:val="20"/>
                <w:szCs w:val="20"/>
                <w:lang w:val="en-US" w:eastAsia="en-US" w:bidi="ar-SA"/>
              </w:rPr>
              <w:t>%</w:t>
            </w:r>
          </w:p>
        </w:tc>
      </w:tr>
      <w:tr w14:paraId="6884F2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650" w:type="dxa"/>
            <w:tcBorders>
              <w:left w:val="nil"/>
            </w:tcBorders>
            <w:vAlign w:val="center"/>
          </w:tcPr>
          <w:p w14:paraId="6DC1E23D">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2</w:t>
            </w:r>
          </w:p>
        </w:tc>
        <w:tc>
          <w:tcPr>
            <w:tcW w:w="1430" w:type="dxa"/>
            <w:vAlign w:val="center"/>
          </w:tcPr>
          <w:p w14:paraId="18919F1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落叶阔叶灌丛</w:t>
            </w:r>
          </w:p>
        </w:tc>
        <w:tc>
          <w:tcPr>
            <w:tcW w:w="1240" w:type="dxa"/>
            <w:vAlign w:val="center"/>
          </w:tcPr>
          <w:p w14:paraId="075CCAD9">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spacing w:val="3"/>
                <w:kern w:val="0"/>
                <w:sz w:val="20"/>
                <w:szCs w:val="20"/>
                <w:lang w:val="en-US" w:eastAsia="zh-CN" w:bidi="ar-SA"/>
              </w:rPr>
              <w:t>0.1188</w:t>
            </w:r>
          </w:p>
        </w:tc>
        <w:tc>
          <w:tcPr>
            <w:tcW w:w="2382" w:type="dxa"/>
            <w:vAlign w:val="center"/>
          </w:tcPr>
          <w:p w14:paraId="15349A99">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3"/>
                <w:kern w:val="0"/>
                <w:sz w:val="20"/>
                <w:szCs w:val="20"/>
                <w:lang w:val="en-US" w:eastAsia="en-US" w:bidi="ar-SA"/>
              </w:rPr>
              <w:t>25.89</w:t>
            </w:r>
          </w:p>
        </w:tc>
        <w:tc>
          <w:tcPr>
            <w:tcW w:w="1081" w:type="dxa"/>
            <w:vAlign w:val="center"/>
          </w:tcPr>
          <w:p w14:paraId="72EB7AF1">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spacing w:val="1"/>
                <w:kern w:val="0"/>
                <w:sz w:val="20"/>
                <w:szCs w:val="20"/>
                <w:lang w:val="en-US" w:eastAsia="zh-CN" w:bidi="ar-SA"/>
              </w:rPr>
              <w:t>3.08</w:t>
            </w:r>
          </w:p>
        </w:tc>
        <w:tc>
          <w:tcPr>
            <w:tcW w:w="1546" w:type="dxa"/>
            <w:tcBorders>
              <w:right w:val="nil"/>
            </w:tcBorders>
            <w:vAlign w:val="center"/>
          </w:tcPr>
          <w:p w14:paraId="38613274">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spacing w:val="4"/>
                <w:kern w:val="0"/>
                <w:sz w:val="20"/>
                <w:szCs w:val="20"/>
                <w:lang w:val="en-US" w:eastAsia="zh-CN" w:bidi="ar-SA"/>
              </w:rPr>
              <w:t>34.65</w:t>
            </w:r>
            <w:r>
              <w:rPr>
                <w:rFonts w:ascii="Times New Roman" w:hAnsi="Times New Roman" w:eastAsia="Times New Roman" w:cs="Times New Roman"/>
                <w:snapToGrid w:val="0"/>
                <w:color w:val="auto"/>
                <w:spacing w:val="4"/>
                <w:kern w:val="0"/>
                <w:sz w:val="20"/>
                <w:szCs w:val="20"/>
                <w:lang w:val="en-US" w:eastAsia="en-US" w:bidi="ar-SA"/>
              </w:rPr>
              <w:t>%</w:t>
            </w:r>
          </w:p>
        </w:tc>
      </w:tr>
      <w:tr w14:paraId="690E14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650" w:type="dxa"/>
            <w:tcBorders>
              <w:left w:val="nil"/>
            </w:tcBorders>
            <w:vAlign w:val="center"/>
          </w:tcPr>
          <w:p w14:paraId="4B44AFDA">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3</w:t>
            </w:r>
          </w:p>
        </w:tc>
        <w:tc>
          <w:tcPr>
            <w:tcW w:w="1430" w:type="dxa"/>
            <w:vAlign w:val="center"/>
          </w:tcPr>
          <w:p w14:paraId="1550A0E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8"/>
                <w:kern w:val="0"/>
                <w:sz w:val="20"/>
                <w:szCs w:val="20"/>
                <w:lang w:eastAsia="en-US"/>
              </w:rPr>
              <w:t>丛生禾草草原</w:t>
            </w:r>
          </w:p>
        </w:tc>
        <w:tc>
          <w:tcPr>
            <w:tcW w:w="1240" w:type="dxa"/>
            <w:vAlign w:val="center"/>
          </w:tcPr>
          <w:p w14:paraId="395A1CF3">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kern w:val="0"/>
                <w:sz w:val="20"/>
                <w:szCs w:val="20"/>
                <w:lang w:val="en-US" w:eastAsia="zh-CN" w:bidi="ar-SA"/>
              </w:rPr>
              <w:t>0.0251</w:t>
            </w:r>
          </w:p>
        </w:tc>
        <w:tc>
          <w:tcPr>
            <w:tcW w:w="2382" w:type="dxa"/>
            <w:vAlign w:val="center"/>
          </w:tcPr>
          <w:p w14:paraId="67C34B57">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5.56</w:t>
            </w:r>
          </w:p>
        </w:tc>
        <w:tc>
          <w:tcPr>
            <w:tcW w:w="1081" w:type="dxa"/>
            <w:vAlign w:val="center"/>
          </w:tcPr>
          <w:p w14:paraId="428823B1">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ascii="Times New Roman" w:hAnsi="Times New Roman" w:eastAsia="Times New Roman" w:cs="Times New Roman"/>
                <w:snapToGrid w:val="0"/>
                <w:color w:val="auto"/>
                <w:spacing w:val="2"/>
                <w:kern w:val="0"/>
                <w:sz w:val="20"/>
                <w:szCs w:val="20"/>
                <w:lang w:val="en-US" w:eastAsia="en-US" w:bidi="ar-SA"/>
              </w:rPr>
              <w:t>0.</w:t>
            </w:r>
            <w:r>
              <w:rPr>
                <w:rFonts w:hint="eastAsia" w:eastAsia="宋体" w:cs="Times New Roman"/>
                <w:snapToGrid w:val="0"/>
                <w:color w:val="auto"/>
                <w:spacing w:val="2"/>
                <w:kern w:val="0"/>
                <w:sz w:val="20"/>
                <w:szCs w:val="20"/>
                <w:lang w:val="en-US" w:eastAsia="zh-CN" w:bidi="ar-SA"/>
              </w:rPr>
              <w:t>14</w:t>
            </w:r>
          </w:p>
        </w:tc>
        <w:tc>
          <w:tcPr>
            <w:tcW w:w="1546" w:type="dxa"/>
            <w:tcBorders>
              <w:right w:val="nil"/>
            </w:tcBorders>
            <w:vAlign w:val="center"/>
          </w:tcPr>
          <w:p w14:paraId="62D5156D">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spacing w:val="3"/>
                <w:kern w:val="0"/>
                <w:sz w:val="20"/>
                <w:szCs w:val="20"/>
                <w:lang w:val="en-US" w:eastAsia="zh-CN" w:bidi="ar-SA"/>
              </w:rPr>
              <w:t>1.57</w:t>
            </w:r>
            <w:r>
              <w:rPr>
                <w:rFonts w:ascii="Times New Roman" w:hAnsi="Times New Roman" w:eastAsia="Times New Roman" w:cs="Times New Roman"/>
                <w:snapToGrid w:val="0"/>
                <w:color w:val="auto"/>
                <w:spacing w:val="3"/>
                <w:kern w:val="0"/>
                <w:sz w:val="20"/>
                <w:szCs w:val="20"/>
                <w:lang w:val="en-US" w:eastAsia="en-US" w:bidi="ar-SA"/>
              </w:rPr>
              <w:t>%</w:t>
            </w:r>
          </w:p>
        </w:tc>
      </w:tr>
      <w:tr w14:paraId="544175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650" w:type="dxa"/>
            <w:tcBorders>
              <w:left w:val="nil"/>
            </w:tcBorders>
            <w:vAlign w:val="center"/>
          </w:tcPr>
          <w:p w14:paraId="1E915CC7">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1"/>
                <w:kern w:val="0"/>
                <w:sz w:val="20"/>
                <w:szCs w:val="20"/>
                <w:lang w:val="en-US" w:eastAsia="en-US" w:bidi="ar-SA"/>
              </w:rPr>
              <w:t>4</w:t>
            </w:r>
          </w:p>
        </w:tc>
        <w:tc>
          <w:tcPr>
            <w:tcW w:w="1430" w:type="dxa"/>
            <w:vAlign w:val="center"/>
          </w:tcPr>
          <w:p w14:paraId="7B3A70D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7"/>
                <w:kern w:val="0"/>
                <w:sz w:val="20"/>
                <w:szCs w:val="20"/>
                <w:lang w:eastAsia="en-US"/>
              </w:rPr>
              <w:t>农田植被</w:t>
            </w:r>
          </w:p>
        </w:tc>
        <w:tc>
          <w:tcPr>
            <w:tcW w:w="1240" w:type="dxa"/>
            <w:vAlign w:val="center"/>
          </w:tcPr>
          <w:p w14:paraId="4D803461">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spacing w:val="3"/>
                <w:kern w:val="0"/>
                <w:sz w:val="20"/>
                <w:szCs w:val="20"/>
                <w:lang w:val="en-US" w:eastAsia="zh-CN" w:bidi="ar-SA"/>
              </w:rPr>
              <w:t>0.1502</w:t>
            </w:r>
          </w:p>
        </w:tc>
        <w:tc>
          <w:tcPr>
            <w:tcW w:w="2382" w:type="dxa"/>
            <w:vAlign w:val="center"/>
          </w:tcPr>
          <w:p w14:paraId="295DBEEB">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1"/>
                <w:kern w:val="0"/>
                <w:sz w:val="20"/>
                <w:szCs w:val="20"/>
                <w:lang w:val="en-US" w:eastAsia="en-US" w:bidi="ar-SA"/>
              </w:rPr>
              <w:t>9.5</w:t>
            </w:r>
          </w:p>
        </w:tc>
        <w:tc>
          <w:tcPr>
            <w:tcW w:w="1081" w:type="dxa"/>
            <w:vAlign w:val="center"/>
          </w:tcPr>
          <w:p w14:paraId="5B75CADC">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spacing w:val="1"/>
                <w:kern w:val="0"/>
                <w:sz w:val="20"/>
                <w:szCs w:val="20"/>
                <w:lang w:val="en-US" w:eastAsia="zh-CN" w:bidi="ar-SA"/>
              </w:rPr>
              <w:t>1.43</w:t>
            </w:r>
          </w:p>
        </w:tc>
        <w:tc>
          <w:tcPr>
            <w:tcW w:w="1546" w:type="dxa"/>
            <w:tcBorders>
              <w:right w:val="nil"/>
            </w:tcBorders>
            <w:vAlign w:val="center"/>
          </w:tcPr>
          <w:p w14:paraId="18711294">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kern w:val="0"/>
                <w:sz w:val="20"/>
                <w:szCs w:val="20"/>
                <w:lang w:val="en-US" w:eastAsia="zh-CN" w:bidi="ar-SA"/>
              </w:rPr>
              <w:t>16.09</w:t>
            </w:r>
            <w:r>
              <w:rPr>
                <w:rFonts w:ascii="Times New Roman" w:hAnsi="Times New Roman" w:eastAsia="Times New Roman" w:cs="Times New Roman"/>
                <w:snapToGrid w:val="0"/>
                <w:color w:val="auto"/>
                <w:kern w:val="0"/>
                <w:sz w:val="20"/>
                <w:szCs w:val="20"/>
                <w:lang w:val="en-US" w:eastAsia="en-US" w:bidi="ar-SA"/>
              </w:rPr>
              <w:t>%</w:t>
            </w:r>
          </w:p>
        </w:tc>
      </w:tr>
      <w:tr w14:paraId="1F294F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650" w:type="dxa"/>
            <w:tcBorders>
              <w:left w:val="nil"/>
            </w:tcBorders>
            <w:vAlign w:val="center"/>
          </w:tcPr>
          <w:p w14:paraId="5BB563D9">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5</w:t>
            </w:r>
          </w:p>
        </w:tc>
        <w:tc>
          <w:tcPr>
            <w:tcW w:w="1430" w:type="dxa"/>
            <w:vAlign w:val="center"/>
          </w:tcPr>
          <w:p w14:paraId="61FDF5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4"/>
                <w:kern w:val="0"/>
                <w:sz w:val="20"/>
                <w:szCs w:val="20"/>
                <w:lang w:eastAsia="en-US"/>
              </w:rPr>
              <w:t>其他</w:t>
            </w:r>
          </w:p>
        </w:tc>
        <w:tc>
          <w:tcPr>
            <w:tcW w:w="1240" w:type="dxa"/>
            <w:vAlign w:val="center"/>
          </w:tcPr>
          <w:p w14:paraId="3B6168BF">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kern w:val="0"/>
                <w:sz w:val="20"/>
                <w:szCs w:val="20"/>
                <w:lang w:val="en-US" w:eastAsia="zh-CN" w:bidi="ar-SA"/>
              </w:rPr>
              <w:t>0.1443</w:t>
            </w:r>
          </w:p>
        </w:tc>
        <w:tc>
          <w:tcPr>
            <w:tcW w:w="2382" w:type="dxa"/>
            <w:vAlign w:val="center"/>
          </w:tcPr>
          <w:p w14:paraId="5C966CCD">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kern w:val="0"/>
                <w:sz w:val="20"/>
                <w:szCs w:val="20"/>
                <w:lang w:val="en-US" w:eastAsia="en-US" w:bidi="ar-SA"/>
              </w:rPr>
              <w:t>0</w:t>
            </w:r>
          </w:p>
        </w:tc>
        <w:tc>
          <w:tcPr>
            <w:tcW w:w="1081" w:type="dxa"/>
            <w:vAlign w:val="center"/>
          </w:tcPr>
          <w:p w14:paraId="5AA0B746">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2"/>
                <w:kern w:val="0"/>
                <w:sz w:val="20"/>
                <w:szCs w:val="20"/>
                <w:lang w:val="en-US" w:eastAsia="en-US" w:bidi="ar-SA"/>
              </w:rPr>
              <w:t>0.00</w:t>
            </w:r>
          </w:p>
        </w:tc>
        <w:tc>
          <w:tcPr>
            <w:tcW w:w="1546" w:type="dxa"/>
            <w:tcBorders>
              <w:right w:val="nil"/>
            </w:tcBorders>
            <w:vAlign w:val="center"/>
          </w:tcPr>
          <w:p w14:paraId="5F542320">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snapToGrid w:val="0"/>
                <w:color w:val="auto"/>
                <w:spacing w:val="3"/>
                <w:kern w:val="0"/>
                <w:sz w:val="20"/>
                <w:szCs w:val="20"/>
                <w:lang w:val="en-US" w:eastAsia="en-US" w:bidi="ar-SA"/>
              </w:rPr>
              <w:t>0.00%</w:t>
            </w:r>
          </w:p>
        </w:tc>
      </w:tr>
      <w:tr w14:paraId="376CDF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3" w:hRule="atLeast"/>
        </w:trPr>
        <w:tc>
          <w:tcPr>
            <w:tcW w:w="2080" w:type="dxa"/>
            <w:gridSpan w:val="2"/>
            <w:tcBorders>
              <w:left w:val="nil"/>
            </w:tcBorders>
            <w:vAlign w:val="center"/>
          </w:tcPr>
          <w:p w14:paraId="19FE8EA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合计</w:t>
            </w:r>
          </w:p>
        </w:tc>
        <w:tc>
          <w:tcPr>
            <w:tcW w:w="1240" w:type="dxa"/>
            <w:vAlign w:val="center"/>
          </w:tcPr>
          <w:p w14:paraId="2DE6145D">
            <w:pPr>
              <w:keepNext w:val="0"/>
              <w:keepLines w:val="0"/>
              <w:pageBreakBefore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hint="eastAsia" w:eastAsia="宋体" w:cs="Times New Roman"/>
                <w:snapToGrid w:val="0"/>
                <w:color w:val="auto"/>
                <w:kern w:val="0"/>
                <w:sz w:val="20"/>
                <w:szCs w:val="20"/>
                <w:lang w:val="en-US" w:eastAsia="zh-CN" w:bidi="ar-SA"/>
              </w:rPr>
              <w:t>0.3003</w:t>
            </w:r>
          </w:p>
        </w:tc>
        <w:tc>
          <w:tcPr>
            <w:tcW w:w="2382" w:type="dxa"/>
            <w:vAlign w:val="center"/>
          </w:tcPr>
          <w:p w14:paraId="023D053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Arial" w:hAnsi="Arial" w:eastAsia="宋体" w:cs="Arial"/>
                <w:snapToGrid w:val="0"/>
                <w:color w:val="auto"/>
                <w:kern w:val="0"/>
                <w:sz w:val="21"/>
                <w:szCs w:val="21"/>
                <w:lang w:val="en-US" w:eastAsia="zh-CN"/>
              </w:rPr>
            </w:pPr>
            <w:r>
              <w:rPr>
                <w:rFonts w:hint="eastAsia" w:ascii="Arial" w:hAnsi="Arial" w:eastAsia="宋体" w:cs="Arial"/>
                <w:snapToGrid w:val="0"/>
                <w:color w:val="auto"/>
                <w:kern w:val="0"/>
                <w:sz w:val="21"/>
                <w:szCs w:val="21"/>
                <w:lang w:val="en-US" w:eastAsia="zh-CN"/>
              </w:rPr>
              <w:t>/</w:t>
            </w:r>
          </w:p>
        </w:tc>
        <w:tc>
          <w:tcPr>
            <w:tcW w:w="1081" w:type="dxa"/>
            <w:vAlign w:val="center"/>
          </w:tcPr>
          <w:p w14:paraId="3C0555F4">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0"/>
                <w:szCs w:val="20"/>
                <w:lang w:val="en-US" w:eastAsia="zh-CN" w:bidi="ar-SA"/>
              </w:rPr>
            </w:pPr>
            <w:r>
              <w:rPr>
                <w:rFonts w:hint="eastAsia" w:eastAsia="宋体" w:cs="Times New Roman"/>
                <w:snapToGrid w:val="0"/>
                <w:color w:val="auto"/>
                <w:kern w:val="0"/>
                <w:sz w:val="20"/>
                <w:szCs w:val="20"/>
                <w:lang w:val="en-US" w:eastAsia="zh-CN" w:bidi="ar-SA"/>
              </w:rPr>
              <w:t>8.89</w:t>
            </w:r>
          </w:p>
        </w:tc>
        <w:tc>
          <w:tcPr>
            <w:tcW w:w="1546" w:type="dxa"/>
            <w:tcBorders>
              <w:right w:val="nil"/>
            </w:tcBorders>
            <w:vAlign w:val="center"/>
          </w:tcPr>
          <w:p w14:paraId="6C4E5452">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snapToGrid w:val="0"/>
                <w:color w:val="auto"/>
                <w:kern w:val="0"/>
                <w:sz w:val="20"/>
                <w:szCs w:val="20"/>
                <w:lang w:val="en-US" w:eastAsia="en-US" w:bidi="ar-SA"/>
              </w:rPr>
            </w:pPr>
            <w:r>
              <w:rPr>
                <w:rFonts w:ascii="Times New Roman" w:hAnsi="Times New Roman" w:eastAsia="Times New Roman" w:cs="Times New Roman"/>
                <w:b/>
                <w:bCs/>
                <w:snapToGrid w:val="0"/>
                <w:color w:val="auto"/>
                <w:spacing w:val="3"/>
                <w:kern w:val="0"/>
                <w:sz w:val="20"/>
                <w:szCs w:val="20"/>
                <w:lang w:val="en-US" w:eastAsia="en-US" w:bidi="ar-SA"/>
              </w:rPr>
              <w:t>100.00%</w:t>
            </w:r>
          </w:p>
        </w:tc>
      </w:tr>
    </w:tbl>
    <w:p w14:paraId="73332A0F">
      <w:pPr>
        <w:keepNext w:val="0"/>
        <w:keepLines w:val="0"/>
        <w:pageBreakBefore w:val="0"/>
        <w:widowControl w:val="0"/>
        <w:kinsoku w:val="0"/>
        <w:wordWrap/>
        <w:overflowPunct/>
        <w:topLinePunct w:val="0"/>
        <w:autoSpaceDE w:val="0"/>
        <w:autoSpaceDN w:val="0"/>
        <w:bidi w:val="0"/>
        <w:adjustRightInd w:val="0"/>
        <w:snapToGrid w:val="0"/>
        <w:spacing w:before="0" w:beforeLines="50"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项目</w:t>
      </w:r>
      <w:r>
        <w:rPr>
          <w:rFonts w:hint="default" w:ascii="Times New Roman" w:hAnsi="Times New Roman" w:eastAsia="宋体" w:cs="Times New Roman"/>
          <w:b w:val="0"/>
          <w:bCs w:val="0"/>
          <w:snapToGrid w:val="0"/>
          <w:color w:val="auto"/>
          <w:kern w:val="0"/>
          <w:sz w:val="24"/>
          <w:szCs w:val="24"/>
          <w:lang w:val="en-US" w:eastAsia="en-US" w:bidi="ar-SA"/>
        </w:rPr>
        <w:t>运行期</w:t>
      </w:r>
      <w:r>
        <w:rPr>
          <w:rFonts w:hint="default" w:ascii="Times New Roman" w:hAnsi="Times New Roman" w:eastAsia="宋体" w:cs="Times New Roman"/>
          <w:snapToGrid w:val="0"/>
          <w:color w:val="auto"/>
          <w:kern w:val="0"/>
          <w:sz w:val="24"/>
          <w:szCs w:val="24"/>
          <w:lang w:val="en-US" w:eastAsia="en-US" w:bidi="ar-SA"/>
        </w:rPr>
        <w:t>造成植被生物量损失</w:t>
      </w:r>
      <w:r>
        <w:rPr>
          <w:rFonts w:hint="default" w:ascii="Times New Roman" w:hAnsi="Times New Roman" w:eastAsia="Times New Roman" w:cs="Times New Roman"/>
          <w:snapToGrid w:val="0"/>
          <w:color w:val="auto"/>
          <w:spacing w:val="-2"/>
          <w:kern w:val="0"/>
          <w:sz w:val="24"/>
          <w:szCs w:val="24"/>
          <w:lang w:val="en-US" w:eastAsia="zh-CN" w:bidi="ar-SA"/>
        </w:rPr>
        <w:t>8.89</w:t>
      </w:r>
      <w:r>
        <w:rPr>
          <w:rFonts w:hint="default" w:ascii="Times New Roman" w:hAnsi="Times New Roman" w:eastAsia="Times New Roman" w:cs="Times New Roman"/>
          <w:snapToGrid w:val="0"/>
          <w:color w:val="auto"/>
          <w:spacing w:val="-2"/>
          <w:kern w:val="0"/>
          <w:sz w:val="24"/>
          <w:szCs w:val="24"/>
          <w:lang w:val="en-US" w:eastAsia="en-US" w:bidi="ar-SA"/>
        </w:rPr>
        <w:t>t</w:t>
      </w:r>
      <w:r>
        <w:rPr>
          <w:rFonts w:hint="default" w:ascii="Times New Roman" w:hAnsi="Times New Roman" w:eastAsia="宋体" w:cs="Times New Roman"/>
          <w:snapToGrid w:val="0"/>
          <w:color w:val="auto"/>
          <w:kern w:val="0"/>
          <w:sz w:val="24"/>
          <w:szCs w:val="24"/>
          <w:lang w:val="en-US" w:eastAsia="en-US" w:bidi="ar-SA"/>
        </w:rPr>
        <w:t>，整个评价区生物量</w:t>
      </w:r>
      <w:r>
        <w:rPr>
          <w:rFonts w:hint="default" w:ascii="Times New Roman" w:hAnsi="Times New Roman" w:eastAsia="Times New Roman" w:cs="Times New Roman"/>
          <w:snapToGrid w:val="0"/>
          <w:color w:val="auto"/>
          <w:spacing w:val="-2"/>
          <w:kern w:val="0"/>
          <w:sz w:val="24"/>
          <w:szCs w:val="24"/>
          <w:lang w:val="en-US" w:eastAsia="zh-CN" w:bidi="ar-SA"/>
        </w:rPr>
        <w:t>228.24</w:t>
      </w:r>
      <w:r>
        <w:rPr>
          <w:rFonts w:hint="default" w:ascii="Times New Roman" w:hAnsi="Times New Roman" w:eastAsia="Times New Roman" w:cs="Times New Roman"/>
          <w:snapToGrid w:val="0"/>
          <w:color w:val="auto"/>
          <w:spacing w:val="-2"/>
          <w:kern w:val="0"/>
          <w:sz w:val="24"/>
          <w:szCs w:val="24"/>
          <w:lang w:val="en-US" w:eastAsia="en-US" w:bidi="ar-SA"/>
        </w:rPr>
        <w:t>t</w:t>
      </w:r>
      <w:r>
        <w:rPr>
          <w:rFonts w:hint="default" w:ascii="Times New Roman" w:hAnsi="Times New Roman" w:eastAsia="宋体" w:cs="Times New Roman"/>
          <w:snapToGrid w:val="0"/>
          <w:color w:val="auto"/>
          <w:spacing w:val="-1"/>
          <w:kern w:val="0"/>
          <w:sz w:val="24"/>
          <w:szCs w:val="24"/>
          <w:lang w:val="en-US" w:eastAsia="en-US" w:bidi="ar-SA"/>
        </w:rPr>
        <w:t>，</w:t>
      </w:r>
      <w:r>
        <w:rPr>
          <w:rFonts w:hint="default" w:ascii="Times New Roman" w:hAnsi="Times New Roman" w:eastAsia="宋体" w:cs="Times New Roman"/>
          <w:b/>
          <w:bCs/>
          <w:snapToGrid w:val="0"/>
          <w:color w:val="auto"/>
          <w:spacing w:val="-1"/>
          <w:kern w:val="0"/>
          <w:sz w:val="22"/>
          <w:szCs w:val="22"/>
          <w:lang w:val="en-US" w:eastAsia="en-US" w:bidi="ar-SA"/>
        </w:rPr>
        <w:t>运</w:t>
      </w:r>
      <w:r>
        <w:rPr>
          <w:rFonts w:hint="default" w:ascii="Times New Roman" w:hAnsi="Times New Roman" w:eastAsia="宋体" w:cs="Times New Roman"/>
          <w:b/>
          <w:bCs/>
          <w:snapToGrid w:val="0"/>
          <w:color w:val="auto"/>
          <w:spacing w:val="1"/>
          <w:kern w:val="0"/>
          <w:sz w:val="22"/>
          <w:szCs w:val="22"/>
          <w:lang w:val="en-US" w:eastAsia="en-US" w:bidi="ar-SA"/>
        </w:rPr>
        <w:t>行期</w:t>
      </w:r>
      <w:r>
        <w:rPr>
          <w:rFonts w:hint="default" w:ascii="Times New Roman" w:hAnsi="Times New Roman" w:eastAsia="宋体" w:cs="Times New Roman"/>
          <w:snapToGrid w:val="0"/>
          <w:color w:val="auto"/>
          <w:spacing w:val="1"/>
          <w:kern w:val="0"/>
          <w:sz w:val="24"/>
          <w:szCs w:val="24"/>
          <w:lang w:val="en-US" w:eastAsia="en-US" w:bidi="ar-SA"/>
        </w:rPr>
        <w:t>造成植被生物量损失仅占评价区生物量的</w:t>
      </w:r>
      <w:r>
        <w:rPr>
          <w:rFonts w:hint="default" w:ascii="Times New Roman" w:hAnsi="Times New Roman" w:eastAsia="Times New Roman" w:cs="Times New Roman"/>
          <w:snapToGrid w:val="0"/>
          <w:color w:val="auto"/>
          <w:spacing w:val="1"/>
          <w:kern w:val="0"/>
          <w:sz w:val="24"/>
          <w:szCs w:val="24"/>
          <w:lang w:val="en-US" w:eastAsia="en-US" w:bidi="ar-SA"/>
        </w:rPr>
        <w:t>0.</w:t>
      </w:r>
      <w:r>
        <w:rPr>
          <w:rFonts w:hint="default" w:ascii="Times New Roman" w:hAnsi="Times New Roman" w:eastAsia="宋体" w:cs="Times New Roman"/>
          <w:snapToGrid w:val="0"/>
          <w:color w:val="auto"/>
          <w:spacing w:val="1"/>
          <w:kern w:val="0"/>
          <w:sz w:val="24"/>
          <w:szCs w:val="24"/>
          <w:lang w:val="en-US" w:eastAsia="zh-CN" w:bidi="ar-SA"/>
        </w:rPr>
        <w:t>03</w:t>
      </w:r>
      <w:r>
        <w:rPr>
          <w:rFonts w:hint="default" w:ascii="Times New Roman" w:hAnsi="Times New Roman" w:eastAsia="宋体" w:cs="Times New Roman"/>
          <w:snapToGrid w:val="0"/>
          <w:color w:val="auto"/>
          <w:spacing w:val="1"/>
          <w:kern w:val="0"/>
          <w:sz w:val="24"/>
          <w:szCs w:val="24"/>
          <w:lang w:val="en-US" w:eastAsia="en-US" w:bidi="ar-SA"/>
        </w:rPr>
        <w:t>‰，占比很小。因此，</w:t>
      </w:r>
      <w:r>
        <w:rPr>
          <w:rFonts w:hint="default" w:ascii="Times New Roman" w:hAnsi="Times New Roman" w:eastAsia="宋体" w:cs="Times New Roman"/>
          <w:b/>
          <w:bCs/>
          <w:snapToGrid w:val="0"/>
          <w:color w:val="auto"/>
          <w:spacing w:val="1"/>
          <w:kern w:val="0"/>
          <w:sz w:val="22"/>
          <w:szCs w:val="22"/>
          <w:lang w:val="en-US" w:eastAsia="en-US" w:bidi="ar-SA"/>
        </w:rPr>
        <w:t>运行期</w:t>
      </w:r>
      <w:r>
        <w:rPr>
          <w:rFonts w:hint="default" w:ascii="Times New Roman" w:hAnsi="Times New Roman" w:eastAsia="宋体" w:cs="Times New Roman"/>
          <w:snapToGrid w:val="0"/>
          <w:color w:val="auto"/>
          <w:spacing w:val="-2"/>
          <w:kern w:val="0"/>
          <w:sz w:val="24"/>
          <w:szCs w:val="24"/>
          <w:lang w:val="en-US" w:eastAsia="en-US" w:bidi="ar-SA"/>
        </w:rPr>
        <w:t>植被恢复后对周边环境及生物量损失的影响甚微。</w:t>
      </w:r>
    </w:p>
    <w:p w14:paraId="5D3D065C">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据相关规定，输电线路运行过程中，保证输电导线与林区树木之间</w:t>
      </w:r>
      <w:r>
        <w:rPr>
          <w:rFonts w:hint="default" w:ascii="Times New Roman" w:hAnsi="Times New Roman" w:eastAsia="宋体" w:cs="Times New Roman"/>
          <w:snapToGrid w:val="0"/>
          <w:color w:val="auto"/>
          <w:spacing w:val="-4"/>
          <w:kern w:val="0"/>
          <w:sz w:val="24"/>
          <w:szCs w:val="24"/>
          <w:lang w:val="en-US" w:eastAsia="en-US" w:bidi="ar-SA"/>
        </w:rPr>
        <w:t>的垂直距</w:t>
      </w:r>
      <w:r>
        <w:rPr>
          <w:rFonts w:hint="default" w:ascii="Times New Roman" w:hAnsi="Times New Roman" w:eastAsia="宋体" w:cs="Times New Roman"/>
          <w:snapToGrid w:val="0"/>
          <w:color w:val="auto"/>
          <w:spacing w:val="-6"/>
          <w:kern w:val="0"/>
          <w:sz w:val="24"/>
          <w:szCs w:val="24"/>
          <w:lang w:val="en-US" w:eastAsia="en-US" w:bidi="ar-SA"/>
        </w:rPr>
        <w:t>离足够大，以满足输电线路正常运行的需要。根据现场调查</w:t>
      </w:r>
      <w:r>
        <w:rPr>
          <w:rFonts w:hint="default" w:ascii="Times New Roman" w:hAnsi="Times New Roman" w:eastAsia="宋体" w:cs="Times New Roman"/>
          <w:snapToGrid w:val="0"/>
          <w:color w:val="auto"/>
          <w:spacing w:val="-7"/>
          <w:kern w:val="0"/>
          <w:sz w:val="24"/>
          <w:szCs w:val="24"/>
          <w:lang w:val="en-US" w:eastAsia="en-US" w:bidi="ar-SA"/>
        </w:rPr>
        <w:t>， 项目区林木</w:t>
      </w:r>
      <w:r>
        <w:rPr>
          <w:rFonts w:hint="default" w:ascii="Times New Roman" w:hAnsi="Times New Roman" w:eastAsia="宋体" w:cs="Times New Roman"/>
          <w:snapToGrid w:val="0"/>
          <w:color w:val="auto"/>
          <w:spacing w:val="-2"/>
          <w:kern w:val="0"/>
          <w:sz w:val="24"/>
          <w:szCs w:val="24"/>
          <w:lang w:val="en-US" w:eastAsia="en-US" w:bidi="ar-SA"/>
        </w:rPr>
        <w:t>高度基本在</w:t>
      </w:r>
      <w:r>
        <w:rPr>
          <w:rFonts w:hint="default" w:ascii="Times New Roman" w:hAnsi="Times New Roman" w:eastAsia="宋体" w:cs="Times New Roman"/>
          <w:snapToGrid w:val="0"/>
          <w:color w:val="auto"/>
          <w:spacing w:val="-45"/>
          <w:kern w:val="0"/>
          <w:sz w:val="24"/>
          <w:szCs w:val="24"/>
          <w:lang w:val="en-US" w:eastAsia="en-US" w:bidi="ar-SA"/>
        </w:rPr>
        <w:t xml:space="preserve"> </w:t>
      </w:r>
      <w:r>
        <w:rPr>
          <w:rFonts w:hint="default" w:ascii="Times New Roman" w:hAnsi="Times New Roman" w:eastAsia="Times New Roman" w:cs="Times New Roman"/>
          <w:snapToGrid w:val="0"/>
          <w:color w:val="auto"/>
          <w:spacing w:val="-2"/>
          <w:kern w:val="0"/>
          <w:sz w:val="24"/>
          <w:szCs w:val="24"/>
          <w:lang w:val="en-US" w:eastAsia="en-US" w:bidi="ar-SA"/>
        </w:rPr>
        <w:t xml:space="preserve">2.5~3.5m </w:t>
      </w:r>
      <w:r>
        <w:rPr>
          <w:rFonts w:hint="default" w:ascii="Times New Roman" w:hAnsi="Times New Roman" w:eastAsia="宋体" w:cs="Times New Roman"/>
          <w:snapToGrid w:val="0"/>
          <w:color w:val="auto"/>
          <w:spacing w:val="-2"/>
          <w:kern w:val="0"/>
          <w:sz w:val="24"/>
          <w:szCs w:val="24"/>
          <w:lang w:val="en-US" w:eastAsia="en-US" w:bidi="ar-SA"/>
        </w:rPr>
        <w:t>之间，不属于高大乔木，不需要定期修剪树冠，</w:t>
      </w:r>
      <w:r>
        <w:rPr>
          <w:rFonts w:hint="default" w:ascii="Times New Roman" w:hAnsi="Times New Roman" w:eastAsia="宋体" w:cs="Times New Roman"/>
          <w:snapToGrid w:val="0"/>
          <w:color w:val="auto"/>
          <w:spacing w:val="-3"/>
          <w:kern w:val="0"/>
          <w:sz w:val="24"/>
          <w:szCs w:val="24"/>
          <w:lang w:val="en-US" w:eastAsia="en-US" w:bidi="ar-SA"/>
        </w:rPr>
        <w:t>且设计时已考虑了沿线树木的自然生长高度，如有较高乔木，采取加高杆塔高度的措施，以最大程度地保护线路附近树木与导线的垂直距离安全要求。输电工程</w:t>
      </w:r>
      <w:r>
        <w:rPr>
          <w:rFonts w:hint="default" w:ascii="Times New Roman" w:hAnsi="Times New Roman" w:eastAsia="宋体" w:cs="Times New Roman"/>
          <w:snapToGrid w:val="0"/>
          <w:color w:val="auto"/>
          <w:spacing w:val="-6"/>
          <w:kern w:val="0"/>
          <w:sz w:val="24"/>
          <w:szCs w:val="24"/>
          <w:lang w:val="en-US" w:eastAsia="en-US" w:bidi="ar-SA"/>
        </w:rPr>
        <w:t>在运行期内，对灌丛、灌草丛植被及植物资源没有影响。因此可</w:t>
      </w:r>
      <w:r>
        <w:rPr>
          <w:rFonts w:hint="default" w:ascii="Times New Roman" w:hAnsi="Times New Roman" w:eastAsia="宋体" w:cs="Times New Roman"/>
          <w:snapToGrid w:val="0"/>
          <w:color w:val="auto"/>
          <w:spacing w:val="-7"/>
          <w:kern w:val="0"/>
          <w:sz w:val="24"/>
          <w:szCs w:val="24"/>
          <w:lang w:val="en-US" w:eastAsia="en-US" w:bidi="ar-SA"/>
        </w:rPr>
        <w:t>以预测， 运行期</w:t>
      </w:r>
      <w:r>
        <w:rPr>
          <w:rFonts w:hint="default" w:ascii="Times New Roman" w:hAnsi="Times New Roman" w:eastAsia="宋体" w:cs="Times New Roman"/>
          <w:snapToGrid w:val="0"/>
          <w:color w:val="auto"/>
          <w:spacing w:val="-3"/>
          <w:kern w:val="0"/>
          <w:sz w:val="24"/>
          <w:szCs w:val="24"/>
          <w:lang w:val="en-US" w:eastAsia="en-US" w:bidi="ar-SA"/>
        </w:rPr>
        <w:t>几乎无需砍伐植被，对植物群落组成和结构影响微弱，对植物生长环境几乎无影</w:t>
      </w:r>
      <w:r>
        <w:rPr>
          <w:rFonts w:hint="default" w:ascii="Times New Roman" w:hAnsi="Times New Roman" w:eastAsia="宋体" w:cs="Times New Roman"/>
          <w:snapToGrid w:val="0"/>
          <w:color w:val="auto"/>
          <w:spacing w:val="-11"/>
          <w:kern w:val="0"/>
          <w:sz w:val="24"/>
          <w:szCs w:val="24"/>
          <w:lang w:val="en-US" w:eastAsia="en-US" w:bidi="ar-SA"/>
        </w:rPr>
        <w:t>响。</w:t>
      </w:r>
    </w:p>
    <w:p w14:paraId="0140A0F8">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综上，项目建设会对植被生物量造成一定损失，但项目永</w:t>
      </w:r>
      <w:r>
        <w:rPr>
          <w:rFonts w:hint="default" w:ascii="Times New Roman" w:hAnsi="Times New Roman" w:eastAsia="宋体" w:cs="Times New Roman"/>
          <w:snapToGrid w:val="0"/>
          <w:color w:val="auto"/>
          <w:spacing w:val="-4"/>
          <w:kern w:val="0"/>
          <w:sz w:val="24"/>
          <w:szCs w:val="24"/>
          <w:lang w:val="en-US" w:eastAsia="en-US" w:bidi="ar-SA"/>
        </w:rPr>
        <w:t>久占地面积相对较</w:t>
      </w:r>
      <w:r>
        <w:rPr>
          <w:rFonts w:hint="default" w:ascii="Times New Roman" w:hAnsi="Times New Roman" w:eastAsia="宋体" w:cs="Times New Roman"/>
          <w:snapToGrid w:val="0"/>
          <w:color w:val="auto"/>
          <w:spacing w:val="-3"/>
          <w:kern w:val="0"/>
          <w:sz w:val="24"/>
          <w:szCs w:val="24"/>
          <w:lang w:val="en-US" w:eastAsia="en-US" w:bidi="ar-SA"/>
        </w:rPr>
        <w:t>小，同时临时占地进行生态恢复，因此生物量损失相对整个评价区影响较</w:t>
      </w:r>
      <w:r>
        <w:rPr>
          <w:rFonts w:hint="default" w:ascii="Times New Roman" w:hAnsi="Times New Roman" w:eastAsia="宋体" w:cs="Times New Roman"/>
          <w:snapToGrid w:val="0"/>
          <w:color w:val="auto"/>
          <w:spacing w:val="-4"/>
          <w:kern w:val="0"/>
          <w:sz w:val="24"/>
          <w:szCs w:val="24"/>
          <w:lang w:val="en-US" w:eastAsia="en-US" w:bidi="ar-SA"/>
        </w:rPr>
        <w:t>小，对</w:t>
      </w:r>
      <w:r>
        <w:rPr>
          <w:rFonts w:hint="default" w:ascii="Times New Roman" w:hAnsi="Times New Roman" w:eastAsia="宋体" w:cs="Times New Roman"/>
          <w:snapToGrid w:val="0"/>
          <w:color w:val="auto"/>
          <w:spacing w:val="-3"/>
          <w:kern w:val="0"/>
          <w:sz w:val="24"/>
          <w:szCs w:val="24"/>
          <w:lang w:val="en-US" w:eastAsia="en-US" w:bidi="ar-SA"/>
        </w:rPr>
        <w:t>项目区及周边的生态影响亦较小。</w:t>
      </w:r>
    </w:p>
    <w:p w14:paraId="0956134E">
      <w:pPr>
        <w:keepNext w:val="0"/>
        <w:keepLines w:val="0"/>
        <w:pageBreakBefore w:val="0"/>
        <w:widowControl w:val="0"/>
        <w:wordWrap/>
        <w:overflowPunct/>
        <w:topLinePunct w:val="0"/>
        <w:bidi w:val="0"/>
        <w:adjustRightInd w:val="0"/>
        <w:snapToGrid w:val="0"/>
        <w:spacing w:line="360" w:lineRule="auto"/>
        <w:ind w:left="0" w:right="0" w:firstLine="420" w:firstLineChars="200"/>
        <w:jc w:val="both"/>
        <w:rPr>
          <w:rFonts w:hint="default" w:ascii="Times New Roman" w:hAnsi="Times New Roman" w:cs="Times New Roman"/>
          <w:color w:val="auto"/>
        </w:rPr>
        <w:sectPr>
          <w:footerReference r:id="rId25" w:type="default"/>
          <w:pgSz w:w="11906" w:h="16839"/>
          <w:pgMar w:top="1426" w:right="1759" w:bottom="1655" w:left="1785" w:header="0" w:footer="1493" w:gutter="0"/>
          <w:pgBorders>
            <w:top w:val="none" w:sz="0" w:space="0"/>
            <w:left w:val="none" w:sz="0" w:space="0"/>
            <w:bottom w:val="none" w:sz="0" w:space="0"/>
            <w:right w:val="none" w:sz="0" w:space="0"/>
          </w:pgBorders>
          <w:pgNumType w:fmt="decimal"/>
          <w:cols w:space="720" w:num="1"/>
        </w:sectPr>
      </w:pPr>
    </w:p>
    <w:p w14:paraId="59DD6A0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both"/>
        <w:textAlignment w:val="baseline"/>
        <w:outlineLvl w:val="2"/>
        <w:rPr>
          <w:rFonts w:hint="eastAsia" w:ascii="Times New Roman" w:hAnsi="Times New Roman" w:eastAsia="宋体" w:cs="Times New Roman"/>
          <w:b/>
          <w:bCs/>
          <w:color w:val="auto"/>
          <w:kern w:val="2"/>
          <w:sz w:val="24"/>
          <w:szCs w:val="24"/>
          <w:highlight w:val="none"/>
          <w:lang w:val="en-US" w:eastAsia="en-US" w:bidi="ar-SA"/>
        </w:rPr>
      </w:pPr>
      <w:r>
        <w:rPr>
          <w:rFonts w:hint="eastAsia" w:ascii="Times New Roman" w:hAnsi="Times New Roman" w:eastAsia="宋体"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en-US" w:bidi="ar-SA"/>
        </w:rPr>
        <w:t>.2.3对陆生动物影响</w:t>
      </w:r>
    </w:p>
    <w:p w14:paraId="46B67C3A">
      <w:pPr>
        <w:keepNext w:val="0"/>
        <w:keepLines w:val="0"/>
        <w:pageBreakBefore w:val="0"/>
        <w:kinsoku w:val="0"/>
        <w:wordWrap/>
        <w:overflowPunct/>
        <w:topLinePunct w:val="0"/>
        <w:autoSpaceDE w:val="0"/>
        <w:autoSpaceDN w:val="0"/>
        <w:bidi w:val="0"/>
        <w:adjustRightInd w:val="0"/>
        <w:snapToGrid w:val="0"/>
        <w:spacing w:before="0" w:line="360" w:lineRule="auto"/>
        <w:ind w:left="0" w:right="0"/>
        <w:jc w:val="both"/>
        <w:textAlignment w:val="baseline"/>
        <w:outlineLvl w:val="3"/>
        <w:rPr>
          <w:rFonts w:ascii="宋体" w:hAnsi="宋体" w:eastAsia="宋体" w:cs="宋体"/>
          <w:snapToGrid w:val="0"/>
          <w:color w:val="auto"/>
          <w:kern w:val="0"/>
          <w:sz w:val="24"/>
          <w:szCs w:val="24"/>
          <w:lang w:val="en-US" w:eastAsia="en-US" w:bidi="ar-SA"/>
        </w:rPr>
      </w:pPr>
      <w:r>
        <w:rPr>
          <w:rFonts w:hint="eastAsia" w:ascii="Times New Roman" w:hAnsi="Times New Roman" w:eastAsia="宋体" w:cs="Times New Roman"/>
          <w:b/>
          <w:bCs/>
          <w:snapToGrid w:val="0"/>
          <w:color w:val="auto"/>
          <w:spacing w:val="-2"/>
          <w:kern w:val="0"/>
          <w:sz w:val="24"/>
          <w:szCs w:val="24"/>
          <w:lang w:val="en-US" w:eastAsia="zh-CN" w:bidi="ar-SA"/>
        </w:rPr>
        <w:t>3</w:t>
      </w:r>
      <w:r>
        <w:rPr>
          <w:rFonts w:ascii="Times New Roman" w:hAnsi="Times New Roman" w:eastAsia="Times New Roman" w:cs="Times New Roman"/>
          <w:b/>
          <w:bCs/>
          <w:snapToGrid w:val="0"/>
          <w:color w:val="auto"/>
          <w:spacing w:val="-2"/>
          <w:kern w:val="0"/>
          <w:sz w:val="24"/>
          <w:szCs w:val="24"/>
          <w:lang w:val="en-US" w:eastAsia="en-US" w:bidi="ar-SA"/>
        </w:rPr>
        <w:t>.2.3.1</w:t>
      </w:r>
      <w:r>
        <w:rPr>
          <w:rFonts w:ascii="宋体" w:hAnsi="宋体" w:eastAsia="宋体" w:cs="宋体"/>
          <w:b/>
          <w:bCs/>
          <w:snapToGrid w:val="0"/>
          <w:color w:val="auto"/>
          <w:spacing w:val="-2"/>
          <w:kern w:val="0"/>
          <w:sz w:val="24"/>
          <w:szCs w:val="24"/>
          <w:lang w:val="en-US" w:eastAsia="en-US" w:bidi="ar-SA"/>
        </w:rPr>
        <w:t>施工期对动物栖息地影响</w:t>
      </w:r>
    </w:p>
    <w:p w14:paraId="06F4FD13">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81"/>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本项目输电线路建设对野生动物的影响主要发生在施工期。本</w:t>
      </w:r>
      <w:r>
        <w:rPr>
          <w:rFonts w:ascii="宋体" w:hAnsi="宋体" w:eastAsia="宋体" w:cs="宋体"/>
          <w:snapToGrid w:val="0"/>
          <w:color w:val="auto"/>
          <w:spacing w:val="-4"/>
          <w:kern w:val="0"/>
          <w:sz w:val="24"/>
          <w:szCs w:val="24"/>
          <w:lang w:val="en-US" w:eastAsia="en-US" w:bidi="ar-SA"/>
        </w:rPr>
        <w:t>项目输电线经</w:t>
      </w:r>
      <w:r>
        <w:rPr>
          <w:rFonts w:ascii="宋体" w:hAnsi="宋体" w:eastAsia="宋体" w:cs="宋体"/>
          <w:snapToGrid w:val="0"/>
          <w:color w:val="auto"/>
          <w:spacing w:val="-6"/>
          <w:kern w:val="0"/>
          <w:sz w:val="24"/>
          <w:szCs w:val="24"/>
          <w:lang w:val="en-US" w:eastAsia="en-US" w:bidi="ar-SA"/>
        </w:rPr>
        <w:t>过的区域自然植被状况较好，野生动物资源较丰富。因此， 项目</w:t>
      </w:r>
      <w:r>
        <w:rPr>
          <w:rFonts w:ascii="宋体" w:hAnsi="宋体" w:eastAsia="宋体" w:cs="宋体"/>
          <w:snapToGrid w:val="0"/>
          <w:color w:val="auto"/>
          <w:spacing w:val="-7"/>
          <w:kern w:val="0"/>
          <w:sz w:val="24"/>
          <w:szCs w:val="24"/>
          <w:lang w:val="en-US" w:eastAsia="en-US" w:bidi="ar-SA"/>
        </w:rPr>
        <w:t>线路施工建设对</w:t>
      </w:r>
      <w:r>
        <w:rPr>
          <w:rFonts w:ascii="宋体" w:hAnsi="宋体" w:eastAsia="宋体" w:cs="宋体"/>
          <w:snapToGrid w:val="0"/>
          <w:color w:val="auto"/>
          <w:spacing w:val="-3"/>
          <w:kern w:val="0"/>
          <w:sz w:val="24"/>
          <w:szCs w:val="24"/>
          <w:lang w:val="en-US" w:eastAsia="en-US" w:bidi="ar-SA"/>
        </w:rPr>
        <w:t>野生动物及其生境有一定影响，本项目在施工期对陆生动物的影响主要表现在工</w:t>
      </w:r>
      <w:r>
        <w:rPr>
          <w:rFonts w:ascii="宋体" w:hAnsi="宋体" w:eastAsia="宋体" w:cs="宋体"/>
          <w:snapToGrid w:val="0"/>
          <w:color w:val="auto"/>
          <w:spacing w:val="-2"/>
          <w:kern w:val="0"/>
          <w:sz w:val="24"/>
          <w:szCs w:val="24"/>
          <w:lang w:val="en-US" w:eastAsia="en-US" w:bidi="ar-SA"/>
        </w:rPr>
        <w:t>程占地和施工活动两个方面。对各类动物的影响方式和程度具体分析如下：</w:t>
      </w:r>
    </w:p>
    <w:p w14:paraId="5015A4CC">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82"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⑴</w:t>
      </w:r>
      <w:r>
        <w:rPr>
          <w:rFonts w:ascii="宋体" w:hAnsi="宋体" w:eastAsia="宋体" w:cs="宋体"/>
          <w:b/>
          <w:bCs/>
          <w:snapToGrid w:val="0"/>
          <w:color w:val="auto"/>
          <w:spacing w:val="-3"/>
          <w:kern w:val="0"/>
          <w:sz w:val="24"/>
          <w:szCs w:val="24"/>
          <w:lang w:val="en-US" w:eastAsia="en-US" w:bidi="ar-SA"/>
        </w:rPr>
        <w:t>对两栖和爬行类动物的影响</w:t>
      </w:r>
    </w:p>
    <w:p w14:paraId="318675E6">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2"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①占地的影响</w:t>
      </w:r>
    </w:p>
    <w:p w14:paraId="60F1838B">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84"/>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项目施工对爬行类和两栖类的影响主要发生在塔基土石方工程、施工便道、</w:t>
      </w:r>
      <w:r>
        <w:rPr>
          <w:rFonts w:ascii="宋体" w:hAnsi="宋体" w:eastAsia="宋体" w:cs="宋体"/>
          <w:snapToGrid w:val="0"/>
          <w:color w:val="auto"/>
          <w:spacing w:val="-3"/>
          <w:kern w:val="0"/>
          <w:sz w:val="24"/>
          <w:szCs w:val="24"/>
          <w:lang w:val="en-US" w:eastAsia="en-US" w:bidi="ar-SA"/>
        </w:rPr>
        <w:t>材料运输、布线施工区域。塔基永久占地会占用生活于草原、乔灌木、农田附近</w:t>
      </w:r>
      <w:r>
        <w:rPr>
          <w:rFonts w:ascii="宋体" w:hAnsi="宋体" w:eastAsia="宋体" w:cs="宋体"/>
          <w:snapToGrid w:val="0"/>
          <w:color w:val="auto"/>
          <w:spacing w:val="-6"/>
          <w:kern w:val="0"/>
          <w:sz w:val="24"/>
          <w:szCs w:val="24"/>
          <w:lang w:val="en-US" w:eastAsia="en-US" w:bidi="ar-SA"/>
        </w:rPr>
        <w:t>的两栖、爬行动物生境，导致其生境减少；施工便道、布线施工</w:t>
      </w:r>
      <w:r>
        <w:rPr>
          <w:rFonts w:ascii="宋体" w:hAnsi="宋体" w:eastAsia="宋体" w:cs="宋体"/>
          <w:snapToGrid w:val="0"/>
          <w:color w:val="auto"/>
          <w:spacing w:val="-7"/>
          <w:kern w:val="0"/>
          <w:sz w:val="24"/>
          <w:szCs w:val="24"/>
          <w:lang w:val="en-US" w:eastAsia="en-US" w:bidi="ar-SA"/>
        </w:rPr>
        <w:t>区域等临时占地</w:t>
      </w:r>
      <w:r>
        <w:rPr>
          <w:rFonts w:ascii="宋体" w:hAnsi="宋体" w:eastAsia="宋体" w:cs="宋体"/>
          <w:snapToGrid w:val="0"/>
          <w:color w:val="auto"/>
          <w:spacing w:val="-3"/>
          <w:kern w:val="0"/>
          <w:sz w:val="24"/>
          <w:szCs w:val="24"/>
          <w:lang w:val="en-US" w:eastAsia="en-US" w:bidi="ar-SA"/>
        </w:rPr>
        <w:t>会造成生境破坏，导致两栖和爬行类的栖息地功能降低。受占地影响的部分爬行</w:t>
      </w:r>
      <w:r>
        <w:rPr>
          <w:rFonts w:ascii="宋体" w:hAnsi="宋体" w:eastAsia="宋体" w:cs="宋体"/>
          <w:snapToGrid w:val="0"/>
          <w:color w:val="auto"/>
          <w:spacing w:val="-6"/>
          <w:kern w:val="0"/>
          <w:sz w:val="24"/>
          <w:szCs w:val="24"/>
          <w:lang w:val="en-US" w:eastAsia="en-US" w:bidi="ar-SA"/>
        </w:rPr>
        <w:t>类、两栖类迁移到周边替代生境，将增强周边生境内种间和种</w:t>
      </w:r>
      <w:r>
        <w:rPr>
          <w:rFonts w:ascii="宋体" w:hAnsi="宋体" w:eastAsia="宋体" w:cs="宋体"/>
          <w:snapToGrid w:val="0"/>
          <w:color w:val="auto"/>
          <w:spacing w:val="-7"/>
          <w:kern w:val="0"/>
          <w:sz w:val="24"/>
          <w:szCs w:val="24"/>
          <w:lang w:val="en-US" w:eastAsia="en-US" w:bidi="ar-SA"/>
        </w:rPr>
        <w:t>内竞争压力，导致</w:t>
      </w:r>
      <w:r>
        <w:rPr>
          <w:rFonts w:ascii="宋体" w:hAnsi="宋体" w:eastAsia="宋体" w:cs="宋体"/>
          <w:snapToGrid w:val="0"/>
          <w:color w:val="auto"/>
          <w:spacing w:val="-3"/>
          <w:kern w:val="0"/>
          <w:sz w:val="24"/>
          <w:szCs w:val="24"/>
          <w:lang w:val="en-US" w:eastAsia="en-US" w:bidi="ar-SA"/>
        </w:rPr>
        <w:t>两栖类和爬行类数量下降。由于塔基占地范围和布线施工区域等临时占地占整个评价范围面积较小，不会导致某一生境消失和大面积减少，因此项目施工期占地对两栖、爬行类动物影响有限。</w:t>
      </w:r>
    </w:p>
    <w:p w14:paraId="5EFD8757">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②施工活动的影响</w:t>
      </w:r>
    </w:p>
    <w:p w14:paraId="7B1FD922">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5"/>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kern w:val="0"/>
          <w:sz w:val="24"/>
          <w:szCs w:val="24"/>
          <w:lang w:val="en-US" w:eastAsia="en-US" w:bidi="ar-SA"/>
        </w:rPr>
        <w:t>项目施工噪声会使周边爬行动物短暂</w:t>
      </w:r>
      <w:r>
        <w:rPr>
          <w:rFonts w:ascii="宋体" w:hAnsi="宋体" w:eastAsia="宋体" w:cs="宋体"/>
          <w:snapToGrid w:val="0"/>
          <w:color w:val="auto"/>
          <w:spacing w:val="-1"/>
          <w:kern w:val="0"/>
          <w:sz w:val="24"/>
          <w:szCs w:val="24"/>
          <w:lang w:val="en-US" w:eastAsia="en-US" w:bidi="ar-SA"/>
        </w:rPr>
        <w:t>离开栖息生境，</w:t>
      </w:r>
      <w:r>
        <w:rPr>
          <w:rFonts w:ascii="宋体" w:hAnsi="宋体" w:eastAsia="宋体" w:cs="宋体"/>
          <w:snapToGrid w:val="0"/>
          <w:color w:val="auto"/>
          <w:spacing w:val="-3"/>
          <w:kern w:val="0"/>
          <w:sz w:val="24"/>
          <w:szCs w:val="24"/>
          <w:lang w:val="en-US" w:eastAsia="en-US" w:bidi="ar-SA"/>
        </w:rPr>
        <w:t>由于项目单个塔基施工时间较短，施工结束后，部分爬行动物将回到原来的栖息地，因此施工噪声对其影响较小。</w:t>
      </w:r>
    </w:p>
    <w:p w14:paraId="2F2AFE2A">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66"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宋体" w:hAnsi="宋体" w:eastAsia="宋体" w:cs="宋体"/>
          <w:b/>
          <w:bCs/>
          <w:snapToGrid w:val="0"/>
          <w:color w:val="auto"/>
          <w:spacing w:val="-4"/>
          <w:kern w:val="0"/>
          <w:sz w:val="24"/>
          <w:szCs w:val="24"/>
          <w:lang w:val="en-US" w:eastAsia="en-US" w:bidi="ar-SA"/>
        </w:rPr>
        <w:t>⑵</w:t>
      </w:r>
      <w:r>
        <w:rPr>
          <w:rFonts w:ascii="宋体" w:hAnsi="宋体" w:eastAsia="宋体" w:cs="宋体"/>
          <w:b/>
          <w:bCs/>
          <w:snapToGrid w:val="0"/>
          <w:color w:val="auto"/>
          <w:spacing w:val="-4"/>
          <w:kern w:val="0"/>
          <w:sz w:val="24"/>
          <w:szCs w:val="24"/>
          <w:lang w:val="en-US" w:eastAsia="en-US" w:bidi="ar-SA"/>
        </w:rPr>
        <w:t>对鸟类的影响</w:t>
      </w:r>
    </w:p>
    <w:p w14:paraId="2E56486F">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8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①占地的影响：施工期间，评价范围内主要占用耕地和林地。塔</w:t>
      </w:r>
      <w:r>
        <w:rPr>
          <w:rFonts w:ascii="宋体" w:hAnsi="宋体" w:eastAsia="宋体" w:cs="宋体"/>
          <w:snapToGrid w:val="0"/>
          <w:color w:val="auto"/>
          <w:spacing w:val="-4"/>
          <w:kern w:val="0"/>
          <w:sz w:val="24"/>
          <w:szCs w:val="24"/>
          <w:lang w:val="en-US" w:eastAsia="en-US" w:bidi="ar-SA"/>
        </w:rPr>
        <w:t>基、施工便</w:t>
      </w:r>
      <w:r>
        <w:rPr>
          <w:rFonts w:ascii="宋体" w:hAnsi="宋体" w:eastAsia="宋体" w:cs="宋体"/>
          <w:snapToGrid w:val="0"/>
          <w:color w:val="auto"/>
          <w:spacing w:val="-5"/>
          <w:kern w:val="0"/>
          <w:sz w:val="24"/>
          <w:szCs w:val="24"/>
          <w:lang w:val="en-US" w:eastAsia="en-US" w:bidi="ar-SA"/>
        </w:rPr>
        <w:t>道、施工区域等占地对植被破坏的同时也会破坏喜栖于其中的鸟类</w:t>
      </w:r>
      <w:r>
        <w:rPr>
          <w:rFonts w:ascii="宋体" w:hAnsi="宋体" w:eastAsia="宋体" w:cs="宋体"/>
          <w:snapToGrid w:val="0"/>
          <w:color w:val="auto"/>
          <w:spacing w:val="-6"/>
          <w:kern w:val="0"/>
          <w:sz w:val="24"/>
          <w:szCs w:val="24"/>
          <w:lang w:val="en-US" w:eastAsia="en-US" w:bidi="ar-SA"/>
        </w:rPr>
        <w:t>生境，</w:t>
      </w:r>
      <w:r>
        <w:rPr>
          <w:rFonts w:ascii="宋体" w:hAnsi="宋体" w:eastAsia="宋体" w:cs="宋体"/>
          <w:snapToGrid w:val="0"/>
          <w:color w:val="auto"/>
          <w:spacing w:val="-43"/>
          <w:kern w:val="0"/>
          <w:sz w:val="24"/>
          <w:szCs w:val="24"/>
          <w:lang w:val="en-US" w:eastAsia="en-US" w:bidi="ar-SA"/>
        </w:rPr>
        <w:t xml:space="preserve"> </w:t>
      </w:r>
      <w:r>
        <w:rPr>
          <w:rFonts w:ascii="宋体" w:hAnsi="宋体" w:eastAsia="宋体" w:cs="宋体"/>
          <w:snapToGrid w:val="0"/>
          <w:color w:val="auto"/>
          <w:spacing w:val="-6"/>
          <w:kern w:val="0"/>
          <w:sz w:val="24"/>
          <w:szCs w:val="24"/>
          <w:lang w:val="en-US" w:eastAsia="en-US" w:bidi="ar-SA"/>
        </w:rPr>
        <w:t>导致鸟</w:t>
      </w:r>
      <w:r>
        <w:rPr>
          <w:rFonts w:ascii="宋体" w:hAnsi="宋体" w:eastAsia="宋体" w:cs="宋体"/>
          <w:snapToGrid w:val="0"/>
          <w:color w:val="auto"/>
          <w:spacing w:val="-5"/>
          <w:kern w:val="0"/>
          <w:sz w:val="24"/>
          <w:szCs w:val="24"/>
          <w:lang w:val="en-US" w:eastAsia="en-US" w:bidi="ar-SA"/>
        </w:rPr>
        <w:t>类生境减少。受影响的种类主要为常见的鸣禽，</w:t>
      </w:r>
      <w:r>
        <w:rPr>
          <w:rFonts w:ascii="宋体" w:hAnsi="宋体" w:eastAsia="宋体" w:cs="宋体"/>
          <w:snapToGrid w:val="0"/>
          <w:color w:val="auto"/>
          <w:spacing w:val="-48"/>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生境破坏使其活动和觅食范围减</w:t>
      </w:r>
      <w:r>
        <w:rPr>
          <w:rFonts w:ascii="宋体" w:hAnsi="宋体" w:eastAsia="宋体" w:cs="宋体"/>
          <w:snapToGrid w:val="0"/>
          <w:color w:val="auto"/>
          <w:spacing w:val="-3"/>
          <w:kern w:val="0"/>
          <w:sz w:val="24"/>
          <w:szCs w:val="24"/>
          <w:lang w:val="en-US" w:eastAsia="en-US" w:bidi="ar-SA"/>
        </w:rPr>
        <w:t>小，但由于永久占地面积占评价范围比例很小，评价范围内及周边分布有大面积相似生境，这些鸟类很容易在附近区域找到替代生境，因此工程占地对鸟类日常</w:t>
      </w:r>
      <w:r>
        <w:rPr>
          <w:rFonts w:ascii="宋体" w:hAnsi="宋体" w:eastAsia="宋体" w:cs="宋体"/>
          <w:snapToGrid w:val="0"/>
          <w:color w:val="auto"/>
          <w:spacing w:val="-6"/>
          <w:kern w:val="0"/>
          <w:sz w:val="24"/>
          <w:szCs w:val="24"/>
          <w:lang w:val="en-US" w:eastAsia="en-US" w:bidi="ar-SA"/>
        </w:rPr>
        <w:t>栖息影响较小。</w:t>
      </w:r>
    </w:p>
    <w:p w14:paraId="5455A0C6">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②施工活动的影响</w:t>
      </w:r>
    </w:p>
    <w:p w14:paraId="6971C61D">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99"/>
        <w:jc w:val="both"/>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1"/>
          <w:kern w:val="0"/>
          <w:sz w:val="24"/>
          <w:szCs w:val="24"/>
          <w:lang w:val="en-US" w:eastAsia="en-US" w:bidi="ar-SA"/>
        </w:rPr>
        <w:t>1</w:t>
      </w:r>
      <w:r>
        <w:rPr>
          <w:rFonts w:ascii="宋体" w:hAnsi="宋体" w:eastAsia="宋体" w:cs="宋体"/>
          <w:snapToGrid w:val="0"/>
          <w:color w:val="auto"/>
          <w:spacing w:val="-1"/>
          <w:kern w:val="0"/>
          <w:sz w:val="24"/>
          <w:szCs w:val="24"/>
          <w:lang w:val="en-US" w:eastAsia="en-US" w:bidi="ar-SA"/>
        </w:rPr>
        <w:t>）噪声的影响：鸟类对噪声比较敏感，施工噪声会对栖息</w:t>
      </w:r>
      <w:r>
        <w:rPr>
          <w:rFonts w:ascii="宋体" w:hAnsi="宋体" w:eastAsia="宋体" w:cs="宋体"/>
          <w:snapToGrid w:val="0"/>
          <w:color w:val="auto"/>
          <w:spacing w:val="-2"/>
          <w:kern w:val="0"/>
          <w:sz w:val="24"/>
          <w:szCs w:val="24"/>
          <w:lang w:val="en-US" w:eastAsia="en-US" w:bidi="ar-SA"/>
        </w:rPr>
        <w:t>在施工区域及其</w:t>
      </w:r>
      <w:r>
        <w:rPr>
          <w:rFonts w:ascii="宋体" w:hAnsi="宋体" w:eastAsia="宋体" w:cs="宋体"/>
          <w:snapToGrid w:val="0"/>
          <w:color w:val="auto"/>
          <w:spacing w:val="-5"/>
          <w:kern w:val="0"/>
          <w:sz w:val="24"/>
          <w:szCs w:val="24"/>
          <w:lang w:val="en-US" w:eastAsia="en-US" w:bidi="ar-SA"/>
        </w:rPr>
        <w:t>邻近区域的鸟类产生一定的趋避作用。施工期间，</w:t>
      </w:r>
      <w:r>
        <w:rPr>
          <w:rFonts w:ascii="宋体" w:hAnsi="宋体" w:eastAsia="宋体" w:cs="宋体"/>
          <w:snapToGrid w:val="0"/>
          <w:color w:val="auto"/>
          <w:spacing w:val="-38"/>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噪声源</w:t>
      </w:r>
      <w:r>
        <w:rPr>
          <w:rFonts w:ascii="宋体" w:hAnsi="宋体" w:eastAsia="宋体" w:cs="宋体"/>
          <w:snapToGrid w:val="0"/>
          <w:color w:val="auto"/>
          <w:spacing w:val="-6"/>
          <w:kern w:val="0"/>
          <w:sz w:val="24"/>
          <w:szCs w:val="24"/>
          <w:lang w:val="en-US" w:eastAsia="en-US" w:bidi="ar-SA"/>
        </w:rPr>
        <w:t>主要为施工作业机械和</w:t>
      </w:r>
      <w:r>
        <w:rPr>
          <w:rFonts w:ascii="宋体" w:hAnsi="宋体" w:eastAsia="宋体" w:cs="宋体"/>
          <w:snapToGrid w:val="0"/>
          <w:color w:val="auto"/>
          <w:spacing w:val="-3"/>
          <w:kern w:val="0"/>
          <w:sz w:val="24"/>
          <w:szCs w:val="24"/>
          <w:lang w:val="en-US" w:eastAsia="en-US" w:bidi="ar-SA"/>
        </w:rPr>
        <w:t>交通运输车辆产生的，受施工机械噪声影响，施工场地一定范围内将不适合鸟类</w:t>
      </w:r>
      <w:r>
        <w:rPr>
          <w:rFonts w:ascii="宋体" w:hAnsi="宋体" w:eastAsia="宋体" w:cs="宋体"/>
          <w:snapToGrid w:val="0"/>
          <w:color w:val="auto"/>
          <w:spacing w:val="-5"/>
          <w:kern w:val="0"/>
          <w:sz w:val="24"/>
          <w:szCs w:val="24"/>
          <w:lang w:val="en-US" w:eastAsia="en-US" w:bidi="ar-SA"/>
        </w:rPr>
        <w:t>的栖息。但由于鸟类的活动范围很大，</w:t>
      </w:r>
      <w:r>
        <w:rPr>
          <w:rFonts w:ascii="宋体" w:hAnsi="宋体" w:eastAsia="宋体" w:cs="宋体"/>
          <w:snapToGrid w:val="0"/>
          <w:color w:val="auto"/>
          <w:spacing w:val="-48"/>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可以较轻松地就近寻找到其它适于栖息的</w:t>
      </w:r>
      <w:r>
        <w:rPr>
          <w:rFonts w:ascii="宋体" w:hAnsi="宋体" w:eastAsia="宋体" w:cs="宋体"/>
          <w:snapToGrid w:val="0"/>
          <w:color w:val="auto"/>
          <w:spacing w:val="-6"/>
          <w:kern w:val="0"/>
          <w:sz w:val="24"/>
          <w:szCs w:val="24"/>
          <w:lang w:val="en-US" w:eastAsia="en-US" w:bidi="ar-SA"/>
        </w:rPr>
        <w:t>地方。施工多为机械噪声，无爆破等突发的高强度噪音，时间较</w:t>
      </w:r>
      <w:r>
        <w:rPr>
          <w:rFonts w:ascii="宋体" w:hAnsi="宋体" w:eastAsia="宋体" w:cs="宋体"/>
          <w:snapToGrid w:val="0"/>
          <w:color w:val="auto"/>
          <w:spacing w:val="-7"/>
          <w:kern w:val="0"/>
          <w:sz w:val="24"/>
          <w:szCs w:val="24"/>
          <w:lang w:val="en-US" w:eastAsia="en-US" w:bidi="ar-SA"/>
        </w:rPr>
        <w:t>短，因此施工噪</w:t>
      </w:r>
      <w:r>
        <w:rPr>
          <w:rFonts w:ascii="宋体" w:hAnsi="宋体" w:eastAsia="宋体" w:cs="宋体"/>
          <w:snapToGrid w:val="0"/>
          <w:color w:val="auto"/>
          <w:spacing w:val="-4"/>
          <w:kern w:val="0"/>
          <w:sz w:val="24"/>
          <w:szCs w:val="24"/>
          <w:lang w:val="en-US" w:eastAsia="en-US" w:bidi="ar-SA"/>
        </w:rPr>
        <w:t>声对鸟类的影响不大。</w:t>
      </w:r>
    </w:p>
    <w:p w14:paraId="0F306AE2">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6"/>
        <w:jc w:val="both"/>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5"/>
          <w:kern w:val="0"/>
          <w:sz w:val="24"/>
          <w:szCs w:val="24"/>
          <w:lang w:val="en-US" w:eastAsia="en-US" w:bidi="ar-SA"/>
        </w:rPr>
        <w:t>2</w:t>
      </w:r>
      <w:r>
        <w:rPr>
          <w:rFonts w:ascii="宋体" w:hAnsi="宋体" w:eastAsia="宋体" w:cs="宋体"/>
          <w:snapToGrid w:val="0"/>
          <w:color w:val="auto"/>
          <w:spacing w:val="-5"/>
          <w:kern w:val="0"/>
          <w:sz w:val="24"/>
          <w:szCs w:val="24"/>
          <w:lang w:val="en-US" w:eastAsia="en-US" w:bidi="ar-SA"/>
        </w:rPr>
        <w:t>）人为活动的影响：评价范围内的鸟类中有部分种类具有经济和观赏价值，</w:t>
      </w:r>
      <w:r>
        <w:rPr>
          <w:rFonts w:ascii="宋体" w:hAnsi="宋体" w:eastAsia="宋体" w:cs="宋体"/>
          <w:snapToGrid w:val="0"/>
          <w:color w:val="auto"/>
          <w:spacing w:val="-1"/>
          <w:kern w:val="0"/>
          <w:sz w:val="24"/>
          <w:szCs w:val="24"/>
          <w:lang w:val="en-US" w:eastAsia="en-US" w:bidi="ar-SA"/>
        </w:rPr>
        <w:t>施工期间也有可能有保护鸟类存在。它们有可能会遭到施工人员的捕捉和杀</w:t>
      </w:r>
      <w:r>
        <w:rPr>
          <w:rFonts w:ascii="宋体" w:hAnsi="宋体" w:eastAsia="宋体" w:cs="宋体"/>
          <w:snapToGrid w:val="0"/>
          <w:color w:val="auto"/>
          <w:spacing w:val="-2"/>
          <w:kern w:val="0"/>
          <w:sz w:val="24"/>
          <w:szCs w:val="24"/>
          <w:lang w:val="en-US" w:eastAsia="en-US" w:bidi="ar-SA"/>
        </w:rPr>
        <w:t>害。</w:t>
      </w:r>
      <w:r>
        <w:rPr>
          <w:rFonts w:ascii="宋体" w:hAnsi="宋体" w:eastAsia="宋体" w:cs="宋体"/>
          <w:snapToGrid w:val="0"/>
          <w:color w:val="auto"/>
          <w:spacing w:val="-3"/>
          <w:kern w:val="0"/>
          <w:sz w:val="24"/>
          <w:szCs w:val="24"/>
          <w:lang w:val="en-US" w:eastAsia="en-US" w:bidi="ar-SA"/>
        </w:rPr>
        <w:t>鸟类对人为活动有一定的警戒距离，施工人员的进驻将会使施工范围内的鸟类由于警戒性而远离该区域，造成施工区域内鸟类种群密度下降，施工活动结束后这</w:t>
      </w:r>
      <w:r>
        <w:rPr>
          <w:rFonts w:ascii="宋体" w:hAnsi="宋体" w:eastAsia="宋体" w:cs="宋体"/>
          <w:snapToGrid w:val="0"/>
          <w:color w:val="auto"/>
          <w:spacing w:val="-5"/>
          <w:kern w:val="0"/>
          <w:sz w:val="24"/>
          <w:szCs w:val="24"/>
          <w:lang w:val="en-US" w:eastAsia="en-US" w:bidi="ar-SA"/>
        </w:rPr>
        <w:t>种影响会逐渐消失。以上影响将使大部分鸟类远离施工区域，</w:t>
      </w:r>
      <w:r>
        <w:rPr>
          <w:rFonts w:ascii="宋体" w:hAnsi="宋体" w:eastAsia="宋体" w:cs="宋体"/>
          <w:snapToGrid w:val="0"/>
          <w:color w:val="auto"/>
          <w:spacing w:val="-42"/>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小部</w:t>
      </w:r>
      <w:r>
        <w:rPr>
          <w:rFonts w:ascii="宋体" w:hAnsi="宋体" w:eastAsia="宋体" w:cs="宋体"/>
          <w:snapToGrid w:val="0"/>
          <w:color w:val="auto"/>
          <w:spacing w:val="-6"/>
          <w:kern w:val="0"/>
          <w:sz w:val="24"/>
          <w:szCs w:val="24"/>
          <w:lang w:val="en-US" w:eastAsia="en-US" w:bidi="ar-SA"/>
        </w:rPr>
        <w:t>分地栖和灌木</w:t>
      </w:r>
      <w:r>
        <w:rPr>
          <w:rFonts w:ascii="宋体" w:hAnsi="宋体" w:eastAsia="宋体" w:cs="宋体"/>
          <w:snapToGrid w:val="0"/>
          <w:color w:val="auto"/>
          <w:spacing w:val="-3"/>
          <w:kern w:val="0"/>
          <w:sz w:val="24"/>
          <w:szCs w:val="24"/>
          <w:lang w:val="en-US" w:eastAsia="en-US" w:bidi="ar-SA"/>
        </w:rPr>
        <w:t>林栖鸟类由于栖息地的丧失而迁移，项目评价范围内鸟类的种类和数量暂时性的</w:t>
      </w:r>
      <w:r>
        <w:rPr>
          <w:rFonts w:ascii="宋体" w:hAnsi="宋体" w:eastAsia="宋体" w:cs="宋体"/>
          <w:snapToGrid w:val="0"/>
          <w:color w:val="auto"/>
          <w:spacing w:val="-5"/>
          <w:kern w:val="0"/>
          <w:sz w:val="24"/>
          <w:szCs w:val="24"/>
          <w:lang w:val="en-US" w:eastAsia="en-US" w:bidi="ar-SA"/>
        </w:rPr>
        <w:t>有所减少。但由于大多数鸟类会通过飞翔和短距离的迁移来避免伤害，</w:t>
      </w:r>
      <w:r>
        <w:rPr>
          <w:rFonts w:ascii="宋体" w:hAnsi="宋体" w:eastAsia="宋体" w:cs="宋体"/>
          <w:snapToGrid w:val="0"/>
          <w:color w:val="auto"/>
          <w:spacing w:val="-48"/>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而且本项</w:t>
      </w:r>
      <w:r>
        <w:rPr>
          <w:rFonts w:ascii="宋体" w:hAnsi="宋体" w:eastAsia="宋体" w:cs="宋体"/>
          <w:snapToGrid w:val="0"/>
          <w:color w:val="auto"/>
          <w:spacing w:val="-3"/>
          <w:kern w:val="0"/>
          <w:sz w:val="24"/>
          <w:szCs w:val="24"/>
          <w:lang w:val="en-US" w:eastAsia="en-US" w:bidi="ar-SA"/>
        </w:rPr>
        <w:t>目的施工点分散，所以项目建设对鸟类的影响不大。施工期加强施工人员动植物</w:t>
      </w:r>
      <w:r>
        <w:rPr>
          <w:rFonts w:ascii="宋体" w:hAnsi="宋体" w:eastAsia="宋体" w:cs="宋体"/>
          <w:snapToGrid w:val="0"/>
          <w:color w:val="auto"/>
          <w:spacing w:val="-1"/>
          <w:kern w:val="0"/>
          <w:sz w:val="24"/>
          <w:szCs w:val="24"/>
          <w:lang w:val="en-US" w:eastAsia="en-US" w:bidi="ar-SA"/>
        </w:rPr>
        <w:t>保护教育，增强环境保护意识；施工结束后，对临时占地进行植被恢复、重</w:t>
      </w:r>
      <w:r>
        <w:rPr>
          <w:rFonts w:ascii="宋体" w:hAnsi="宋体" w:eastAsia="宋体" w:cs="宋体"/>
          <w:snapToGrid w:val="0"/>
          <w:color w:val="auto"/>
          <w:spacing w:val="-2"/>
          <w:kern w:val="0"/>
          <w:sz w:val="24"/>
          <w:szCs w:val="24"/>
          <w:lang w:val="en-US" w:eastAsia="en-US" w:bidi="ar-SA"/>
        </w:rPr>
        <w:t>建，</w:t>
      </w:r>
      <w:r>
        <w:rPr>
          <w:rFonts w:ascii="宋体" w:hAnsi="宋体" w:eastAsia="宋体" w:cs="宋体"/>
          <w:snapToGrid w:val="0"/>
          <w:color w:val="auto"/>
          <w:spacing w:val="-6"/>
          <w:kern w:val="0"/>
          <w:sz w:val="24"/>
          <w:szCs w:val="24"/>
          <w:lang w:val="en-US" w:eastAsia="en-US" w:bidi="ar-SA"/>
        </w:rPr>
        <w:t>人为活动影响也随之消失，项目区活动的鸟类会重新分布。因此，</w:t>
      </w:r>
      <w:r>
        <w:rPr>
          <w:rFonts w:ascii="宋体" w:hAnsi="宋体" w:eastAsia="宋体" w:cs="宋体"/>
          <w:snapToGrid w:val="0"/>
          <w:color w:val="auto"/>
          <w:spacing w:val="-7"/>
          <w:kern w:val="0"/>
          <w:sz w:val="24"/>
          <w:szCs w:val="24"/>
          <w:lang w:val="en-US" w:eastAsia="en-US" w:bidi="ar-SA"/>
        </w:rPr>
        <w:t xml:space="preserve"> 本项目建设对</w:t>
      </w:r>
      <w:r>
        <w:rPr>
          <w:rFonts w:ascii="宋体" w:hAnsi="宋体" w:eastAsia="宋体" w:cs="宋体"/>
          <w:snapToGrid w:val="0"/>
          <w:color w:val="auto"/>
          <w:spacing w:val="-5"/>
          <w:kern w:val="0"/>
          <w:sz w:val="24"/>
          <w:szCs w:val="24"/>
          <w:lang w:val="en-US" w:eastAsia="en-US" w:bidi="ar-SA"/>
        </w:rPr>
        <w:t>鸟类的影响较小。</w:t>
      </w:r>
    </w:p>
    <w:p w14:paraId="58607669">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66"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宋体" w:hAnsi="宋体" w:eastAsia="宋体" w:cs="宋体"/>
          <w:b/>
          <w:bCs/>
          <w:snapToGrid w:val="0"/>
          <w:color w:val="auto"/>
          <w:spacing w:val="-4"/>
          <w:kern w:val="0"/>
          <w:sz w:val="24"/>
          <w:szCs w:val="24"/>
          <w:lang w:val="en-US" w:eastAsia="en-US" w:bidi="ar-SA"/>
        </w:rPr>
        <w:t>⑶</w:t>
      </w:r>
      <w:r>
        <w:rPr>
          <w:rFonts w:ascii="宋体" w:hAnsi="宋体" w:eastAsia="宋体" w:cs="宋体"/>
          <w:b/>
          <w:bCs/>
          <w:snapToGrid w:val="0"/>
          <w:color w:val="auto"/>
          <w:spacing w:val="-4"/>
          <w:kern w:val="0"/>
          <w:sz w:val="24"/>
          <w:szCs w:val="24"/>
          <w:lang w:val="en-US" w:eastAsia="en-US" w:bidi="ar-SA"/>
        </w:rPr>
        <w:t>对兽类的影响</w:t>
      </w:r>
    </w:p>
    <w:p w14:paraId="32A1192C">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①占地的影响：施工期塔基建设将占用部分兽类的生境，使其向周</w:t>
      </w:r>
      <w:r>
        <w:rPr>
          <w:rFonts w:ascii="宋体" w:hAnsi="宋体" w:eastAsia="宋体" w:cs="宋体"/>
          <w:snapToGrid w:val="0"/>
          <w:color w:val="auto"/>
          <w:spacing w:val="-4"/>
          <w:kern w:val="0"/>
          <w:sz w:val="24"/>
          <w:szCs w:val="24"/>
          <w:lang w:val="en-US" w:eastAsia="en-US" w:bidi="ar-SA"/>
        </w:rPr>
        <w:t>围扩散分</w:t>
      </w:r>
      <w:r>
        <w:rPr>
          <w:rFonts w:ascii="宋体" w:hAnsi="宋体" w:eastAsia="宋体" w:cs="宋体"/>
          <w:snapToGrid w:val="0"/>
          <w:color w:val="auto"/>
          <w:spacing w:val="-6"/>
          <w:kern w:val="0"/>
          <w:sz w:val="24"/>
          <w:szCs w:val="24"/>
          <w:lang w:val="en-US" w:eastAsia="en-US" w:bidi="ar-SA"/>
        </w:rPr>
        <w:t>布。但是由于施工范围小，兽类活动能力强，周边替代生境多</w:t>
      </w:r>
      <w:r>
        <w:rPr>
          <w:rFonts w:ascii="宋体" w:hAnsi="宋体" w:eastAsia="宋体" w:cs="宋体"/>
          <w:snapToGrid w:val="0"/>
          <w:color w:val="auto"/>
          <w:spacing w:val="-7"/>
          <w:kern w:val="0"/>
          <w:sz w:val="24"/>
          <w:szCs w:val="24"/>
          <w:lang w:val="en-US" w:eastAsia="en-US" w:bidi="ar-SA"/>
        </w:rPr>
        <w:t>，其能够较容易找</w:t>
      </w:r>
      <w:r>
        <w:rPr>
          <w:rFonts w:ascii="宋体" w:hAnsi="宋体" w:eastAsia="宋体" w:cs="宋体"/>
          <w:snapToGrid w:val="0"/>
          <w:color w:val="auto"/>
          <w:spacing w:val="-2"/>
          <w:kern w:val="0"/>
          <w:sz w:val="24"/>
          <w:szCs w:val="24"/>
          <w:lang w:val="en-US" w:eastAsia="en-US" w:bidi="ar-SA"/>
        </w:rPr>
        <w:t>到替代生境。因此，工程占地对评价范围内兽类影响较小。</w:t>
      </w:r>
    </w:p>
    <w:p w14:paraId="1369174B">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②施工活动的影响</w:t>
      </w:r>
    </w:p>
    <w:p w14:paraId="0DDA7EA3">
      <w:pPr>
        <w:keepNext w:val="0"/>
        <w:keepLines w:val="0"/>
        <w:pageBreakBefore w:val="0"/>
        <w:numPr>
          <w:ilvl w:val="0"/>
          <w:numId w:val="5"/>
        </w:numPr>
        <w:kinsoku w:val="0"/>
        <w:wordWrap/>
        <w:overflowPunct/>
        <w:topLinePunct w:val="0"/>
        <w:autoSpaceDE w:val="0"/>
        <w:autoSpaceDN w:val="0"/>
        <w:bidi w:val="0"/>
        <w:adjustRightInd w:val="0"/>
        <w:snapToGrid w:val="0"/>
        <w:spacing w:before="0" w:line="360" w:lineRule="auto"/>
        <w:ind w:left="0" w:right="0" w:firstLine="497"/>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噪声的影响：施工时，受到施工噪声的影响，将使影响</w:t>
      </w:r>
      <w:r>
        <w:rPr>
          <w:rFonts w:ascii="宋体" w:hAnsi="宋体" w:eastAsia="宋体" w:cs="宋体"/>
          <w:snapToGrid w:val="0"/>
          <w:color w:val="auto"/>
          <w:spacing w:val="-2"/>
          <w:kern w:val="0"/>
          <w:sz w:val="24"/>
          <w:szCs w:val="24"/>
          <w:lang w:val="en-US" w:eastAsia="en-US" w:bidi="ar-SA"/>
        </w:rPr>
        <w:t>区域内的兽类远</w:t>
      </w:r>
      <w:r>
        <w:rPr>
          <w:rFonts w:ascii="宋体" w:hAnsi="宋体" w:eastAsia="宋体" w:cs="宋体"/>
          <w:snapToGrid w:val="0"/>
          <w:color w:val="auto"/>
          <w:spacing w:val="-6"/>
          <w:kern w:val="0"/>
          <w:sz w:val="24"/>
          <w:szCs w:val="24"/>
          <w:lang w:val="en-US" w:eastAsia="en-US" w:bidi="ar-SA"/>
        </w:rPr>
        <w:t>离原来的栖息地。项目无高噪音作业， 不会产生强烈的突发</w:t>
      </w:r>
      <w:r>
        <w:rPr>
          <w:rFonts w:ascii="宋体" w:hAnsi="宋体" w:eastAsia="宋体" w:cs="宋体"/>
          <w:snapToGrid w:val="0"/>
          <w:color w:val="auto"/>
          <w:spacing w:val="-7"/>
          <w:kern w:val="0"/>
          <w:sz w:val="24"/>
          <w:szCs w:val="24"/>
          <w:lang w:val="en-US" w:eastAsia="en-US" w:bidi="ar-SA"/>
        </w:rPr>
        <w:t>噪声，对施工周边的</w:t>
      </w:r>
      <w:r>
        <w:rPr>
          <w:rFonts w:ascii="宋体" w:hAnsi="宋体" w:eastAsia="宋体" w:cs="宋体"/>
          <w:snapToGrid w:val="0"/>
          <w:color w:val="auto"/>
          <w:spacing w:val="-2"/>
          <w:kern w:val="0"/>
          <w:sz w:val="24"/>
          <w:szCs w:val="24"/>
          <w:lang w:val="en-US" w:eastAsia="en-US" w:bidi="ar-SA"/>
        </w:rPr>
        <w:t>兽类影响有限。施工结束后，受噪音影响而迁出的兽类会逐渐迁回。</w:t>
      </w:r>
    </w:p>
    <w:p w14:paraId="553309F5">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before="0" w:line="360" w:lineRule="auto"/>
        <w:ind w:left="0" w:leftChars="0" w:right="0" w:rightChars="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Times New Roman" w:hAnsi="Times New Roman" w:eastAsia="Times New Roman" w:cs="Times New Roman"/>
          <w:snapToGrid w:val="0"/>
          <w:color w:val="auto"/>
          <w:spacing w:val="-1"/>
          <w:kern w:val="0"/>
          <w:sz w:val="24"/>
          <w:szCs w:val="24"/>
          <w:lang w:val="en-US" w:eastAsia="en-US" w:bidi="ar-SA"/>
        </w:rPr>
        <w:t>2</w:t>
      </w:r>
      <w:r>
        <w:rPr>
          <w:rFonts w:ascii="宋体" w:hAnsi="宋体" w:eastAsia="宋体" w:cs="宋体"/>
          <w:snapToGrid w:val="0"/>
          <w:color w:val="auto"/>
          <w:spacing w:val="-1"/>
          <w:kern w:val="0"/>
          <w:sz w:val="24"/>
          <w:szCs w:val="24"/>
          <w:lang w:val="en-US" w:eastAsia="en-US" w:bidi="ar-SA"/>
        </w:rPr>
        <w:t>）人为活动的影响：施工人员的活动留下食物残渣和垃圾会吸引啮齿类在</w:t>
      </w:r>
      <w:r>
        <w:rPr>
          <w:rFonts w:ascii="宋体" w:hAnsi="宋体" w:eastAsia="宋体" w:cs="宋体"/>
          <w:snapToGrid w:val="0"/>
          <w:color w:val="auto"/>
          <w:spacing w:val="-3"/>
          <w:kern w:val="0"/>
          <w:sz w:val="24"/>
          <w:szCs w:val="24"/>
          <w:lang w:val="en-US" w:eastAsia="en-US" w:bidi="ar-SA"/>
        </w:rPr>
        <w:t>施工区域聚集，从而侵占其他兽类在该区域的生态位，使得施工区域内动物群落</w:t>
      </w:r>
      <w:r>
        <w:rPr>
          <w:rFonts w:ascii="宋体" w:hAnsi="宋体" w:eastAsia="宋体" w:cs="宋体"/>
          <w:snapToGrid w:val="0"/>
          <w:color w:val="auto"/>
          <w:spacing w:val="-8"/>
          <w:kern w:val="0"/>
          <w:sz w:val="24"/>
          <w:szCs w:val="24"/>
          <w:lang w:val="en-US" w:eastAsia="en-US" w:bidi="ar-SA"/>
        </w:rPr>
        <w:t>结构发生一定改变。兽类具有较强的迁移能力，将使其避免施工造成的直接伤害；</w:t>
      </w:r>
      <w:r>
        <w:rPr>
          <w:rFonts w:ascii="宋体" w:hAnsi="宋体" w:eastAsia="宋体" w:cs="宋体"/>
          <w:snapToGrid w:val="0"/>
          <w:color w:val="auto"/>
          <w:spacing w:val="-3"/>
          <w:kern w:val="0"/>
          <w:sz w:val="24"/>
          <w:szCs w:val="24"/>
          <w:lang w:val="en-US" w:eastAsia="en-US" w:bidi="ar-SA"/>
        </w:rPr>
        <w:t>施工活动结束后对线路施工场地和附近生态环境进行恢复和重建后，原有栖息地</w:t>
      </w:r>
      <w:r>
        <w:rPr>
          <w:rFonts w:ascii="宋体" w:hAnsi="宋体" w:eastAsia="宋体" w:cs="宋体"/>
          <w:snapToGrid w:val="0"/>
          <w:color w:val="auto"/>
          <w:spacing w:val="-5"/>
          <w:kern w:val="0"/>
          <w:sz w:val="24"/>
          <w:szCs w:val="24"/>
          <w:lang w:val="en-US" w:eastAsia="en-US" w:bidi="ar-SA"/>
        </w:rPr>
        <w:t>生态条件得以重建、生境破坏因素消除，</w:t>
      </w:r>
      <w:r>
        <w:rPr>
          <w:rFonts w:ascii="宋体" w:hAnsi="宋体" w:eastAsia="宋体" w:cs="宋体"/>
          <w:snapToGrid w:val="0"/>
          <w:color w:val="auto"/>
          <w:spacing w:val="-48"/>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迁移或迁徙至他处的兽类可以回归到原</w:t>
      </w:r>
      <w:r>
        <w:rPr>
          <w:rFonts w:ascii="宋体" w:hAnsi="宋体" w:eastAsia="宋体" w:cs="宋体"/>
          <w:snapToGrid w:val="0"/>
          <w:color w:val="auto"/>
          <w:spacing w:val="-3"/>
          <w:kern w:val="0"/>
          <w:sz w:val="24"/>
          <w:szCs w:val="24"/>
          <w:lang w:val="en-US" w:eastAsia="en-US" w:bidi="ar-SA"/>
        </w:rPr>
        <w:t>有生境，因此项目建设对兽类的影响较小。</w:t>
      </w:r>
    </w:p>
    <w:p w14:paraId="67CEFF1D">
      <w:pPr>
        <w:keepNext w:val="0"/>
        <w:keepLines w:val="0"/>
        <w:pageBreakBefore w:val="0"/>
        <w:kinsoku w:val="0"/>
        <w:wordWrap/>
        <w:overflowPunct/>
        <w:topLinePunct w:val="0"/>
        <w:autoSpaceDE w:val="0"/>
        <w:autoSpaceDN w:val="0"/>
        <w:bidi w:val="0"/>
        <w:adjustRightInd w:val="0"/>
        <w:snapToGrid w:val="0"/>
        <w:spacing w:before="0" w:line="360" w:lineRule="auto"/>
        <w:ind w:left="0" w:right="0"/>
        <w:jc w:val="both"/>
        <w:textAlignment w:val="baseline"/>
        <w:outlineLvl w:val="3"/>
        <w:rPr>
          <w:rFonts w:ascii="宋体" w:hAnsi="宋体" w:eastAsia="宋体" w:cs="宋体"/>
          <w:snapToGrid w:val="0"/>
          <w:color w:val="auto"/>
          <w:kern w:val="0"/>
          <w:sz w:val="24"/>
          <w:szCs w:val="24"/>
          <w:lang w:val="en-US" w:eastAsia="en-US" w:bidi="ar-SA"/>
        </w:rPr>
      </w:pPr>
      <w:r>
        <w:rPr>
          <w:rFonts w:hint="eastAsia" w:ascii="Times New Roman" w:hAnsi="Times New Roman" w:eastAsia="宋体" w:cs="Times New Roman"/>
          <w:b/>
          <w:bCs/>
          <w:snapToGrid w:val="0"/>
          <w:color w:val="auto"/>
          <w:spacing w:val="-2"/>
          <w:kern w:val="0"/>
          <w:sz w:val="24"/>
          <w:szCs w:val="24"/>
          <w:lang w:val="en-US" w:eastAsia="zh-CN" w:bidi="ar-SA"/>
        </w:rPr>
        <w:t>3</w:t>
      </w:r>
      <w:r>
        <w:rPr>
          <w:rFonts w:ascii="Times New Roman" w:hAnsi="Times New Roman" w:eastAsia="Times New Roman" w:cs="Times New Roman"/>
          <w:b/>
          <w:bCs/>
          <w:snapToGrid w:val="0"/>
          <w:color w:val="auto"/>
          <w:spacing w:val="-2"/>
          <w:kern w:val="0"/>
          <w:sz w:val="24"/>
          <w:szCs w:val="24"/>
          <w:lang w:val="en-US" w:eastAsia="en-US" w:bidi="ar-SA"/>
        </w:rPr>
        <w:t>.2.3.2</w:t>
      </w:r>
      <w:r>
        <w:rPr>
          <w:rFonts w:ascii="宋体" w:hAnsi="宋体" w:eastAsia="宋体" w:cs="宋体"/>
          <w:b/>
          <w:bCs/>
          <w:snapToGrid w:val="0"/>
          <w:color w:val="auto"/>
          <w:spacing w:val="-2"/>
          <w:kern w:val="0"/>
          <w:sz w:val="24"/>
          <w:szCs w:val="24"/>
          <w:lang w:val="en-US" w:eastAsia="en-US" w:bidi="ar-SA"/>
        </w:rPr>
        <w:t>运行期对陆生动物的影响分析</w:t>
      </w:r>
    </w:p>
    <w:p w14:paraId="5E23E1B3">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0"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宋体" w:hAnsi="宋体" w:eastAsia="宋体" w:cs="宋体"/>
          <w:b/>
          <w:bCs/>
          <w:snapToGrid w:val="0"/>
          <w:color w:val="auto"/>
          <w:spacing w:val="-3"/>
          <w:kern w:val="0"/>
          <w:sz w:val="24"/>
          <w:szCs w:val="24"/>
          <w:lang w:val="en-US" w:eastAsia="en-US" w:bidi="ar-SA"/>
        </w:rPr>
        <w:t>⑴</w:t>
      </w:r>
      <w:r>
        <w:rPr>
          <w:rFonts w:ascii="宋体" w:hAnsi="宋体" w:eastAsia="宋体" w:cs="宋体"/>
          <w:b/>
          <w:bCs/>
          <w:snapToGrid w:val="0"/>
          <w:color w:val="auto"/>
          <w:spacing w:val="-3"/>
          <w:kern w:val="0"/>
          <w:sz w:val="24"/>
          <w:szCs w:val="24"/>
          <w:lang w:val="en-US" w:eastAsia="en-US" w:bidi="ar-SA"/>
        </w:rPr>
        <w:t>塔基及线路阻隔对动物的影响</w:t>
      </w:r>
    </w:p>
    <w:p w14:paraId="25B88336">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输电线路工程的分离和阻隔作用不同于公路和铁路项目，由于其塔</w:t>
      </w:r>
      <w:r>
        <w:rPr>
          <w:rFonts w:ascii="宋体" w:hAnsi="宋体" w:eastAsia="宋体" w:cs="宋体"/>
          <w:snapToGrid w:val="0"/>
          <w:color w:val="auto"/>
          <w:spacing w:val="-4"/>
          <w:kern w:val="0"/>
          <w:sz w:val="24"/>
          <w:szCs w:val="24"/>
          <w:lang w:val="en-US" w:eastAsia="en-US" w:bidi="ar-SA"/>
        </w:rPr>
        <w:t>基为点状</w:t>
      </w:r>
      <w:r>
        <w:rPr>
          <w:rFonts w:ascii="宋体" w:hAnsi="宋体" w:eastAsia="宋体" w:cs="宋体"/>
          <w:snapToGrid w:val="0"/>
          <w:color w:val="auto"/>
          <w:spacing w:val="-1"/>
          <w:kern w:val="0"/>
          <w:sz w:val="24"/>
          <w:szCs w:val="24"/>
          <w:lang w:val="en-US" w:eastAsia="en-US" w:bidi="ar-SA"/>
        </w:rPr>
        <w:t>分布，两塔之间距离根据地形一般为</w:t>
      </w:r>
      <w:r>
        <w:rPr>
          <w:rFonts w:ascii="宋体" w:hAnsi="宋体" w:eastAsia="宋体" w:cs="宋体"/>
          <w:snapToGrid w:val="0"/>
          <w:color w:val="auto"/>
          <w:spacing w:val="-32"/>
          <w:kern w:val="0"/>
          <w:sz w:val="24"/>
          <w:szCs w:val="24"/>
          <w:lang w:val="en-US" w:eastAsia="en-US" w:bidi="ar-SA"/>
        </w:rPr>
        <w:t xml:space="preserve"> </w:t>
      </w:r>
      <w:r>
        <w:rPr>
          <w:rFonts w:ascii="Times New Roman" w:hAnsi="Times New Roman" w:eastAsia="Times New Roman" w:cs="Times New Roman"/>
          <w:snapToGrid w:val="0"/>
          <w:color w:val="auto"/>
          <w:spacing w:val="-1"/>
          <w:kern w:val="0"/>
          <w:sz w:val="24"/>
          <w:szCs w:val="24"/>
          <w:lang w:val="en-US" w:eastAsia="en-US" w:bidi="ar-SA"/>
        </w:rPr>
        <w:t>300-800m</w:t>
      </w:r>
      <w:r>
        <w:rPr>
          <w:rFonts w:ascii="宋体" w:hAnsi="宋体" w:eastAsia="宋体" w:cs="宋体"/>
          <w:snapToGrid w:val="0"/>
          <w:color w:val="auto"/>
          <w:spacing w:val="-1"/>
          <w:kern w:val="0"/>
          <w:sz w:val="24"/>
          <w:szCs w:val="24"/>
          <w:lang w:val="en-US" w:eastAsia="en-US" w:bidi="ar-SA"/>
        </w:rPr>
        <w:t>左右，杆塔之间的区域为架空线</w:t>
      </w:r>
      <w:r>
        <w:rPr>
          <w:rFonts w:ascii="宋体" w:hAnsi="宋体" w:eastAsia="宋体" w:cs="宋体"/>
          <w:snapToGrid w:val="0"/>
          <w:color w:val="auto"/>
          <w:spacing w:val="-6"/>
          <w:kern w:val="0"/>
          <w:sz w:val="24"/>
          <w:szCs w:val="24"/>
          <w:lang w:val="en-US" w:eastAsia="en-US" w:bidi="ar-SA"/>
        </w:rPr>
        <w:t xml:space="preserve">路，不会对迁移动物的生境和活动产生真正的阻隔。运行后， </w:t>
      </w:r>
      <w:r>
        <w:rPr>
          <w:rFonts w:ascii="宋体" w:hAnsi="宋体" w:eastAsia="宋体" w:cs="宋体"/>
          <w:snapToGrid w:val="0"/>
          <w:color w:val="auto"/>
          <w:spacing w:val="-7"/>
          <w:kern w:val="0"/>
          <w:sz w:val="24"/>
          <w:szCs w:val="24"/>
          <w:lang w:val="en-US" w:eastAsia="en-US" w:bidi="ar-SA"/>
        </w:rPr>
        <w:t>陆生动物仍可自由</w:t>
      </w:r>
      <w:r>
        <w:rPr>
          <w:rFonts w:ascii="宋体" w:hAnsi="宋体" w:eastAsia="宋体" w:cs="宋体"/>
          <w:snapToGrid w:val="0"/>
          <w:color w:val="auto"/>
          <w:spacing w:val="-5"/>
          <w:kern w:val="0"/>
          <w:sz w:val="24"/>
          <w:szCs w:val="24"/>
          <w:lang w:val="en-US" w:eastAsia="en-US" w:bidi="ar-SA"/>
        </w:rPr>
        <w:t>活动和穿梭于线路两侧。输电线路运行期人为活动很少，</w:t>
      </w:r>
      <w:r>
        <w:rPr>
          <w:rFonts w:ascii="宋体" w:hAnsi="宋体" w:eastAsia="宋体" w:cs="宋体"/>
          <w:snapToGrid w:val="0"/>
          <w:color w:val="auto"/>
          <w:spacing w:val="-49"/>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仅为线路安全运行考虑</w:t>
      </w:r>
      <w:r>
        <w:rPr>
          <w:rFonts w:ascii="宋体" w:hAnsi="宋体" w:eastAsia="宋体" w:cs="宋体"/>
          <w:snapToGrid w:val="0"/>
          <w:color w:val="auto"/>
          <w:spacing w:val="-3"/>
          <w:kern w:val="0"/>
          <w:sz w:val="24"/>
          <w:szCs w:val="24"/>
          <w:lang w:val="en-US" w:eastAsia="en-US" w:bidi="ar-SA"/>
        </w:rPr>
        <w:t>配置有巡线工人，且巡线工人数量少，其巡线活动有一定的时间间隔，不会因为人类活动频繁而影响陆生动物的栖息和繁衍。</w:t>
      </w:r>
    </w:p>
    <w:p w14:paraId="25FFA31C">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66"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宋体" w:hAnsi="宋体" w:eastAsia="宋体" w:cs="宋体"/>
          <w:b/>
          <w:bCs/>
          <w:snapToGrid w:val="0"/>
          <w:color w:val="auto"/>
          <w:spacing w:val="-4"/>
          <w:kern w:val="0"/>
          <w:sz w:val="24"/>
          <w:szCs w:val="24"/>
          <w:lang w:val="en-US" w:eastAsia="en-US" w:bidi="ar-SA"/>
        </w:rPr>
        <w:t>⑵</w:t>
      </w:r>
      <w:r>
        <w:rPr>
          <w:rFonts w:ascii="宋体" w:hAnsi="宋体" w:eastAsia="宋体" w:cs="宋体"/>
          <w:b/>
          <w:bCs/>
          <w:snapToGrid w:val="0"/>
          <w:color w:val="auto"/>
          <w:spacing w:val="-4"/>
          <w:kern w:val="0"/>
          <w:sz w:val="24"/>
          <w:szCs w:val="24"/>
          <w:lang w:val="en-US" w:eastAsia="en-US" w:bidi="ar-SA"/>
        </w:rPr>
        <w:t>对鸟类的影响</w:t>
      </w:r>
    </w:p>
    <w:p w14:paraId="59502171">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①对鸟类迁徙的影响</w:t>
      </w:r>
    </w:p>
    <w:p w14:paraId="6D458BA6">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输电线路的杆塔较为高大，可能会对线路附近鸟类的迁徙和飞行造</w:t>
      </w:r>
      <w:r>
        <w:rPr>
          <w:rFonts w:ascii="宋体" w:hAnsi="宋体" w:eastAsia="宋体" w:cs="宋体"/>
          <w:snapToGrid w:val="0"/>
          <w:color w:val="auto"/>
          <w:spacing w:val="-4"/>
          <w:kern w:val="0"/>
          <w:sz w:val="24"/>
          <w:szCs w:val="24"/>
          <w:lang w:val="en-US" w:eastAsia="en-US" w:bidi="ar-SA"/>
        </w:rPr>
        <w:t>成一定的</w:t>
      </w:r>
      <w:r>
        <w:rPr>
          <w:rFonts w:ascii="宋体" w:hAnsi="宋体" w:eastAsia="宋体" w:cs="宋体"/>
          <w:snapToGrid w:val="0"/>
          <w:color w:val="auto"/>
          <w:spacing w:val="-3"/>
          <w:kern w:val="0"/>
          <w:sz w:val="24"/>
          <w:szCs w:val="24"/>
          <w:lang w:val="en-US" w:eastAsia="en-US" w:bidi="ar-SA"/>
        </w:rPr>
        <w:t>影响，主要表现为鸟类在飞行中撞到输电线路和杆塔受伤以及触电事故。本项目线路有南北和东西走向。根据鸟类迁徙习惯，普通鸟类飞翔高度在</w:t>
      </w:r>
      <w:r>
        <w:rPr>
          <w:rFonts w:ascii="宋体" w:hAnsi="宋体" w:eastAsia="宋体" w:cs="宋体"/>
          <w:snapToGrid w:val="0"/>
          <w:color w:val="auto"/>
          <w:spacing w:val="-38"/>
          <w:kern w:val="0"/>
          <w:sz w:val="24"/>
          <w:szCs w:val="24"/>
          <w:lang w:val="en-US" w:eastAsia="en-US" w:bidi="ar-SA"/>
        </w:rPr>
        <w:t xml:space="preserve"> </w:t>
      </w:r>
      <w:r>
        <w:rPr>
          <w:rFonts w:ascii="Times New Roman" w:hAnsi="Times New Roman" w:eastAsia="Times New Roman" w:cs="Times New Roman"/>
          <w:snapToGrid w:val="0"/>
          <w:color w:val="auto"/>
          <w:spacing w:val="-3"/>
          <w:kern w:val="0"/>
          <w:sz w:val="24"/>
          <w:szCs w:val="24"/>
          <w:lang w:val="en-US" w:eastAsia="en-US" w:bidi="ar-SA"/>
        </w:rPr>
        <w:t>400m</w:t>
      </w:r>
      <w:r>
        <w:rPr>
          <w:rFonts w:ascii="宋体" w:hAnsi="宋体" w:eastAsia="宋体" w:cs="宋体"/>
          <w:snapToGrid w:val="0"/>
          <w:color w:val="auto"/>
          <w:spacing w:val="-3"/>
          <w:kern w:val="0"/>
          <w:sz w:val="24"/>
          <w:szCs w:val="24"/>
          <w:lang w:val="en-US" w:eastAsia="en-US" w:bidi="ar-SA"/>
        </w:rPr>
        <w:t>以下，鹤类在</w:t>
      </w:r>
      <w:r>
        <w:rPr>
          <w:rFonts w:ascii="宋体" w:hAnsi="宋体" w:eastAsia="宋体" w:cs="宋体"/>
          <w:snapToGrid w:val="0"/>
          <w:color w:val="auto"/>
          <w:spacing w:val="-45"/>
          <w:kern w:val="0"/>
          <w:sz w:val="24"/>
          <w:szCs w:val="24"/>
          <w:lang w:val="en-US" w:eastAsia="en-US" w:bidi="ar-SA"/>
        </w:rPr>
        <w:t xml:space="preserve"> </w:t>
      </w:r>
      <w:r>
        <w:rPr>
          <w:rFonts w:ascii="Times New Roman" w:hAnsi="Times New Roman" w:eastAsia="Times New Roman" w:cs="Times New Roman"/>
          <w:snapToGrid w:val="0"/>
          <w:color w:val="auto"/>
          <w:spacing w:val="-3"/>
          <w:kern w:val="0"/>
          <w:sz w:val="24"/>
          <w:szCs w:val="24"/>
          <w:lang w:val="en-US" w:eastAsia="en-US" w:bidi="ar-SA"/>
        </w:rPr>
        <w:t>300</w:t>
      </w:r>
      <w:r>
        <w:rPr>
          <w:rFonts w:ascii="宋体" w:hAnsi="宋体" w:eastAsia="宋体" w:cs="宋体"/>
          <w:snapToGrid w:val="0"/>
          <w:color w:val="auto"/>
          <w:spacing w:val="-3"/>
          <w:kern w:val="0"/>
          <w:sz w:val="24"/>
          <w:szCs w:val="24"/>
          <w:lang w:val="en-US" w:eastAsia="en-US" w:bidi="ar-SA"/>
        </w:rPr>
        <w:t>～</w:t>
      </w:r>
      <w:r>
        <w:rPr>
          <w:rFonts w:ascii="Times New Roman" w:hAnsi="Times New Roman" w:eastAsia="Times New Roman" w:cs="Times New Roman"/>
          <w:snapToGrid w:val="0"/>
          <w:color w:val="auto"/>
          <w:spacing w:val="-3"/>
          <w:kern w:val="0"/>
          <w:sz w:val="24"/>
          <w:szCs w:val="24"/>
          <w:lang w:val="en-US" w:eastAsia="en-US" w:bidi="ar-SA"/>
        </w:rPr>
        <w:t>500m</w:t>
      </w:r>
      <w:r>
        <w:rPr>
          <w:rFonts w:ascii="宋体" w:hAnsi="宋体" w:eastAsia="宋体" w:cs="宋体"/>
          <w:snapToGrid w:val="0"/>
          <w:color w:val="auto"/>
          <w:spacing w:val="-3"/>
          <w:kern w:val="0"/>
          <w:sz w:val="24"/>
          <w:szCs w:val="24"/>
          <w:lang w:val="en-US" w:eastAsia="en-US" w:bidi="ar-SA"/>
        </w:rPr>
        <w:t>，鹳、雁类等最高飞行高度可达</w:t>
      </w:r>
      <w:r>
        <w:rPr>
          <w:rFonts w:ascii="宋体" w:hAnsi="宋体" w:eastAsia="宋体" w:cs="宋体"/>
          <w:snapToGrid w:val="0"/>
          <w:color w:val="auto"/>
          <w:spacing w:val="-50"/>
          <w:kern w:val="0"/>
          <w:sz w:val="24"/>
          <w:szCs w:val="24"/>
          <w:lang w:val="en-US" w:eastAsia="en-US" w:bidi="ar-SA"/>
        </w:rPr>
        <w:t xml:space="preserve"> </w:t>
      </w:r>
      <w:r>
        <w:rPr>
          <w:rFonts w:ascii="Times New Roman" w:hAnsi="Times New Roman" w:eastAsia="Times New Roman" w:cs="Times New Roman"/>
          <w:snapToGrid w:val="0"/>
          <w:color w:val="auto"/>
          <w:spacing w:val="-3"/>
          <w:kern w:val="0"/>
          <w:sz w:val="24"/>
          <w:szCs w:val="24"/>
          <w:lang w:val="en-US" w:eastAsia="en-US" w:bidi="ar-SA"/>
        </w:rPr>
        <w:t>900m</w:t>
      </w:r>
      <w:r>
        <w:rPr>
          <w:rFonts w:ascii="宋体" w:hAnsi="宋体" w:eastAsia="宋体" w:cs="宋体"/>
          <w:snapToGrid w:val="0"/>
          <w:color w:val="auto"/>
          <w:spacing w:val="-3"/>
          <w:kern w:val="0"/>
          <w:sz w:val="24"/>
          <w:szCs w:val="24"/>
          <w:lang w:val="en-US" w:eastAsia="en-US" w:bidi="ar-SA"/>
        </w:rPr>
        <w:t>以上。输电工程杆塔及导线的高度一般在</w:t>
      </w:r>
      <w:r>
        <w:rPr>
          <w:rFonts w:ascii="宋体" w:hAnsi="宋体" w:eastAsia="宋体" w:cs="宋体"/>
          <w:snapToGrid w:val="0"/>
          <w:color w:val="auto"/>
          <w:spacing w:val="-32"/>
          <w:kern w:val="0"/>
          <w:sz w:val="24"/>
          <w:szCs w:val="24"/>
          <w:lang w:val="en-US" w:eastAsia="en-US" w:bidi="ar-SA"/>
        </w:rPr>
        <w:t xml:space="preserve"> </w:t>
      </w:r>
      <w:r>
        <w:rPr>
          <w:rFonts w:ascii="Times New Roman" w:hAnsi="Times New Roman" w:eastAsia="Times New Roman" w:cs="Times New Roman"/>
          <w:snapToGrid w:val="0"/>
          <w:color w:val="auto"/>
          <w:spacing w:val="-3"/>
          <w:kern w:val="0"/>
          <w:sz w:val="24"/>
          <w:szCs w:val="24"/>
          <w:lang w:val="en-US" w:eastAsia="en-US" w:bidi="ar-SA"/>
        </w:rPr>
        <w:t>100m</w:t>
      </w:r>
      <w:r>
        <w:rPr>
          <w:rFonts w:ascii="宋体" w:hAnsi="宋体" w:eastAsia="宋体" w:cs="宋体"/>
          <w:snapToGrid w:val="0"/>
          <w:color w:val="auto"/>
          <w:spacing w:val="-3"/>
          <w:kern w:val="0"/>
          <w:sz w:val="24"/>
          <w:szCs w:val="24"/>
          <w:lang w:val="en-US" w:eastAsia="en-US" w:bidi="ar-SA"/>
        </w:rPr>
        <w:t>以下，远低于鸟类迁徙飞行高度，因此一</w:t>
      </w:r>
      <w:r>
        <w:rPr>
          <w:rFonts w:ascii="宋体" w:hAnsi="宋体" w:eastAsia="宋体" w:cs="宋体"/>
          <w:snapToGrid w:val="0"/>
          <w:color w:val="auto"/>
          <w:spacing w:val="-4"/>
          <w:kern w:val="0"/>
          <w:sz w:val="24"/>
          <w:szCs w:val="24"/>
          <w:lang w:val="en-US" w:eastAsia="en-US" w:bidi="ar-SA"/>
        </w:rPr>
        <w:t>般情况下输电</w:t>
      </w:r>
      <w:r>
        <w:rPr>
          <w:rFonts w:ascii="宋体" w:hAnsi="宋体" w:eastAsia="宋体" w:cs="宋体"/>
          <w:snapToGrid w:val="0"/>
          <w:color w:val="auto"/>
          <w:spacing w:val="-3"/>
          <w:kern w:val="0"/>
          <w:sz w:val="24"/>
          <w:szCs w:val="24"/>
          <w:lang w:val="en-US" w:eastAsia="en-US" w:bidi="ar-SA"/>
        </w:rPr>
        <w:t>线路杆塔对鸟类的迁徙影响不大。</w:t>
      </w:r>
    </w:p>
    <w:p w14:paraId="52B29188">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1"/>
          <w:kern w:val="0"/>
          <w:sz w:val="24"/>
          <w:szCs w:val="24"/>
          <w:lang w:val="en-US" w:eastAsia="en-US" w:bidi="ar-SA"/>
        </w:rPr>
        <w:t>②对留鸟的影响</w:t>
      </w:r>
    </w:p>
    <w:p w14:paraId="761DA302">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kern w:val="0"/>
          <w:sz w:val="24"/>
          <w:szCs w:val="24"/>
          <w:lang w:val="en-US" w:eastAsia="en-US" w:bidi="ar-SA"/>
        </w:rPr>
        <w:t>运行期工作人员线路检修增加人为对评价范围内</w:t>
      </w:r>
      <w:r>
        <w:rPr>
          <w:rFonts w:ascii="宋体" w:hAnsi="宋体" w:eastAsia="宋体" w:cs="宋体"/>
          <w:snapToGrid w:val="0"/>
          <w:color w:val="auto"/>
          <w:spacing w:val="-1"/>
          <w:kern w:val="0"/>
          <w:sz w:val="24"/>
          <w:szCs w:val="24"/>
          <w:lang w:val="en-US" w:eastAsia="en-US" w:bidi="ar-SA"/>
        </w:rPr>
        <w:t>留鸟（长期栖居在生殖地</w:t>
      </w:r>
      <w:r>
        <w:rPr>
          <w:rFonts w:ascii="宋体" w:hAnsi="宋体" w:eastAsia="宋体" w:cs="宋体"/>
          <w:snapToGrid w:val="0"/>
          <w:color w:val="auto"/>
          <w:spacing w:val="-6"/>
          <w:kern w:val="0"/>
          <w:sz w:val="24"/>
          <w:szCs w:val="24"/>
          <w:lang w:val="en-US" w:eastAsia="en-US" w:bidi="ar-SA"/>
        </w:rPr>
        <w:t>域，不作周期性迁徙的鸟）干扰。本项目运行期检修频率不高</w:t>
      </w:r>
      <w:r>
        <w:rPr>
          <w:rFonts w:ascii="宋体" w:hAnsi="宋体" w:eastAsia="宋体" w:cs="宋体"/>
          <w:snapToGrid w:val="0"/>
          <w:color w:val="auto"/>
          <w:spacing w:val="-7"/>
          <w:kern w:val="0"/>
          <w:sz w:val="24"/>
          <w:szCs w:val="24"/>
          <w:lang w:val="en-US" w:eastAsia="en-US" w:bidi="ar-SA"/>
        </w:rPr>
        <w:t>， 且区段检修时间</w:t>
      </w:r>
      <w:r>
        <w:rPr>
          <w:rFonts w:ascii="宋体" w:hAnsi="宋体" w:eastAsia="宋体" w:cs="宋体"/>
          <w:snapToGrid w:val="0"/>
          <w:color w:val="auto"/>
          <w:spacing w:val="-2"/>
          <w:kern w:val="0"/>
          <w:sz w:val="24"/>
          <w:szCs w:val="24"/>
          <w:lang w:val="en-US" w:eastAsia="en-US" w:bidi="ar-SA"/>
        </w:rPr>
        <w:t>短、检修人员较少，对野生动物人为干扰很</w:t>
      </w:r>
      <w:r>
        <w:rPr>
          <w:rFonts w:ascii="宋体" w:hAnsi="宋体" w:eastAsia="宋体" w:cs="宋体"/>
          <w:snapToGrid w:val="0"/>
          <w:color w:val="auto"/>
          <w:spacing w:val="-3"/>
          <w:kern w:val="0"/>
          <w:sz w:val="24"/>
          <w:szCs w:val="24"/>
          <w:lang w:val="en-US" w:eastAsia="en-US" w:bidi="ar-SA"/>
        </w:rPr>
        <w:t>小。</w:t>
      </w:r>
    </w:p>
    <w:p w14:paraId="50A4CC05">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50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4"/>
          <w:kern w:val="0"/>
          <w:sz w:val="24"/>
          <w:szCs w:val="24"/>
          <w:lang w:val="en-US" w:eastAsia="en-US" w:bidi="ar-SA"/>
        </w:rPr>
        <w:t>电流噪声的影响架空的输电线路正常运行时基本无噪声，仅在下雨或大雾时</w:t>
      </w:r>
      <w:r>
        <w:rPr>
          <w:rFonts w:ascii="宋体" w:hAnsi="宋体" w:eastAsia="宋体" w:cs="宋体"/>
          <w:snapToGrid w:val="0"/>
          <w:color w:val="auto"/>
          <w:spacing w:val="-8"/>
          <w:kern w:val="0"/>
          <w:sz w:val="24"/>
          <w:szCs w:val="24"/>
          <w:lang w:val="en-US" w:eastAsia="en-US" w:bidi="ar-SA"/>
        </w:rPr>
        <w:t>会产生连续性电磁性噪声，但其噪声以中低频为主，其源强较小，可以忽略不计，</w:t>
      </w:r>
      <w:r>
        <w:rPr>
          <w:rFonts w:ascii="宋体" w:hAnsi="宋体" w:eastAsia="宋体" w:cs="宋体"/>
          <w:snapToGrid w:val="0"/>
          <w:color w:val="auto"/>
          <w:spacing w:val="-3"/>
          <w:kern w:val="0"/>
          <w:sz w:val="24"/>
          <w:szCs w:val="24"/>
          <w:lang w:val="en-US" w:eastAsia="en-US" w:bidi="ar-SA"/>
        </w:rPr>
        <w:t>对环境背景噪声值影响不大。线路沿线活动的野生动物在感受到线路运行期间产生的噪声后，可能会受到一定惊扰，远而避之，对于较敏感的野生动物，可能会</w:t>
      </w:r>
      <w:r>
        <w:rPr>
          <w:rFonts w:ascii="宋体" w:hAnsi="宋体" w:eastAsia="宋体" w:cs="宋体"/>
          <w:snapToGrid w:val="0"/>
          <w:color w:val="auto"/>
          <w:spacing w:val="-2"/>
          <w:kern w:val="0"/>
          <w:sz w:val="24"/>
          <w:szCs w:val="24"/>
          <w:lang w:val="en-US" w:eastAsia="en-US" w:bidi="ar-SA"/>
        </w:rPr>
        <w:t>躲到距线路</w:t>
      </w:r>
      <w:r>
        <w:rPr>
          <w:rFonts w:ascii="Times New Roman" w:hAnsi="Times New Roman" w:eastAsia="Times New Roman" w:cs="Times New Roman"/>
          <w:snapToGrid w:val="0"/>
          <w:color w:val="auto"/>
          <w:spacing w:val="-2"/>
          <w:kern w:val="0"/>
          <w:sz w:val="24"/>
          <w:szCs w:val="24"/>
          <w:lang w:val="en-US" w:eastAsia="en-US" w:bidi="ar-SA"/>
        </w:rPr>
        <w:t>1~3km</w:t>
      </w:r>
      <w:r>
        <w:rPr>
          <w:rFonts w:ascii="宋体" w:hAnsi="宋体" w:eastAsia="宋体" w:cs="宋体"/>
          <w:snapToGrid w:val="0"/>
          <w:color w:val="auto"/>
          <w:spacing w:val="-2"/>
          <w:kern w:val="0"/>
          <w:sz w:val="24"/>
          <w:szCs w:val="24"/>
          <w:lang w:val="en-US" w:eastAsia="en-US" w:bidi="ar-SA"/>
        </w:rPr>
        <w:t>以外。但在适应一段时间后，原有生境中的动物也</w:t>
      </w:r>
      <w:r>
        <w:rPr>
          <w:rFonts w:ascii="宋体" w:hAnsi="宋体" w:eastAsia="宋体" w:cs="宋体"/>
          <w:snapToGrid w:val="0"/>
          <w:color w:val="auto"/>
          <w:spacing w:val="-3"/>
          <w:kern w:val="0"/>
          <w:sz w:val="24"/>
          <w:szCs w:val="24"/>
          <w:lang w:val="en-US" w:eastAsia="en-US" w:bidi="ar-SA"/>
        </w:rPr>
        <w:t>会逐渐迁</w:t>
      </w:r>
      <w:r>
        <w:rPr>
          <w:rFonts w:ascii="宋体" w:hAnsi="宋体" w:eastAsia="宋体" w:cs="宋体"/>
          <w:snapToGrid w:val="0"/>
          <w:color w:val="auto"/>
          <w:spacing w:val="-17"/>
          <w:kern w:val="0"/>
          <w:sz w:val="24"/>
          <w:szCs w:val="24"/>
          <w:lang w:val="en-US" w:eastAsia="en-US" w:bidi="ar-SA"/>
        </w:rPr>
        <w:t>回。</w:t>
      </w:r>
    </w:p>
    <w:p w14:paraId="6A723D1C">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2"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③电击的影响</w:t>
      </w:r>
    </w:p>
    <w:p w14:paraId="23B6B96D">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83"/>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一些鸟类会在输电线和铁塔上停歇，甚至在铁塔上筑巢</w:t>
      </w:r>
      <w:r>
        <w:rPr>
          <w:rFonts w:ascii="宋体" w:hAnsi="宋体" w:eastAsia="宋体" w:cs="宋体"/>
          <w:snapToGrid w:val="0"/>
          <w:color w:val="auto"/>
          <w:spacing w:val="-4"/>
          <w:kern w:val="0"/>
          <w:sz w:val="24"/>
          <w:szCs w:val="24"/>
          <w:lang w:val="en-US" w:eastAsia="en-US" w:bidi="ar-SA"/>
        </w:rPr>
        <w:t>繁衍，可能导致绝缘</w:t>
      </w:r>
      <w:r>
        <w:rPr>
          <w:rFonts w:ascii="宋体" w:hAnsi="宋体" w:eastAsia="宋体" w:cs="宋体"/>
          <w:snapToGrid w:val="0"/>
          <w:color w:val="auto"/>
          <w:spacing w:val="-6"/>
          <w:kern w:val="0"/>
          <w:sz w:val="24"/>
          <w:szCs w:val="24"/>
          <w:lang w:val="en-US" w:eastAsia="en-US" w:bidi="ar-SA"/>
        </w:rPr>
        <w:t>子闪络、线路跳闸、设备损害等， 引起输电线路电击事故，造</w:t>
      </w:r>
      <w:r>
        <w:rPr>
          <w:rFonts w:ascii="宋体" w:hAnsi="宋体" w:eastAsia="宋体" w:cs="宋体"/>
          <w:snapToGrid w:val="0"/>
          <w:color w:val="auto"/>
          <w:spacing w:val="-7"/>
          <w:kern w:val="0"/>
          <w:sz w:val="24"/>
          <w:szCs w:val="24"/>
          <w:lang w:val="en-US" w:eastAsia="en-US" w:bidi="ar-SA"/>
        </w:rPr>
        <w:t>成鸟类死亡。可在</w:t>
      </w:r>
      <w:r>
        <w:rPr>
          <w:rFonts w:ascii="宋体" w:hAnsi="宋体" w:eastAsia="宋体" w:cs="宋体"/>
          <w:snapToGrid w:val="0"/>
          <w:color w:val="auto"/>
          <w:spacing w:val="-1"/>
          <w:kern w:val="0"/>
          <w:sz w:val="24"/>
          <w:szCs w:val="24"/>
          <w:lang w:val="en-US" w:eastAsia="en-US" w:bidi="ar-SA"/>
        </w:rPr>
        <w:t>绝缘子上方安装防鸟刺和在铁塔上安装驱鸟设备，防止</w:t>
      </w:r>
      <w:r>
        <w:rPr>
          <w:rFonts w:ascii="宋体" w:hAnsi="宋体" w:eastAsia="宋体" w:cs="宋体"/>
          <w:snapToGrid w:val="0"/>
          <w:color w:val="auto"/>
          <w:spacing w:val="-2"/>
          <w:kern w:val="0"/>
          <w:sz w:val="24"/>
          <w:szCs w:val="24"/>
          <w:lang w:val="en-US" w:eastAsia="en-US" w:bidi="ar-SA"/>
        </w:rPr>
        <w:t>鸟类在输电线路上滞留、</w:t>
      </w:r>
      <w:r>
        <w:rPr>
          <w:rFonts w:ascii="宋体" w:hAnsi="宋体" w:eastAsia="宋体" w:cs="宋体"/>
          <w:snapToGrid w:val="0"/>
          <w:color w:val="auto"/>
          <w:spacing w:val="-3"/>
          <w:kern w:val="0"/>
          <w:sz w:val="24"/>
          <w:szCs w:val="24"/>
          <w:lang w:val="en-US" w:eastAsia="en-US" w:bidi="ar-SA"/>
        </w:rPr>
        <w:t>排泄和摄食，降低鸟类被电击的风险。</w:t>
      </w:r>
    </w:p>
    <w:p w14:paraId="06D2EF3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both"/>
        <w:textAlignment w:val="baseline"/>
        <w:outlineLvl w:val="2"/>
        <w:rPr>
          <w:rFonts w:hint="eastAsia" w:ascii="Times New Roman" w:hAnsi="Times New Roman" w:eastAsia="宋体" w:cs="Times New Roman"/>
          <w:b/>
          <w:bCs/>
          <w:color w:val="auto"/>
          <w:kern w:val="2"/>
          <w:sz w:val="24"/>
          <w:szCs w:val="24"/>
          <w:highlight w:val="none"/>
          <w:lang w:val="en-US" w:eastAsia="en-US" w:bidi="ar-SA"/>
        </w:rPr>
      </w:pPr>
      <w:r>
        <w:rPr>
          <w:rFonts w:hint="eastAsia" w:ascii="Times New Roman" w:hAnsi="Times New Roman" w:eastAsia="宋体"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en-US" w:bidi="ar-SA"/>
        </w:rPr>
        <w:t>.2.4对生态系统的影响分析</w:t>
      </w:r>
    </w:p>
    <w:p w14:paraId="0204D877">
      <w:pPr>
        <w:keepNext w:val="0"/>
        <w:keepLines w:val="0"/>
        <w:pageBreakBefore w:val="0"/>
        <w:kinsoku w:val="0"/>
        <w:wordWrap/>
        <w:overflowPunct/>
        <w:topLinePunct w:val="0"/>
        <w:autoSpaceDE w:val="0"/>
        <w:autoSpaceDN w:val="0"/>
        <w:bidi w:val="0"/>
        <w:adjustRightInd w:val="0"/>
        <w:snapToGrid w:val="0"/>
        <w:spacing w:before="0" w:line="360" w:lineRule="auto"/>
        <w:ind w:left="0" w:right="0" w:firstLine="479"/>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评价范围内主要有森林生态系统、灌丛生态系统、草地生态系统、</w:t>
      </w:r>
      <w:r>
        <w:rPr>
          <w:rFonts w:ascii="宋体" w:hAnsi="宋体" w:eastAsia="宋体" w:cs="宋体"/>
          <w:snapToGrid w:val="0"/>
          <w:color w:val="auto"/>
          <w:spacing w:val="-4"/>
          <w:kern w:val="0"/>
          <w:sz w:val="24"/>
          <w:szCs w:val="24"/>
          <w:lang w:val="en-US" w:eastAsia="en-US" w:bidi="ar-SA"/>
        </w:rPr>
        <w:t>湿地生态</w:t>
      </w:r>
      <w:r>
        <w:rPr>
          <w:rFonts w:ascii="宋体" w:hAnsi="宋体" w:eastAsia="宋体" w:cs="宋体"/>
          <w:snapToGrid w:val="0"/>
          <w:color w:val="auto"/>
          <w:spacing w:val="-6"/>
          <w:kern w:val="0"/>
          <w:sz w:val="24"/>
          <w:szCs w:val="24"/>
          <w:lang w:val="en-US" w:eastAsia="en-US" w:bidi="ar-SA"/>
        </w:rPr>
        <w:t>系统、农田生态系统、城镇生态系统</w:t>
      </w:r>
      <w:r>
        <w:rPr>
          <w:rFonts w:hint="eastAsia" w:ascii="宋体" w:hAnsi="宋体" w:eastAsia="宋体" w:cs="宋体"/>
          <w:snapToGrid w:val="0"/>
          <w:color w:val="auto"/>
          <w:spacing w:val="-6"/>
          <w:kern w:val="0"/>
          <w:sz w:val="24"/>
          <w:szCs w:val="24"/>
          <w:lang w:val="en-US" w:eastAsia="zh-CN" w:bidi="ar-SA"/>
        </w:rPr>
        <w:t>，</w:t>
      </w:r>
      <w:r>
        <w:rPr>
          <w:rFonts w:ascii="宋体" w:hAnsi="宋体" w:eastAsia="宋体" w:cs="宋体"/>
          <w:snapToGrid w:val="0"/>
          <w:color w:val="auto"/>
          <w:spacing w:val="-6"/>
          <w:kern w:val="0"/>
          <w:sz w:val="24"/>
          <w:szCs w:val="24"/>
          <w:lang w:val="en-US" w:eastAsia="en-US" w:bidi="ar-SA"/>
        </w:rPr>
        <w:t>它们具有生境支持、生</w:t>
      </w:r>
      <w:r>
        <w:rPr>
          <w:rFonts w:ascii="宋体" w:hAnsi="宋体" w:eastAsia="宋体" w:cs="宋体"/>
          <w:snapToGrid w:val="0"/>
          <w:color w:val="auto"/>
          <w:spacing w:val="-7"/>
          <w:kern w:val="0"/>
          <w:sz w:val="24"/>
          <w:szCs w:val="24"/>
          <w:lang w:val="en-US" w:eastAsia="en-US" w:bidi="ar-SA"/>
        </w:rPr>
        <w:t>物多样性维持等多</w:t>
      </w:r>
      <w:r>
        <w:rPr>
          <w:rFonts w:ascii="宋体" w:hAnsi="宋体" w:eastAsia="宋体" w:cs="宋体"/>
          <w:snapToGrid w:val="0"/>
          <w:color w:val="auto"/>
          <w:kern w:val="0"/>
          <w:sz w:val="24"/>
          <w:szCs w:val="24"/>
          <w:lang w:val="en-US" w:eastAsia="en-US" w:bidi="ar-SA"/>
        </w:rPr>
        <w:t>种功能。本项目总占地面</w:t>
      </w:r>
      <w:r>
        <w:rPr>
          <w:rFonts w:hint="default" w:ascii="Times New Roman" w:hAnsi="Times New Roman" w:eastAsia="宋体" w:cs="Times New Roman"/>
          <w:snapToGrid w:val="0"/>
          <w:color w:val="auto"/>
          <w:spacing w:val="0"/>
          <w:kern w:val="0"/>
          <w:sz w:val="24"/>
          <w:szCs w:val="24"/>
          <w:lang w:val="en-US" w:eastAsia="en-US" w:bidi="ar-SA"/>
        </w:rPr>
        <w:t>积</w:t>
      </w:r>
      <w:r>
        <w:rPr>
          <w:rFonts w:hint="default" w:ascii="Times New Roman" w:hAnsi="Times New Roman" w:cs="Times New Roman"/>
          <w:snapToGrid w:val="0"/>
          <w:color w:val="auto"/>
          <w:spacing w:val="0"/>
          <w:kern w:val="0"/>
          <w:sz w:val="24"/>
          <w:szCs w:val="24"/>
          <w:lang w:val="en-US" w:eastAsia="zh-CN" w:bidi="ar-SA"/>
        </w:rPr>
        <w:t>7.5510</w:t>
      </w:r>
      <w:r>
        <w:rPr>
          <w:rFonts w:hint="default" w:ascii="Times New Roman" w:hAnsi="Times New Roman" w:eastAsia="Times New Roman" w:cs="Times New Roman"/>
          <w:snapToGrid w:val="0"/>
          <w:color w:val="auto"/>
          <w:spacing w:val="0"/>
          <w:kern w:val="0"/>
          <w:sz w:val="24"/>
          <w:szCs w:val="24"/>
          <w:lang w:val="en-US" w:eastAsia="en-US" w:bidi="ar-SA"/>
        </w:rPr>
        <w:t xml:space="preserve"> hm</w:t>
      </w:r>
      <w:r>
        <w:rPr>
          <w:rFonts w:hint="default" w:ascii="Times New Roman" w:hAnsi="Times New Roman" w:eastAsia="Times New Roman" w:cs="Times New Roman"/>
          <w:snapToGrid w:val="0"/>
          <w:color w:val="auto"/>
          <w:spacing w:val="0"/>
          <w:kern w:val="0"/>
          <w:position w:val="7"/>
          <w:sz w:val="15"/>
          <w:szCs w:val="15"/>
          <w:lang w:val="en-US" w:eastAsia="en-US" w:bidi="ar-SA"/>
        </w:rPr>
        <w:t xml:space="preserve">2 </w:t>
      </w:r>
      <w:r>
        <w:rPr>
          <w:rFonts w:hint="default" w:ascii="Times New Roman" w:hAnsi="Times New Roman" w:eastAsia="宋体" w:cs="Times New Roman"/>
          <w:snapToGrid w:val="0"/>
          <w:color w:val="auto"/>
          <w:spacing w:val="0"/>
          <w:kern w:val="0"/>
          <w:sz w:val="24"/>
          <w:szCs w:val="24"/>
          <w:lang w:val="en-US" w:eastAsia="en-US" w:bidi="ar-SA"/>
        </w:rPr>
        <w:t>，其中永久占地</w:t>
      </w:r>
      <w:r>
        <w:rPr>
          <w:rFonts w:hint="default" w:ascii="Times New Roman" w:hAnsi="Times New Roman" w:cs="Times New Roman"/>
          <w:snapToGrid w:val="0"/>
          <w:color w:val="auto"/>
          <w:spacing w:val="0"/>
          <w:kern w:val="0"/>
          <w:sz w:val="24"/>
          <w:szCs w:val="24"/>
          <w:lang w:val="en-US" w:eastAsia="zh-CN" w:bidi="ar-SA"/>
        </w:rPr>
        <w:t>0.3003</w:t>
      </w:r>
      <w:r>
        <w:rPr>
          <w:rFonts w:hint="default" w:ascii="Times New Roman" w:hAnsi="Times New Roman" w:eastAsia="Times New Roman" w:cs="Times New Roman"/>
          <w:snapToGrid w:val="0"/>
          <w:color w:val="auto"/>
          <w:spacing w:val="0"/>
          <w:kern w:val="0"/>
          <w:sz w:val="24"/>
          <w:szCs w:val="24"/>
          <w:lang w:val="en-US" w:eastAsia="en-US" w:bidi="ar-SA"/>
        </w:rPr>
        <w:t>hm</w:t>
      </w:r>
      <w:r>
        <w:rPr>
          <w:rFonts w:hint="default" w:ascii="Times New Roman" w:hAnsi="Times New Roman" w:eastAsia="Times New Roman" w:cs="Times New Roman"/>
          <w:snapToGrid w:val="0"/>
          <w:color w:val="auto"/>
          <w:spacing w:val="0"/>
          <w:kern w:val="0"/>
          <w:position w:val="7"/>
          <w:sz w:val="15"/>
          <w:szCs w:val="15"/>
          <w:lang w:val="en-US" w:eastAsia="en-US" w:bidi="ar-SA"/>
        </w:rPr>
        <w:t xml:space="preserve">2 </w:t>
      </w:r>
      <w:r>
        <w:rPr>
          <w:rFonts w:hint="default" w:ascii="Times New Roman" w:hAnsi="Times New Roman" w:eastAsia="宋体" w:cs="Times New Roman"/>
          <w:snapToGrid w:val="0"/>
          <w:color w:val="auto"/>
          <w:spacing w:val="0"/>
          <w:kern w:val="0"/>
          <w:sz w:val="24"/>
          <w:szCs w:val="24"/>
          <w:lang w:val="en-US" w:eastAsia="en-US" w:bidi="ar-SA"/>
        </w:rPr>
        <w:t>，施工临时占地</w:t>
      </w:r>
      <w:r>
        <w:rPr>
          <w:rFonts w:hint="default" w:ascii="Times New Roman" w:hAnsi="Times New Roman" w:cs="Times New Roman"/>
          <w:snapToGrid w:val="0"/>
          <w:color w:val="auto"/>
          <w:spacing w:val="0"/>
          <w:kern w:val="0"/>
          <w:sz w:val="24"/>
          <w:szCs w:val="24"/>
          <w:lang w:val="en-US" w:eastAsia="zh-CN" w:bidi="ar-SA"/>
        </w:rPr>
        <w:t>7.2507</w:t>
      </w:r>
      <w:r>
        <w:rPr>
          <w:rFonts w:hint="default" w:ascii="Times New Roman" w:hAnsi="Times New Roman" w:eastAsia="Times New Roman" w:cs="Times New Roman"/>
          <w:snapToGrid w:val="0"/>
          <w:color w:val="auto"/>
          <w:spacing w:val="0"/>
          <w:kern w:val="0"/>
          <w:sz w:val="24"/>
          <w:szCs w:val="24"/>
          <w:lang w:val="en-US" w:eastAsia="en-US" w:bidi="ar-SA"/>
        </w:rPr>
        <w:t>hm</w:t>
      </w:r>
      <w:r>
        <w:rPr>
          <w:rFonts w:hint="default" w:ascii="Times New Roman" w:hAnsi="Times New Roman" w:eastAsia="Times New Roman" w:cs="Times New Roman"/>
          <w:snapToGrid w:val="0"/>
          <w:color w:val="auto"/>
          <w:spacing w:val="0"/>
          <w:kern w:val="0"/>
          <w:position w:val="8"/>
          <w:sz w:val="15"/>
          <w:szCs w:val="15"/>
          <w:lang w:val="en-US" w:eastAsia="en-US" w:bidi="ar-SA"/>
        </w:rPr>
        <w:t xml:space="preserve">2 </w:t>
      </w:r>
      <w:r>
        <w:rPr>
          <w:rFonts w:hint="default" w:ascii="Times New Roman" w:hAnsi="Times New Roman" w:eastAsia="宋体" w:cs="Times New Roman"/>
          <w:snapToGrid w:val="0"/>
          <w:color w:val="auto"/>
          <w:spacing w:val="0"/>
          <w:kern w:val="0"/>
          <w:sz w:val="24"/>
          <w:szCs w:val="24"/>
          <w:lang w:val="en-US" w:eastAsia="en-US" w:bidi="ar-SA"/>
        </w:rPr>
        <w:t>，项</w:t>
      </w:r>
      <w:r>
        <w:rPr>
          <w:rFonts w:ascii="宋体" w:hAnsi="宋体" w:eastAsia="宋体" w:cs="宋体"/>
          <w:snapToGrid w:val="0"/>
          <w:color w:val="auto"/>
          <w:kern w:val="0"/>
          <w:sz w:val="24"/>
          <w:szCs w:val="24"/>
          <w:lang w:val="en-US" w:eastAsia="en-US" w:bidi="ar-SA"/>
        </w:rPr>
        <w:t>目建设会对评价范围内原有生</w:t>
      </w:r>
      <w:r>
        <w:rPr>
          <w:rFonts w:ascii="宋体" w:hAnsi="宋体" w:eastAsia="宋体" w:cs="宋体"/>
          <w:snapToGrid w:val="0"/>
          <w:color w:val="auto"/>
          <w:spacing w:val="-1"/>
          <w:kern w:val="0"/>
          <w:sz w:val="24"/>
          <w:szCs w:val="24"/>
          <w:lang w:val="en-US" w:eastAsia="en-US" w:bidi="ar-SA"/>
        </w:rPr>
        <w:t>态系统格局产生一定影响，影响因素主要为塔基占地，</w:t>
      </w:r>
      <w:r>
        <w:rPr>
          <w:rFonts w:ascii="宋体" w:hAnsi="宋体" w:eastAsia="宋体" w:cs="宋体"/>
          <w:snapToGrid w:val="0"/>
          <w:color w:val="auto"/>
          <w:spacing w:val="-4"/>
          <w:kern w:val="0"/>
          <w:sz w:val="24"/>
          <w:szCs w:val="24"/>
          <w:lang w:val="en-US" w:eastAsia="en-US" w:bidi="ar-SA"/>
        </w:rPr>
        <w:t>受项目征占地影响的生态系统主要为灌丛生态系统、</w:t>
      </w:r>
      <w:r>
        <w:rPr>
          <w:rFonts w:ascii="宋体" w:hAnsi="宋体" w:eastAsia="宋体" w:cs="宋体"/>
          <w:snapToGrid w:val="0"/>
          <w:color w:val="auto"/>
          <w:spacing w:val="-5"/>
          <w:kern w:val="0"/>
          <w:sz w:val="24"/>
          <w:szCs w:val="24"/>
          <w:lang w:val="en-US" w:eastAsia="en-US" w:bidi="ar-SA"/>
        </w:rPr>
        <w:t>农田</w:t>
      </w:r>
      <w:r>
        <w:rPr>
          <w:rFonts w:ascii="宋体" w:hAnsi="宋体" w:eastAsia="宋体" w:cs="宋体"/>
          <w:snapToGrid w:val="0"/>
          <w:color w:val="auto"/>
          <w:spacing w:val="-1"/>
          <w:kern w:val="0"/>
          <w:sz w:val="24"/>
          <w:szCs w:val="24"/>
          <w:lang w:val="en-US" w:eastAsia="en-US" w:bidi="ar-SA"/>
        </w:rPr>
        <w:t>生态系统、森林生态系统，其面积将分别减少</w:t>
      </w:r>
      <w:r>
        <w:rPr>
          <w:rFonts w:ascii="宋体" w:hAnsi="宋体" w:eastAsia="宋体" w:cs="宋体"/>
          <w:snapToGrid w:val="0"/>
          <w:color w:val="auto"/>
          <w:spacing w:val="-38"/>
          <w:kern w:val="0"/>
          <w:sz w:val="24"/>
          <w:szCs w:val="24"/>
          <w:lang w:val="en-US" w:eastAsia="en-US" w:bidi="ar-SA"/>
        </w:rPr>
        <w:t xml:space="preserve"> </w:t>
      </w:r>
      <w:r>
        <w:rPr>
          <w:rFonts w:ascii="Times New Roman" w:hAnsi="Times New Roman" w:eastAsia="Times New Roman" w:cs="Times New Roman"/>
          <w:snapToGrid w:val="0"/>
          <w:color w:val="auto"/>
          <w:spacing w:val="-1"/>
          <w:kern w:val="0"/>
          <w:sz w:val="24"/>
          <w:szCs w:val="24"/>
          <w:lang w:val="en-US" w:eastAsia="en-US" w:bidi="ar-SA"/>
        </w:rPr>
        <w:t>7.83hm</w:t>
      </w:r>
      <w:r>
        <w:rPr>
          <w:rFonts w:ascii="Times New Roman" w:hAnsi="Times New Roman" w:eastAsia="Times New Roman" w:cs="Times New Roman"/>
          <w:snapToGrid w:val="0"/>
          <w:color w:val="auto"/>
          <w:spacing w:val="-1"/>
          <w:kern w:val="0"/>
          <w:position w:val="7"/>
          <w:sz w:val="15"/>
          <w:szCs w:val="15"/>
          <w:lang w:val="en-US" w:eastAsia="en-US" w:bidi="ar-SA"/>
        </w:rPr>
        <w:t>2</w:t>
      </w:r>
      <w:r>
        <w:rPr>
          <w:rFonts w:ascii="Times New Roman" w:hAnsi="Times New Roman" w:eastAsia="Times New Roman" w:cs="Times New Roman"/>
          <w:snapToGrid w:val="0"/>
          <w:color w:val="auto"/>
          <w:spacing w:val="-7"/>
          <w:kern w:val="0"/>
          <w:position w:val="7"/>
          <w:sz w:val="15"/>
          <w:szCs w:val="15"/>
          <w:lang w:val="en-US" w:eastAsia="en-US" w:bidi="ar-SA"/>
        </w:rPr>
        <w:t xml:space="preserve"> </w:t>
      </w:r>
      <w:r>
        <w:rPr>
          <w:rFonts w:ascii="宋体" w:hAnsi="宋体" w:eastAsia="宋体" w:cs="宋体"/>
          <w:snapToGrid w:val="0"/>
          <w:color w:val="auto"/>
          <w:spacing w:val="-1"/>
          <w:kern w:val="0"/>
          <w:sz w:val="24"/>
          <w:szCs w:val="24"/>
          <w:lang w:val="en-US" w:eastAsia="en-US" w:bidi="ar-SA"/>
        </w:rPr>
        <w:t>、</w:t>
      </w:r>
      <w:r>
        <w:rPr>
          <w:rFonts w:ascii="Times New Roman" w:hAnsi="Times New Roman" w:eastAsia="Times New Roman" w:cs="Times New Roman"/>
          <w:snapToGrid w:val="0"/>
          <w:color w:val="auto"/>
          <w:spacing w:val="-1"/>
          <w:kern w:val="0"/>
          <w:sz w:val="24"/>
          <w:szCs w:val="24"/>
          <w:lang w:val="en-US" w:eastAsia="en-US" w:bidi="ar-SA"/>
        </w:rPr>
        <w:t>7.94hm</w:t>
      </w:r>
      <w:r>
        <w:rPr>
          <w:rFonts w:ascii="Times New Roman" w:hAnsi="Times New Roman" w:eastAsia="Times New Roman" w:cs="Times New Roman"/>
          <w:snapToGrid w:val="0"/>
          <w:color w:val="auto"/>
          <w:spacing w:val="-1"/>
          <w:kern w:val="0"/>
          <w:position w:val="7"/>
          <w:sz w:val="15"/>
          <w:szCs w:val="15"/>
          <w:lang w:val="en-US" w:eastAsia="en-US" w:bidi="ar-SA"/>
        </w:rPr>
        <w:t>2</w:t>
      </w:r>
      <w:r>
        <w:rPr>
          <w:rFonts w:ascii="Times New Roman" w:hAnsi="Times New Roman" w:eastAsia="Times New Roman" w:cs="Times New Roman"/>
          <w:snapToGrid w:val="0"/>
          <w:color w:val="auto"/>
          <w:spacing w:val="-8"/>
          <w:kern w:val="0"/>
          <w:position w:val="7"/>
          <w:sz w:val="15"/>
          <w:szCs w:val="15"/>
          <w:lang w:val="en-US" w:eastAsia="en-US" w:bidi="ar-SA"/>
        </w:rPr>
        <w:t xml:space="preserve"> </w:t>
      </w:r>
      <w:r>
        <w:rPr>
          <w:rFonts w:ascii="宋体" w:hAnsi="宋体" w:eastAsia="宋体" w:cs="宋体"/>
          <w:snapToGrid w:val="0"/>
          <w:color w:val="auto"/>
          <w:spacing w:val="-1"/>
          <w:kern w:val="0"/>
          <w:sz w:val="24"/>
          <w:szCs w:val="24"/>
          <w:lang w:val="en-US" w:eastAsia="en-US" w:bidi="ar-SA"/>
        </w:rPr>
        <w:t>、</w:t>
      </w:r>
      <w:r>
        <w:rPr>
          <w:rFonts w:ascii="Times New Roman" w:hAnsi="Times New Roman" w:eastAsia="Times New Roman" w:cs="Times New Roman"/>
          <w:snapToGrid w:val="0"/>
          <w:color w:val="auto"/>
          <w:spacing w:val="-1"/>
          <w:kern w:val="0"/>
          <w:sz w:val="24"/>
          <w:szCs w:val="24"/>
          <w:lang w:val="en-US" w:eastAsia="en-US" w:bidi="ar-SA"/>
        </w:rPr>
        <w:t>2.93hm</w:t>
      </w:r>
      <w:r>
        <w:rPr>
          <w:rFonts w:ascii="Times New Roman" w:hAnsi="Times New Roman" w:eastAsia="Times New Roman" w:cs="Times New Roman"/>
          <w:snapToGrid w:val="0"/>
          <w:color w:val="auto"/>
          <w:spacing w:val="-1"/>
          <w:kern w:val="0"/>
          <w:position w:val="7"/>
          <w:sz w:val="15"/>
          <w:szCs w:val="15"/>
          <w:lang w:val="en-US" w:eastAsia="en-US" w:bidi="ar-SA"/>
        </w:rPr>
        <w:t>2</w:t>
      </w:r>
      <w:r>
        <w:rPr>
          <w:rFonts w:ascii="Times New Roman" w:hAnsi="Times New Roman" w:eastAsia="Times New Roman" w:cs="Times New Roman"/>
          <w:snapToGrid w:val="0"/>
          <w:color w:val="auto"/>
          <w:spacing w:val="-7"/>
          <w:kern w:val="0"/>
          <w:position w:val="7"/>
          <w:sz w:val="15"/>
          <w:szCs w:val="15"/>
          <w:lang w:val="en-US" w:eastAsia="en-US" w:bidi="ar-SA"/>
        </w:rPr>
        <w:t xml:space="preserve"> </w:t>
      </w:r>
      <w:r>
        <w:rPr>
          <w:rFonts w:ascii="宋体" w:hAnsi="宋体" w:eastAsia="宋体" w:cs="宋体"/>
          <w:snapToGrid w:val="0"/>
          <w:color w:val="auto"/>
          <w:spacing w:val="-1"/>
          <w:kern w:val="0"/>
          <w:sz w:val="24"/>
          <w:szCs w:val="24"/>
          <w:lang w:val="en-US" w:eastAsia="en-US" w:bidi="ar-SA"/>
        </w:rPr>
        <w:t>，减</w:t>
      </w:r>
      <w:r>
        <w:rPr>
          <w:rFonts w:ascii="宋体" w:hAnsi="宋体" w:eastAsia="宋体" w:cs="宋体"/>
          <w:snapToGrid w:val="0"/>
          <w:color w:val="auto"/>
          <w:spacing w:val="-3"/>
          <w:kern w:val="0"/>
          <w:sz w:val="24"/>
          <w:szCs w:val="24"/>
          <w:lang w:val="en-US" w:eastAsia="en-US" w:bidi="ar-SA"/>
        </w:rPr>
        <w:t>少的面积占评价范围对应生态系统面积比例分别为</w:t>
      </w:r>
      <w:r>
        <w:rPr>
          <w:rFonts w:ascii="宋体" w:hAnsi="宋体" w:eastAsia="宋体" w:cs="宋体"/>
          <w:snapToGrid w:val="0"/>
          <w:color w:val="auto"/>
          <w:spacing w:val="-32"/>
          <w:kern w:val="0"/>
          <w:sz w:val="24"/>
          <w:szCs w:val="24"/>
          <w:lang w:val="en-US" w:eastAsia="en-US" w:bidi="ar-SA"/>
        </w:rPr>
        <w:t xml:space="preserve"> </w:t>
      </w:r>
      <w:r>
        <w:rPr>
          <w:rFonts w:ascii="Times New Roman" w:hAnsi="Times New Roman" w:eastAsia="Times New Roman" w:cs="Times New Roman"/>
          <w:snapToGrid w:val="0"/>
          <w:color w:val="auto"/>
          <w:spacing w:val="-3"/>
          <w:kern w:val="0"/>
          <w:sz w:val="24"/>
          <w:szCs w:val="24"/>
          <w:lang w:val="en-US" w:eastAsia="en-US" w:bidi="ar-SA"/>
        </w:rPr>
        <w:t>1.27%</w:t>
      </w:r>
      <w:r>
        <w:rPr>
          <w:rFonts w:ascii="宋体" w:hAnsi="宋体" w:eastAsia="宋体" w:cs="宋体"/>
          <w:snapToGrid w:val="0"/>
          <w:color w:val="auto"/>
          <w:spacing w:val="-3"/>
          <w:kern w:val="0"/>
          <w:sz w:val="24"/>
          <w:szCs w:val="24"/>
          <w:lang w:val="en-US" w:eastAsia="en-US" w:bidi="ar-SA"/>
        </w:rPr>
        <w:t>、</w:t>
      </w:r>
      <w:r>
        <w:rPr>
          <w:rFonts w:ascii="Times New Roman" w:hAnsi="Times New Roman" w:eastAsia="Times New Roman" w:cs="Times New Roman"/>
          <w:snapToGrid w:val="0"/>
          <w:color w:val="auto"/>
          <w:spacing w:val="-3"/>
          <w:kern w:val="0"/>
          <w:sz w:val="24"/>
          <w:szCs w:val="24"/>
          <w:lang w:val="en-US" w:eastAsia="en-US" w:bidi="ar-SA"/>
        </w:rPr>
        <w:t>0.55%</w:t>
      </w:r>
      <w:r>
        <w:rPr>
          <w:rFonts w:ascii="宋体" w:hAnsi="宋体" w:eastAsia="宋体" w:cs="宋体"/>
          <w:snapToGrid w:val="0"/>
          <w:color w:val="auto"/>
          <w:spacing w:val="-3"/>
          <w:kern w:val="0"/>
          <w:sz w:val="24"/>
          <w:szCs w:val="24"/>
          <w:lang w:val="en-US" w:eastAsia="en-US" w:bidi="ar-SA"/>
        </w:rPr>
        <w:t>、</w:t>
      </w:r>
      <w:r>
        <w:rPr>
          <w:rFonts w:ascii="Times New Roman" w:hAnsi="Times New Roman" w:eastAsia="Times New Roman" w:cs="Times New Roman"/>
          <w:snapToGrid w:val="0"/>
          <w:color w:val="auto"/>
          <w:spacing w:val="-3"/>
          <w:kern w:val="0"/>
          <w:sz w:val="24"/>
          <w:szCs w:val="24"/>
          <w:lang w:val="en-US" w:eastAsia="en-US" w:bidi="ar-SA"/>
        </w:rPr>
        <w:t>0.16%</w:t>
      </w:r>
      <w:r>
        <w:rPr>
          <w:rFonts w:ascii="宋体" w:hAnsi="宋体" w:eastAsia="宋体" w:cs="宋体"/>
          <w:snapToGrid w:val="0"/>
          <w:color w:val="auto"/>
          <w:spacing w:val="-4"/>
          <w:kern w:val="0"/>
          <w:sz w:val="24"/>
          <w:szCs w:val="24"/>
          <w:lang w:val="en-US" w:eastAsia="en-US" w:bidi="ar-SA"/>
        </w:rPr>
        <w:t>，减少的面积及比例均较小，不改变生态系统类型，不会造成区域生态系统面积的明显变化，对生态系统影响较小。</w:t>
      </w:r>
    </w:p>
    <w:p w14:paraId="53882C65">
      <w:pPr>
        <w:keepNext w:val="0"/>
        <w:keepLines w:val="0"/>
        <w:pageBreakBefore w:val="0"/>
        <w:kinsoku w:val="0"/>
        <w:wordWrap/>
        <w:overflowPunct/>
        <w:topLinePunct w:val="0"/>
        <w:autoSpaceDE w:val="0"/>
        <w:autoSpaceDN w:val="0"/>
        <w:bidi w:val="0"/>
        <w:adjustRightInd w:val="0"/>
        <w:snapToGrid w:val="0"/>
        <w:spacing w:line="360" w:lineRule="auto"/>
        <w:ind w:left="0" w:right="0" w:firstLine="483"/>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根据现场调查，项目占地范围多属于人工植被，随着项目</w:t>
      </w:r>
      <w:r>
        <w:rPr>
          <w:rFonts w:ascii="宋体" w:hAnsi="宋体" w:eastAsia="宋体" w:cs="宋体"/>
          <w:snapToGrid w:val="0"/>
          <w:color w:val="auto"/>
          <w:spacing w:val="-4"/>
          <w:kern w:val="0"/>
          <w:sz w:val="24"/>
          <w:szCs w:val="24"/>
          <w:lang w:val="en-US" w:eastAsia="en-US" w:bidi="ar-SA"/>
        </w:rPr>
        <w:t>完工，植被恢复措</w:t>
      </w:r>
      <w:r>
        <w:rPr>
          <w:rFonts w:ascii="宋体" w:hAnsi="宋体" w:eastAsia="宋体" w:cs="宋体"/>
          <w:snapToGrid w:val="0"/>
          <w:color w:val="auto"/>
          <w:spacing w:val="-6"/>
          <w:kern w:val="0"/>
          <w:sz w:val="24"/>
          <w:szCs w:val="24"/>
          <w:lang w:val="en-US" w:eastAsia="en-US" w:bidi="ar-SA"/>
        </w:rPr>
        <w:t>施的落实，将更有利于生态系统的发展。本项目施工建设结束后，</w:t>
      </w:r>
      <w:r>
        <w:rPr>
          <w:rFonts w:ascii="宋体" w:hAnsi="宋体" w:eastAsia="宋体" w:cs="宋体"/>
          <w:snapToGrid w:val="0"/>
          <w:color w:val="auto"/>
          <w:spacing w:val="-7"/>
          <w:kern w:val="0"/>
          <w:sz w:val="24"/>
          <w:szCs w:val="24"/>
          <w:lang w:val="en-US" w:eastAsia="en-US" w:bidi="ar-SA"/>
        </w:rPr>
        <w:t>对施工占地区</w:t>
      </w:r>
      <w:r>
        <w:rPr>
          <w:rFonts w:ascii="宋体" w:hAnsi="宋体" w:eastAsia="宋体" w:cs="宋体"/>
          <w:snapToGrid w:val="0"/>
          <w:color w:val="auto"/>
          <w:spacing w:val="-3"/>
          <w:kern w:val="0"/>
          <w:sz w:val="24"/>
          <w:szCs w:val="24"/>
          <w:lang w:val="en-US" w:eastAsia="en-US" w:bidi="ar-SA"/>
        </w:rPr>
        <w:t>域进行植被恢复，种植当地易于生长且与周边植被类型相符的植物，使得临时占</w:t>
      </w:r>
      <w:r>
        <w:rPr>
          <w:rFonts w:ascii="宋体" w:hAnsi="宋体" w:eastAsia="宋体" w:cs="宋体"/>
          <w:snapToGrid w:val="0"/>
          <w:color w:val="auto"/>
          <w:spacing w:val="-2"/>
          <w:kern w:val="0"/>
          <w:sz w:val="24"/>
          <w:szCs w:val="24"/>
          <w:lang w:val="en-US" w:eastAsia="en-US" w:bidi="ar-SA"/>
        </w:rPr>
        <w:t>地及塔基底部原有相对应的生态系统面积逐步得以恢复。</w:t>
      </w:r>
    </w:p>
    <w:p w14:paraId="4885F10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both"/>
        <w:textAlignment w:val="baseline"/>
        <w:outlineLvl w:val="2"/>
        <w:rPr>
          <w:rFonts w:hint="eastAsia" w:ascii="Times New Roman" w:hAnsi="Times New Roman" w:eastAsia="宋体" w:cs="Times New Roman"/>
          <w:b/>
          <w:bCs/>
          <w:color w:val="auto"/>
          <w:kern w:val="2"/>
          <w:sz w:val="24"/>
          <w:szCs w:val="24"/>
          <w:highlight w:val="none"/>
          <w:lang w:val="en-US" w:eastAsia="en-US" w:bidi="ar-SA"/>
        </w:rPr>
      </w:pPr>
      <w:r>
        <w:rPr>
          <w:rFonts w:hint="eastAsia" w:ascii="Times New Roman" w:hAnsi="Times New Roman" w:eastAsia="宋体"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en-US" w:bidi="ar-SA"/>
        </w:rPr>
        <w:t>.2.5对生物多样性的影响</w:t>
      </w:r>
    </w:p>
    <w:p w14:paraId="7192DBF4">
      <w:pPr>
        <w:keepNext w:val="0"/>
        <w:keepLines w:val="0"/>
        <w:pageBreakBefore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b/>
          <w:bCs/>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⑴</w:t>
      </w:r>
      <w:r>
        <w:rPr>
          <w:rFonts w:ascii="宋体" w:hAnsi="宋体" w:eastAsia="宋体" w:cs="宋体"/>
          <w:b/>
          <w:bCs/>
          <w:snapToGrid w:val="0"/>
          <w:color w:val="auto"/>
          <w:spacing w:val="-3"/>
          <w:kern w:val="0"/>
          <w:sz w:val="24"/>
          <w:szCs w:val="24"/>
          <w:lang w:val="en-US" w:eastAsia="en-US" w:bidi="ar-SA"/>
        </w:rPr>
        <w:t>对植物多样性的影响</w:t>
      </w:r>
    </w:p>
    <w:p w14:paraId="09C5F5E1">
      <w:pPr>
        <w:keepNext w:val="0"/>
        <w:keepLines w:val="0"/>
        <w:pageBreakBefore w:val="0"/>
        <w:kinsoku w:val="0"/>
        <w:wordWrap/>
        <w:overflowPunct/>
        <w:topLinePunct w:val="0"/>
        <w:autoSpaceDE w:val="0"/>
        <w:autoSpaceDN w:val="0"/>
        <w:bidi w:val="0"/>
        <w:adjustRightInd w:val="0"/>
        <w:snapToGrid w:val="0"/>
        <w:spacing w:line="360" w:lineRule="auto"/>
        <w:ind w:left="0" w:right="0" w:firstLine="482"/>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7"/>
          <w:kern w:val="0"/>
          <w:sz w:val="24"/>
          <w:szCs w:val="24"/>
          <w:lang w:val="en-US" w:eastAsia="en-US" w:bidi="ar-SA"/>
        </w:rPr>
        <w:t>本项目占地类型包括耕地、林地</w:t>
      </w:r>
      <w:r>
        <w:rPr>
          <w:rFonts w:hint="eastAsia" w:ascii="宋体" w:hAnsi="宋体" w:cs="宋体"/>
          <w:snapToGrid w:val="0"/>
          <w:color w:val="auto"/>
          <w:spacing w:val="-7"/>
          <w:kern w:val="0"/>
          <w:sz w:val="24"/>
          <w:szCs w:val="24"/>
          <w:lang w:val="en-US" w:eastAsia="zh-CN" w:bidi="ar-SA"/>
        </w:rPr>
        <w:t>、</w:t>
      </w:r>
      <w:r>
        <w:rPr>
          <w:rFonts w:ascii="宋体" w:hAnsi="宋体" w:eastAsia="宋体" w:cs="宋体"/>
          <w:snapToGrid w:val="0"/>
          <w:color w:val="auto"/>
          <w:spacing w:val="-7"/>
          <w:kern w:val="0"/>
          <w:sz w:val="24"/>
          <w:szCs w:val="24"/>
          <w:lang w:val="en-US" w:eastAsia="en-US" w:bidi="ar-SA"/>
        </w:rPr>
        <w:t>草地、园地和</w:t>
      </w:r>
      <w:r>
        <w:rPr>
          <w:rFonts w:hint="eastAsia" w:ascii="宋体" w:hAnsi="宋体" w:cs="宋体"/>
          <w:snapToGrid w:val="0"/>
          <w:color w:val="auto"/>
          <w:spacing w:val="-7"/>
          <w:kern w:val="0"/>
          <w:sz w:val="24"/>
          <w:szCs w:val="24"/>
          <w:lang w:val="en-US" w:eastAsia="zh-CN" w:bidi="ar-SA"/>
        </w:rPr>
        <w:t>交通运输用地</w:t>
      </w:r>
      <w:r>
        <w:rPr>
          <w:rFonts w:ascii="宋体" w:hAnsi="宋体" w:eastAsia="宋体" w:cs="宋体"/>
          <w:snapToGrid w:val="0"/>
          <w:color w:val="auto"/>
          <w:spacing w:val="-7"/>
          <w:kern w:val="0"/>
          <w:sz w:val="24"/>
          <w:szCs w:val="24"/>
          <w:lang w:val="en-US" w:eastAsia="en-US" w:bidi="ar-SA"/>
        </w:rPr>
        <w:t>。项目施工期间不可避免地</w:t>
      </w:r>
      <w:r>
        <w:rPr>
          <w:rFonts w:ascii="宋体" w:hAnsi="宋体" w:eastAsia="宋体" w:cs="宋体"/>
          <w:snapToGrid w:val="0"/>
          <w:color w:val="auto"/>
          <w:spacing w:val="-3"/>
          <w:kern w:val="0"/>
          <w:sz w:val="24"/>
          <w:szCs w:val="24"/>
          <w:lang w:val="en-US" w:eastAsia="en-US" w:bidi="ar-SA"/>
        </w:rPr>
        <w:t>将造成用地范围内植物资源不同程度的损毁，造成植被生物量的减少和损失。但输电线路属于线型工程，点状分布，项目施工占地面积小，且分散，项目涉及的植物均为项目区常见植物，故项目建设造成的植被数量减少，不会引起区域各种</w:t>
      </w:r>
      <w:r>
        <w:rPr>
          <w:rFonts w:ascii="宋体" w:hAnsi="宋体" w:eastAsia="宋体" w:cs="宋体"/>
          <w:snapToGrid w:val="0"/>
          <w:color w:val="auto"/>
          <w:spacing w:val="-2"/>
          <w:kern w:val="0"/>
          <w:sz w:val="24"/>
          <w:szCs w:val="24"/>
          <w:lang w:val="en-US" w:eastAsia="en-US" w:bidi="ar-SA"/>
        </w:rPr>
        <w:t>植被种类和群落类型发生变化，亦不会影响区域植物的物种多样性。</w:t>
      </w:r>
    </w:p>
    <w:p w14:paraId="381847FF">
      <w:pPr>
        <w:keepNext w:val="0"/>
        <w:keepLines w:val="0"/>
        <w:pageBreakBefore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b/>
          <w:bCs/>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⑵</w:t>
      </w:r>
      <w:r>
        <w:rPr>
          <w:rFonts w:ascii="宋体" w:hAnsi="宋体" w:eastAsia="宋体" w:cs="宋体"/>
          <w:b/>
          <w:bCs/>
          <w:snapToGrid w:val="0"/>
          <w:color w:val="auto"/>
          <w:spacing w:val="-3"/>
          <w:kern w:val="0"/>
          <w:sz w:val="24"/>
          <w:szCs w:val="24"/>
          <w:lang w:val="en-US" w:eastAsia="en-US" w:bidi="ar-SA"/>
        </w:rPr>
        <w:t>对动物多样性的影响</w:t>
      </w:r>
    </w:p>
    <w:p w14:paraId="57132C1B">
      <w:pPr>
        <w:keepNext w:val="0"/>
        <w:keepLines w:val="0"/>
        <w:pageBreakBefore w:val="0"/>
        <w:kinsoku w:val="0"/>
        <w:wordWrap/>
        <w:overflowPunct/>
        <w:topLinePunct w:val="0"/>
        <w:autoSpaceDE w:val="0"/>
        <w:autoSpaceDN w:val="0"/>
        <w:bidi w:val="0"/>
        <w:adjustRightInd w:val="0"/>
        <w:snapToGrid w:val="0"/>
        <w:spacing w:line="360" w:lineRule="auto"/>
        <w:ind w:left="0" w:right="0" w:firstLine="484"/>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项目建设对沿线动物的影响，主要表现为施工人员的施</w:t>
      </w:r>
      <w:r>
        <w:rPr>
          <w:rFonts w:ascii="宋体" w:hAnsi="宋体" w:eastAsia="宋体" w:cs="宋体"/>
          <w:snapToGrid w:val="0"/>
          <w:color w:val="auto"/>
          <w:spacing w:val="-4"/>
          <w:kern w:val="0"/>
          <w:sz w:val="24"/>
          <w:szCs w:val="24"/>
          <w:lang w:val="en-US" w:eastAsia="en-US" w:bidi="ar-SA"/>
        </w:rPr>
        <w:t>工活动对动物的干扰</w:t>
      </w:r>
      <w:r>
        <w:rPr>
          <w:rFonts w:ascii="宋体" w:hAnsi="宋体" w:eastAsia="宋体" w:cs="宋体"/>
          <w:snapToGrid w:val="0"/>
          <w:color w:val="auto"/>
          <w:spacing w:val="-5"/>
          <w:kern w:val="0"/>
          <w:sz w:val="24"/>
          <w:szCs w:val="24"/>
          <w:lang w:val="en-US" w:eastAsia="en-US" w:bidi="ar-SA"/>
        </w:rPr>
        <w:t>以及施工机械噪声对动物的干扰。由于上述原因的影响，</w:t>
      </w:r>
      <w:r>
        <w:rPr>
          <w:rFonts w:ascii="宋体" w:hAnsi="宋体" w:eastAsia="宋体" w:cs="宋体"/>
          <w:snapToGrid w:val="0"/>
          <w:color w:val="auto"/>
          <w:spacing w:val="-48"/>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将使得原先栖息在附近</w:t>
      </w:r>
      <w:r>
        <w:rPr>
          <w:rFonts w:ascii="宋体" w:hAnsi="宋体" w:eastAsia="宋体" w:cs="宋体"/>
          <w:snapToGrid w:val="0"/>
          <w:color w:val="auto"/>
          <w:spacing w:val="-7"/>
          <w:kern w:val="0"/>
          <w:sz w:val="24"/>
          <w:szCs w:val="24"/>
          <w:lang w:val="en-US" w:eastAsia="en-US" w:bidi="ar-SA"/>
        </w:rPr>
        <w:t>的大部分啮齿类和兽类迁移它处，远离施工区范围，不会对动物多样</w:t>
      </w:r>
      <w:r>
        <w:rPr>
          <w:rFonts w:ascii="宋体" w:hAnsi="宋体" w:eastAsia="宋体" w:cs="宋体"/>
          <w:snapToGrid w:val="0"/>
          <w:color w:val="auto"/>
          <w:spacing w:val="-8"/>
          <w:kern w:val="0"/>
          <w:sz w:val="24"/>
          <w:szCs w:val="24"/>
          <w:lang w:val="en-US" w:eastAsia="en-US" w:bidi="ar-SA"/>
        </w:rPr>
        <w:t>性产生影响。</w:t>
      </w:r>
      <w:r>
        <w:rPr>
          <w:rFonts w:ascii="宋体" w:hAnsi="宋体" w:eastAsia="宋体" w:cs="宋体"/>
          <w:snapToGrid w:val="0"/>
          <w:color w:val="auto"/>
          <w:spacing w:val="-3"/>
          <w:kern w:val="0"/>
          <w:sz w:val="24"/>
          <w:szCs w:val="24"/>
          <w:lang w:val="en-US" w:eastAsia="en-US" w:bidi="ar-SA"/>
        </w:rPr>
        <w:t>随着施工活动结束，植被恢复，人为干扰逐步消失，构建新的栖息环境，区域内</w:t>
      </w:r>
      <w:r>
        <w:rPr>
          <w:rFonts w:ascii="宋体" w:hAnsi="宋体" w:eastAsia="宋体" w:cs="宋体"/>
          <w:snapToGrid w:val="0"/>
          <w:color w:val="auto"/>
          <w:spacing w:val="-6"/>
          <w:kern w:val="0"/>
          <w:sz w:val="24"/>
          <w:szCs w:val="24"/>
          <w:lang w:val="en-US" w:eastAsia="en-US" w:bidi="ar-SA"/>
        </w:rPr>
        <w:t>会有动物分布。</w:t>
      </w:r>
    </w:p>
    <w:p w14:paraId="227B6FDF">
      <w:pPr>
        <w:keepNext w:val="0"/>
        <w:keepLines w:val="0"/>
        <w:pageBreakBefore w:val="0"/>
        <w:kinsoku w:val="0"/>
        <w:wordWrap/>
        <w:overflowPunct/>
        <w:topLinePunct w:val="0"/>
        <w:autoSpaceDE w:val="0"/>
        <w:autoSpaceDN w:val="0"/>
        <w:bidi w:val="0"/>
        <w:adjustRightInd w:val="0"/>
        <w:snapToGrid w:val="0"/>
        <w:spacing w:line="360" w:lineRule="auto"/>
        <w:ind w:left="0"/>
        <w:jc w:val="both"/>
        <w:textAlignment w:val="baseline"/>
        <w:outlineLvl w:val="1"/>
        <w:rPr>
          <w:rFonts w:hint="eastAsia" w:ascii="Times New Roman" w:hAnsi="Times New Roman" w:eastAsia="宋体" w:cs="Times New Roman"/>
          <w:b/>
          <w:bCs/>
          <w:snapToGrid w:val="0"/>
          <w:color w:val="auto"/>
          <w:spacing w:val="-17"/>
          <w:kern w:val="0"/>
          <w:sz w:val="24"/>
          <w:szCs w:val="24"/>
          <w:lang w:val="en-US" w:eastAsia="en-US" w:bidi="ar-SA"/>
        </w:rPr>
      </w:pPr>
      <w:bookmarkStart w:id="530" w:name="_Toc6710"/>
      <w:bookmarkStart w:id="531" w:name="_Toc4775"/>
      <w:r>
        <w:rPr>
          <w:rFonts w:hint="eastAsia" w:ascii="Times New Roman" w:hAnsi="Times New Roman" w:eastAsia="宋体" w:cs="Times New Roman"/>
          <w:b/>
          <w:bCs/>
          <w:snapToGrid w:val="0"/>
          <w:color w:val="auto"/>
          <w:spacing w:val="-17"/>
          <w:kern w:val="0"/>
          <w:sz w:val="24"/>
          <w:szCs w:val="24"/>
          <w:lang w:val="en-US" w:eastAsia="zh-CN" w:bidi="ar-SA"/>
        </w:rPr>
        <w:t>3</w:t>
      </w:r>
      <w:r>
        <w:rPr>
          <w:rFonts w:hint="eastAsia" w:ascii="Times New Roman" w:hAnsi="Times New Roman" w:eastAsia="宋体" w:cs="Times New Roman"/>
          <w:b/>
          <w:bCs/>
          <w:snapToGrid w:val="0"/>
          <w:color w:val="auto"/>
          <w:spacing w:val="-17"/>
          <w:kern w:val="0"/>
          <w:sz w:val="24"/>
          <w:szCs w:val="24"/>
          <w:lang w:val="en-US" w:eastAsia="en-US" w:bidi="ar-SA"/>
        </w:rPr>
        <w:t>.3对生态敏感区的影响</w:t>
      </w:r>
      <w:bookmarkEnd w:id="530"/>
      <w:bookmarkEnd w:id="531"/>
    </w:p>
    <w:p w14:paraId="5DBCD6D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both"/>
        <w:textAlignment w:val="baseline"/>
        <w:outlineLvl w:val="2"/>
        <w:rPr>
          <w:rFonts w:hint="eastAsia" w:ascii="Times New Roman" w:hAnsi="Times New Roman" w:eastAsia="宋体" w:cs="Times New Roman"/>
          <w:b/>
          <w:bCs/>
          <w:color w:val="auto"/>
          <w:kern w:val="2"/>
          <w:sz w:val="24"/>
          <w:szCs w:val="24"/>
          <w:highlight w:val="none"/>
          <w:lang w:val="en-US" w:eastAsia="en-US" w:bidi="ar-SA"/>
        </w:rPr>
      </w:pPr>
      <w:r>
        <w:rPr>
          <w:rFonts w:hint="eastAsia" w:ascii="Times New Roman" w:hAnsi="Times New Roman" w:eastAsia="宋体"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en-US" w:bidi="ar-SA"/>
        </w:rPr>
        <w:t>.3.1对生态保护红线影响分析</w:t>
      </w:r>
    </w:p>
    <w:p w14:paraId="60600379">
      <w:pPr>
        <w:keepNext w:val="0"/>
        <w:keepLines w:val="0"/>
        <w:pageBreakBefore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b/>
          <w:bCs/>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⑴</w:t>
      </w:r>
      <w:r>
        <w:rPr>
          <w:rFonts w:ascii="宋体" w:hAnsi="宋体" w:eastAsia="宋体" w:cs="宋体"/>
          <w:b/>
          <w:bCs/>
          <w:snapToGrid w:val="0"/>
          <w:color w:val="auto"/>
          <w:spacing w:val="-2"/>
          <w:kern w:val="0"/>
          <w:sz w:val="24"/>
          <w:szCs w:val="24"/>
          <w:lang w:val="en-US" w:eastAsia="en-US" w:bidi="ar-SA"/>
        </w:rPr>
        <w:t>占用生态保护红线情况</w:t>
      </w:r>
    </w:p>
    <w:p w14:paraId="4C2A182B">
      <w:pPr>
        <w:keepNext w:val="0"/>
        <w:keepLines w:val="0"/>
        <w:pageBreakBefore w:val="0"/>
        <w:kinsoku w:val="0"/>
        <w:wordWrap/>
        <w:overflowPunct/>
        <w:topLinePunct w:val="0"/>
        <w:autoSpaceDE w:val="0"/>
        <w:autoSpaceDN w:val="0"/>
        <w:bidi w:val="0"/>
        <w:adjustRightInd w:val="0"/>
        <w:snapToGrid w:val="0"/>
        <w:spacing w:line="360" w:lineRule="auto"/>
        <w:ind w:left="0" w:right="0" w:firstLine="486"/>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本项目输电线路穿越东南黄土高原丘陵水土保持生态保护红线</w:t>
      </w:r>
      <w:r>
        <w:rPr>
          <w:rFonts w:hint="eastAsia" w:cs="Times New Roman"/>
          <w:snapToGrid w:val="0"/>
          <w:color w:val="auto"/>
          <w:spacing w:val="-1"/>
          <w:kern w:val="0"/>
          <w:sz w:val="24"/>
          <w:szCs w:val="24"/>
          <w:lang w:val="en-US" w:eastAsia="zh-CN" w:bidi="ar-SA"/>
        </w:rPr>
        <w:t>10.514</w:t>
      </w:r>
      <w:r>
        <w:rPr>
          <w:rFonts w:hint="eastAsia" w:eastAsia="宋体" w:cs="Times New Roman"/>
          <w:snapToGrid w:val="0"/>
          <w:color w:val="auto"/>
          <w:spacing w:val="-1"/>
          <w:kern w:val="0"/>
          <w:sz w:val="24"/>
          <w:szCs w:val="24"/>
          <w:lang w:val="en-US" w:eastAsia="en-US" w:bidi="ar-SA"/>
        </w:rPr>
        <w:t>km</w:t>
      </w:r>
      <w:r>
        <w:rPr>
          <w:rFonts w:ascii="宋体" w:hAnsi="宋体" w:eastAsia="宋体" w:cs="宋体"/>
          <w:snapToGrid w:val="0"/>
          <w:color w:val="auto"/>
          <w:spacing w:val="-2"/>
          <w:kern w:val="0"/>
          <w:sz w:val="24"/>
          <w:szCs w:val="24"/>
          <w:lang w:val="en-US" w:eastAsia="en-US" w:bidi="ar-SA"/>
        </w:rPr>
        <w:t>，立塔</w:t>
      </w:r>
      <w:r>
        <w:rPr>
          <w:rFonts w:hint="eastAsia" w:eastAsia="宋体" w:cs="Times New Roman"/>
          <w:snapToGrid w:val="0"/>
          <w:color w:val="auto"/>
          <w:kern w:val="0"/>
          <w:sz w:val="24"/>
          <w:szCs w:val="24"/>
          <w:lang w:val="en-US" w:eastAsia="zh-CN" w:bidi="ar-SA"/>
        </w:rPr>
        <w:t>3</w:t>
      </w:r>
      <w:r>
        <w:rPr>
          <w:rFonts w:hint="eastAsia" w:cs="Times New Roman"/>
          <w:snapToGrid w:val="0"/>
          <w:color w:val="auto"/>
          <w:kern w:val="0"/>
          <w:sz w:val="24"/>
          <w:szCs w:val="24"/>
          <w:lang w:val="en-US" w:eastAsia="zh-CN" w:bidi="ar-SA"/>
        </w:rPr>
        <w:t>5</w:t>
      </w:r>
      <w:r>
        <w:rPr>
          <w:rFonts w:ascii="宋体" w:hAnsi="宋体" w:eastAsia="宋体" w:cs="宋体"/>
          <w:snapToGrid w:val="0"/>
          <w:color w:val="auto"/>
          <w:kern w:val="0"/>
          <w:sz w:val="24"/>
          <w:szCs w:val="24"/>
          <w:lang w:val="en-US" w:eastAsia="en-US" w:bidi="ar-SA"/>
        </w:rPr>
        <w:t>基</w:t>
      </w:r>
      <w:r>
        <w:rPr>
          <w:rFonts w:ascii="宋体" w:hAnsi="宋体" w:eastAsia="宋体" w:cs="宋体"/>
          <w:snapToGrid w:val="0"/>
          <w:color w:val="auto"/>
          <w:spacing w:val="-1"/>
          <w:kern w:val="0"/>
          <w:sz w:val="24"/>
          <w:szCs w:val="24"/>
          <w:lang w:val="en-US" w:eastAsia="en-US" w:bidi="ar-SA"/>
        </w:rPr>
        <w:t>，</w:t>
      </w:r>
      <w:r>
        <w:rPr>
          <w:rFonts w:hint="default" w:ascii="Times New Roman" w:hAnsi="Times New Roman" w:cs="Times New Roman"/>
          <w:color w:val="auto"/>
          <w:sz w:val="24"/>
          <w:highlight w:val="none"/>
          <w:lang w:val="en-US" w:eastAsia="zh-CN"/>
        </w:rPr>
        <w:t>跨越架</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农用地表土剥离堆放场</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z w:val="24"/>
          <w:highlight w:val="none"/>
          <w:lang w:val="en-US" w:eastAsia="zh-CN"/>
        </w:rPr>
        <w:t>牵张场、</w:t>
      </w:r>
      <w:r>
        <w:rPr>
          <w:rFonts w:hint="default" w:ascii="Times New Roman" w:hAnsi="Times New Roman" w:cs="Times New Roman"/>
          <w:color w:val="auto"/>
          <w:sz w:val="24"/>
          <w:highlight w:val="none"/>
        </w:rPr>
        <w:t>施工便道</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拓宽道路和</w:t>
      </w:r>
      <w:r>
        <w:rPr>
          <w:rFonts w:hint="default" w:ascii="Times New Roman" w:hAnsi="Times New Roman" w:eastAsia="宋体" w:cs="Times New Roman"/>
          <w:color w:val="auto"/>
          <w:sz w:val="24"/>
          <w:highlight w:val="none"/>
          <w:lang w:val="en-US" w:eastAsia="zh-CN"/>
        </w:rPr>
        <w:t>塔基施工作业区</w:t>
      </w:r>
      <w:r>
        <w:rPr>
          <w:rFonts w:ascii="宋体" w:hAnsi="宋体" w:eastAsia="宋体" w:cs="宋体"/>
          <w:snapToGrid w:val="0"/>
          <w:color w:val="auto"/>
          <w:spacing w:val="-36"/>
          <w:kern w:val="0"/>
          <w:sz w:val="24"/>
          <w:szCs w:val="24"/>
          <w:lang w:val="en-US" w:eastAsia="en-US" w:bidi="ar-SA"/>
        </w:rPr>
        <w:t xml:space="preserve"> </w:t>
      </w:r>
      <w:r>
        <w:rPr>
          <w:rFonts w:ascii="宋体" w:hAnsi="宋体" w:eastAsia="宋体" w:cs="宋体"/>
          <w:snapToGrid w:val="0"/>
          <w:color w:val="auto"/>
          <w:spacing w:val="25"/>
          <w:kern w:val="0"/>
          <w:sz w:val="24"/>
          <w:szCs w:val="24"/>
          <w:lang w:val="en-US" w:eastAsia="en-US" w:bidi="ar-SA"/>
        </w:rPr>
        <w:t>等临时占地占用生态保护红线面积为</w:t>
      </w:r>
      <w:r>
        <w:rPr>
          <w:rFonts w:hint="eastAsia" w:eastAsia="宋体" w:cs="Times New Roman"/>
          <w:snapToGrid w:val="0"/>
          <w:color w:val="auto"/>
          <w:spacing w:val="-1"/>
          <w:kern w:val="0"/>
          <w:sz w:val="24"/>
          <w:szCs w:val="24"/>
          <w:lang w:val="en-US" w:eastAsia="zh-CN" w:bidi="ar-SA"/>
        </w:rPr>
        <w:t>3.0509</w:t>
      </w:r>
      <w:r>
        <w:rPr>
          <w:rFonts w:ascii="Times New Roman" w:hAnsi="Times New Roman" w:eastAsia="Times New Roman" w:cs="Times New Roman"/>
          <w:snapToGrid w:val="0"/>
          <w:color w:val="auto"/>
          <w:spacing w:val="-1"/>
          <w:kern w:val="0"/>
          <w:sz w:val="24"/>
          <w:szCs w:val="24"/>
          <w:lang w:val="en-US" w:eastAsia="en-US" w:bidi="ar-SA"/>
        </w:rPr>
        <w:t>hm</w:t>
      </w:r>
      <w:r>
        <w:rPr>
          <w:rFonts w:ascii="Times New Roman" w:hAnsi="Times New Roman" w:eastAsia="Times New Roman" w:cs="Times New Roman"/>
          <w:snapToGrid w:val="0"/>
          <w:color w:val="auto"/>
          <w:spacing w:val="-1"/>
          <w:kern w:val="0"/>
          <w:position w:val="7"/>
          <w:sz w:val="15"/>
          <w:szCs w:val="15"/>
          <w:lang w:val="en-US" w:eastAsia="en-US" w:bidi="ar-SA"/>
        </w:rPr>
        <w:t>2</w:t>
      </w:r>
      <w:r>
        <w:rPr>
          <w:rFonts w:ascii="宋体" w:hAnsi="宋体" w:eastAsia="宋体" w:cs="宋体"/>
          <w:snapToGrid w:val="0"/>
          <w:color w:val="auto"/>
          <w:spacing w:val="-1"/>
          <w:kern w:val="0"/>
          <w:sz w:val="24"/>
          <w:szCs w:val="24"/>
          <w:lang w:val="en-US" w:eastAsia="en-US" w:bidi="ar-SA"/>
        </w:rPr>
        <w:t>。</w:t>
      </w:r>
    </w:p>
    <w:p w14:paraId="5261BDBB">
      <w:pPr>
        <w:keepNext w:val="0"/>
        <w:keepLines w:val="0"/>
        <w:pageBreakBefore w:val="0"/>
        <w:kinsoku w:val="0"/>
        <w:wordWrap/>
        <w:overflowPunct/>
        <w:topLinePunct w:val="0"/>
        <w:autoSpaceDE w:val="0"/>
        <w:autoSpaceDN w:val="0"/>
        <w:bidi w:val="0"/>
        <w:adjustRightInd w:val="0"/>
        <w:snapToGrid w:val="0"/>
        <w:spacing w:line="360" w:lineRule="auto"/>
        <w:ind w:left="0" w:right="0" w:firstLine="48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5"/>
          <w:kern w:val="0"/>
          <w:sz w:val="24"/>
          <w:szCs w:val="24"/>
          <w:lang w:val="en-US" w:eastAsia="en-US" w:bidi="ar-SA"/>
        </w:rPr>
        <w:t>线路设计阶段不断优化塔基、跨越架位置及</w:t>
      </w:r>
      <w:r>
        <w:rPr>
          <w:rFonts w:ascii="宋体" w:hAnsi="宋体" w:eastAsia="宋体" w:cs="宋体"/>
          <w:snapToGrid w:val="0"/>
          <w:color w:val="auto"/>
          <w:spacing w:val="-6"/>
          <w:kern w:val="0"/>
          <w:sz w:val="24"/>
          <w:szCs w:val="24"/>
          <w:lang w:val="en-US" w:eastAsia="en-US" w:bidi="ar-SA"/>
        </w:rPr>
        <w:t>施工中牵张场位置，</w:t>
      </w:r>
      <w:r>
        <w:rPr>
          <w:rFonts w:ascii="宋体" w:hAnsi="宋体" w:eastAsia="宋体" w:cs="宋体"/>
          <w:snapToGrid w:val="0"/>
          <w:color w:val="auto"/>
          <w:spacing w:val="-48"/>
          <w:kern w:val="0"/>
          <w:sz w:val="24"/>
          <w:szCs w:val="24"/>
          <w:lang w:val="en-US" w:eastAsia="en-US" w:bidi="ar-SA"/>
        </w:rPr>
        <w:t xml:space="preserve"> </w:t>
      </w:r>
      <w:r>
        <w:rPr>
          <w:rFonts w:ascii="宋体" w:hAnsi="宋体" w:eastAsia="宋体" w:cs="宋体"/>
          <w:snapToGrid w:val="0"/>
          <w:color w:val="auto"/>
          <w:spacing w:val="-6"/>
          <w:kern w:val="0"/>
          <w:sz w:val="24"/>
          <w:szCs w:val="24"/>
          <w:lang w:val="en-US" w:eastAsia="en-US" w:bidi="ar-SA"/>
        </w:rPr>
        <w:t>尽可能避让</w:t>
      </w:r>
      <w:r>
        <w:rPr>
          <w:rFonts w:ascii="宋体" w:hAnsi="宋体" w:eastAsia="宋体" w:cs="宋体"/>
          <w:snapToGrid w:val="0"/>
          <w:color w:val="auto"/>
          <w:spacing w:val="-3"/>
          <w:kern w:val="0"/>
          <w:sz w:val="24"/>
          <w:szCs w:val="24"/>
          <w:lang w:val="en-US" w:eastAsia="en-US" w:bidi="ar-SA"/>
        </w:rPr>
        <w:t>生态保护红线。永久用地（塔基用地）根据电力行业技术规范要求（根开）确定用地，用地面积小于设计标准；临时用地本着节约与集约的原则，参考同类项目用地情况及实际施工需求确定用地，最大限度减少临时用地面积。占用生态敏感</w:t>
      </w:r>
      <w:r>
        <w:rPr>
          <w:rFonts w:ascii="宋体" w:hAnsi="宋体" w:eastAsia="宋体" w:cs="宋体"/>
          <w:snapToGrid w:val="0"/>
          <w:color w:val="auto"/>
          <w:spacing w:val="-2"/>
          <w:kern w:val="0"/>
          <w:sz w:val="24"/>
          <w:szCs w:val="24"/>
          <w:lang w:val="en-US" w:eastAsia="en-US" w:bidi="ar-SA"/>
        </w:rPr>
        <w:t>区情况见</w:t>
      </w:r>
      <w:r>
        <w:rPr>
          <w:rFonts w:hint="eastAsia" w:ascii="宋体" w:hAnsi="宋体" w:cs="宋体"/>
          <w:snapToGrid w:val="0"/>
          <w:color w:val="auto"/>
          <w:spacing w:val="-2"/>
          <w:kern w:val="0"/>
          <w:sz w:val="24"/>
          <w:szCs w:val="24"/>
          <w:lang w:val="en-US" w:eastAsia="zh-CN" w:bidi="ar-SA"/>
        </w:rPr>
        <w:t>专题</w:t>
      </w:r>
      <w:r>
        <w:rPr>
          <w:rFonts w:ascii="宋体" w:hAnsi="宋体" w:eastAsia="宋体" w:cs="宋体"/>
          <w:snapToGrid w:val="0"/>
          <w:color w:val="auto"/>
          <w:spacing w:val="-2"/>
          <w:kern w:val="0"/>
          <w:sz w:val="24"/>
          <w:szCs w:val="24"/>
          <w:lang w:val="en-US" w:eastAsia="en-US" w:bidi="ar-SA"/>
        </w:rPr>
        <w:t>表</w:t>
      </w:r>
      <w:r>
        <w:rPr>
          <w:rFonts w:ascii="宋体" w:hAnsi="宋体" w:eastAsia="宋体" w:cs="宋体"/>
          <w:snapToGrid w:val="0"/>
          <w:color w:val="auto"/>
          <w:spacing w:val="-52"/>
          <w:kern w:val="0"/>
          <w:sz w:val="24"/>
          <w:szCs w:val="24"/>
          <w:lang w:val="en-US" w:eastAsia="en-US" w:bidi="ar-SA"/>
        </w:rPr>
        <w:t xml:space="preserve"> </w:t>
      </w:r>
      <w:r>
        <w:rPr>
          <w:rFonts w:hint="eastAsia" w:eastAsia="宋体" w:cs="Times New Roman"/>
          <w:snapToGrid w:val="0"/>
          <w:color w:val="auto"/>
          <w:spacing w:val="-2"/>
          <w:kern w:val="0"/>
          <w:sz w:val="24"/>
          <w:szCs w:val="24"/>
          <w:lang w:val="en-US" w:eastAsia="zh-CN" w:bidi="ar-SA"/>
        </w:rPr>
        <w:t>3</w:t>
      </w:r>
      <w:r>
        <w:rPr>
          <w:rFonts w:ascii="Times New Roman" w:hAnsi="Times New Roman" w:eastAsia="Times New Roman" w:cs="Times New Roman"/>
          <w:snapToGrid w:val="0"/>
          <w:color w:val="auto"/>
          <w:spacing w:val="-2"/>
          <w:kern w:val="0"/>
          <w:sz w:val="24"/>
          <w:szCs w:val="24"/>
          <w:lang w:val="en-US" w:eastAsia="en-US" w:bidi="ar-SA"/>
        </w:rPr>
        <w:t>-1</w:t>
      </w:r>
      <w:r>
        <w:rPr>
          <w:rFonts w:hint="eastAsia" w:eastAsia="宋体" w:cs="Times New Roman"/>
          <w:snapToGrid w:val="0"/>
          <w:color w:val="auto"/>
          <w:spacing w:val="-2"/>
          <w:kern w:val="0"/>
          <w:sz w:val="24"/>
          <w:szCs w:val="24"/>
          <w:lang w:val="en-US" w:eastAsia="zh-CN" w:bidi="ar-SA"/>
        </w:rPr>
        <w:t>1</w:t>
      </w:r>
      <w:r>
        <w:rPr>
          <w:rFonts w:ascii="宋体" w:hAnsi="宋体" w:eastAsia="宋体" w:cs="宋体"/>
          <w:snapToGrid w:val="0"/>
          <w:color w:val="auto"/>
          <w:spacing w:val="-2"/>
          <w:kern w:val="0"/>
          <w:sz w:val="24"/>
          <w:szCs w:val="24"/>
          <w:lang w:val="en-US" w:eastAsia="en-US" w:bidi="ar-SA"/>
        </w:rPr>
        <w:t>。</w:t>
      </w:r>
    </w:p>
    <w:p w14:paraId="02652EF0">
      <w:pPr>
        <w:keepNext w:val="0"/>
        <w:keepLines w:val="0"/>
        <w:pageBreakBefore w:val="0"/>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snapToGrid w:val="0"/>
          <w:color w:val="auto"/>
          <w:kern w:val="0"/>
          <w:sz w:val="22"/>
          <w:szCs w:val="22"/>
          <w:lang w:val="en-US" w:eastAsia="en-US" w:bidi="ar-SA"/>
        </w:rPr>
      </w:pPr>
      <w:r>
        <w:rPr>
          <w:rFonts w:hint="default" w:ascii="Times New Roman" w:hAnsi="Times New Roman" w:eastAsia="宋体" w:cs="Times New Roman"/>
          <w:b/>
          <w:bCs/>
          <w:snapToGrid w:val="0"/>
          <w:color w:val="auto"/>
          <w:spacing w:val="-1"/>
          <w:kern w:val="0"/>
          <w:sz w:val="22"/>
          <w:szCs w:val="22"/>
          <w:lang w:val="en-US" w:eastAsia="zh-CN" w:bidi="ar-SA"/>
        </w:rPr>
        <w:t>专题</w:t>
      </w:r>
      <w:r>
        <w:rPr>
          <w:rFonts w:hint="default" w:ascii="Times New Roman" w:hAnsi="Times New Roman" w:eastAsia="宋体" w:cs="Times New Roman"/>
          <w:b/>
          <w:bCs/>
          <w:snapToGrid w:val="0"/>
          <w:color w:val="auto"/>
          <w:spacing w:val="-1"/>
          <w:kern w:val="0"/>
          <w:sz w:val="22"/>
          <w:szCs w:val="22"/>
          <w:lang w:val="en-US" w:eastAsia="en-US" w:bidi="ar-SA"/>
        </w:rPr>
        <w:t>表</w:t>
      </w:r>
      <w:r>
        <w:rPr>
          <w:rFonts w:hint="default" w:ascii="Times New Roman" w:hAnsi="Times New Roman" w:eastAsia="宋体" w:cs="Times New Roman"/>
          <w:b/>
          <w:bCs/>
          <w:snapToGrid w:val="0"/>
          <w:color w:val="auto"/>
          <w:spacing w:val="-1"/>
          <w:kern w:val="0"/>
          <w:sz w:val="22"/>
          <w:szCs w:val="22"/>
          <w:lang w:val="en-US" w:eastAsia="zh-CN" w:bidi="ar-SA"/>
        </w:rPr>
        <w:t>3</w:t>
      </w:r>
      <w:r>
        <w:rPr>
          <w:rFonts w:hint="default" w:ascii="Times New Roman" w:hAnsi="Times New Roman" w:eastAsia="宋体" w:cs="Times New Roman"/>
          <w:b/>
          <w:bCs/>
          <w:snapToGrid w:val="0"/>
          <w:color w:val="auto"/>
          <w:spacing w:val="-1"/>
          <w:kern w:val="0"/>
          <w:sz w:val="22"/>
          <w:szCs w:val="22"/>
          <w:lang w:val="en-US" w:eastAsia="en-US" w:bidi="ar-SA"/>
        </w:rPr>
        <w:t>-1</w:t>
      </w:r>
      <w:r>
        <w:rPr>
          <w:rFonts w:hint="default" w:ascii="Times New Roman" w:hAnsi="Times New Roman" w:eastAsia="宋体" w:cs="Times New Roman"/>
          <w:b/>
          <w:bCs/>
          <w:snapToGrid w:val="0"/>
          <w:color w:val="auto"/>
          <w:spacing w:val="-1"/>
          <w:kern w:val="0"/>
          <w:sz w:val="22"/>
          <w:szCs w:val="22"/>
          <w:lang w:val="en-US" w:eastAsia="zh-CN" w:bidi="ar-SA"/>
        </w:rPr>
        <w:t>1</w:t>
      </w:r>
      <w:r>
        <w:rPr>
          <w:rFonts w:hint="default" w:ascii="Times New Roman" w:hAnsi="Times New Roman" w:eastAsia="Times New Roman" w:cs="Times New Roman"/>
          <w:b/>
          <w:bCs/>
          <w:snapToGrid w:val="0"/>
          <w:color w:val="auto"/>
          <w:spacing w:val="-1"/>
          <w:kern w:val="0"/>
          <w:sz w:val="22"/>
          <w:szCs w:val="22"/>
          <w:lang w:val="en-US" w:eastAsia="en-US" w:bidi="ar-SA"/>
        </w:rPr>
        <w:t xml:space="preserve"> </w:t>
      </w:r>
      <w:r>
        <w:rPr>
          <w:rFonts w:ascii="Times New Roman" w:hAnsi="Times New Roman" w:eastAsia="Times New Roman" w:cs="Times New Roman"/>
          <w:b/>
          <w:bCs/>
          <w:snapToGrid w:val="0"/>
          <w:color w:val="auto"/>
          <w:spacing w:val="-1"/>
          <w:kern w:val="0"/>
          <w:sz w:val="22"/>
          <w:szCs w:val="22"/>
          <w:lang w:val="en-US" w:eastAsia="en-US" w:bidi="ar-SA"/>
        </w:rPr>
        <w:t xml:space="preserve">    </w:t>
      </w:r>
      <w:r>
        <w:rPr>
          <w:rFonts w:ascii="宋体" w:hAnsi="宋体" w:eastAsia="宋体" w:cs="宋体"/>
          <w:b/>
          <w:bCs/>
          <w:snapToGrid w:val="0"/>
          <w:color w:val="auto"/>
          <w:spacing w:val="-1"/>
          <w:kern w:val="0"/>
          <w:sz w:val="22"/>
          <w:szCs w:val="22"/>
          <w:lang w:val="en-US" w:eastAsia="en-US" w:bidi="ar-SA"/>
        </w:rPr>
        <w:t>项目占用生态保护红线情况统计表</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03"/>
        <w:gridCol w:w="1253"/>
        <w:gridCol w:w="2216"/>
        <w:gridCol w:w="4042"/>
      </w:tblGrid>
      <w:tr w14:paraId="38023D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503" w:type="dxa"/>
            <w:tcBorders>
              <w:top w:val="single" w:color="000000" w:sz="12" w:space="0"/>
              <w:left w:val="nil"/>
              <w:bottom w:val="single" w:color="000000" w:sz="4" w:space="0"/>
              <w:right w:val="single" w:color="000000" w:sz="4" w:space="0"/>
            </w:tcBorders>
            <w:vAlign w:val="center"/>
          </w:tcPr>
          <w:p w14:paraId="7FD512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b/>
                <w:bCs/>
                <w:snapToGrid w:val="0"/>
                <w:color w:val="auto"/>
                <w:spacing w:val="-2"/>
                <w:kern w:val="0"/>
                <w:sz w:val="21"/>
                <w:szCs w:val="21"/>
                <w:lang w:eastAsia="en-US"/>
              </w:rPr>
              <w:t>占地性质</w:t>
            </w:r>
          </w:p>
        </w:tc>
        <w:tc>
          <w:tcPr>
            <w:tcW w:w="1253" w:type="dxa"/>
            <w:tcBorders>
              <w:top w:val="single" w:color="000000" w:sz="12" w:space="0"/>
              <w:left w:val="single" w:color="000000" w:sz="4" w:space="0"/>
              <w:bottom w:val="single" w:color="000000" w:sz="4" w:space="0"/>
              <w:right w:val="single" w:color="000000" w:sz="4" w:space="0"/>
            </w:tcBorders>
            <w:vAlign w:val="center"/>
          </w:tcPr>
          <w:p w14:paraId="4AB834D3">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b/>
                <w:bCs/>
                <w:snapToGrid w:val="0"/>
                <w:color w:val="auto"/>
                <w:spacing w:val="-2"/>
                <w:kern w:val="0"/>
                <w:sz w:val="21"/>
                <w:szCs w:val="21"/>
                <w:lang w:val="en-US" w:eastAsia="en-US" w:bidi="ar-SA"/>
              </w:rPr>
              <w:t>面积（hm</w:t>
            </w:r>
            <w:r>
              <w:rPr>
                <w:rFonts w:hint="default" w:ascii="Times New Roman" w:hAnsi="Times New Roman" w:eastAsia="宋体" w:cs="Times New Roman"/>
                <w:b/>
                <w:bCs/>
                <w:snapToGrid w:val="0"/>
                <w:color w:val="auto"/>
                <w:spacing w:val="-2"/>
                <w:kern w:val="0"/>
                <w:position w:val="6"/>
                <w:sz w:val="21"/>
                <w:szCs w:val="21"/>
                <w:vertAlign w:val="superscript"/>
                <w:lang w:val="en-US" w:eastAsia="en-US" w:bidi="ar-SA"/>
              </w:rPr>
              <w:t>2</w:t>
            </w:r>
            <w:r>
              <w:rPr>
                <w:rFonts w:hint="default" w:ascii="Times New Roman" w:hAnsi="Times New Roman" w:eastAsia="宋体" w:cs="Times New Roman"/>
                <w:b/>
                <w:bCs/>
                <w:snapToGrid w:val="0"/>
                <w:color w:val="auto"/>
                <w:spacing w:val="-2"/>
                <w:kern w:val="0"/>
                <w:sz w:val="21"/>
                <w:szCs w:val="21"/>
                <w:lang w:val="en-US" w:eastAsia="en-US" w:bidi="ar-SA"/>
              </w:rPr>
              <w:t>）</w:t>
            </w:r>
          </w:p>
        </w:tc>
        <w:tc>
          <w:tcPr>
            <w:tcW w:w="2216" w:type="dxa"/>
            <w:tcBorders>
              <w:top w:val="single" w:color="000000" w:sz="12" w:space="0"/>
              <w:left w:val="single" w:color="000000" w:sz="4" w:space="0"/>
              <w:bottom w:val="single" w:color="000000" w:sz="4" w:space="0"/>
              <w:right w:val="single" w:color="000000" w:sz="4" w:space="0"/>
            </w:tcBorders>
            <w:vAlign w:val="center"/>
          </w:tcPr>
          <w:p w14:paraId="10D2ECB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b/>
                <w:bCs/>
                <w:snapToGrid w:val="0"/>
                <w:color w:val="auto"/>
                <w:spacing w:val="5"/>
                <w:kern w:val="0"/>
                <w:sz w:val="21"/>
                <w:szCs w:val="21"/>
                <w:lang w:eastAsia="en-US"/>
              </w:rPr>
              <w:t>生态保护红线名称</w:t>
            </w:r>
          </w:p>
        </w:tc>
        <w:tc>
          <w:tcPr>
            <w:tcW w:w="4042" w:type="dxa"/>
            <w:tcBorders>
              <w:top w:val="single" w:color="000000" w:sz="12" w:space="0"/>
              <w:left w:val="single" w:color="000000" w:sz="4" w:space="0"/>
              <w:bottom w:val="single" w:color="000000" w:sz="4" w:space="0"/>
              <w:right w:val="nil"/>
            </w:tcBorders>
            <w:vAlign w:val="center"/>
          </w:tcPr>
          <w:p w14:paraId="3BC22C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b/>
                <w:bCs/>
                <w:snapToGrid w:val="0"/>
                <w:color w:val="auto"/>
                <w:spacing w:val="3"/>
                <w:kern w:val="0"/>
                <w:sz w:val="21"/>
                <w:szCs w:val="21"/>
                <w:lang w:eastAsia="en-US"/>
              </w:rPr>
              <w:t>占生态保护红线工</w:t>
            </w:r>
            <w:r>
              <w:rPr>
                <w:rFonts w:hint="default" w:ascii="Times New Roman" w:hAnsi="Times New Roman" w:eastAsia="宋体" w:cs="Times New Roman"/>
                <w:b/>
                <w:bCs/>
                <w:snapToGrid w:val="0"/>
                <w:color w:val="auto"/>
                <w:spacing w:val="5"/>
                <w:kern w:val="0"/>
                <w:sz w:val="21"/>
                <w:szCs w:val="21"/>
                <w:lang w:eastAsia="en-US"/>
              </w:rPr>
              <w:t>程内容</w:t>
            </w:r>
          </w:p>
        </w:tc>
      </w:tr>
      <w:tr w14:paraId="6874B4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503" w:type="dxa"/>
            <w:tcBorders>
              <w:top w:val="single" w:color="000000" w:sz="4" w:space="0"/>
              <w:left w:val="nil"/>
              <w:bottom w:val="single" w:color="000000" w:sz="4" w:space="0"/>
              <w:right w:val="single" w:color="000000" w:sz="4" w:space="0"/>
            </w:tcBorders>
            <w:vAlign w:val="center"/>
          </w:tcPr>
          <w:p w14:paraId="5CCF49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7"/>
                <w:kern w:val="0"/>
                <w:sz w:val="21"/>
                <w:szCs w:val="21"/>
                <w:lang w:eastAsia="en-US"/>
              </w:rPr>
              <w:t>永久占地</w:t>
            </w:r>
          </w:p>
        </w:tc>
        <w:tc>
          <w:tcPr>
            <w:tcW w:w="1253" w:type="dxa"/>
            <w:tcBorders>
              <w:top w:val="single" w:color="000000" w:sz="4" w:space="0"/>
              <w:left w:val="single" w:color="000000" w:sz="4" w:space="0"/>
              <w:bottom w:val="single" w:color="000000" w:sz="4" w:space="0"/>
              <w:right w:val="single" w:color="000000" w:sz="4" w:space="0"/>
            </w:tcBorders>
            <w:vAlign w:val="center"/>
          </w:tcPr>
          <w:p w14:paraId="18C82F99">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spacing w:val="-2"/>
                <w:kern w:val="0"/>
                <w:sz w:val="21"/>
                <w:szCs w:val="21"/>
                <w:lang w:val="en-US" w:eastAsia="en-US" w:bidi="ar-SA"/>
              </w:rPr>
              <w:t>0.</w:t>
            </w:r>
            <w:r>
              <w:rPr>
                <w:rFonts w:hint="default" w:ascii="Times New Roman" w:hAnsi="Times New Roman" w:eastAsia="宋体" w:cs="Times New Roman"/>
                <w:snapToGrid w:val="0"/>
                <w:color w:val="auto"/>
                <w:spacing w:val="-2"/>
                <w:kern w:val="0"/>
                <w:sz w:val="21"/>
                <w:szCs w:val="21"/>
                <w:lang w:val="en-US" w:eastAsia="zh-CN" w:bidi="ar-SA"/>
              </w:rPr>
              <w:t>1187</w:t>
            </w:r>
          </w:p>
        </w:tc>
        <w:tc>
          <w:tcPr>
            <w:tcW w:w="2216" w:type="dxa"/>
            <w:vMerge w:val="restart"/>
            <w:tcBorders>
              <w:top w:val="single" w:color="000000" w:sz="4" w:space="0"/>
              <w:left w:val="single" w:color="000000" w:sz="4" w:space="0"/>
              <w:bottom w:val="single" w:color="000000" w:sz="4" w:space="0"/>
              <w:right w:val="single" w:color="000000" w:sz="4" w:space="0"/>
            </w:tcBorders>
            <w:vAlign w:val="center"/>
          </w:tcPr>
          <w:p w14:paraId="4D8190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东南黄土高原丘陵水土保</w:t>
            </w:r>
            <w:r>
              <w:rPr>
                <w:rFonts w:hint="default" w:ascii="Times New Roman" w:hAnsi="Times New Roman" w:eastAsia="宋体" w:cs="Times New Roman"/>
                <w:snapToGrid w:val="0"/>
                <w:color w:val="auto"/>
                <w:spacing w:val="7"/>
                <w:kern w:val="0"/>
                <w:sz w:val="21"/>
                <w:szCs w:val="21"/>
                <w:lang w:eastAsia="en-US"/>
              </w:rPr>
              <w:t>持生态保护红线</w:t>
            </w:r>
          </w:p>
        </w:tc>
        <w:tc>
          <w:tcPr>
            <w:tcW w:w="4042" w:type="dxa"/>
            <w:tcBorders>
              <w:top w:val="single" w:color="000000" w:sz="4" w:space="0"/>
              <w:left w:val="single" w:color="000000" w:sz="4" w:space="0"/>
              <w:bottom w:val="single" w:color="000000" w:sz="4" w:space="0"/>
              <w:right w:val="nil"/>
            </w:tcBorders>
            <w:vAlign w:val="center"/>
          </w:tcPr>
          <w:p w14:paraId="23C1F410">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2"/>
                <w:kern w:val="0"/>
                <w:sz w:val="21"/>
                <w:szCs w:val="21"/>
                <w:lang w:val="en-US" w:eastAsia="zh-CN" w:bidi="ar-SA"/>
              </w:rPr>
              <w:t>33</w:t>
            </w:r>
            <w:r>
              <w:rPr>
                <w:rFonts w:hint="default" w:ascii="Times New Roman" w:hAnsi="Times New Roman" w:eastAsia="宋体" w:cs="Times New Roman"/>
                <w:snapToGrid w:val="0"/>
                <w:color w:val="auto"/>
                <w:spacing w:val="2"/>
                <w:kern w:val="0"/>
                <w:sz w:val="21"/>
                <w:szCs w:val="21"/>
                <w:lang w:val="en-US" w:eastAsia="en-US" w:bidi="ar-SA"/>
              </w:rPr>
              <w:t>处塔基</w:t>
            </w:r>
          </w:p>
        </w:tc>
      </w:tr>
      <w:tr w14:paraId="08BB69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503" w:type="dxa"/>
            <w:tcBorders>
              <w:top w:val="single" w:color="000000" w:sz="4" w:space="0"/>
              <w:left w:val="nil"/>
              <w:bottom w:val="single" w:color="000000" w:sz="4" w:space="0"/>
              <w:right w:val="single" w:color="000000" w:sz="4" w:space="0"/>
            </w:tcBorders>
            <w:shd w:val="clear" w:color="auto" w:fill="auto"/>
            <w:vAlign w:val="center"/>
          </w:tcPr>
          <w:p w14:paraId="356AF1F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5"/>
                <w:kern w:val="0"/>
                <w:sz w:val="21"/>
                <w:szCs w:val="21"/>
                <w:lang w:eastAsia="en-US"/>
              </w:rPr>
              <w:t>临时占地</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CAEE5">
            <w:pPr>
              <w:keepNext w:val="0"/>
              <w:keepLines w:val="0"/>
              <w:pageBreakBefore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spacing w:val="-2"/>
                <w:kern w:val="0"/>
                <w:sz w:val="21"/>
                <w:szCs w:val="21"/>
                <w:lang w:val="en-US" w:eastAsia="zh-CN" w:bidi="ar-SA"/>
              </w:rPr>
              <w:t>3.0509</w:t>
            </w:r>
          </w:p>
        </w:tc>
        <w:tc>
          <w:tcPr>
            <w:tcW w:w="22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5885C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p>
        </w:tc>
        <w:tc>
          <w:tcPr>
            <w:tcW w:w="4042" w:type="dxa"/>
            <w:tcBorders>
              <w:top w:val="single" w:color="000000" w:sz="4" w:space="0"/>
              <w:left w:val="single" w:color="000000" w:sz="4" w:space="0"/>
              <w:bottom w:val="single" w:color="000000" w:sz="4" w:space="0"/>
              <w:right w:val="nil"/>
            </w:tcBorders>
            <w:shd w:val="clear" w:color="auto" w:fill="auto"/>
            <w:vAlign w:val="center"/>
          </w:tcPr>
          <w:p w14:paraId="5BA1401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highlight w:val="none"/>
                <w:lang w:val="en-US" w:eastAsia="zh-CN"/>
              </w:rPr>
              <w:t>跨越架</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农用地表土剥离堆放场</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牵张场、</w:t>
            </w:r>
            <w:r>
              <w:rPr>
                <w:rFonts w:hint="default" w:ascii="Times New Roman" w:hAnsi="Times New Roman" w:eastAsia="宋体" w:cs="Times New Roman"/>
                <w:color w:val="auto"/>
                <w:sz w:val="21"/>
                <w:szCs w:val="21"/>
                <w:highlight w:val="none"/>
              </w:rPr>
              <w:t>施工便道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拓宽道路和塔基施工作业区</w:t>
            </w:r>
          </w:p>
        </w:tc>
      </w:tr>
      <w:tr w14:paraId="6D7977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0" w:hRule="atLeast"/>
          <w:jc w:val="center"/>
        </w:trPr>
        <w:tc>
          <w:tcPr>
            <w:tcW w:w="1503" w:type="dxa"/>
            <w:tcBorders>
              <w:top w:val="single" w:color="000000" w:sz="4" w:space="0"/>
              <w:left w:val="nil"/>
              <w:bottom w:val="single" w:color="000000" w:sz="12" w:space="0"/>
              <w:right w:val="single" w:color="000000" w:sz="4" w:space="0"/>
            </w:tcBorders>
            <w:shd w:val="clear" w:color="auto" w:fill="auto"/>
            <w:vAlign w:val="center"/>
          </w:tcPr>
          <w:p w14:paraId="43DAEB8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eastAsia="en-US"/>
              </w:rPr>
              <w:t>合计</w:t>
            </w:r>
          </w:p>
        </w:tc>
        <w:tc>
          <w:tcPr>
            <w:tcW w:w="1253"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1227D1CF">
            <w:pPr>
              <w:keepNext w:val="0"/>
              <w:keepLines w:val="0"/>
              <w:pageBreakBefore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3.1696</w:t>
            </w:r>
          </w:p>
        </w:tc>
        <w:tc>
          <w:tcPr>
            <w:tcW w:w="2216"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3BBA1764">
            <w:pPr>
              <w:keepNext w:val="0"/>
              <w:keepLines w:val="0"/>
              <w:pageBreakBefore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en-US" w:bidi="ar-SA"/>
              </w:rPr>
              <w:t>/</w:t>
            </w:r>
          </w:p>
        </w:tc>
        <w:tc>
          <w:tcPr>
            <w:tcW w:w="4042" w:type="dxa"/>
            <w:tcBorders>
              <w:top w:val="single" w:color="000000" w:sz="4" w:space="0"/>
              <w:left w:val="single" w:color="000000" w:sz="4" w:space="0"/>
              <w:bottom w:val="single" w:color="000000" w:sz="12" w:space="0"/>
              <w:right w:val="nil"/>
            </w:tcBorders>
            <w:shd w:val="clear" w:color="auto" w:fill="auto"/>
            <w:vAlign w:val="center"/>
          </w:tcPr>
          <w:p w14:paraId="331D06B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spacing w:val="3"/>
                <w:kern w:val="0"/>
                <w:sz w:val="21"/>
                <w:szCs w:val="21"/>
                <w:lang w:eastAsia="en-US"/>
              </w:rPr>
            </w:pPr>
            <w:r>
              <w:rPr>
                <w:rFonts w:hint="default" w:ascii="Times New Roman" w:hAnsi="Times New Roman" w:eastAsia="宋体" w:cs="Times New Roman"/>
                <w:snapToGrid w:val="0"/>
                <w:color w:val="auto"/>
                <w:kern w:val="0"/>
                <w:sz w:val="21"/>
                <w:szCs w:val="21"/>
                <w:lang w:val="en-US" w:eastAsia="en-US" w:bidi="ar-SA"/>
              </w:rPr>
              <w:t>/</w:t>
            </w:r>
          </w:p>
        </w:tc>
      </w:tr>
    </w:tbl>
    <w:p w14:paraId="090437BA">
      <w:pPr>
        <w:widowControl/>
        <w:kinsoku w:val="0"/>
        <w:autoSpaceDE w:val="0"/>
        <w:autoSpaceDN w:val="0"/>
        <w:adjustRightInd w:val="0"/>
        <w:snapToGrid w:val="0"/>
        <w:spacing w:line="43" w:lineRule="exact"/>
        <w:jc w:val="left"/>
        <w:textAlignment w:val="baseline"/>
        <w:rPr>
          <w:rFonts w:ascii="Arial" w:hAnsi="Arial" w:eastAsia="Arial" w:cs="Arial"/>
          <w:snapToGrid w:val="0"/>
          <w:color w:val="auto"/>
          <w:kern w:val="0"/>
          <w:sz w:val="3"/>
          <w:szCs w:val="21"/>
          <w:lang w:eastAsia="en-US"/>
        </w:rPr>
      </w:pPr>
    </w:p>
    <w:p w14:paraId="70423930">
      <w:pPr>
        <w:widowControl/>
        <w:kinsoku w:val="0"/>
        <w:autoSpaceDE w:val="0"/>
        <w:autoSpaceDN w:val="0"/>
        <w:adjustRightInd w:val="0"/>
        <w:snapToGrid w:val="0"/>
        <w:spacing w:line="91" w:lineRule="auto"/>
        <w:jc w:val="left"/>
        <w:textAlignment w:val="baseline"/>
        <w:rPr>
          <w:rFonts w:ascii="Arial" w:hAnsi="Arial" w:eastAsia="Arial" w:cs="Arial"/>
          <w:snapToGrid w:val="0"/>
          <w:color w:val="auto"/>
          <w:kern w:val="0"/>
          <w:sz w:val="2"/>
          <w:szCs w:val="21"/>
          <w:lang w:eastAsia="en-US"/>
        </w:rPr>
      </w:pPr>
    </w:p>
    <w:p w14:paraId="1DCBD570">
      <w:pPr>
        <w:kinsoku w:val="0"/>
        <w:autoSpaceDE w:val="0"/>
        <w:autoSpaceDN w:val="0"/>
        <w:adjustRightInd w:val="0"/>
        <w:snapToGrid w:val="0"/>
        <w:spacing w:before="78" w:line="360" w:lineRule="auto"/>
        <w:ind w:left="510"/>
        <w:jc w:val="left"/>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⑵</w:t>
      </w:r>
      <w:r>
        <w:rPr>
          <w:rFonts w:ascii="宋体" w:hAnsi="宋体" w:eastAsia="宋体" w:cs="宋体"/>
          <w:b/>
          <w:bCs/>
          <w:snapToGrid w:val="0"/>
          <w:color w:val="auto"/>
          <w:spacing w:val="-3"/>
          <w:kern w:val="0"/>
          <w:sz w:val="24"/>
          <w:szCs w:val="24"/>
          <w:lang w:val="en-US" w:eastAsia="en-US" w:bidi="ar-SA"/>
        </w:rPr>
        <w:t>对生态保护红线结构的影响</w:t>
      </w:r>
    </w:p>
    <w:p w14:paraId="77500FCB">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2"/>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本项目为线性工程，涉及生态保护红线线路长度</w:t>
      </w:r>
      <w:r>
        <w:rPr>
          <w:rFonts w:hint="eastAsia" w:cs="Times New Roman"/>
          <w:snapToGrid w:val="0"/>
          <w:color w:val="auto"/>
          <w:spacing w:val="-1"/>
          <w:kern w:val="0"/>
          <w:sz w:val="24"/>
          <w:szCs w:val="24"/>
          <w:lang w:val="en-US" w:eastAsia="zh-CN" w:bidi="ar-SA"/>
        </w:rPr>
        <w:t>10.514</w:t>
      </w:r>
      <w:r>
        <w:rPr>
          <w:rFonts w:hint="eastAsia" w:eastAsia="宋体" w:cs="Times New Roman"/>
          <w:snapToGrid w:val="0"/>
          <w:color w:val="auto"/>
          <w:spacing w:val="-1"/>
          <w:kern w:val="0"/>
          <w:sz w:val="24"/>
          <w:szCs w:val="24"/>
          <w:lang w:val="en-US" w:eastAsia="en-US" w:bidi="ar-SA"/>
        </w:rPr>
        <w:t>km</w:t>
      </w:r>
      <w:r>
        <w:rPr>
          <w:rFonts w:ascii="宋体" w:hAnsi="宋体" w:eastAsia="宋体" w:cs="宋体"/>
          <w:snapToGrid w:val="0"/>
          <w:color w:val="auto"/>
          <w:spacing w:val="1"/>
          <w:kern w:val="0"/>
          <w:sz w:val="24"/>
          <w:szCs w:val="24"/>
          <w:lang w:val="en-US" w:eastAsia="en-US" w:bidi="ar-SA"/>
        </w:rPr>
        <w:t>，线路采用架空架</w:t>
      </w:r>
      <w:r>
        <w:rPr>
          <w:rFonts w:ascii="宋体" w:hAnsi="宋体" w:eastAsia="宋体" w:cs="宋体"/>
          <w:snapToGrid w:val="0"/>
          <w:color w:val="auto"/>
          <w:spacing w:val="-3"/>
          <w:kern w:val="0"/>
          <w:sz w:val="24"/>
          <w:szCs w:val="24"/>
          <w:lang w:val="en-US" w:eastAsia="en-US" w:bidi="ar-SA"/>
        </w:rPr>
        <w:t>设，占地为点状且分散，占生态保护红线总面积比例非常小。项目建设对生态保</w:t>
      </w:r>
      <w:r>
        <w:rPr>
          <w:rFonts w:ascii="宋体" w:hAnsi="宋体" w:eastAsia="宋体" w:cs="宋体"/>
          <w:snapToGrid w:val="0"/>
          <w:color w:val="auto"/>
          <w:spacing w:val="-7"/>
          <w:kern w:val="0"/>
          <w:sz w:val="24"/>
          <w:szCs w:val="24"/>
          <w:lang w:val="en-US" w:eastAsia="en-US" w:bidi="ar-SA"/>
        </w:rPr>
        <w:t>护红线区域的结构和生态系统完整性会造成一定影响，但影响程</w:t>
      </w:r>
      <w:r>
        <w:rPr>
          <w:rFonts w:ascii="宋体" w:hAnsi="宋体" w:eastAsia="宋体" w:cs="宋体"/>
          <w:snapToGrid w:val="0"/>
          <w:color w:val="auto"/>
          <w:spacing w:val="-8"/>
          <w:kern w:val="0"/>
          <w:sz w:val="24"/>
          <w:szCs w:val="24"/>
          <w:lang w:val="en-US" w:eastAsia="en-US" w:bidi="ar-SA"/>
        </w:rPr>
        <w:t>度很小，可接受。</w:t>
      </w:r>
    </w:p>
    <w:p w14:paraId="6778C41E">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b/>
          <w:bCs/>
          <w:snapToGrid w:val="0"/>
          <w:color w:val="auto"/>
          <w:kern w:val="0"/>
          <w:sz w:val="24"/>
          <w:szCs w:val="24"/>
          <w:lang w:val="en-US" w:eastAsia="en-US" w:bidi="ar-SA"/>
        </w:rPr>
      </w:pPr>
      <w:r>
        <w:rPr>
          <w:rFonts w:hint="default" w:ascii="Times New Roman" w:hAnsi="Times New Roman" w:cs="Times New Roman"/>
          <w:b/>
          <w:bCs/>
          <w:color w:val="auto"/>
          <w:kern w:val="0"/>
          <w:sz w:val="24"/>
          <w:highlight w:val="none"/>
          <w:lang w:eastAsia="zh-CN" w:bidi="ar"/>
        </w:rPr>
        <w:t>⑶</w:t>
      </w:r>
      <w:r>
        <w:rPr>
          <w:rFonts w:ascii="宋体" w:hAnsi="宋体" w:eastAsia="宋体" w:cs="宋体"/>
          <w:b/>
          <w:bCs/>
          <w:snapToGrid w:val="0"/>
          <w:color w:val="auto"/>
          <w:spacing w:val="-3"/>
          <w:kern w:val="0"/>
          <w:sz w:val="24"/>
          <w:szCs w:val="24"/>
          <w:lang w:val="en-US" w:eastAsia="en-US" w:bidi="ar-SA"/>
        </w:rPr>
        <w:t>对生态保护红线生态功能的影响</w:t>
      </w:r>
    </w:p>
    <w:p w14:paraId="29D2AE94">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4"/>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本项目占用的生态保护红线生态功能为水土保持</w:t>
      </w:r>
      <w:r>
        <w:rPr>
          <w:rFonts w:ascii="宋体" w:hAnsi="宋体" w:eastAsia="宋体" w:cs="宋体"/>
          <w:snapToGrid w:val="0"/>
          <w:color w:val="auto"/>
          <w:spacing w:val="-4"/>
          <w:kern w:val="0"/>
          <w:sz w:val="24"/>
          <w:szCs w:val="24"/>
          <w:lang w:val="en-US" w:eastAsia="en-US" w:bidi="ar-SA"/>
        </w:rPr>
        <w:t>，对生态</w:t>
      </w:r>
      <w:r>
        <w:rPr>
          <w:rFonts w:ascii="宋体" w:hAnsi="宋体" w:eastAsia="宋体" w:cs="宋体"/>
          <w:snapToGrid w:val="0"/>
          <w:color w:val="auto"/>
          <w:spacing w:val="-3"/>
          <w:kern w:val="0"/>
          <w:sz w:val="24"/>
          <w:szCs w:val="24"/>
          <w:lang w:val="en-US" w:eastAsia="en-US" w:bidi="ar-SA"/>
        </w:rPr>
        <w:t>红线的环境影响主要在施工期，为减小对生态红线内植被的扰动，施工过程中近可能减少施工道路的修筑，利用已有的</w:t>
      </w:r>
      <w:r>
        <w:rPr>
          <w:rFonts w:hint="eastAsia" w:ascii="宋体" w:hAnsi="宋体" w:cs="宋体"/>
          <w:snapToGrid w:val="0"/>
          <w:color w:val="auto"/>
          <w:spacing w:val="-3"/>
          <w:kern w:val="0"/>
          <w:sz w:val="24"/>
          <w:szCs w:val="24"/>
          <w:lang w:val="en-US" w:eastAsia="zh-CN" w:bidi="ar-SA"/>
        </w:rPr>
        <w:t>农村</w:t>
      </w:r>
      <w:r>
        <w:rPr>
          <w:rFonts w:ascii="宋体" w:hAnsi="宋体" w:eastAsia="宋体" w:cs="宋体"/>
          <w:snapToGrid w:val="0"/>
          <w:color w:val="auto"/>
          <w:spacing w:val="-3"/>
          <w:kern w:val="0"/>
          <w:sz w:val="24"/>
          <w:szCs w:val="24"/>
          <w:lang w:val="en-US" w:eastAsia="en-US" w:bidi="ar-SA"/>
        </w:rPr>
        <w:t>道路运输施工材料；做好施工开挖土石方的防护和处置工作，减小和防治水土流失，做好生物多样性保护</w:t>
      </w:r>
      <w:r>
        <w:rPr>
          <w:rFonts w:ascii="宋体" w:hAnsi="宋体" w:eastAsia="宋体" w:cs="宋体"/>
          <w:snapToGrid w:val="0"/>
          <w:color w:val="auto"/>
          <w:spacing w:val="-1"/>
          <w:kern w:val="0"/>
          <w:sz w:val="24"/>
          <w:szCs w:val="24"/>
          <w:lang w:val="en-US" w:eastAsia="en-US" w:bidi="ar-SA"/>
        </w:rPr>
        <w:t>工作；施工过程中禁止废污水漫排，施工完毕后做好施工</w:t>
      </w:r>
      <w:r>
        <w:rPr>
          <w:rFonts w:ascii="宋体" w:hAnsi="宋体" w:eastAsia="宋体" w:cs="宋体"/>
          <w:snapToGrid w:val="0"/>
          <w:color w:val="auto"/>
          <w:spacing w:val="-2"/>
          <w:kern w:val="0"/>
          <w:sz w:val="24"/>
          <w:szCs w:val="24"/>
          <w:lang w:val="en-US" w:eastAsia="en-US" w:bidi="ar-SA"/>
        </w:rPr>
        <w:t>迹地的清理和恢复。</w:t>
      </w:r>
    </w:p>
    <w:p w14:paraId="48D65C63">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b/>
          <w:bCs/>
          <w:snapToGrid w:val="0"/>
          <w:color w:val="auto"/>
          <w:kern w:val="0"/>
          <w:sz w:val="24"/>
          <w:szCs w:val="24"/>
          <w:lang w:val="en-US" w:eastAsia="en-US" w:bidi="ar-SA"/>
        </w:rPr>
      </w:pPr>
      <w:r>
        <w:rPr>
          <w:rFonts w:hint="default" w:ascii="Times New Roman" w:hAnsi="Times New Roman" w:cs="Times New Roman"/>
          <w:b/>
          <w:bCs/>
          <w:color w:val="auto"/>
          <w:sz w:val="24"/>
          <w:highlight w:val="none"/>
          <w:lang w:eastAsia="zh-CN"/>
        </w:rPr>
        <w:t>⑷</w:t>
      </w:r>
      <w:r>
        <w:rPr>
          <w:rFonts w:ascii="宋体" w:hAnsi="宋体" w:eastAsia="宋体" w:cs="宋体"/>
          <w:b/>
          <w:bCs/>
          <w:snapToGrid w:val="0"/>
          <w:color w:val="auto"/>
          <w:spacing w:val="-2"/>
          <w:kern w:val="0"/>
          <w:sz w:val="24"/>
          <w:szCs w:val="24"/>
          <w:lang w:val="en-US" w:eastAsia="en-US" w:bidi="ar-SA"/>
        </w:rPr>
        <w:t>对生态保护红线内动植物资源的影响</w:t>
      </w:r>
    </w:p>
    <w:p w14:paraId="3A176A19">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4"/>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8"/>
          <w:kern w:val="0"/>
          <w:sz w:val="24"/>
          <w:szCs w:val="24"/>
          <w:lang w:val="en-US" w:eastAsia="en-US" w:bidi="ar-SA"/>
        </w:rPr>
        <w:t>生态保护红线内植被类型以人工林及灌丛为主，乔木植被主要以山杏、</w:t>
      </w:r>
      <w:r>
        <w:rPr>
          <w:rFonts w:hint="eastAsia" w:ascii="宋体" w:hAnsi="宋体" w:cs="宋体"/>
          <w:snapToGrid w:val="0"/>
          <w:color w:val="auto"/>
          <w:spacing w:val="-6"/>
          <w:kern w:val="0"/>
          <w:sz w:val="24"/>
          <w:szCs w:val="24"/>
          <w:lang w:val="en-US" w:eastAsia="zh-CN" w:bidi="ar-SA"/>
        </w:rPr>
        <w:t>山桃</w:t>
      </w:r>
      <w:r>
        <w:rPr>
          <w:rFonts w:ascii="宋体" w:hAnsi="宋体" w:eastAsia="宋体" w:cs="宋体"/>
          <w:snapToGrid w:val="0"/>
          <w:color w:val="auto"/>
          <w:spacing w:val="-6"/>
          <w:kern w:val="0"/>
          <w:sz w:val="24"/>
          <w:szCs w:val="24"/>
          <w:lang w:val="en-US" w:eastAsia="en-US" w:bidi="ar-SA"/>
        </w:rPr>
        <w:t>为主， 灌丛以柠条锦鸡儿、沙棘为主。项目占地范</w:t>
      </w:r>
      <w:r>
        <w:rPr>
          <w:rFonts w:ascii="宋体" w:hAnsi="宋体" w:eastAsia="宋体" w:cs="宋体"/>
          <w:snapToGrid w:val="0"/>
          <w:color w:val="auto"/>
          <w:spacing w:val="-7"/>
          <w:kern w:val="0"/>
          <w:sz w:val="24"/>
          <w:szCs w:val="24"/>
          <w:lang w:val="en-US" w:eastAsia="en-US" w:bidi="ar-SA"/>
        </w:rPr>
        <w:t>围内无保护植物分</w:t>
      </w:r>
      <w:r>
        <w:rPr>
          <w:rFonts w:ascii="宋体" w:hAnsi="宋体" w:eastAsia="宋体" w:cs="宋体"/>
          <w:snapToGrid w:val="0"/>
          <w:color w:val="auto"/>
          <w:spacing w:val="-3"/>
          <w:kern w:val="0"/>
          <w:sz w:val="24"/>
          <w:szCs w:val="24"/>
          <w:lang w:val="en-US" w:eastAsia="en-US" w:bidi="ar-SA"/>
        </w:rPr>
        <w:t>布，临时施工道路尽量利用现有道路，少新建临时施工道路。项目塔基永久占地面积小，占地范围内无野生保护植物，因此，项目对以国家重点保护野生植物及</w:t>
      </w:r>
      <w:r>
        <w:rPr>
          <w:rFonts w:ascii="宋体" w:hAnsi="宋体" w:eastAsia="宋体" w:cs="宋体"/>
          <w:snapToGrid w:val="0"/>
          <w:color w:val="auto"/>
          <w:spacing w:val="-2"/>
          <w:kern w:val="0"/>
          <w:sz w:val="24"/>
          <w:szCs w:val="24"/>
          <w:lang w:val="en-US" w:eastAsia="en-US" w:bidi="ar-SA"/>
        </w:rPr>
        <w:t>其生境所形成的自然生态系统为保护对象的影响很小。</w:t>
      </w:r>
    </w:p>
    <w:p w14:paraId="54586CD5">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6"/>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线路在生态保护红线范围内主要占用的为林地和草</w:t>
      </w:r>
      <w:r>
        <w:rPr>
          <w:rFonts w:ascii="宋体" w:hAnsi="宋体" w:eastAsia="宋体" w:cs="宋体"/>
          <w:snapToGrid w:val="0"/>
          <w:color w:val="auto"/>
          <w:spacing w:val="-4"/>
          <w:kern w:val="0"/>
          <w:sz w:val="24"/>
          <w:szCs w:val="24"/>
          <w:lang w:val="en-US" w:eastAsia="en-US" w:bidi="ar-SA"/>
        </w:rPr>
        <w:t>地，对植被破坏的同时也</w:t>
      </w:r>
      <w:r>
        <w:rPr>
          <w:rFonts w:ascii="宋体" w:hAnsi="宋体" w:eastAsia="宋体" w:cs="宋体"/>
          <w:snapToGrid w:val="0"/>
          <w:color w:val="auto"/>
          <w:spacing w:val="-3"/>
          <w:kern w:val="0"/>
          <w:sz w:val="24"/>
          <w:szCs w:val="24"/>
          <w:lang w:val="en-US" w:eastAsia="en-US" w:bidi="ar-SA"/>
        </w:rPr>
        <w:t>破坏了栖息于其中的鸟类生境，在鸟类繁殖季节可能危害鸟卵、幼鸟。鸟类对噪声比较敏感，施工噪声会对栖息在施工区域的鸟类产生一定的趋避作用，施工场地一定范围内将不适合鸟类的栖息。</w:t>
      </w:r>
    </w:p>
    <w:p w14:paraId="27DE1D60">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8"/>
          <w:kern w:val="0"/>
          <w:sz w:val="24"/>
          <w:szCs w:val="24"/>
          <w:lang w:val="en-US" w:eastAsia="en-US" w:bidi="ar-SA"/>
        </w:rPr>
        <w:t>施工避开鸟类的迁徙、繁殖期，杆塔机械施工主要集中在塔基</w:t>
      </w:r>
      <w:r>
        <w:rPr>
          <w:rFonts w:ascii="宋体" w:hAnsi="宋体" w:eastAsia="宋体" w:cs="宋体"/>
          <w:snapToGrid w:val="0"/>
          <w:color w:val="auto"/>
          <w:spacing w:val="-9"/>
          <w:kern w:val="0"/>
          <w:sz w:val="24"/>
          <w:szCs w:val="24"/>
          <w:lang w:val="en-US" w:eastAsia="en-US" w:bidi="ar-SA"/>
        </w:rPr>
        <w:t>基础施工阶段，</w:t>
      </w:r>
      <w:r>
        <w:rPr>
          <w:rFonts w:ascii="宋体" w:hAnsi="宋体" w:eastAsia="宋体" w:cs="宋体"/>
          <w:snapToGrid w:val="0"/>
          <w:color w:val="auto"/>
          <w:spacing w:val="-5"/>
          <w:kern w:val="0"/>
          <w:sz w:val="24"/>
          <w:szCs w:val="24"/>
          <w:lang w:val="en-US" w:eastAsia="en-US" w:bidi="ar-SA"/>
        </w:rPr>
        <w:t>一般单个塔基基础施工可在</w:t>
      </w:r>
      <w:r>
        <w:rPr>
          <w:rFonts w:ascii="宋体" w:hAnsi="宋体" w:eastAsia="宋体" w:cs="宋体"/>
          <w:snapToGrid w:val="0"/>
          <w:color w:val="auto"/>
          <w:spacing w:val="-41"/>
          <w:kern w:val="0"/>
          <w:sz w:val="24"/>
          <w:szCs w:val="24"/>
          <w:lang w:val="en-US" w:eastAsia="en-US" w:bidi="ar-SA"/>
        </w:rPr>
        <w:t xml:space="preserve"> </w:t>
      </w:r>
      <w:r>
        <w:rPr>
          <w:rFonts w:ascii="Times New Roman" w:hAnsi="Times New Roman" w:eastAsia="Times New Roman" w:cs="Times New Roman"/>
          <w:snapToGrid w:val="0"/>
          <w:color w:val="auto"/>
          <w:spacing w:val="-5"/>
          <w:kern w:val="0"/>
          <w:sz w:val="24"/>
          <w:szCs w:val="24"/>
          <w:lang w:val="en-US" w:eastAsia="en-US" w:bidi="ar-SA"/>
        </w:rPr>
        <w:t>3</w:t>
      </w:r>
      <w:r>
        <w:rPr>
          <w:rFonts w:ascii="Times New Roman" w:hAnsi="Times New Roman" w:eastAsia="Times New Roman" w:cs="Times New Roman"/>
          <w:snapToGrid w:val="0"/>
          <w:color w:val="auto"/>
          <w:spacing w:val="51"/>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日内完成，时间较短，而且鸟类会暂时转移周边生</w:t>
      </w:r>
      <w:r>
        <w:rPr>
          <w:rFonts w:ascii="宋体" w:hAnsi="宋体" w:eastAsia="宋体" w:cs="宋体"/>
          <w:snapToGrid w:val="0"/>
          <w:color w:val="auto"/>
          <w:spacing w:val="-6"/>
          <w:kern w:val="0"/>
          <w:sz w:val="24"/>
          <w:szCs w:val="24"/>
          <w:lang w:val="en-US" w:eastAsia="en-US" w:bidi="ar-SA"/>
        </w:rPr>
        <w:t>境，因此施工噪声对鸟类的影响是短暂的。工程占评价区的面</w:t>
      </w:r>
      <w:r>
        <w:rPr>
          <w:rFonts w:ascii="宋体" w:hAnsi="宋体" w:eastAsia="宋体" w:cs="宋体"/>
          <w:snapToGrid w:val="0"/>
          <w:color w:val="auto"/>
          <w:spacing w:val="-7"/>
          <w:kern w:val="0"/>
          <w:sz w:val="24"/>
          <w:szCs w:val="24"/>
          <w:lang w:val="en-US" w:eastAsia="en-US" w:bidi="ar-SA"/>
        </w:rPr>
        <w:t>积比例很小， 鸟类</w:t>
      </w:r>
      <w:r>
        <w:rPr>
          <w:rFonts w:ascii="宋体" w:hAnsi="宋体" w:eastAsia="宋体" w:cs="宋体"/>
          <w:snapToGrid w:val="0"/>
          <w:color w:val="auto"/>
          <w:spacing w:val="-3"/>
          <w:kern w:val="0"/>
          <w:sz w:val="24"/>
          <w:szCs w:val="24"/>
          <w:lang w:val="en-US" w:eastAsia="en-US" w:bidi="ar-SA"/>
        </w:rPr>
        <w:t>活动能力较强，很容易在附近区域找到替代生境，因此工程占地对鸟类的影响较</w:t>
      </w:r>
      <w:r>
        <w:rPr>
          <w:rFonts w:ascii="宋体" w:hAnsi="宋体" w:eastAsia="宋体" w:cs="宋体"/>
          <w:snapToGrid w:val="0"/>
          <w:color w:val="auto"/>
          <w:spacing w:val="-9"/>
          <w:kern w:val="0"/>
          <w:sz w:val="24"/>
          <w:szCs w:val="24"/>
          <w:lang w:val="en-US" w:eastAsia="en-US" w:bidi="ar-SA"/>
        </w:rPr>
        <w:t>小。施工结束后， 植被恢复、重建使得栖息地功能逐步恢</w:t>
      </w:r>
      <w:r>
        <w:rPr>
          <w:rFonts w:ascii="宋体" w:hAnsi="宋体" w:eastAsia="宋体" w:cs="宋体"/>
          <w:snapToGrid w:val="0"/>
          <w:color w:val="auto"/>
          <w:spacing w:val="-10"/>
          <w:kern w:val="0"/>
          <w:sz w:val="24"/>
          <w:szCs w:val="24"/>
          <w:lang w:val="en-US" w:eastAsia="en-US" w:bidi="ar-SA"/>
        </w:rPr>
        <w:t>复， 影响生存的人为活</w:t>
      </w:r>
      <w:r>
        <w:rPr>
          <w:rFonts w:ascii="宋体" w:hAnsi="宋体" w:eastAsia="宋体" w:cs="宋体"/>
          <w:snapToGrid w:val="0"/>
          <w:color w:val="auto"/>
          <w:spacing w:val="-3"/>
          <w:kern w:val="0"/>
          <w:sz w:val="24"/>
          <w:szCs w:val="24"/>
          <w:lang w:val="en-US" w:eastAsia="en-US" w:bidi="ar-SA"/>
        </w:rPr>
        <w:t>动因素消失，在施工区活动的鸟类会重新分布，线路巡检人员，沿固定巡检路线行驶定期对沿线生态保护和防护措施进行检查，跟踪生态保护与恢复效果，生态保护红线内动植物资源的影响很小。</w:t>
      </w:r>
    </w:p>
    <w:p w14:paraId="3C9E384F">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0"/>
          <w:kern w:val="0"/>
          <w:sz w:val="24"/>
          <w:szCs w:val="24"/>
          <w:lang w:val="en-US" w:eastAsia="en-US" w:bidi="ar-SA"/>
        </w:rPr>
        <w:t>⑸</w:t>
      </w:r>
      <w:r>
        <w:rPr>
          <w:rFonts w:ascii="宋体" w:hAnsi="宋体" w:eastAsia="宋体" w:cs="宋体"/>
          <w:b/>
          <w:bCs/>
          <w:snapToGrid w:val="0"/>
          <w:color w:val="auto"/>
          <w:spacing w:val="-2"/>
          <w:kern w:val="0"/>
          <w:sz w:val="24"/>
          <w:szCs w:val="24"/>
          <w:lang w:val="en-US" w:eastAsia="en-US" w:bidi="ar-SA"/>
        </w:rPr>
        <w:t>对生态保护红线内生物多样性的影响</w:t>
      </w:r>
    </w:p>
    <w:p w14:paraId="0E5FC372">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56"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6"/>
          <w:kern w:val="0"/>
          <w:sz w:val="24"/>
          <w:szCs w:val="24"/>
          <w:lang w:val="en-US" w:eastAsia="en-US" w:bidi="ar-SA"/>
        </w:rPr>
        <w:t>本项目在生态保护红线内占地类型</w:t>
      </w:r>
      <w:r>
        <w:rPr>
          <w:rFonts w:hint="eastAsia" w:ascii="宋体" w:hAnsi="宋体" w:cs="宋体"/>
          <w:snapToGrid w:val="0"/>
          <w:color w:val="auto"/>
          <w:spacing w:val="-6"/>
          <w:kern w:val="0"/>
          <w:sz w:val="24"/>
          <w:szCs w:val="24"/>
          <w:lang w:val="en-US" w:eastAsia="zh-CN" w:bidi="ar-SA"/>
        </w:rPr>
        <w:t>主要为</w:t>
      </w:r>
      <w:r>
        <w:rPr>
          <w:rFonts w:ascii="宋体" w:hAnsi="宋体" w:eastAsia="宋体" w:cs="宋体"/>
          <w:snapToGrid w:val="0"/>
          <w:color w:val="auto"/>
          <w:spacing w:val="-6"/>
          <w:kern w:val="0"/>
          <w:sz w:val="24"/>
          <w:szCs w:val="24"/>
          <w:lang w:val="en-US" w:eastAsia="en-US" w:bidi="ar-SA"/>
        </w:rPr>
        <w:t>草地和林地。施工期间，</w:t>
      </w:r>
      <w:r>
        <w:rPr>
          <w:rFonts w:ascii="宋体" w:hAnsi="宋体" w:eastAsia="宋体" w:cs="宋体"/>
          <w:snapToGrid w:val="0"/>
          <w:color w:val="auto"/>
          <w:spacing w:val="-27"/>
          <w:kern w:val="0"/>
          <w:sz w:val="24"/>
          <w:szCs w:val="24"/>
          <w:lang w:val="en-US" w:eastAsia="en-US" w:bidi="ar-SA"/>
        </w:rPr>
        <w:t xml:space="preserve"> </w:t>
      </w:r>
      <w:r>
        <w:rPr>
          <w:rFonts w:ascii="宋体" w:hAnsi="宋体" w:eastAsia="宋体" w:cs="宋体"/>
          <w:snapToGrid w:val="0"/>
          <w:color w:val="auto"/>
          <w:spacing w:val="-6"/>
          <w:kern w:val="0"/>
          <w:sz w:val="24"/>
          <w:szCs w:val="24"/>
          <w:lang w:val="en-US" w:eastAsia="en-US" w:bidi="ar-SA"/>
        </w:rPr>
        <w:t>不可避免地对用</w:t>
      </w:r>
      <w:r>
        <w:rPr>
          <w:rFonts w:ascii="宋体" w:hAnsi="宋体" w:eastAsia="宋体" w:cs="宋体"/>
          <w:snapToGrid w:val="0"/>
          <w:color w:val="auto"/>
          <w:spacing w:val="-3"/>
          <w:kern w:val="0"/>
          <w:sz w:val="24"/>
          <w:szCs w:val="24"/>
          <w:lang w:val="en-US" w:eastAsia="en-US" w:bidi="ar-SA"/>
        </w:rPr>
        <w:t>地范围内植物造成不同程度损毁，造成植被生物量的减少。但项目在生态保护红线内占地面积很小，点状分布且分散，涉及的植物为项目区常见植物，故项目建设仅造成的植被数量减少，不会引起生态保护红线内各种植被种类和群落类型发</w:t>
      </w:r>
      <w:r>
        <w:rPr>
          <w:rFonts w:ascii="宋体" w:hAnsi="宋体" w:eastAsia="宋体" w:cs="宋体"/>
          <w:snapToGrid w:val="0"/>
          <w:color w:val="auto"/>
          <w:spacing w:val="-6"/>
          <w:kern w:val="0"/>
          <w:sz w:val="24"/>
          <w:szCs w:val="24"/>
          <w:lang w:val="en-US" w:eastAsia="en-US" w:bidi="ar-SA"/>
        </w:rPr>
        <w:t>生变化，亦不会影响区域植物的物种多样性。施工期间，施工</w:t>
      </w:r>
      <w:r>
        <w:rPr>
          <w:rFonts w:ascii="宋体" w:hAnsi="宋体" w:eastAsia="宋体" w:cs="宋体"/>
          <w:snapToGrid w:val="0"/>
          <w:color w:val="auto"/>
          <w:spacing w:val="-7"/>
          <w:kern w:val="0"/>
          <w:sz w:val="24"/>
          <w:szCs w:val="24"/>
          <w:lang w:val="en-US" w:eastAsia="en-US" w:bidi="ar-SA"/>
        </w:rPr>
        <w:t>人员的施工活动干</w:t>
      </w:r>
      <w:r>
        <w:rPr>
          <w:rFonts w:ascii="宋体" w:hAnsi="宋体" w:eastAsia="宋体" w:cs="宋体"/>
          <w:snapToGrid w:val="0"/>
          <w:color w:val="auto"/>
          <w:spacing w:val="-3"/>
          <w:kern w:val="0"/>
          <w:sz w:val="24"/>
          <w:szCs w:val="24"/>
          <w:lang w:val="en-US" w:eastAsia="en-US" w:bidi="ar-SA"/>
        </w:rPr>
        <w:t>扰将使得原先栖息在附近的大部分啮齿类和兽类迁移至周边区域，远离施工区范</w:t>
      </w:r>
      <w:r>
        <w:rPr>
          <w:rFonts w:ascii="宋体" w:hAnsi="宋体" w:eastAsia="宋体" w:cs="宋体"/>
          <w:snapToGrid w:val="0"/>
          <w:color w:val="auto"/>
          <w:spacing w:val="-6"/>
          <w:kern w:val="0"/>
          <w:sz w:val="24"/>
          <w:szCs w:val="24"/>
          <w:lang w:val="en-US" w:eastAsia="en-US" w:bidi="ar-SA"/>
        </w:rPr>
        <w:t>围。因此，不会对动物多样性产生影响，随着施工活动结束，</w:t>
      </w:r>
      <w:r>
        <w:rPr>
          <w:rFonts w:ascii="宋体" w:hAnsi="宋体" w:eastAsia="宋体" w:cs="宋体"/>
          <w:snapToGrid w:val="0"/>
          <w:color w:val="auto"/>
          <w:spacing w:val="-7"/>
          <w:kern w:val="0"/>
          <w:sz w:val="24"/>
          <w:szCs w:val="24"/>
          <w:lang w:val="en-US" w:eastAsia="en-US" w:bidi="ar-SA"/>
        </w:rPr>
        <w:t>植被恢复，人为干</w:t>
      </w:r>
      <w:r>
        <w:rPr>
          <w:rFonts w:ascii="宋体" w:hAnsi="宋体" w:eastAsia="宋体" w:cs="宋体"/>
          <w:snapToGrid w:val="0"/>
          <w:color w:val="auto"/>
          <w:spacing w:val="-2"/>
          <w:kern w:val="0"/>
          <w:sz w:val="24"/>
          <w:szCs w:val="24"/>
          <w:lang w:val="en-US" w:eastAsia="en-US" w:bidi="ar-SA"/>
        </w:rPr>
        <w:t>扰逐步消失，随着新的栖息环境构建，区域内动物会重新分布。</w:t>
      </w:r>
    </w:p>
    <w:p w14:paraId="0696AC5C">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snapToGrid w:val="0"/>
          <w:color w:val="auto"/>
          <w:sz w:val="24"/>
          <w:szCs w:val="24"/>
          <w:highlight w:val="none"/>
          <w:lang w:eastAsia="zh-CN"/>
        </w:rPr>
        <w:t>⑹</w:t>
      </w:r>
      <w:r>
        <w:rPr>
          <w:rFonts w:ascii="宋体" w:hAnsi="宋体" w:eastAsia="宋体" w:cs="宋体"/>
          <w:b/>
          <w:bCs/>
          <w:snapToGrid w:val="0"/>
          <w:color w:val="auto"/>
          <w:spacing w:val="-3"/>
          <w:kern w:val="0"/>
          <w:sz w:val="24"/>
          <w:szCs w:val="24"/>
          <w:lang w:val="en-US" w:eastAsia="en-US" w:bidi="ar-SA"/>
        </w:rPr>
        <w:t>本工程符合生态保护红线内有限人为活动的认定意见</w:t>
      </w:r>
    </w:p>
    <w:p w14:paraId="5F704643">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spacing w:val="-2"/>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2025年6月建设单位委托编制了《</w:t>
      </w:r>
      <w:r>
        <w:rPr>
          <w:rFonts w:hint="default" w:ascii="Times New Roman" w:hAnsi="Times New Roman" w:eastAsia="宋体" w:cs="Times New Roman"/>
          <w:snapToGrid w:val="0"/>
          <w:color w:val="auto"/>
          <w:spacing w:val="-2"/>
          <w:kern w:val="0"/>
          <w:sz w:val="24"/>
          <w:szCs w:val="24"/>
          <w:lang w:val="en-US" w:eastAsia="zh-CN" w:bidi="ar-SA"/>
        </w:rPr>
        <w:t>宁夏固原华电彭阳200兆瓦风电项目110千伏送出工程</w:t>
      </w:r>
      <w:r>
        <w:rPr>
          <w:rFonts w:hint="default" w:ascii="Times New Roman" w:hAnsi="Times New Roman" w:eastAsia="宋体" w:cs="Times New Roman"/>
          <w:snapToGrid w:val="0"/>
          <w:color w:val="auto"/>
          <w:spacing w:val="-2"/>
          <w:kern w:val="0"/>
          <w:sz w:val="24"/>
          <w:szCs w:val="24"/>
          <w:lang w:val="en-US" w:eastAsia="en-US" w:bidi="ar-SA"/>
        </w:rPr>
        <w:t>符合生态保护红线内允许有限人为活动论证报告》，202</w:t>
      </w:r>
      <w:r>
        <w:rPr>
          <w:rFonts w:hint="default" w:ascii="Times New Roman" w:hAnsi="Times New Roman" w:eastAsia="宋体" w:cs="Times New Roman"/>
          <w:snapToGrid w:val="0"/>
          <w:color w:val="auto"/>
          <w:spacing w:val="-2"/>
          <w:kern w:val="0"/>
          <w:sz w:val="24"/>
          <w:szCs w:val="24"/>
          <w:lang w:val="en-US" w:eastAsia="zh-CN" w:bidi="ar-SA"/>
        </w:rPr>
        <w:t>6</w:t>
      </w:r>
      <w:r>
        <w:rPr>
          <w:rFonts w:hint="default" w:ascii="Times New Roman" w:hAnsi="Times New Roman" w:eastAsia="宋体" w:cs="Times New Roman"/>
          <w:snapToGrid w:val="0"/>
          <w:color w:val="auto"/>
          <w:spacing w:val="-2"/>
          <w:kern w:val="0"/>
          <w:sz w:val="24"/>
          <w:szCs w:val="24"/>
          <w:lang w:val="en-US" w:eastAsia="en-US" w:bidi="ar-SA"/>
        </w:rPr>
        <w:t>年</w:t>
      </w:r>
      <w:r>
        <w:rPr>
          <w:rFonts w:hint="default" w:ascii="Times New Roman" w:hAnsi="Times New Roman" w:eastAsia="宋体" w:cs="Times New Roman"/>
          <w:snapToGrid w:val="0"/>
          <w:color w:val="auto"/>
          <w:spacing w:val="-2"/>
          <w:kern w:val="0"/>
          <w:sz w:val="24"/>
          <w:szCs w:val="24"/>
          <w:lang w:val="en-US" w:eastAsia="zh-CN" w:bidi="ar-SA"/>
        </w:rPr>
        <w:t>X</w:t>
      </w:r>
      <w:r>
        <w:rPr>
          <w:rFonts w:hint="default" w:ascii="Times New Roman" w:hAnsi="Times New Roman" w:eastAsia="宋体" w:cs="Times New Roman"/>
          <w:snapToGrid w:val="0"/>
          <w:color w:val="auto"/>
          <w:spacing w:val="-2"/>
          <w:kern w:val="0"/>
          <w:sz w:val="24"/>
          <w:szCs w:val="24"/>
          <w:lang w:val="en-US" w:eastAsia="en-US" w:bidi="ar-SA"/>
        </w:rPr>
        <w:t>月</w:t>
      </w:r>
      <w:r>
        <w:rPr>
          <w:rFonts w:hint="default" w:ascii="Times New Roman" w:hAnsi="Times New Roman" w:eastAsia="宋体" w:cs="Times New Roman"/>
          <w:snapToGrid w:val="0"/>
          <w:color w:val="auto"/>
          <w:spacing w:val="-2"/>
          <w:kern w:val="0"/>
          <w:sz w:val="24"/>
          <w:szCs w:val="24"/>
          <w:lang w:val="en-US" w:eastAsia="zh-CN" w:bidi="ar-SA"/>
        </w:rPr>
        <w:t>X</w:t>
      </w:r>
      <w:r>
        <w:rPr>
          <w:rFonts w:hint="default" w:ascii="Times New Roman" w:hAnsi="Times New Roman" w:eastAsia="宋体" w:cs="Times New Roman"/>
          <w:snapToGrid w:val="0"/>
          <w:color w:val="auto"/>
          <w:spacing w:val="-2"/>
          <w:kern w:val="0"/>
          <w:sz w:val="24"/>
          <w:szCs w:val="24"/>
          <w:lang w:val="en-US" w:eastAsia="en-US" w:bidi="ar-SA"/>
        </w:rPr>
        <w:t>日，固原市人民政府出具了《</w:t>
      </w:r>
      <w:r>
        <w:rPr>
          <w:rFonts w:hint="default" w:ascii="Times New Roman" w:hAnsi="Times New Roman" w:eastAsia="宋体" w:cs="Times New Roman"/>
          <w:snapToGrid w:val="0"/>
          <w:color w:val="auto"/>
          <w:spacing w:val="-2"/>
          <w:kern w:val="0"/>
          <w:sz w:val="24"/>
          <w:szCs w:val="24"/>
          <w:lang w:val="en-US" w:eastAsia="zh-CN" w:bidi="ar-SA"/>
        </w:rPr>
        <w:t>宁夏固原华电彭阳200兆瓦风电项目110千伏送出工程</w:t>
      </w:r>
      <w:r>
        <w:rPr>
          <w:rFonts w:hint="default" w:ascii="Times New Roman" w:hAnsi="Times New Roman" w:eastAsia="宋体" w:cs="Times New Roman"/>
          <w:snapToGrid w:val="0"/>
          <w:color w:val="auto"/>
          <w:spacing w:val="-2"/>
          <w:kern w:val="0"/>
          <w:sz w:val="24"/>
          <w:szCs w:val="24"/>
          <w:lang w:val="en-US" w:eastAsia="en-US" w:bidi="ar-SA"/>
        </w:rPr>
        <w:t>符合生态保护内允许有限人为活动的批复》，本项目符合生态保护红线内允许的有限人为活动。</w:t>
      </w:r>
    </w:p>
    <w:p w14:paraId="7732C280">
      <w:pPr>
        <w:widowControl/>
        <w:kinsoku w:val="0"/>
        <w:autoSpaceDE w:val="0"/>
        <w:autoSpaceDN w:val="0"/>
        <w:adjustRightInd w:val="0"/>
        <w:snapToGrid w:val="0"/>
        <w:spacing w:before="48" w:line="222" w:lineRule="auto"/>
        <w:ind w:left="22"/>
        <w:jc w:val="left"/>
        <w:textAlignment w:val="baseline"/>
        <w:rPr>
          <w:rFonts w:ascii="Times New Roman" w:hAnsi="Times New Roman" w:eastAsia="Times New Roman" w:cs="Times New Roman"/>
          <w:b/>
          <w:bCs/>
          <w:snapToGrid w:val="0"/>
          <w:color w:val="auto"/>
          <w:spacing w:val="-3"/>
          <w:kern w:val="0"/>
          <w:sz w:val="24"/>
          <w:szCs w:val="24"/>
          <w:lang w:eastAsia="en-US"/>
        </w:rPr>
        <w:sectPr>
          <w:footerReference r:id="rId26" w:type="default"/>
          <w:pgSz w:w="11906" w:h="16839"/>
          <w:pgMar w:top="1426" w:right="1695" w:bottom="1655" w:left="1785" w:header="0" w:footer="1493" w:gutter="0"/>
          <w:pgBorders>
            <w:top w:val="none" w:sz="0" w:space="0"/>
            <w:left w:val="none" w:sz="0" w:space="0"/>
            <w:bottom w:val="none" w:sz="0" w:space="0"/>
            <w:right w:val="none" w:sz="0" w:space="0"/>
          </w:pgBorders>
          <w:pgNumType w:fmt="decimal"/>
          <w:cols w:space="720" w:num="1"/>
        </w:sectPr>
      </w:pPr>
    </w:p>
    <w:p w14:paraId="1A8A5834">
      <w:pPr>
        <w:keepNext w:val="0"/>
        <w:keepLines w:val="0"/>
        <w:pageBreakBefore w:val="0"/>
        <w:widowControl/>
        <w:kinsoku w:val="0"/>
        <w:wordWrap/>
        <w:overflowPunct/>
        <w:topLinePunct w:val="0"/>
        <w:autoSpaceDE w:val="0"/>
        <w:autoSpaceDN w:val="0"/>
        <w:bidi w:val="0"/>
        <w:adjustRightInd w:val="0"/>
        <w:snapToGrid w:val="0"/>
        <w:spacing w:line="360" w:lineRule="auto"/>
        <w:ind w:left="0"/>
        <w:jc w:val="both"/>
        <w:textAlignment w:val="baseline"/>
        <w:outlineLvl w:val="0"/>
        <w:rPr>
          <w:rFonts w:hint="default" w:ascii="Times New Roman" w:hAnsi="Times New Roman" w:eastAsia="宋体" w:cs="Times New Roman"/>
          <w:b/>
          <w:bCs w:val="0"/>
          <w:color w:val="auto"/>
          <w:kern w:val="44"/>
          <w:sz w:val="28"/>
          <w:szCs w:val="28"/>
          <w:highlight w:val="none"/>
          <w:lang w:val="en-US" w:eastAsia="en-US" w:bidi="ar-SA"/>
        </w:rPr>
      </w:pPr>
      <w:bookmarkStart w:id="532" w:name="_Toc9779"/>
      <w:bookmarkStart w:id="533" w:name="_Toc21126"/>
      <w:r>
        <w:rPr>
          <w:rFonts w:hint="eastAsia" w:ascii="Times New Roman" w:hAnsi="Times New Roman" w:eastAsia="宋体" w:cs="Times New Roman"/>
          <w:b/>
          <w:bCs w:val="0"/>
          <w:color w:val="auto"/>
          <w:kern w:val="44"/>
          <w:sz w:val="28"/>
          <w:szCs w:val="28"/>
          <w:highlight w:val="none"/>
          <w:lang w:val="en-US" w:eastAsia="zh-CN" w:bidi="ar-SA"/>
        </w:rPr>
        <w:t>4</w:t>
      </w:r>
      <w:r>
        <w:rPr>
          <w:rFonts w:hint="default" w:ascii="Times New Roman" w:hAnsi="Times New Roman" w:eastAsia="宋体" w:cs="Times New Roman"/>
          <w:b/>
          <w:bCs w:val="0"/>
          <w:color w:val="auto"/>
          <w:kern w:val="44"/>
          <w:sz w:val="28"/>
          <w:szCs w:val="28"/>
          <w:highlight w:val="none"/>
          <w:lang w:val="en-US" w:eastAsia="en-US" w:bidi="ar-SA"/>
        </w:rPr>
        <w:t>生态保护对策措施</w:t>
      </w:r>
      <w:bookmarkEnd w:id="532"/>
      <w:bookmarkEnd w:id="533"/>
    </w:p>
    <w:p w14:paraId="7096534C">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snapToGrid w:val="0"/>
          <w:color w:val="auto"/>
          <w:kern w:val="0"/>
          <w:sz w:val="24"/>
          <w:szCs w:val="24"/>
          <w:lang w:val="en-US" w:eastAsia="en-US" w:bidi="ar-SA"/>
        </w:rPr>
      </w:pPr>
      <w:bookmarkStart w:id="534" w:name="_Toc6926"/>
      <w:bookmarkStart w:id="535" w:name="_Toc19210"/>
      <w:r>
        <w:rPr>
          <w:rFonts w:hint="eastAsia" w:ascii="Times New Roman" w:hAnsi="Times New Roman" w:eastAsia="宋体" w:cs="Times New Roman"/>
          <w:b/>
          <w:bCs/>
          <w:snapToGrid w:val="0"/>
          <w:color w:val="auto"/>
          <w:spacing w:val="0"/>
          <w:kern w:val="0"/>
          <w:sz w:val="24"/>
          <w:szCs w:val="24"/>
          <w:lang w:val="en-US" w:eastAsia="zh-CN" w:bidi="ar-SA"/>
        </w:rPr>
        <w:t>4</w:t>
      </w:r>
      <w:r>
        <w:rPr>
          <w:rFonts w:ascii="Times New Roman" w:hAnsi="Times New Roman" w:eastAsia="Times New Roman" w:cs="Times New Roman"/>
          <w:b/>
          <w:bCs/>
          <w:snapToGrid w:val="0"/>
          <w:color w:val="auto"/>
          <w:spacing w:val="0"/>
          <w:kern w:val="0"/>
          <w:sz w:val="24"/>
          <w:szCs w:val="24"/>
          <w:lang w:val="en-US" w:eastAsia="en-US" w:bidi="ar-SA"/>
        </w:rPr>
        <w:t>.1</w:t>
      </w:r>
      <w:r>
        <w:rPr>
          <w:rFonts w:ascii="宋体" w:hAnsi="宋体" w:eastAsia="宋体" w:cs="宋体"/>
          <w:b/>
          <w:bCs/>
          <w:snapToGrid w:val="0"/>
          <w:color w:val="auto"/>
          <w:spacing w:val="0"/>
          <w:kern w:val="0"/>
          <w:sz w:val="24"/>
          <w:szCs w:val="24"/>
          <w:lang w:val="en-US" w:eastAsia="en-US" w:bidi="ar-SA"/>
        </w:rPr>
        <w:t>生</w:t>
      </w:r>
      <w:r>
        <w:rPr>
          <w:rFonts w:hint="default" w:ascii="Times New Roman" w:hAnsi="Times New Roman" w:eastAsia="宋体" w:cs="Times New Roman"/>
          <w:b/>
          <w:bCs/>
          <w:snapToGrid w:val="0"/>
          <w:color w:val="auto"/>
          <w:spacing w:val="0"/>
          <w:kern w:val="0"/>
          <w:sz w:val="24"/>
          <w:szCs w:val="24"/>
          <w:lang w:val="en-US" w:eastAsia="en-US" w:bidi="ar-SA"/>
        </w:rPr>
        <w:t>态保护</w:t>
      </w:r>
      <w:r>
        <w:rPr>
          <w:rFonts w:hint="default" w:ascii="Times New Roman" w:hAnsi="Times New Roman" w:eastAsia="宋体" w:cs="Times New Roman"/>
          <w:b/>
          <w:bCs/>
          <w:snapToGrid w:val="0"/>
          <w:color w:val="auto"/>
          <w:spacing w:val="-17"/>
          <w:kern w:val="0"/>
          <w:sz w:val="24"/>
          <w:szCs w:val="24"/>
          <w:lang w:val="en-US" w:eastAsia="en-US" w:bidi="ar-SA"/>
        </w:rPr>
        <w:t>与恢复措施</w:t>
      </w:r>
      <w:bookmarkEnd w:id="534"/>
      <w:bookmarkEnd w:id="535"/>
    </w:p>
    <w:p w14:paraId="17279675">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b/>
          <w:bCs/>
          <w:color w:val="auto"/>
          <w:kern w:val="2"/>
          <w:sz w:val="24"/>
          <w:szCs w:val="24"/>
          <w:highlight w:val="none"/>
          <w:lang w:val="en-US" w:eastAsia="en-US" w:bidi="ar-SA"/>
        </w:rPr>
      </w:pPr>
      <w:r>
        <w:rPr>
          <w:rFonts w:hint="default"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en-US" w:bidi="ar-SA"/>
        </w:rPr>
        <w:t>.1.1生态影响的防护原则</w:t>
      </w:r>
    </w:p>
    <w:p w14:paraId="712D3976">
      <w:pPr>
        <w:keepNext w:val="0"/>
        <w:keepLines w:val="0"/>
        <w:pageBreakBefore w:val="0"/>
        <w:kinsoku w:val="0"/>
        <w:wordWrap/>
        <w:overflowPunct/>
        <w:topLinePunct w:val="0"/>
        <w:autoSpaceDE w:val="0"/>
        <w:autoSpaceDN w:val="0"/>
        <w:bidi w:val="0"/>
        <w:adjustRightInd w:val="0"/>
        <w:snapToGrid w:val="0"/>
        <w:spacing w:line="360" w:lineRule="auto"/>
        <w:ind w:left="0" w:right="0" w:firstLine="444"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9"/>
          <w:kern w:val="0"/>
          <w:sz w:val="24"/>
          <w:szCs w:val="24"/>
          <w:lang w:val="en-US" w:eastAsia="en-US" w:bidi="ar-SA"/>
        </w:rPr>
        <w:t>根据本项目的特点，结合《环境影响评价技术导则</w:t>
      </w:r>
      <w:r>
        <w:rPr>
          <w:rFonts w:hint="default" w:ascii="Times New Roman" w:hAnsi="Times New Roman" w:eastAsia="宋体" w:cs="Times New Roman"/>
          <w:snapToGrid w:val="0"/>
          <w:color w:val="auto"/>
          <w:spacing w:val="33"/>
          <w:kern w:val="0"/>
          <w:sz w:val="24"/>
          <w:szCs w:val="24"/>
          <w:lang w:val="en-US" w:eastAsia="en-US" w:bidi="ar-SA"/>
        </w:rPr>
        <w:t xml:space="preserve"> </w:t>
      </w:r>
      <w:r>
        <w:rPr>
          <w:rFonts w:hint="default" w:ascii="Times New Roman" w:hAnsi="Times New Roman" w:eastAsia="宋体" w:cs="Times New Roman"/>
          <w:snapToGrid w:val="0"/>
          <w:color w:val="auto"/>
          <w:spacing w:val="-9"/>
          <w:kern w:val="0"/>
          <w:sz w:val="24"/>
          <w:szCs w:val="24"/>
          <w:lang w:val="en-US" w:eastAsia="en-US" w:bidi="ar-SA"/>
        </w:rPr>
        <w:t>生态影响》（</w:t>
      </w:r>
      <w:r>
        <w:rPr>
          <w:rFonts w:hint="default" w:ascii="Times New Roman" w:hAnsi="Times New Roman" w:eastAsia="Times New Roman" w:cs="Times New Roman"/>
          <w:snapToGrid w:val="0"/>
          <w:color w:val="auto"/>
          <w:spacing w:val="-9"/>
          <w:kern w:val="0"/>
          <w:sz w:val="24"/>
          <w:szCs w:val="24"/>
          <w:lang w:val="en-US" w:eastAsia="en-US" w:bidi="ar-SA"/>
        </w:rPr>
        <w:t>HJ19</w:t>
      </w:r>
      <w:r>
        <w:rPr>
          <w:rFonts w:hint="default" w:ascii="Times New Roman" w:hAnsi="Times New Roman" w:eastAsia="Times New Roman" w:cs="Times New Roman"/>
          <w:snapToGrid w:val="0"/>
          <w:color w:val="auto"/>
          <w:spacing w:val="-10"/>
          <w:kern w:val="0"/>
          <w:sz w:val="24"/>
          <w:szCs w:val="24"/>
          <w:lang w:val="en-US" w:eastAsia="en-US" w:bidi="ar-SA"/>
        </w:rPr>
        <w:t>-2022</w:t>
      </w:r>
      <w:r>
        <w:rPr>
          <w:rFonts w:hint="default" w:ascii="Times New Roman" w:hAnsi="Times New Roman" w:eastAsia="宋体" w:cs="Times New Roman"/>
          <w:snapToGrid w:val="0"/>
          <w:color w:val="auto"/>
          <w:spacing w:val="-10"/>
          <w:kern w:val="0"/>
          <w:sz w:val="24"/>
          <w:szCs w:val="24"/>
          <w:lang w:val="en-US" w:eastAsia="en-US" w:bidi="ar-SA"/>
        </w:rPr>
        <w:t>）</w:t>
      </w:r>
      <w:r>
        <w:rPr>
          <w:rFonts w:hint="default" w:ascii="Times New Roman" w:hAnsi="Times New Roman" w:eastAsia="宋体" w:cs="Times New Roman"/>
          <w:snapToGrid w:val="0"/>
          <w:color w:val="auto"/>
          <w:spacing w:val="-5"/>
          <w:kern w:val="0"/>
          <w:sz w:val="24"/>
          <w:szCs w:val="24"/>
          <w:lang w:val="en-US" w:eastAsia="en-US" w:bidi="ar-SA"/>
        </w:rPr>
        <w:t>的规定，本项目生态影响的防护原则如下：</w:t>
      </w:r>
    </w:p>
    <w:p w14:paraId="403E0FC7">
      <w:pPr>
        <w:keepNext w:val="0"/>
        <w:keepLines w:val="0"/>
        <w:pageBreakBefore w:val="0"/>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4"/>
          <w:kern w:val="0"/>
          <w:sz w:val="24"/>
          <w:szCs w:val="24"/>
          <w:lang w:val="en-US" w:eastAsia="zh-CN" w:bidi="ar-SA"/>
        </w:rPr>
        <w:t>⑴</w:t>
      </w:r>
      <w:r>
        <w:rPr>
          <w:rFonts w:hint="default" w:ascii="Times New Roman" w:hAnsi="Times New Roman" w:eastAsia="宋体" w:cs="Times New Roman"/>
          <w:snapToGrid w:val="0"/>
          <w:color w:val="auto"/>
          <w:spacing w:val="-4"/>
          <w:kern w:val="0"/>
          <w:sz w:val="24"/>
          <w:szCs w:val="24"/>
          <w:lang w:val="en-US" w:eastAsia="en-US" w:bidi="ar-SA"/>
        </w:rPr>
        <w:t>自然资源损失的补偿原则：由于评价范围区域内</w:t>
      </w:r>
      <w:r>
        <w:rPr>
          <w:rFonts w:hint="default" w:ascii="Times New Roman" w:hAnsi="Times New Roman" w:eastAsia="宋体" w:cs="Times New Roman"/>
          <w:snapToGrid w:val="0"/>
          <w:color w:val="auto"/>
          <w:spacing w:val="-5"/>
          <w:kern w:val="0"/>
          <w:sz w:val="24"/>
          <w:szCs w:val="24"/>
          <w:lang w:val="en-US" w:eastAsia="en-US" w:bidi="ar-SA"/>
        </w:rPr>
        <w:t>自然资源（主要指乔、</w:t>
      </w:r>
      <w:r>
        <w:rPr>
          <w:rFonts w:hint="default" w:ascii="Times New Roman" w:hAnsi="Times New Roman" w:eastAsia="宋体" w:cs="Times New Roman"/>
          <w:snapToGrid w:val="0"/>
          <w:color w:val="auto"/>
          <w:spacing w:val="-6"/>
          <w:kern w:val="0"/>
          <w:sz w:val="24"/>
          <w:szCs w:val="24"/>
          <w:lang w:val="en-US" w:eastAsia="en-US" w:bidi="ar-SA"/>
        </w:rPr>
        <w:t>灌、草等植被资源和土壤资源） 会由于项目施工受到一定程度</w:t>
      </w:r>
      <w:r>
        <w:rPr>
          <w:rFonts w:hint="default" w:ascii="Times New Roman" w:hAnsi="Times New Roman" w:eastAsia="宋体" w:cs="Times New Roman"/>
          <w:snapToGrid w:val="0"/>
          <w:color w:val="auto"/>
          <w:spacing w:val="-7"/>
          <w:kern w:val="0"/>
          <w:sz w:val="24"/>
          <w:szCs w:val="24"/>
          <w:lang w:val="en-US" w:eastAsia="en-US" w:bidi="ar-SA"/>
        </w:rPr>
        <w:t>的耗损，属于景观</w:t>
      </w:r>
      <w:r>
        <w:rPr>
          <w:rFonts w:hint="default" w:ascii="Times New Roman" w:hAnsi="Times New Roman" w:eastAsia="宋体" w:cs="Times New Roman"/>
          <w:snapToGrid w:val="0"/>
          <w:color w:val="auto"/>
          <w:spacing w:val="-3"/>
          <w:kern w:val="0"/>
          <w:sz w:val="24"/>
          <w:szCs w:val="24"/>
          <w:lang w:val="en-US" w:eastAsia="en-US" w:bidi="ar-SA"/>
        </w:rPr>
        <w:t>组分中的环境资源部分，具备一定的环境效益和社会效益，需执行自然资源损失</w:t>
      </w:r>
      <w:r>
        <w:rPr>
          <w:rFonts w:hint="default" w:ascii="Times New Roman" w:hAnsi="Times New Roman" w:eastAsia="宋体" w:cs="Times New Roman"/>
          <w:snapToGrid w:val="0"/>
          <w:color w:val="auto"/>
          <w:spacing w:val="-11"/>
          <w:kern w:val="0"/>
          <w:sz w:val="24"/>
          <w:szCs w:val="24"/>
          <w:lang w:val="en-US" w:eastAsia="en-US" w:bidi="ar-SA"/>
        </w:rPr>
        <w:t>补偿原则；</w:t>
      </w:r>
    </w:p>
    <w:p w14:paraId="2E05C4D1">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kern w:val="0"/>
          <w:sz w:val="24"/>
          <w:szCs w:val="24"/>
          <w:lang w:val="en-US" w:eastAsia="zh-CN" w:bidi="ar-SA"/>
        </w:rPr>
        <w:t>⑵</w:t>
      </w:r>
      <w:r>
        <w:rPr>
          <w:rFonts w:hint="default" w:ascii="Times New Roman" w:hAnsi="Times New Roman" w:eastAsia="宋体" w:cs="Times New Roman"/>
          <w:snapToGrid w:val="0"/>
          <w:color w:val="auto"/>
          <w:kern w:val="0"/>
          <w:sz w:val="24"/>
          <w:szCs w:val="24"/>
          <w:lang w:val="en-US" w:eastAsia="en-US" w:bidi="ar-SA"/>
        </w:rPr>
        <w:t>区域自然系统中受损区域恢复原则：项目实施后，使局部区域用地格</w:t>
      </w:r>
      <w:r>
        <w:rPr>
          <w:rFonts w:hint="default" w:ascii="Times New Roman" w:hAnsi="Times New Roman" w:eastAsia="宋体" w:cs="Times New Roman"/>
          <w:snapToGrid w:val="0"/>
          <w:color w:val="auto"/>
          <w:spacing w:val="-3"/>
          <w:kern w:val="0"/>
          <w:sz w:val="24"/>
          <w:szCs w:val="24"/>
          <w:lang w:val="en-US" w:eastAsia="en-US" w:bidi="ar-SA"/>
        </w:rPr>
        <w:t>局发生改变，影响了原有自然系统的功能，同时，还会引起水蚀，因此应采取措</w:t>
      </w:r>
      <w:r>
        <w:rPr>
          <w:rFonts w:hint="default" w:ascii="Times New Roman" w:hAnsi="Times New Roman" w:eastAsia="宋体" w:cs="Times New Roman"/>
          <w:snapToGrid w:val="0"/>
          <w:color w:val="auto"/>
          <w:spacing w:val="-6"/>
          <w:kern w:val="0"/>
          <w:sz w:val="24"/>
          <w:szCs w:val="24"/>
          <w:lang w:val="en-US" w:eastAsia="en-US" w:bidi="ar-SA"/>
        </w:rPr>
        <w:t>施减少该生态功能损失；</w:t>
      </w:r>
    </w:p>
    <w:p w14:paraId="4EA5B94C">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kern w:val="0"/>
          <w:sz w:val="24"/>
          <w:szCs w:val="24"/>
          <w:lang w:val="en-US" w:eastAsia="zh-CN" w:bidi="ar-SA"/>
        </w:rPr>
        <w:t>⑶</w:t>
      </w:r>
      <w:r>
        <w:rPr>
          <w:rFonts w:hint="default" w:ascii="Times New Roman" w:hAnsi="Times New Roman" w:eastAsia="宋体" w:cs="Times New Roman"/>
          <w:snapToGrid w:val="0"/>
          <w:color w:val="auto"/>
          <w:kern w:val="0"/>
          <w:sz w:val="24"/>
          <w:szCs w:val="24"/>
          <w:lang w:val="en-US" w:eastAsia="en-US" w:bidi="ar-SA"/>
        </w:rPr>
        <w:t>凡涉及到敏感地区等类生态因子发生不可逆影响时必须提出可靠</w:t>
      </w:r>
      <w:r>
        <w:rPr>
          <w:rFonts w:hint="default" w:ascii="Times New Roman" w:hAnsi="Times New Roman" w:eastAsia="宋体" w:cs="Times New Roman"/>
          <w:snapToGrid w:val="0"/>
          <w:color w:val="auto"/>
          <w:spacing w:val="-1"/>
          <w:kern w:val="0"/>
          <w:sz w:val="24"/>
          <w:szCs w:val="24"/>
          <w:lang w:val="en-US" w:eastAsia="en-US" w:bidi="ar-SA"/>
        </w:rPr>
        <w:t>的保</w:t>
      </w:r>
      <w:r>
        <w:rPr>
          <w:rFonts w:hint="default" w:ascii="Times New Roman" w:hAnsi="Times New Roman" w:eastAsia="宋体" w:cs="Times New Roman"/>
          <w:snapToGrid w:val="0"/>
          <w:color w:val="auto"/>
          <w:spacing w:val="-3"/>
          <w:kern w:val="0"/>
          <w:sz w:val="24"/>
          <w:szCs w:val="24"/>
          <w:lang w:val="en-US" w:eastAsia="en-US" w:bidi="ar-SA"/>
        </w:rPr>
        <w:t>护措施、制定补偿措施和方案加以保护。</w:t>
      </w:r>
    </w:p>
    <w:p w14:paraId="10C326FD">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2"/>
          <w:kern w:val="0"/>
          <w:sz w:val="24"/>
          <w:szCs w:val="24"/>
          <w:lang w:val="en-US" w:eastAsia="zh-CN" w:bidi="ar-SA"/>
        </w:rPr>
        <w:t>4</w:t>
      </w:r>
      <w:r>
        <w:rPr>
          <w:rFonts w:hint="default" w:ascii="Times New Roman" w:hAnsi="Times New Roman" w:eastAsia="Times New Roman" w:cs="Times New Roman"/>
          <w:b/>
          <w:bCs/>
          <w:snapToGrid w:val="0"/>
          <w:color w:val="auto"/>
          <w:spacing w:val="-2"/>
          <w:kern w:val="0"/>
          <w:sz w:val="24"/>
          <w:szCs w:val="24"/>
          <w:lang w:val="en-US" w:eastAsia="en-US" w:bidi="ar-SA"/>
        </w:rPr>
        <w:t>.1.2</w:t>
      </w:r>
      <w:r>
        <w:rPr>
          <w:rFonts w:hint="default" w:ascii="Times New Roman" w:hAnsi="Times New Roman" w:eastAsia="宋体" w:cs="Times New Roman"/>
          <w:b/>
          <w:bCs/>
          <w:snapToGrid w:val="0"/>
          <w:color w:val="auto"/>
          <w:spacing w:val="-2"/>
          <w:kern w:val="0"/>
          <w:sz w:val="24"/>
          <w:szCs w:val="24"/>
          <w:lang w:val="en-US" w:eastAsia="en-US" w:bidi="ar-SA"/>
        </w:rPr>
        <w:t>生态影响的保护措施</w:t>
      </w:r>
    </w:p>
    <w:p w14:paraId="3A4CB7BF">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3"/>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2"/>
          <w:kern w:val="0"/>
          <w:sz w:val="24"/>
          <w:szCs w:val="24"/>
          <w:lang w:val="en-US" w:eastAsia="zh-CN" w:bidi="ar-SA"/>
        </w:rPr>
        <w:t>4</w:t>
      </w:r>
      <w:r>
        <w:rPr>
          <w:rFonts w:hint="default" w:ascii="Times New Roman" w:hAnsi="Times New Roman" w:eastAsia="Times New Roman" w:cs="Times New Roman"/>
          <w:b/>
          <w:bCs/>
          <w:snapToGrid w:val="0"/>
          <w:color w:val="auto"/>
          <w:spacing w:val="-2"/>
          <w:kern w:val="0"/>
          <w:sz w:val="24"/>
          <w:szCs w:val="24"/>
          <w:lang w:val="en-US" w:eastAsia="en-US" w:bidi="ar-SA"/>
        </w:rPr>
        <w:t>.1.2.1</w:t>
      </w:r>
      <w:r>
        <w:rPr>
          <w:rFonts w:hint="default" w:ascii="Times New Roman" w:hAnsi="Times New Roman" w:eastAsia="宋体" w:cs="Times New Roman"/>
          <w:b/>
          <w:bCs/>
          <w:snapToGrid w:val="0"/>
          <w:color w:val="auto"/>
          <w:spacing w:val="-2"/>
          <w:kern w:val="0"/>
          <w:sz w:val="24"/>
          <w:szCs w:val="24"/>
          <w:lang w:val="en-US" w:eastAsia="en-US" w:bidi="ar-SA"/>
        </w:rPr>
        <w:t>设计阶段生态影响防护措施</w:t>
      </w:r>
    </w:p>
    <w:p w14:paraId="50F21B18">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kern w:val="0"/>
          <w:sz w:val="24"/>
          <w:szCs w:val="24"/>
          <w:lang w:val="en-US" w:eastAsia="zh-CN" w:bidi="ar-SA"/>
        </w:rPr>
        <w:t>⑴</w:t>
      </w:r>
      <w:r>
        <w:rPr>
          <w:rFonts w:hint="default" w:ascii="Times New Roman" w:hAnsi="Times New Roman" w:eastAsia="宋体" w:cs="Times New Roman"/>
          <w:snapToGrid w:val="0"/>
          <w:color w:val="auto"/>
          <w:kern w:val="0"/>
          <w:sz w:val="24"/>
          <w:szCs w:val="24"/>
          <w:lang w:val="en-US" w:eastAsia="en-US" w:bidi="ar-SA"/>
        </w:rPr>
        <w:t>路径选择时应尽量避让生态敏感区域，充分</w:t>
      </w:r>
      <w:r>
        <w:rPr>
          <w:rFonts w:hint="default" w:ascii="Times New Roman" w:hAnsi="Times New Roman" w:eastAsia="宋体" w:cs="Times New Roman"/>
          <w:snapToGrid w:val="0"/>
          <w:color w:val="auto"/>
          <w:spacing w:val="-1"/>
          <w:kern w:val="0"/>
          <w:sz w:val="24"/>
          <w:szCs w:val="24"/>
          <w:lang w:val="en-US" w:eastAsia="en-US" w:bidi="ar-SA"/>
        </w:rPr>
        <w:t>征求沿线属地政府及规划</w:t>
      </w:r>
      <w:r>
        <w:rPr>
          <w:rFonts w:hint="default" w:ascii="Times New Roman" w:hAnsi="Times New Roman" w:eastAsia="宋体" w:cs="Times New Roman"/>
          <w:snapToGrid w:val="0"/>
          <w:color w:val="auto"/>
          <w:spacing w:val="-2"/>
          <w:kern w:val="0"/>
          <w:sz w:val="24"/>
          <w:szCs w:val="24"/>
          <w:lang w:val="en-US" w:eastAsia="en-US" w:bidi="ar-SA"/>
        </w:rPr>
        <w:t>等相关职能部门的意见，优化路径，减少对沿线生态敏感区的影响。</w:t>
      </w:r>
    </w:p>
    <w:p w14:paraId="28F4079E">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3"/>
          <w:kern w:val="0"/>
          <w:sz w:val="24"/>
          <w:szCs w:val="24"/>
          <w:lang w:val="en-US" w:eastAsia="zh-CN" w:bidi="ar-SA"/>
        </w:rPr>
        <w:t>⑵</w:t>
      </w:r>
      <w:r>
        <w:rPr>
          <w:rFonts w:hint="default" w:ascii="Times New Roman" w:hAnsi="Times New Roman" w:eastAsia="宋体" w:cs="Times New Roman"/>
          <w:snapToGrid w:val="0"/>
          <w:color w:val="auto"/>
          <w:spacing w:val="-3"/>
          <w:kern w:val="0"/>
          <w:sz w:val="24"/>
          <w:szCs w:val="24"/>
          <w:lang w:val="en-US" w:eastAsia="en-US" w:bidi="ar-SA"/>
        </w:rPr>
        <w:t>输电线路应因地制宜合理选择塔基基础。</w:t>
      </w:r>
    </w:p>
    <w:p w14:paraId="07B1DF30">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2"/>
          <w:kern w:val="0"/>
          <w:sz w:val="24"/>
          <w:szCs w:val="24"/>
          <w:lang w:val="en-US" w:eastAsia="zh-CN" w:bidi="ar-SA"/>
        </w:rPr>
        <w:t>⑶</w:t>
      </w:r>
      <w:r>
        <w:rPr>
          <w:rFonts w:hint="default" w:ascii="Times New Roman" w:hAnsi="Times New Roman" w:eastAsia="宋体" w:cs="Times New Roman"/>
          <w:snapToGrid w:val="0"/>
          <w:color w:val="auto"/>
          <w:spacing w:val="-2"/>
          <w:kern w:val="0"/>
          <w:sz w:val="24"/>
          <w:szCs w:val="24"/>
          <w:lang w:val="en-US" w:eastAsia="en-US" w:bidi="ar-SA"/>
        </w:rPr>
        <w:t>线路工程施工建设临时占地，应因地制宜进行土地植被恢复设计。</w:t>
      </w:r>
    </w:p>
    <w:p w14:paraId="7A61ADDF">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⑷</w:t>
      </w:r>
      <w:r>
        <w:rPr>
          <w:rFonts w:hint="default" w:ascii="Times New Roman" w:hAnsi="Times New Roman" w:eastAsia="宋体" w:cs="Times New Roman"/>
          <w:snapToGrid w:val="0"/>
          <w:color w:val="auto"/>
          <w:spacing w:val="-1"/>
          <w:kern w:val="0"/>
          <w:sz w:val="24"/>
          <w:szCs w:val="24"/>
          <w:lang w:val="en-US" w:eastAsia="en-US" w:bidi="ar-SA"/>
        </w:rPr>
        <w:t>线路设计尽量减少对集中林区的土地占用，线路通过灌木林地时，采</w:t>
      </w:r>
      <w:r>
        <w:rPr>
          <w:rFonts w:hint="default" w:ascii="Times New Roman" w:hAnsi="Times New Roman" w:eastAsia="宋体" w:cs="Times New Roman"/>
          <w:snapToGrid w:val="0"/>
          <w:color w:val="auto"/>
          <w:spacing w:val="-2"/>
          <w:kern w:val="0"/>
          <w:sz w:val="24"/>
          <w:szCs w:val="24"/>
          <w:lang w:val="en-US" w:eastAsia="en-US" w:bidi="ar-SA"/>
        </w:rPr>
        <w:t>用跨越方式通过，线路走廊下不涉及林木的砍伐。</w:t>
      </w:r>
    </w:p>
    <w:p w14:paraId="003013A2">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⑸</w:t>
      </w:r>
      <w:r>
        <w:rPr>
          <w:rFonts w:hint="default" w:ascii="Times New Roman" w:hAnsi="Times New Roman" w:eastAsia="宋体" w:cs="Times New Roman"/>
          <w:snapToGrid w:val="0"/>
          <w:color w:val="auto"/>
          <w:spacing w:val="-1"/>
          <w:kern w:val="0"/>
          <w:sz w:val="24"/>
          <w:szCs w:val="24"/>
          <w:lang w:val="en-US" w:eastAsia="en-US" w:bidi="ar-SA"/>
        </w:rPr>
        <w:t>对塔基四腿之间区域进行植被恢复设计，杆塔施工作业面区域进行全</w:t>
      </w:r>
      <w:r>
        <w:rPr>
          <w:rFonts w:hint="default" w:ascii="Times New Roman" w:hAnsi="Times New Roman" w:eastAsia="宋体" w:cs="Times New Roman"/>
          <w:snapToGrid w:val="0"/>
          <w:color w:val="auto"/>
          <w:spacing w:val="-2"/>
          <w:kern w:val="0"/>
          <w:sz w:val="24"/>
          <w:szCs w:val="24"/>
          <w:lang w:val="en-US" w:eastAsia="en-US" w:bidi="ar-SA"/>
        </w:rPr>
        <w:t>面恢复。设计应选择适宜的乡土树种及草灌结合。</w:t>
      </w:r>
    </w:p>
    <w:p w14:paraId="51A6AC65">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⑹</w:t>
      </w:r>
      <w:r>
        <w:rPr>
          <w:rFonts w:hint="default" w:ascii="Times New Roman" w:hAnsi="Times New Roman" w:eastAsia="宋体" w:cs="Times New Roman"/>
          <w:snapToGrid w:val="0"/>
          <w:color w:val="auto"/>
          <w:spacing w:val="-1"/>
          <w:kern w:val="0"/>
          <w:sz w:val="24"/>
          <w:szCs w:val="24"/>
          <w:lang w:val="en-US" w:eastAsia="en-US" w:bidi="ar-SA"/>
        </w:rPr>
        <w:t>施工方案应对施工场地进行合理设计，并充分利用周边已有道路作为项目的施工道路，特别是在生态敏感区范围内</w:t>
      </w:r>
      <w:r>
        <w:rPr>
          <w:rFonts w:hint="default" w:ascii="Times New Roman" w:hAnsi="Times New Roman" w:eastAsia="宋体" w:cs="Times New Roman"/>
          <w:snapToGrid w:val="0"/>
          <w:color w:val="auto"/>
          <w:spacing w:val="-2"/>
          <w:kern w:val="0"/>
          <w:sz w:val="24"/>
          <w:szCs w:val="24"/>
          <w:lang w:val="en-US" w:eastAsia="en-US" w:bidi="ar-SA"/>
        </w:rPr>
        <w:t>，减少施工期临时道路的占用。</w:t>
      </w:r>
    </w:p>
    <w:p w14:paraId="690BE8E8">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⑺</w:t>
      </w:r>
      <w:r>
        <w:rPr>
          <w:rFonts w:hint="default" w:ascii="Times New Roman" w:hAnsi="Times New Roman" w:eastAsia="宋体" w:cs="Times New Roman"/>
          <w:snapToGrid w:val="0"/>
          <w:color w:val="auto"/>
          <w:spacing w:val="-1"/>
          <w:kern w:val="0"/>
          <w:sz w:val="24"/>
          <w:szCs w:val="24"/>
          <w:lang w:val="en-US" w:eastAsia="en-US" w:bidi="ar-SA"/>
        </w:rPr>
        <w:t>优化线路塔基施工作业区、临时道路等临时占地布局及面积，减少在</w:t>
      </w:r>
      <w:r>
        <w:rPr>
          <w:rFonts w:hint="default" w:ascii="Times New Roman" w:hAnsi="Times New Roman" w:eastAsia="宋体" w:cs="Times New Roman"/>
          <w:snapToGrid w:val="0"/>
          <w:color w:val="auto"/>
          <w:spacing w:val="-3"/>
          <w:kern w:val="0"/>
          <w:sz w:val="24"/>
          <w:szCs w:val="24"/>
          <w:lang w:val="en-US" w:eastAsia="en-US" w:bidi="ar-SA"/>
        </w:rPr>
        <w:t>生态保护红线内布设牵张场的数量。</w:t>
      </w:r>
    </w:p>
    <w:p w14:paraId="084B9574">
      <w:pPr>
        <w:keepNext w:val="0"/>
        <w:keepLines w:val="0"/>
        <w:pageBreakBefore w:val="0"/>
        <w:wordWrap/>
        <w:overflowPunct/>
        <w:topLinePunct w:val="0"/>
        <w:bidi w:val="0"/>
        <w:adjustRightInd w:val="0"/>
        <w:snapToGrid w:val="0"/>
        <w:spacing w:line="360" w:lineRule="auto"/>
        <w:ind w:left="0" w:right="0" w:firstLine="420" w:firstLineChars="200"/>
        <w:jc w:val="both"/>
        <w:rPr>
          <w:rFonts w:hint="default" w:ascii="Times New Roman" w:hAnsi="Times New Roman" w:cs="Times New Roman"/>
          <w:color w:val="auto"/>
        </w:rPr>
        <w:sectPr>
          <w:pgSz w:w="11906" w:h="16839"/>
          <w:pgMar w:top="1426" w:right="1695" w:bottom="1655" w:left="1785" w:header="0" w:footer="1493" w:gutter="0"/>
          <w:pgBorders>
            <w:top w:val="none" w:sz="0" w:space="0"/>
            <w:left w:val="none" w:sz="0" w:space="0"/>
            <w:bottom w:val="none" w:sz="0" w:space="0"/>
            <w:right w:val="none" w:sz="0" w:space="0"/>
          </w:pgBorders>
          <w:pgNumType w:fmt="decimal"/>
          <w:cols w:space="720" w:num="1"/>
        </w:sectPr>
      </w:pPr>
    </w:p>
    <w:p w14:paraId="76DCAB44">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cs="Times New Roman"/>
          <w:snapToGrid w:val="0"/>
          <w:color w:val="auto"/>
          <w:sz w:val="24"/>
          <w:szCs w:val="32"/>
          <w:highlight w:val="none"/>
          <w:lang w:eastAsia="zh-CN"/>
        </w:rPr>
        <w:t>⑻</w:t>
      </w:r>
      <w:r>
        <w:rPr>
          <w:rFonts w:hint="default" w:ascii="Times New Roman" w:hAnsi="Times New Roman" w:eastAsia="宋体" w:cs="Times New Roman"/>
          <w:snapToGrid w:val="0"/>
          <w:color w:val="auto"/>
          <w:spacing w:val="-1"/>
          <w:kern w:val="0"/>
          <w:sz w:val="24"/>
          <w:szCs w:val="24"/>
          <w:lang w:val="en-US" w:eastAsia="en-US" w:bidi="ar-SA"/>
        </w:rPr>
        <w:t>线路选址的原则为综合考虑施工便利性和运行维护方便性，即尽量靠</w:t>
      </w:r>
      <w:r>
        <w:rPr>
          <w:rFonts w:hint="default" w:ascii="Times New Roman" w:hAnsi="Times New Roman" w:eastAsia="宋体" w:cs="Times New Roman"/>
          <w:snapToGrid w:val="0"/>
          <w:color w:val="auto"/>
          <w:spacing w:val="-3"/>
          <w:kern w:val="0"/>
          <w:sz w:val="24"/>
          <w:szCs w:val="24"/>
          <w:lang w:val="en-US" w:eastAsia="en-US" w:bidi="ar-SA"/>
        </w:rPr>
        <w:t>近现有交通道路，而根据现场调查显示，位于交通道路附近的植被由于受到较多</w:t>
      </w:r>
      <w:r>
        <w:rPr>
          <w:rFonts w:hint="default" w:ascii="Times New Roman" w:hAnsi="Times New Roman" w:eastAsia="宋体" w:cs="Times New Roman"/>
          <w:snapToGrid w:val="0"/>
          <w:color w:val="auto"/>
          <w:spacing w:val="-2"/>
          <w:kern w:val="0"/>
          <w:sz w:val="24"/>
          <w:szCs w:val="24"/>
          <w:lang w:val="en-US" w:eastAsia="en-US" w:bidi="ar-SA"/>
        </w:rPr>
        <w:t>的人为干扰，因此，项目在选线阶段尽量采用现有道路。</w:t>
      </w:r>
    </w:p>
    <w:p w14:paraId="2F460E75">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3"/>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3"/>
          <w:kern w:val="0"/>
          <w:sz w:val="24"/>
          <w:szCs w:val="24"/>
          <w:lang w:val="en-US" w:eastAsia="zh-CN" w:bidi="ar-SA"/>
        </w:rPr>
        <w:t>4</w:t>
      </w:r>
      <w:r>
        <w:rPr>
          <w:rFonts w:hint="default" w:ascii="Times New Roman" w:hAnsi="Times New Roman" w:eastAsia="Cambria" w:cs="Times New Roman"/>
          <w:b/>
          <w:bCs/>
          <w:snapToGrid w:val="0"/>
          <w:color w:val="auto"/>
          <w:spacing w:val="-3"/>
          <w:kern w:val="0"/>
          <w:sz w:val="24"/>
          <w:szCs w:val="24"/>
          <w:lang w:val="en-US" w:eastAsia="en-US" w:bidi="ar-SA"/>
        </w:rPr>
        <w:t>.1.2.2</w:t>
      </w:r>
      <w:r>
        <w:rPr>
          <w:rFonts w:hint="default" w:ascii="Times New Roman" w:hAnsi="Times New Roman" w:eastAsia="宋体" w:cs="Times New Roman"/>
          <w:b/>
          <w:bCs/>
          <w:snapToGrid w:val="0"/>
          <w:color w:val="auto"/>
          <w:spacing w:val="-3"/>
          <w:kern w:val="0"/>
          <w:sz w:val="24"/>
          <w:szCs w:val="24"/>
          <w:lang w:val="en-US" w:eastAsia="en-US" w:bidi="ar-SA"/>
        </w:rPr>
        <w:t>施工阶段生态影响防护措施</w:t>
      </w:r>
    </w:p>
    <w:p w14:paraId="5E0B1EED">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⑴</w:t>
      </w:r>
      <w:r>
        <w:rPr>
          <w:rFonts w:hint="default" w:ascii="Times New Roman" w:hAnsi="Times New Roman" w:eastAsia="宋体" w:cs="Times New Roman"/>
          <w:snapToGrid w:val="0"/>
          <w:color w:val="auto"/>
          <w:spacing w:val="-1"/>
          <w:kern w:val="0"/>
          <w:sz w:val="24"/>
          <w:szCs w:val="24"/>
          <w:lang w:val="en-US" w:eastAsia="en-US" w:bidi="ar-SA"/>
        </w:rPr>
        <w:t>合理组织施工，减少临时占地面积；开挖面及时平整，临时堆土采取</w:t>
      </w:r>
      <w:r>
        <w:rPr>
          <w:rFonts w:hint="default" w:ascii="Times New Roman" w:hAnsi="Times New Roman" w:eastAsia="宋体" w:cs="Times New Roman"/>
          <w:snapToGrid w:val="0"/>
          <w:color w:val="auto"/>
          <w:spacing w:val="-2"/>
          <w:kern w:val="0"/>
          <w:sz w:val="24"/>
          <w:szCs w:val="24"/>
          <w:lang w:val="en-US" w:eastAsia="en-US" w:bidi="ar-SA"/>
        </w:rPr>
        <w:t>拦挡、防护、苫盖等措施；施工完成后对施工扰动区域进行恢复。</w:t>
      </w:r>
    </w:p>
    <w:p w14:paraId="5717B8C2">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⑵</w:t>
      </w:r>
      <w:r>
        <w:rPr>
          <w:rFonts w:hint="default" w:ascii="Times New Roman" w:hAnsi="Times New Roman" w:eastAsia="宋体" w:cs="Times New Roman"/>
          <w:snapToGrid w:val="0"/>
          <w:color w:val="auto"/>
          <w:spacing w:val="-1"/>
          <w:kern w:val="0"/>
          <w:sz w:val="24"/>
          <w:szCs w:val="24"/>
          <w:lang w:val="en-US" w:eastAsia="en-US" w:bidi="ar-SA"/>
        </w:rPr>
        <w:t>尽量避免野生动物活跃时段施工，禁止捕捉、猎杀野生动物，施工废</w:t>
      </w:r>
      <w:r>
        <w:rPr>
          <w:rFonts w:hint="default" w:ascii="Times New Roman" w:hAnsi="Times New Roman" w:eastAsia="宋体" w:cs="Times New Roman"/>
          <w:snapToGrid w:val="0"/>
          <w:color w:val="auto"/>
          <w:spacing w:val="-5"/>
          <w:kern w:val="0"/>
          <w:sz w:val="24"/>
          <w:szCs w:val="24"/>
          <w:lang w:val="en-US" w:eastAsia="en-US" w:bidi="ar-SA"/>
        </w:rPr>
        <w:t>水禁止排入环境水体。</w:t>
      </w:r>
    </w:p>
    <w:p w14:paraId="1BA6B7BF">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2"/>
          <w:kern w:val="0"/>
          <w:sz w:val="24"/>
          <w:szCs w:val="24"/>
          <w:lang w:val="en-US" w:eastAsia="zh-CN" w:bidi="ar-SA"/>
        </w:rPr>
        <w:t>⑶</w:t>
      </w:r>
      <w:r>
        <w:rPr>
          <w:rFonts w:hint="default" w:ascii="Times New Roman" w:hAnsi="Times New Roman" w:eastAsia="宋体" w:cs="Times New Roman"/>
          <w:snapToGrid w:val="0"/>
          <w:color w:val="auto"/>
          <w:spacing w:val="-2"/>
          <w:kern w:val="0"/>
          <w:sz w:val="24"/>
          <w:szCs w:val="24"/>
          <w:lang w:val="en-US" w:eastAsia="en-US" w:bidi="ar-SA"/>
        </w:rPr>
        <w:t>尽量减少土地占用，做好施工阶段水土保持措施。</w:t>
      </w:r>
    </w:p>
    <w:p w14:paraId="65BEE868">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⑷</w:t>
      </w:r>
      <w:r>
        <w:rPr>
          <w:rFonts w:hint="default" w:ascii="Times New Roman" w:hAnsi="Times New Roman" w:eastAsia="宋体" w:cs="Times New Roman"/>
          <w:snapToGrid w:val="0"/>
          <w:color w:val="auto"/>
          <w:spacing w:val="-1"/>
          <w:kern w:val="0"/>
          <w:sz w:val="24"/>
          <w:szCs w:val="24"/>
          <w:lang w:val="en-US" w:eastAsia="en-US" w:bidi="ar-SA"/>
        </w:rPr>
        <w:t>挂线时用张力机和牵引机紧、放输电线路，以减少树木的砍伐和植被</w:t>
      </w:r>
      <w:r>
        <w:rPr>
          <w:rFonts w:hint="default" w:ascii="Times New Roman" w:hAnsi="Times New Roman" w:eastAsia="宋体" w:cs="Times New Roman"/>
          <w:snapToGrid w:val="0"/>
          <w:color w:val="auto"/>
          <w:spacing w:val="-12"/>
          <w:kern w:val="0"/>
          <w:sz w:val="24"/>
          <w:szCs w:val="24"/>
          <w:lang w:val="en-US" w:eastAsia="en-US" w:bidi="ar-SA"/>
        </w:rPr>
        <w:t>的破坏。</w:t>
      </w:r>
    </w:p>
    <w:p w14:paraId="244D6F1F">
      <w:pPr>
        <w:keepNext w:val="0"/>
        <w:keepLines w:val="0"/>
        <w:pageBreakBefore w:val="0"/>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4"/>
          <w:kern w:val="0"/>
          <w:sz w:val="24"/>
          <w:szCs w:val="24"/>
          <w:lang w:val="en-US" w:eastAsia="zh-CN" w:bidi="ar-SA"/>
        </w:rPr>
        <w:t>⑸</w:t>
      </w:r>
      <w:r>
        <w:rPr>
          <w:rFonts w:hint="default" w:ascii="Times New Roman" w:hAnsi="Times New Roman" w:eastAsia="宋体" w:cs="Times New Roman"/>
          <w:snapToGrid w:val="0"/>
          <w:color w:val="auto"/>
          <w:spacing w:val="-4"/>
          <w:kern w:val="0"/>
          <w:sz w:val="24"/>
          <w:szCs w:val="24"/>
          <w:lang w:val="en-US" w:eastAsia="en-US" w:bidi="ar-SA"/>
        </w:rPr>
        <w:t>针对不同施工活动的生态保护措施如下：</w:t>
      </w:r>
    </w:p>
    <w:p w14:paraId="0C363293">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①塔基施工场地：施工前对建筑物压占区域进行表土剥离，表土集</w:t>
      </w:r>
      <w:r>
        <w:rPr>
          <w:rFonts w:hint="default" w:ascii="Times New Roman" w:hAnsi="Times New Roman" w:eastAsia="宋体" w:cs="Times New Roman"/>
          <w:snapToGrid w:val="0"/>
          <w:color w:val="auto"/>
          <w:spacing w:val="-4"/>
          <w:kern w:val="0"/>
          <w:sz w:val="24"/>
          <w:szCs w:val="24"/>
          <w:lang w:val="en-US" w:eastAsia="en-US" w:bidi="ar-SA"/>
        </w:rPr>
        <w:t>中存放并</w:t>
      </w:r>
      <w:r>
        <w:rPr>
          <w:rFonts w:hint="default" w:ascii="Times New Roman" w:hAnsi="Times New Roman" w:eastAsia="宋体" w:cs="Times New Roman"/>
          <w:snapToGrid w:val="0"/>
          <w:color w:val="auto"/>
          <w:spacing w:val="-3"/>
          <w:kern w:val="0"/>
          <w:sz w:val="24"/>
          <w:szCs w:val="24"/>
          <w:lang w:val="en-US" w:eastAsia="en-US" w:bidi="ar-SA"/>
        </w:rPr>
        <w:t>进行苫盖；施工过程对施工临时道路进行洒水抑尘，临时堆土采取苫盖措施；施</w:t>
      </w:r>
      <w:r>
        <w:rPr>
          <w:rFonts w:hint="default" w:ascii="Times New Roman" w:hAnsi="Times New Roman" w:eastAsia="宋体" w:cs="Times New Roman"/>
          <w:snapToGrid w:val="0"/>
          <w:color w:val="auto"/>
          <w:spacing w:val="-2"/>
          <w:kern w:val="0"/>
          <w:sz w:val="24"/>
          <w:szCs w:val="24"/>
          <w:lang w:val="en-US" w:eastAsia="en-US" w:bidi="ar-SA"/>
        </w:rPr>
        <w:t>工结束后对扰动区域进行土地整治及植被恢复。</w:t>
      </w:r>
    </w:p>
    <w:p w14:paraId="149952D4">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牵张场及跨越场：对牵张场及跨越场施工扰动区域，施工过</w:t>
      </w:r>
      <w:r>
        <w:rPr>
          <w:rFonts w:hint="default" w:ascii="Times New Roman" w:hAnsi="Times New Roman" w:eastAsia="宋体" w:cs="Times New Roman"/>
          <w:snapToGrid w:val="0"/>
          <w:color w:val="auto"/>
          <w:spacing w:val="-4"/>
          <w:kern w:val="0"/>
          <w:sz w:val="24"/>
          <w:szCs w:val="24"/>
          <w:lang w:val="en-US" w:eastAsia="en-US" w:bidi="ar-SA"/>
        </w:rPr>
        <w:t>程采用彩条布对</w:t>
      </w:r>
      <w:r>
        <w:rPr>
          <w:rFonts w:hint="default" w:ascii="Times New Roman" w:hAnsi="Times New Roman" w:eastAsia="宋体" w:cs="Times New Roman"/>
          <w:snapToGrid w:val="0"/>
          <w:color w:val="auto"/>
          <w:spacing w:val="-3"/>
          <w:kern w:val="0"/>
          <w:sz w:val="24"/>
          <w:szCs w:val="24"/>
          <w:lang w:val="en-US" w:eastAsia="en-US" w:bidi="ar-SA"/>
        </w:rPr>
        <w:t>施工区域进行铺垫，保护植被。</w:t>
      </w:r>
    </w:p>
    <w:p w14:paraId="32BC9B23">
      <w:pPr>
        <w:keepNext w:val="0"/>
        <w:keepLines w:val="0"/>
        <w:pageBreakBefore w:val="0"/>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8"/>
          <w:kern w:val="0"/>
          <w:sz w:val="24"/>
          <w:szCs w:val="24"/>
          <w:lang w:val="en-US" w:eastAsia="en-US" w:bidi="ar-SA"/>
        </w:rPr>
        <w:t>施工便道：施工前对占用植被区域进行表土剥离，表土集中</w:t>
      </w:r>
      <w:r>
        <w:rPr>
          <w:rFonts w:hint="default" w:ascii="Times New Roman" w:hAnsi="Times New Roman" w:eastAsia="宋体" w:cs="Times New Roman"/>
          <w:snapToGrid w:val="0"/>
          <w:color w:val="auto"/>
          <w:spacing w:val="-9"/>
          <w:kern w:val="0"/>
          <w:sz w:val="24"/>
          <w:szCs w:val="24"/>
          <w:lang w:val="en-US" w:eastAsia="en-US" w:bidi="ar-SA"/>
        </w:rPr>
        <w:t>存放并进行苫盖；</w:t>
      </w:r>
      <w:r>
        <w:rPr>
          <w:rFonts w:hint="default" w:ascii="Times New Roman" w:hAnsi="Times New Roman" w:eastAsia="宋体" w:cs="Times New Roman"/>
          <w:snapToGrid w:val="0"/>
          <w:color w:val="auto"/>
          <w:spacing w:val="-1"/>
          <w:kern w:val="0"/>
          <w:sz w:val="24"/>
          <w:szCs w:val="24"/>
          <w:lang w:val="en-US" w:eastAsia="en-US" w:bidi="ar-SA"/>
        </w:rPr>
        <w:t>施工过程对施工道路采取洒水抑尘措施；施工结束后对扰动区域进行</w:t>
      </w:r>
      <w:r>
        <w:rPr>
          <w:rFonts w:hint="default" w:ascii="Times New Roman" w:hAnsi="Times New Roman" w:eastAsia="宋体" w:cs="Times New Roman"/>
          <w:snapToGrid w:val="0"/>
          <w:color w:val="auto"/>
          <w:spacing w:val="-2"/>
          <w:kern w:val="0"/>
          <w:sz w:val="24"/>
          <w:szCs w:val="24"/>
          <w:lang w:val="en-US" w:eastAsia="en-US" w:bidi="ar-SA"/>
        </w:rPr>
        <w:t>土地整治、</w:t>
      </w:r>
      <w:r>
        <w:rPr>
          <w:rFonts w:hint="default" w:ascii="Times New Roman" w:hAnsi="Times New Roman" w:eastAsia="宋体" w:cs="Times New Roman"/>
          <w:snapToGrid w:val="0"/>
          <w:color w:val="auto"/>
          <w:spacing w:val="-7"/>
          <w:kern w:val="0"/>
          <w:sz w:val="24"/>
          <w:szCs w:val="24"/>
          <w:lang w:val="en-US" w:eastAsia="en-US" w:bidi="ar-SA"/>
        </w:rPr>
        <w:t>植被恢复。</w:t>
      </w:r>
    </w:p>
    <w:p w14:paraId="7B4AAC84">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2"/>
          <w:kern w:val="0"/>
          <w:sz w:val="24"/>
          <w:szCs w:val="24"/>
          <w:lang w:val="en-US" w:eastAsia="zh-CN" w:bidi="ar-SA"/>
        </w:rPr>
        <w:t>⑹</w:t>
      </w:r>
      <w:r>
        <w:rPr>
          <w:rFonts w:hint="default" w:ascii="Times New Roman" w:hAnsi="Times New Roman" w:eastAsia="宋体" w:cs="Times New Roman"/>
          <w:snapToGrid w:val="0"/>
          <w:color w:val="auto"/>
          <w:spacing w:val="-2"/>
          <w:kern w:val="0"/>
          <w:sz w:val="24"/>
          <w:szCs w:val="24"/>
          <w:lang w:val="en-US" w:eastAsia="en-US" w:bidi="ar-SA"/>
        </w:rPr>
        <w:t>植被恢复应根据当地原有地形地貌进行林、灌、草结合的方式恢复。</w:t>
      </w:r>
      <w:r>
        <w:rPr>
          <w:rFonts w:hint="default" w:ascii="Times New Roman" w:hAnsi="Times New Roman" w:eastAsia="宋体" w:cs="Times New Roman"/>
          <w:snapToGrid w:val="0"/>
          <w:color w:val="auto"/>
          <w:spacing w:val="-3"/>
          <w:kern w:val="0"/>
          <w:sz w:val="24"/>
          <w:szCs w:val="24"/>
          <w:lang w:val="en-US" w:eastAsia="en-US" w:bidi="ar-SA"/>
        </w:rPr>
        <w:t>植被恢复过程中避免引入外来入侵物种，应尽可能选择播种、栽植容易、成活率</w:t>
      </w:r>
      <w:r>
        <w:rPr>
          <w:rFonts w:hint="default" w:ascii="Times New Roman" w:hAnsi="Times New Roman" w:eastAsia="宋体" w:cs="Times New Roman"/>
          <w:snapToGrid w:val="0"/>
          <w:color w:val="auto"/>
          <w:spacing w:val="-7"/>
          <w:kern w:val="0"/>
          <w:sz w:val="24"/>
          <w:szCs w:val="24"/>
          <w:lang w:val="en-US" w:eastAsia="en-US" w:bidi="ar-SA"/>
        </w:rPr>
        <w:t>高的乡土种。</w:t>
      </w:r>
    </w:p>
    <w:p w14:paraId="6B205748">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3"/>
        <w:rPr>
          <w:rFonts w:hint="default" w:ascii="Times New Roman" w:hAnsi="Times New Roman" w:eastAsia="宋体" w:cs="Times New Roman"/>
          <w:b/>
          <w:bCs/>
          <w:snapToGrid w:val="0"/>
          <w:color w:val="auto"/>
          <w:spacing w:val="-3"/>
          <w:kern w:val="0"/>
          <w:sz w:val="24"/>
          <w:szCs w:val="24"/>
          <w:lang w:val="en-US" w:eastAsia="en-US" w:bidi="ar-SA"/>
        </w:rPr>
      </w:pPr>
      <w:r>
        <w:rPr>
          <w:rFonts w:hint="default" w:ascii="Times New Roman" w:hAnsi="Times New Roman" w:eastAsia="宋体" w:cs="Times New Roman"/>
          <w:b/>
          <w:bCs/>
          <w:snapToGrid w:val="0"/>
          <w:color w:val="auto"/>
          <w:spacing w:val="-3"/>
          <w:kern w:val="0"/>
          <w:sz w:val="24"/>
          <w:szCs w:val="24"/>
          <w:lang w:val="en-US" w:eastAsia="zh-CN" w:bidi="ar-SA"/>
        </w:rPr>
        <w:t>4</w:t>
      </w:r>
      <w:r>
        <w:rPr>
          <w:rFonts w:hint="default" w:ascii="Times New Roman" w:hAnsi="Times New Roman" w:eastAsia="宋体" w:cs="Times New Roman"/>
          <w:b/>
          <w:bCs/>
          <w:snapToGrid w:val="0"/>
          <w:color w:val="auto"/>
          <w:spacing w:val="-3"/>
          <w:kern w:val="0"/>
          <w:sz w:val="24"/>
          <w:szCs w:val="24"/>
          <w:lang w:val="en-US" w:eastAsia="en-US" w:bidi="ar-SA"/>
        </w:rPr>
        <w:t>.1.2.3运营期生态影响缓解措施</w:t>
      </w:r>
    </w:p>
    <w:p w14:paraId="5459E68D">
      <w:pPr>
        <w:keepNext w:val="0"/>
        <w:keepLines w:val="0"/>
        <w:pageBreakBefore w:val="0"/>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8"/>
          <w:kern w:val="0"/>
          <w:sz w:val="24"/>
          <w:szCs w:val="24"/>
          <w:lang w:val="en-US" w:eastAsia="en-US" w:bidi="ar-SA"/>
        </w:rPr>
        <w:t>项目运维单位应制定生态跟踪监测计划，配合相关部门</w:t>
      </w:r>
      <w:r>
        <w:rPr>
          <w:rFonts w:hint="default" w:ascii="Times New Roman" w:hAnsi="Times New Roman" w:eastAsia="宋体" w:cs="Times New Roman"/>
          <w:snapToGrid w:val="0"/>
          <w:color w:val="auto"/>
          <w:spacing w:val="-9"/>
          <w:kern w:val="0"/>
          <w:sz w:val="24"/>
          <w:szCs w:val="24"/>
          <w:lang w:val="en-US" w:eastAsia="en-US" w:bidi="ar-SA"/>
        </w:rPr>
        <w:t>，完善生态保护措施，</w:t>
      </w:r>
      <w:r>
        <w:rPr>
          <w:rFonts w:hint="default" w:ascii="Times New Roman" w:hAnsi="Times New Roman" w:eastAsia="宋体" w:cs="Times New Roman"/>
          <w:snapToGrid w:val="0"/>
          <w:color w:val="auto"/>
          <w:spacing w:val="-3"/>
          <w:kern w:val="0"/>
          <w:sz w:val="24"/>
          <w:szCs w:val="24"/>
          <w:lang w:val="en-US" w:eastAsia="en-US" w:bidi="ar-SA"/>
        </w:rPr>
        <w:t>定期对沿线植被保护措施及设施进行检查，加强维护，实施跟踪，及时修复遭破</w:t>
      </w:r>
      <w:r>
        <w:rPr>
          <w:rFonts w:hint="default" w:ascii="Times New Roman" w:hAnsi="Times New Roman" w:eastAsia="宋体" w:cs="Times New Roman"/>
          <w:snapToGrid w:val="0"/>
          <w:color w:val="auto"/>
          <w:spacing w:val="-2"/>
          <w:kern w:val="0"/>
          <w:sz w:val="24"/>
          <w:szCs w:val="24"/>
          <w:lang w:val="en-US" w:eastAsia="en-US" w:bidi="ar-SA"/>
        </w:rPr>
        <w:t>坏的设施，监测生态恢复效果，及时采取后续措施。</w:t>
      </w:r>
    </w:p>
    <w:p w14:paraId="3CEC682E">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3"/>
        <w:rPr>
          <w:rFonts w:hint="default" w:ascii="Times New Roman" w:hAnsi="Times New Roman" w:eastAsia="宋体" w:cs="Times New Roman"/>
          <w:b/>
          <w:bCs/>
          <w:snapToGrid w:val="0"/>
          <w:color w:val="auto"/>
          <w:spacing w:val="-3"/>
          <w:kern w:val="0"/>
          <w:sz w:val="24"/>
          <w:szCs w:val="24"/>
          <w:lang w:val="en-US" w:eastAsia="en-US" w:bidi="ar-SA"/>
        </w:rPr>
      </w:pPr>
      <w:r>
        <w:rPr>
          <w:rFonts w:hint="default" w:ascii="Times New Roman" w:hAnsi="Times New Roman" w:eastAsia="宋体" w:cs="Times New Roman"/>
          <w:b/>
          <w:bCs/>
          <w:snapToGrid w:val="0"/>
          <w:color w:val="auto"/>
          <w:spacing w:val="-3"/>
          <w:kern w:val="0"/>
          <w:sz w:val="24"/>
          <w:szCs w:val="24"/>
          <w:lang w:val="en-US" w:eastAsia="zh-CN" w:bidi="ar-SA"/>
        </w:rPr>
        <w:t>4</w:t>
      </w:r>
      <w:r>
        <w:rPr>
          <w:rFonts w:hint="default" w:ascii="Times New Roman" w:hAnsi="Times New Roman" w:eastAsia="宋体" w:cs="Times New Roman"/>
          <w:b/>
          <w:bCs/>
          <w:snapToGrid w:val="0"/>
          <w:color w:val="auto"/>
          <w:spacing w:val="-3"/>
          <w:kern w:val="0"/>
          <w:sz w:val="24"/>
          <w:szCs w:val="24"/>
          <w:lang w:val="en-US" w:eastAsia="en-US" w:bidi="ar-SA"/>
        </w:rPr>
        <w:t>.1.2.4生态系统的保护措施</w:t>
      </w:r>
    </w:p>
    <w:p w14:paraId="68A3AAE5">
      <w:pPr>
        <w:keepNext w:val="0"/>
        <w:keepLines w:val="0"/>
        <w:pageBreakBefore w:val="0"/>
        <w:kinsoku w:val="0"/>
        <w:wordWrap/>
        <w:overflowPunct/>
        <w:topLinePunct w:val="0"/>
        <w:autoSpaceDE w:val="0"/>
        <w:autoSpaceDN w:val="0"/>
        <w:bidi w:val="0"/>
        <w:adjustRightInd w:val="0"/>
        <w:snapToGrid w:val="0"/>
        <w:spacing w:line="360" w:lineRule="auto"/>
        <w:ind w:left="0" w:right="0" w:firstLine="474"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2"/>
          <w:kern w:val="0"/>
          <w:sz w:val="24"/>
          <w:szCs w:val="24"/>
          <w:lang w:val="en-US" w:eastAsia="en-US" w:bidi="ar-SA"/>
        </w:rPr>
        <w:t>针对项目涉及的不同生态系统，提出以下保</w:t>
      </w:r>
      <w:r>
        <w:rPr>
          <w:rFonts w:hint="default" w:ascii="Times New Roman" w:hAnsi="Times New Roman" w:eastAsia="宋体" w:cs="Times New Roman"/>
          <w:b/>
          <w:bCs/>
          <w:snapToGrid w:val="0"/>
          <w:color w:val="auto"/>
          <w:spacing w:val="-3"/>
          <w:kern w:val="0"/>
          <w:sz w:val="24"/>
          <w:szCs w:val="24"/>
          <w:lang w:val="en-US" w:eastAsia="en-US" w:bidi="ar-SA"/>
        </w:rPr>
        <w:t>护措施：</w:t>
      </w:r>
    </w:p>
    <w:p w14:paraId="4610FBE4">
      <w:pPr>
        <w:keepNext w:val="0"/>
        <w:keepLines w:val="0"/>
        <w:pageBreakBefore w:val="0"/>
        <w:kinsoku w:val="0"/>
        <w:wordWrap/>
        <w:overflowPunct/>
        <w:topLinePunct w:val="0"/>
        <w:autoSpaceDE w:val="0"/>
        <w:autoSpaceDN w:val="0"/>
        <w:bidi w:val="0"/>
        <w:adjustRightInd w:val="0"/>
        <w:snapToGrid w:val="0"/>
        <w:spacing w:line="360" w:lineRule="auto"/>
        <w:ind w:left="0" w:right="0" w:firstLine="47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b/>
          <w:bCs/>
          <w:snapToGrid w:val="0"/>
          <w:color w:val="auto"/>
          <w:spacing w:val="-3"/>
          <w:kern w:val="0"/>
          <w:sz w:val="24"/>
          <w:szCs w:val="24"/>
          <w:lang w:val="en-US" w:eastAsia="zh-CN" w:bidi="ar-SA"/>
        </w:rPr>
        <w:t>⑴</w:t>
      </w:r>
      <w:r>
        <w:rPr>
          <w:rFonts w:hint="default" w:ascii="Times New Roman" w:hAnsi="Times New Roman" w:eastAsia="宋体" w:cs="Times New Roman"/>
          <w:b/>
          <w:bCs/>
          <w:snapToGrid w:val="0"/>
          <w:color w:val="auto"/>
          <w:spacing w:val="-3"/>
          <w:kern w:val="0"/>
          <w:sz w:val="24"/>
          <w:szCs w:val="24"/>
          <w:lang w:val="en-US" w:eastAsia="en-US" w:bidi="ar-SA"/>
        </w:rPr>
        <w:t>草地生态系统保护措施</w:t>
      </w:r>
    </w:p>
    <w:p w14:paraId="01297BAE">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①为保护草地，本环评要求设计单位在下一阶段设</w:t>
      </w:r>
      <w:r>
        <w:rPr>
          <w:rFonts w:hint="default" w:ascii="Times New Roman" w:hAnsi="Times New Roman" w:eastAsia="宋体" w:cs="Times New Roman"/>
          <w:snapToGrid w:val="0"/>
          <w:color w:val="auto"/>
          <w:spacing w:val="-1"/>
          <w:kern w:val="0"/>
          <w:sz w:val="24"/>
          <w:szCs w:val="24"/>
          <w:lang w:val="en-US" w:eastAsia="en-US" w:bidi="ar-SA"/>
        </w:rPr>
        <w:t>计中进一步优化塔形设</w:t>
      </w:r>
      <w:r>
        <w:rPr>
          <w:rFonts w:hint="default" w:ascii="Times New Roman" w:hAnsi="Times New Roman" w:eastAsia="宋体" w:cs="Times New Roman"/>
          <w:snapToGrid w:val="0"/>
          <w:color w:val="auto"/>
          <w:spacing w:val="-5"/>
          <w:kern w:val="0"/>
          <w:sz w:val="24"/>
          <w:szCs w:val="24"/>
          <w:lang w:val="en-US" w:eastAsia="en-US" w:bidi="ar-SA"/>
        </w:rPr>
        <w:t>计、减少占地面积。</w:t>
      </w:r>
    </w:p>
    <w:p w14:paraId="05A3F221">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②采取先进的施工工艺，基础开挖全部采用</w:t>
      </w:r>
      <w:r>
        <w:rPr>
          <w:rFonts w:hint="eastAsia" w:cs="Times New Roman"/>
          <w:snapToGrid w:val="0"/>
          <w:color w:val="auto"/>
          <w:spacing w:val="-3"/>
          <w:kern w:val="0"/>
          <w:sz w:val="24"/>
          <w:szCs w:val="24"/>
          <w:lang w:val="en-US" w:eastAsia="zh-CN" w:bidi="ar-SA"/>
        </w:rPr>
        <w:t>挖孔</w:t>
      </w:r>
      <w:r>
        <w:rPr>
          <w:rFonts w:hint="default" w:ascii="Times New Roman" w:hAnsi="Times New Roman" w:cs="Times New Roman"/>
          <w:bCs/>
          <w:color w:val="auto"/>
          <w:sz w:val="24"/>
          <w:szCs w:val="24"/>
          <w:highlight w:val="none"/>
          <w:lang w:val="en-US" w:eastAsia="zh-CN"/>
        </w:rPr>
        <w:t>桩</w:t>
      </w:r>
      <w:r>
        <w:rPr>
          <w:rFonts w:hint="eastAsia" w:ascii="Times New Roman" w:hAnsi="Times New Roman" w:cs="Times New Roman"/>
          <w:bCs/>
          <w:color w:val="auto"/>
          <w:sz w:val="24"/>
          <w:szCs w:val="24"/>
          <w:highlight w:val="none"/>
          <w:lang w:val="en-US" w:eastAsia="zh-CN"/>
        </w:rPr>
        <w:t>基础施工</w:t>
      </w:r>
      <w:r>
        <w:rPr>
          <w:rFonts w:hint="default" w:ascii="Times New Roman" w:hAnsi="Times New Roman" w:eastAsia="宋体" w:cs="Times New Roman"/>
          <w:snapToGrid w:val="0"/>
          <w:color w:val="auto"/>
          <w:spacing w:val="-3"/>
          <w:kern w:val="0"/>
          <w:sz w:val="24"/>
          <w:szCs w:val="24"/>
          <w:lang w:val="en-US" w:eastAsia="en-US" w:bidi="ar-SA"/>
        </w:rPr>
        <w:t>工艺</w:t>
      </w:r>
      <w:r>
        <w:rPr>
          <w:rFonts w:hint="default" w:ascii="Times New Roman" w:hAnsi="Times New Roman" w:eastAsia="宋体" w:cs="Times New Roman"/>
          <w:snapToGrid w:val="0"/>
          <w:color w:val="auto"/>
          <w:spacing w:val="-4"/>
          <w:kern w:val="0"/>
          <w:sz w:val="24"/>
          <w:szCs w:val="24"/>
          <w:lang w:val="en-US" w:eastAsia="en-US" w:bidi="ar-SA"/>
        </w:rPr>
        <w:t>，较少地表扰动面积及开挖土石方量。</w:t>
      </w:r>
    </w:p>
    <w:p w14:paraId="1BD11B57">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1"/>
          <w:kern w:val="0"/>
          <w:sz w:val="24"/>
          <w:szCs w:val="24"/>
          <w:lang w:val="en-US" w:eastAsia="en-US" w:bidi="ar-SA"/>
        </w:rPr>
        <w:t>②施工作业范围及临时道路边界用彩旗标记明确界</w:t>
      </w:r>
      <w:r>
        <w:rPr>
          <w:rFonts w:hint="default" w:ascii="Times New Roman" w:hAnsi="Times New Roman" w:eastAsia="宋体" w:cs="Times New Roman"/>
          <w:snapToGrid w:val="0"/>
          <w:color w:val="auto"/>
          <w:spacing w:val="-2"/>
          <w:kern w:val="0"/>
          <w:sz w:val="24"/>
          <w:szCs w:val="24"/>
          <w:lang w:val="en-US" w:eastAsia="en-US" w:bidi="ar-SA"/>
        </w:rPr>
        <w:t>限，严禁超范围施工。</w:t>
      </w:r>
    </w:p>
    <w:p w14:paraId="4E4DD153">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③及时复草。</w:t>
      </w:r>
      <w:r>
        <w:rPr>
          <w:rFonts w:hint="default" w:ascii="Times New Roman" w:hAnsi="Times New Roman" w:eastAsia="Times New Roman" w:cs="Times New Roman"/>
          <w:snapToGrid w:val="0"/>
          <w:color w:val="auto"/>
          <w:spacing w:val="-2"/>
          <w:kern w:val="0"/>
          <w:sz w:val="24"/>
          <w:szCs w:val="24"/>
          <w:lang w:val="en-US" w:eastAsia="en-US" w:bidi="ar-SA"/>
        </w:rPr>
        <w:t>6~9</w:t>
      </w:r>
      <w:r>
        <w:rPr>
          <w:rFonts w:hint="default" w:ascii="Times New Roman" w:hAnsi="Times New Roman" w:eastAsia="宋体" w:cs="Times New Roman"/>
          <w:snapToGrid w:val="0"/>
          <w:color w:val="auto"/>
          <w:spacing w:val="-2"/>
          <w:kern w:val="0"/>
          <w:sz w:val="24"/>
          <w:szCs w:val="24"/>
          <w:lang w:val="en-US" w:eastAsia="en-US" w:bidi="ar-SA"/>
        </w:rPr>
        <w:t>月份是植物生长旺盛的季节，施工期尽量避免这个时期，</w:t>
      </w:r>
      <w:r>
        <w:rPr>
          <w:rFonts w:hint="default" w:ascii="Times New Roman" w:hAnsi="Times New Roman" w:eastAsia="宋体" w:cs="Times New Roman"/>
          <w:snapToGrid w:val="0"/>
          <w:color w:val="auto"/>
          <w:spacing w:val="-3"/>
          <w:kern w:val="0"/>
          <w:sz w:val="24"/>
          <w:szCs w:val="24"/>
          <w:lang w:val="en-US" w:eastAsia="en-US" w:bidi="ar-SA"/>
        </w:rPr>
        <w:t>避免影响草原动物的觅食；施工结束通过撒播当地适宜生长且与周边生态相融合</w:t>
      </w:r>
      <w:r>
        <w:rPr>
          <w:rFonts w:hint="default" w:ascii="Times New Roman" w:hAnsi="Times New Roman" w:eastAsia="宋体" w:cs="Times New Roman"/>
          <w:snapToGrid w:val="0"/>
          <w:color w:val="auto"/>
          <w:spacing w:val="-2"/>
          <w:kern w:val="0"/>
          <w:sz w:val="24"/>
          <w:szCs w:val="24"/>
          <w:lang w:val="en-US" w:eastAsia="en-US" w:bidi="ar-SA"/>
        </w:rPr>
        <w:t>的草籽，如乡土草种扁穗冰草、芨芨草、狗尾草等。</w:t>
      </w:r>
    </w:p>
    <w:p w14:paraId="0821F154">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④运输车辆严格控制在规划的道路界限内行驶，运输含尘量大的物</w:t>
      </w:r>
      <w:r>
        <w:rPr>
          <w:rFonts w:hint="default" w:ascii="Times New Roman" w:hAnsi="Times New Roman" w:eastAsia="宋体" w:cs="Times New Roman"/>
          <w:snapToGrid w:val="0"/>
          <w:color w:val="auto"/>
          <w:spacing w:val="-4"/>
          <w:kern w:val="0"/>
          <w:sz w:val="24"/>
          <w:szCs w:val="24"/>
          <w:lang w:val="en-US" w:eastAsia="en-US" w:bidi="ar-SA"/>
        </w:rPr>
        <w:t>质时必须有篷布遮盖，减少粉尘飞扬。</w:t>
      </w:r>
    </w:p>
    <w:p w14:paraId="2583653F">
      <w:pPr>
        <w:keepNext w:val="0"/>
        <w:keepLines w:val="0"/>
        <w:pageBreakBefore w:val="0"/>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8"/>
          <w:kern w:val="0"/>
          <w:sz w:val="24"/>
          <w:szCs w:val="24"/>
          <w:lang w:val="en-US" w:eastAsia="en-US" w:bidi="ar-SA"/>
        </w:rPr>
        <w:t>⑤加强对施工队伍的管理，严格各项规章制度，建设单位成立环境保护小组，</w:t>
      </w:r>
      <w:r>
        <w:rPr>
          <w:rFonts w:hint="default" w:ascii="Times New Roman" w:hAnsi="Times New Roman" w:eastAsia="宋体" w:cs="Times New Roman"/>
          <w:snapToGrid w:val="0"/>
          <w:color w:val="auto"/>
          <w:spacing w:val="-7"/>
          <w:kern w:val="0"/>
          <w:sz w:val="24"/>
          <w:szCs w:val="24"/>
          <w:lang w:val="en-US" w:eastAsia="en-US" w:bidi="ar-SA"/>
        </w:rPr>
        <w:t>组长有项目负责人担责，设置环保专员，对项目建设期环境</w:t>
      </w:r>
      <w:r>
        <w:rPr>
          <w:rFonts w:hint="default" w:ascii="Times New Roman" w:hAnsi="Times New Roman" w:eastAsia="宋体" w:cs="Times New Roman"/>
          <w:snapToGrid w:val="0"/>
          <w:color w:val="auto"/>
          <w:spacing w:val="-8"/>
          <w:kern w:val="0"/>
          <w:sz w:val="24"/>
          <w:szCs w:val="24"/>
          <w:lang w:val="en-US" w:eastAsia="en-US" w:bidi="ar-SA"/>
        </w:rPr>
        <w:t>保护全过程监督管理。</w:t>
      </w:r>
    </w:p>
    <w:p w14:paraId="73E20115">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⑥加强施工人员环境保护宣传教育，开工前对施工人员进行环境保护教育，</w:t>
      </w:r>
      <w:r>
        <w:rPr>
          <w:rFonts w:hint="default" w:ascii="Times New Roman" w:hAnsi="Times New Roman" w:eastAsia="宋体" w:cs="Times New Roman"/>
          <w:snapToGrid w:val="0"/>
          <w:color w:val="auto"/>
          <w:spacing w:val="-6"/>
          <w:kern w:val="0"/>
          <w:sz w:val="24"/>
          <w:szCs w:val="24"/>
          <w:lang w:val="en-US" w:eastAsia="en-US" w:bidi="ar-SA"/>
        </w:rPr>
        <w:t>可采用组织培训、发放宣传册等形式提高环保意识， 避免</w:t>
      </w:r>
      <w:r>
        <w:rPr>
          <w:rFonts w:hint="default" w:ascii="Times New Roman" w:hAnsi="Times New Roman" w:eastAsia="宋体" w:cs="Times New Roman"/>
          <w:snapToGrid w:val="0"/>
          <w:color w:val="auto"/>
          <w:spacing w:val="-7"/>
          <w:kern w:val="0"/>
          <w:sz w:val="24"/>
          <w:szCs w:val="24"/>
          <w:lang w:val="en-US" w:eastAsia="en-US" w:bidi="ar-SA"/>
        </w:rPr>
        <w:t>施工机械、人员对占地</w:t>
      </w:r>
      <w:r>
        <w:rPr>
          <w:rFonts w:hint="default" w:ascii="Times New Roman" w:hAnsi="Times New Roman" w:eastAsia="宋体" w:cs="Times New Roman"/>
          <w:snapToGrid w:val="0"/>
          <w:color w:val="auto"/>
          <w:spacing w:val="-4"/>
          <w:kern w:val="0"/>
          <w:sz w:val="24"/>
          <w:szCs w:val="24"/>
          <w:lang w:val="en-US" w:eastAsia="en-US" w:bidi="ar-SA"/>
        </w:rPr>
        <w:t>红线外区域植被的破坏。</w:t>
      </w:r>
    </w:p>
    <w:p w14:paraId="1E0169AB">
      <w:pPr>
        <w:keepNext w:val="0"/>
        <w:keepLines w:val="0"/>
        <w:pageBreakBefore w:val="0"/>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5"/>
          <w:kern w:val="0"/>
          <w:sz w:val="24"/>
          <w:szCs w:val="24"/>
          <w:lang w:val="en-US" w:eastAsia="en-US" w:bidi="ar-SA"/>
        </w:rPr>
        <w:t>⑦注意防火。施工期施工人员和运营期检修人员进入林</w:t>
      </w:r>
      <w:r>
        <w:rPr>
          <w:rFonts w:hint="default" w:ascii="Times New Roman" w:hAnsi="Times New Roman" w:eastAsia="宋体" w:cs="Times New Roman"/>
          <w:snapToGrid w:val="0"/>
          <w:color w:val="auto"/>
          <w:spacing w:val="-6"/>
          <w:kern w:val="0"/>
          <w:sz w:val="24"/>
          <w:szCs w:val="24"/>
          <w:lang w:val="en-US" w:eastAsia="en-US" w:bidi="ar-SA"/>
        </w:rPr>
        <w:t>区，</w:t>
      </w:r>
      <w:r>
        <w:rPr>
          <w:rFonts w:hint="default" w:ascii="Times New Roman" w:hAnsi="Times New Roman" w:eastAsia="宋体" w:cs="Times New Roman"/>
          <w:snapToGrid w:val="0"/>
          <w:color w:val="auto"/>
          <w:spacing w:val="-49"/>
          <w:kern w:val="0"/>
          <w:sz w:val="24"/>
          <w:szCs w:val="24"/>
          <w:lang w:val="en-US" w:eastAsia="en-US" w:bidi="ar-SA"/>
        </w:rPr>
        <w:t xml:space="preserve"> </w:t>
      </w:r>
      <w:r>
        <w:rPr>
          <w:rFonts w:hint="default" w:ascii="Times New Roman" w:hAnsi="Times New Roman" w:eastAsia="宋体" w:cs="Times New Roman"/>
          <w:snapToGrid w:val="0"/>
          <w:color w:val="auto"/>
          <w:spacing w:val="-6"/>
          <w:kern w:val="0"/>
          <w:sz w:val="24"/>
          <w:szCs w:val="24"/>
          <w:lang w:val="en-US" w:eastAsia="en-US" w:bidi="ar-SA"/>
        </w:rPr>
        <w:t>严禁吸烟或其他容易引发火灾的行为，并有专人监督。且评价范围内草地多干</w:t>
      </w:r>
      <w:r>
        <w:rPr>
          <w:rFonts w:hint="default" w:ascii="Times New Roman" w:hAnsi="Times New Roman" w:eastAsia="宋体" w:cs="Times New Roman"/>
          <w:snapToGrid w:val="0"/>
          <w:color w:val="auto"/>
          <w:spacing w:val="-7"/>
          <w:kern w:val="0"/>
          <w:sz w:val="24"/>
          <w:szCs w:val="24"/>
          <w:lang w:val="en-US" w:eastAsia="en-US" w:bidi="ar-SA"/>
        </w:rPr>
        <w:t>旱少雨， 运行期要</w:t>
      </w:r>
      <w:r>
        <w:rPr>
          <w:rFonts w:hint="default" w:ascii="Times New Roman" w:hAnsi="Times New Roman" w:eastAsia="宋体" w:cs="Times New Roman"/>
          <w:snapToGrid w:val="0"/>
          <w:color w:val="auto"/>
          <w:spacing w:val="-3"/>
          <w:kern w:val="0"/>
          <w:sz w:val="24"/>
          <w:szCs w:val="24"/>
          <w:lang w:val="en-US" w:eastAsia="en-US" w:bidi="ar-SA"/>
        </w:rPr>
        <w:t>严格防范火灾，建立火灾预警系统。</w:t>
      </w:r>
    </w:p>
    <w:p w14:paraId="6D7A50BA">
      <w:pPr>
        <w:keepNext w:val="0"/>
        <w:keepLines w:val="0"/>
        <w:pageBreakBefore w:val="0"/>
        <w:kinsoku w:val="0"/>
        <w:wordWrap/>
        <w:overflowPunct/>
        <w:topLinePunct w:val="0"/>
        <w:autoSpaceDE w:val="0"/>
        <w:autoSpaceDN w:val="0"/>
        <w:bidi w:val="0"/>
        <w:adjustRightInd w:val="0"/>
        <w:snapToGrid w:val="0"/>
        <w:spacing w:line="360" w:lineRule="auto"/>
        <w:ind w:left="0" w:right="0" w:firstLine="46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b/>
          <w:bCs/>
          <w:snapToGrid w:val="0"/>
          <w:color w:val="auto"/>
          <w:spacing w:val="-4"/>
          <w:kern w:val="0"/>
          <w:sz w:val="24"/>
          <w:szCs w:val="24"/>
          <w:lang w:val="en-US" w:eastAsia="zh-CN" w:bidi="ar-SA"/>
        </w:rPr>
        <w:t>⑵</w:t>
      </w:r>
      <w:r>
        <w:rPr>
          <w:rFonts w:hint="default" w:ascii="Times New Roman" w:hAnsi="Times New Roman" w:eastAsia="宋体" w:cs="Times New Roman"/>
          <w:b/>
          <w:bCs/>
          <w:snapToGrid w:val="0"/>
          <w:color w:val="auto"/>
          <w:spacing w:val="-4"/>
          <w:kern w:val="0"/>
          <w:sz w:val="24"/>
          <w:szCs w:val="24"/>
          <w:lang w:val="en-US" w:eastAsia="en-US" w:bidi="ar-SA"/>
        </w:rPr>
        <w:t>灌丛生态系统</w:t>
      </w:r>
    </w:p>
    <w:p w14:paraId="79CF8689">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①进一步优化杆塔设计和线路走廊宽度。</w:t>
      </w:r>
    </w:p>
    <w:p w14:paraId="32B3904E">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1"/>
          <w:kern w:val="0"/>
          <w:sz w:val="24"/>
          <w:szCs w:val="24"/>
          <w:lang w:val="en-US" w:eastAsia="en-US" w:bidi="ar-SA"/>
        </w:rPr>
        <w:t>②统筹规划施工布置，并尽可能选择植被稀疏处，</w:t>
      </w:r>
      <w:r>
        <w:rPr>
          <w:rFonts w:hint="default" w:ascii="Times New Roman" w:hAnsi="Times New Roman" w:eastAsia="宋体" w:cs="Times New Roman"/>
          <w:snapToGrid w:val="0"/>
          <w:color w:val="auto"/>
          <w:spacing w:val="-2"/>
          <w:kern w:val="0"/>
          <w:sz w:val="24"/>
          <w:szCs w:val="24"/>
          <w:lang w:val="en-US" w:eastAsia="en-US" w:bidi="ar-SA"/>
        </w:rPr>
        <w:t>禁止施工人员随意砍伐。施工结束后对施工临时占地等恢复原有土地功能。</w:t>
      </w:r>
    </w:p>
    <w:p w14:paraId="454ADDC8">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③塔基施工时应保存塔基开挖处的表层土，并将表层土和生土应分开堆放，</w:t>
      </w:r>
      <w:r>
        <w:rPr>
          <w:rFonts w:hint="default" w:ascii="Times New Roman" w:hAnsi="Times New Roman" w:eastAsia="宋体" w:cs="Times New Roman"/>
          <w:snapToGrid w:val="0"/>
          <w:color w:val="auto"/>
          <w:spacing w:val="-3"/>
          <w:kern w:val="0"/>
          <w:sz w:val="24"/>
          <w:szCs w:val="24"/>
          <w:lang w:val="en-US" w:eastAsia="en-US" w:bidi="ar-SA"/>
        </w:rPr>
        <w:t>并做好表土苫盖保护措施，防止水土流失。</w:t>
      </w:r>
    </w:p>
    <w:p w14:paraId="6F63E9B7">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④植被恢复，按照原植被类型进行恢复，植物种类选用柠条、花棒</w:t>
      </w:r>
      <w:r>
        <w:rPr>
          <w:rFonts w:hint="default" w:ascii="Times New Roman" w:hAnsi="Times New Roman" w:eastAsia="宋体" w:cs="Times New Roman"/>
          <w:snapToGrid w:val="0"/>
          <w:color w:val="auto"/>
          <w:spacing w:val="-4"/>
          <w:kern w:val="0"/>
          <w:sz w:val="24"/>
          <w:szCs w:val="24"/>
          <w:lang w:val="en-US" w:eastAsia="en-US" w:bidi="ar-SA"/>
        </w:rPr>
        <w:t>等乡土物</w:t>
      </w:r>
      <w:r>
        <w:rPr>
          <w:rFonts w:hint="default" w:ascii="Times New Roman" w:hAnsi="Times New Roman" w:eastAsia="宋体" w:cs="Times New Roman"/>
          <w:snapToGrid w:val="0"/>
          <w:color w:val="auto"/>
          <w:spacing w:val="-1"/>
          <w:kern w:val="0"/>
          <w:sz w:val="24"/>
          <w:szCs w:val="24"/>
          <w:lang w:val="en-US" w:eastAsia="en-US" w:bidi="ar-SA"/>
        </w:rPr>
        <w:t>种，同时加强抚育保证成活率，及时补植，使得植被尽</w:t>
      </w:r>
      <w:r>
        <w:rPr>
          <w:rFonts w:hint="default" w:ascii="Times New Roman" w:hAnsi="Times New Roman" w:eastAsia="宋体" w:cs="Times New Roman"/>
          <w:snapToGrid w:val="0"/>
          <w:color w:val="auto"/>
          <w:spacing w:val="-2"/>
          <w:kern w:val="0"/>
          <w:sz w:val="24"/>
          <w:szCs w:val="24"/>
          <w:lang w:val="en-US" w:eastAsia="en-US" w:bidi="ar-SA"/>
        </w:rPr>
        <w:t>早恢复乃至超过原植被。</w:t>
      </w:r>
    </w:p>
    <w:p w14:paraId="181714A3">
      <w:pPr>
        <w:keepNext w:val="0"/>
        <w:keepLines w:val="0"/>
        <w:pageBreakBefore w:val="0"/>
        <w:wordWrap/>
        <w:overflowPunct/>
        <w:topLinePunct w:val="0"/>
        <w:bidi w:val="0"/>
        <w:adjustRightInd w:val="0"/>
        <w:snapToGrid w:val="0"/>
        <w:spacing w:line="360" w:lineRule="auto"/>
        <w:ind w:left="0" w:right="0" w:firstLine="420" w:firstLineChars="200"/>
        <w:jc w:val="both"/>
        <w:rPr>
          <w:rFonts w:hint="default" w:ascii="Times New Roman" w:hAnsi="Times New Roman" w:cs="Times New Roman"/>
          <w:color w:val="auto"/>
        </w:rPr>
        <w:sectPr>
          <w:footerReference r:id="rId27" w:type="default"/>
          <w:pgSz w:w="11906" w:h="16839"/>
          <w:pgMar w:top="1424" w:right="1714" w:bottom="1655" w:left="1785" w:header="0" w:footer="1493" w:gutter="0"/>
          <w:pgBorders>
            <w:top w:val="none" w:sz="0" w:space="0"/>
            <w:left w:val="none" w:sz="0" w:space="0"/>
            <w:bottom w:val="none" w:sz="0" w:space="0"/>
            <w:right w:val="none" w:sz="0" w:space="0"/>
          </w:pgBorders>
          <w:pgNumType w:fmt="decimal"/>
          <w:cols w:space="720" w:num="1"/>
        </w:sectPr>
      </w:pPr>
    </w:p>
    <w:p w14:paraId="1D769913">
      <w:pPr>
        <w:keepNext w:val="0"/>
        <w:keepLines w:val="0"/>
        <w:pageBreakBefore w:val="0"/>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5"/>
          <w:kern w:val="0"/>
          <w:sz w:val="24"/>
          <w:szCs w:val="24"/>
          <w:lang w:val="en-US" w:eastAsia="en-US" w:bidi="ar-SA"/>
        </w:rPr>
        <w:t>⑤施工注意防火。施工人员应该严禁吸烟或</w:t>
      </w:r>
      <w:r>
        <w:rPr>
          <w:rFonts w:hint="default" w:ascii="Times New Roman" w:hAnsi="Times New Roman" w:eastAsia="宋体" w:cs="Times New Roman"/>
          <w:snapToGrid w:val="0"/>
          <w:color w:val="auto"/>
          <w:spacing w:val="-6"/>
          <w:kern w:val="0"/>
          <w:sz w:val="24"/>
          <w:szCs w:val="24"/>
          <w:lang w:val="en-US" w:eastAsia="en-US" w:bidi="ar-SA"/>
        </w:rPr>
        <w:t>其他容易引发火灾的行为，</w:t>
      </w:r>
      <w:r>
        <w:rPr>
          <w:rFonts w:hint="default" w:ascii="Times New Roman" w:hAnsi="Times New Roman" w:eastAsia="宋体" w:cs="Times New Roman"/>
          <w:snapToGrid w:val="0"/>
          <w:color w:val="auto"/>
          <w:spacing w:val="-44"/>
          <w:kern w:val="0"/>
          <w:sz w:val="24"/>
          <w:szCs w:val="24"/>
          <w:lang w:val="en-US" w:eastAsia="en-US" w:bidi="ar-SA"/>
        </w:rPr>
        <w:t xml:space="preserve"> </w:t>
      </w:r>
      <w:r>
        <w:rPr>
          <w:rFonts w:hint="default" w:ascii="Times New Roman" w:hAnsi="Times New Roman" w:eastAsia="宋体" w:cs="Times New Roman"/>
          <w:snapToGrid w:val="0"/>
          <w:color w:val="auto"/>
          <w:spacing w:val="-6"/>
          <w:kern w:val="0"/>
          <w:sz w:val="24"/>
          <w:szCs w:val="24"/>
          <w:lang w:val="en-US" w:eastAsia="en-US" w:bidi="ar-SA"/>
        </w:rPr>
        <w:t>并有</w:t>
      </w:r>
      <w:r>
        <w:rPr>
          <w:rFonts w:hint="default" w:ascii="Times New Roman" w:hAnsi="Times New Roman" w:eastAsia="宋体" w:cs="Times New Roman"/>
          <w:snapToGrid w:val="0"/>
          <w:color w:val="auto"/>
          <w:spacing w:val="-8"/>
          <w:kern w:val="0"/>
          <w:sz w:val="24"/>
          <w:szCs w:val="24"/>
          <w:lang w:val="en-US" w:eastAsia="en-US" w:bidi="ar-SA"/>
        </w:rPr>
        <w:t>专人监督。</w:t>
      </w:r>
    </w:p>
    <w:p w14:paraId="29DC8087">
      <w:pPr>
        <w:keepNext w:val="0"/>
        <w:keepLines w:val="0"/>
        <w:pageBreakBefore w:val="0"/>
        <w:kinsoku w:val="0"/>
        <w:wordWrap/>
        <w:overflowPunct/>
        <w:topLinePunct w:val="0"/>
        <w:autoSpaceDE w:val="0"/>
        <w:autoSpaceDN w:val="0"/>
        <w:bidi w:val="0"/>
        <w:adjustRightInd w:val="0"/>
        <w:snapToGrid w:val="0"/>
        <w:spacing w:line="360" w:lineRule="auto"/>
        <w:ind w:left="0" w:right="0" w:firstLine="47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b/>
          <w:bCs/>
          <w:snapToGrid w:val="0"/>
          <w:color w:val="auto"/>
          <w:spacing w:val="-3"/>
          <w:kern w:val="0"/>
          <w:sz w:val="24"/>
          <w:szCs w:val="24"/>
          <w:lang w:val="en-US" w:eastAsia="zh-CN" w:bidi="ar-SA"/>
        </w:rPr>
        <w:t>⑶</w:t>
      </w:r>
      <w:r>
        <w:rPr>
          <w:rFonts w:hint="default" w:ascii="Times New Roman" w:hAnsi="Times New Roman" w:eastAsia="宋体" w:cs="Times New Roman"/>
          <w:b/>
          <w:bCs/>
          <w:snapToGrid w:val="0"/>
          <w:color w:val="auto"/>
          <w:spacing w:val="-3"/>
          <w:kern w:val="0"/>
          <w:sz w:val="24"/>
          <w:szCs w:val="24"/>
          <w:lang w:val="en-US" w:eastAsia="en-US" w:bidi="ar-SA"/>
        </w:rPr>
        <w:t>森林生态系统保护措施</w:t>
      </w:r>
    </w:p>
    <w:p w14:paraId="4779E790">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①优化线路路径，并选择档距较大的塔型进行架空穿越，以减少林</w:t>
      </w:r>
      <w:r>
        <w:rPr>
          <w:rFonts w:hint="default" w:ascii="Times New Roman" w:hAnsi="Times New Roman" w:eastAsia="宋体" w:cs="Times New Roman"/>
          <w:snapToGrid w:val="0"/>
          <w:color w:val="auto"/>
          <w:spacing w:val="-4"/>
          <w:kern w:val="0"/>
          <w:sz w:val="24"/>
          <w:szCs w:val="24"/>
          <w:lang w:val="en-US" w:eastAsia="en-US" w:bidi="ar-SA"/>
        </w:rPr>
        <w:t>地架设杆塔数量，减少塔基用地。</w:t>
      </w:r>
    </w:p>
    <w:p w14:paraId="013D18C6">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②在选线过程中尽量将塔基布置在植被覆盖度较低的土地上，从源</w:t>
      </w:r>
      <w:r>
        <w:rPr>
          <w:rFonts w:hint="default" w:ascii="Times New Roman" w:hAnsi="Times New Roman" w:eastAsia="宋体" w:cs="Times New Roman"/>
          <w:snapToGrid w:val="0"/>
          <w:color w:val="auto"/>
          <w:spacing w:val="-4"/>
          <w:kern w:val="0"/>
          <w:sz w:val="24"/>
          <w:szCs w:val="24"/>
          <w:lang w:val="en-US" w:eastAsia="en-US" w:bidi="ar-SA"/>
        </w:rPr>
        <w:t>头上减少</w:t>
      </w:r>
      <w:r>
        <w:rPr>
          <w:rFonts w:hint="default" w:ascii="Times New Roman" w:hAnsi="Times New Roman" w:eastAsia="宋体" w:cs="Times New Roman"/>
          <w:snapToGrid w:val="0"/>
          <w:color w:val="auto"/>
          <w:spacing w:val="-8"/>
          <w:kern w:val="0"/>
          <w:sz w:val="24"/>
          <w:szCs w:val="24"/>
          <w:lang w:val="en-US" w:eastAsia="en-US" w:bidi="ar-SA"/>
        </w:rPr>
        <w:t>植被破坏。</w:t>
      </w:r>
    </w:p>
    <w:p w14:paraId="41698186">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③施工过程中按照设计的用地面积和方案组织施工，严格控制用地</w:t>
      </w:r>
      <w:r>
        <w:rPr>
          <w:rFonts w:hint="default" w:ascii="Times New Roman" w:hAnsi="Times New Roman" w:eastAsia="宋体" w:cs="Times New Roman"/>
          <w:snapToGrid w:val="0"/>
          <w:color w:val="auto"/>
          <w:spacing w:val="-4"/>
          <w:kern w:val="0"/>
          <w:sz w:val="24"/>
          <w:szCs w:val="24"/>
          <w:lang w:val="en-US" w:eastAsia="en-US" w:bidi="ar-SA"/>
        </w:rPr>
        <w:t>面积。生</w:t>
      </w:r>
      <w:r>
        <w:rPr>
          <w:rFonts w:hint="default" w:ascii="Times New Roman" w:hAnsi="Times New Roman" w:eastAsia="宋体" w:cs="Times New Roman"/>
          <w:snapToGrid w:val="0"/>
          <w:color w:val="auto"/>
          <w:spacing w:val="-2"/>
          <w:kern w:val="0"/>
          <w:sz w:val="24"/>
          <w:szCs w:val="24"/>
          <w:lang w:val="en-US" w:eastAsia="en-US" w:bidi="ar-SA"/>
        </w:rPr>
        <w:t>态保护红线内施工应控制施工作业带宽度，尽量减</w:t>
      </w:r>
      <w:r>
        <w:rPr>
          <w:rFonts w:hint="default" w:ascii="Times New Roman" w:hAnsi="Times New Roman" w:eastAsia="宋体" w:cs="Times New Roman"/>
          <w:snapToGrid w:val="0"/>
          <w:color w:val="auto"/>
          <w:spacing w:val="-3"/>
          <w:kern w:val="0"/>
          <w:sz w:val="24"/>
          <w:szCs w:val="24"/>
          <w:lang w:val="en-US" w:eastAsia="en-US" w:bidi="ar-SA"/>
        </w:rPr>
        <w:t>少破坏植被，</w:t>
      </w:r>
    </w:p>
    <w:p w14:paraId="02D1897C">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④加强施工期间的环境保护管理工作，在施工前对施工人员进行动</w:t>
      </w:r>
      <w:r>
        <w:rPr>
          <w:rFonts w:hint="default" w:ascii="Times New Roman" w:hAnsi="Times New Roman" w:eastAsia="宋体" w:cs="Times New Roman"/>
          <w:snapToGrid w:val="0"/>
          <w:color w:val="auto"/>
          <w:spacing w:val="-4"/>
          <w:kern w:val="0"/>
          <w:sz w:val="24"/>
          <w:szCs w:val="24"/>
          <w:lang w:val="en-US" w:eastAsia="en-US" w:bidi="ar-SA"/>
        </w:rPr>
        <w:t>植物保护</w:t>
      </w:r>
      <w:r>
        <w:rPr>
          <w:rFonts w:hint="default" w:ascii="Times New Roman" w:hAnsi="Times New Roman" w:eastAsia="宋体" w:cs="Times New Roman"/>
          <w:snapToGrid w:val="0"/>
          <w:color w:val="auto"/>
          <w:spacing w:val="-3"/>
          <w:kern w:val="0"/>
          <w:sz w:val="24"/>
          <w:szCs w:val="24"/>
          <w:lang w:val="en-US" w:eastAsia="en-US" w:bidi="ar-SA"/>
        </w:rPr>
        <w:t>方面的知识宣传和教育，严格遵守科学文明施工要求，禁止野蛮作业，工程车辆运输等应控制噪音粉尘，不得造成施工漏油、工程污水等环境污染。禁止施工人</w:t>
      </w:r>
      <w:r>
        <w:rPr>
          <w:rFonts w:hint="default" w:ascii="Times New Roman" w:hAnsi="Times New Roman" w:eastAsia="宋体" w:cs="Times New Roman"/>
          <w:snapToGrid w:val="0"/>
          <w:color w:val="auto"/>
          <w:spacing w:val="-4"/>
          <w:kern w:val="0"/>
          <w:sz w:val="24"/>
          <w:szCs w:val="24"/>
          <w:lang w:val="en-US" w:eastAsia="en-US" w:bidi="ar-SA"/>
        </w:rPr>
        <w:t>员滥捕滥猎，保护野生动物。</w:t>
      </w:r>
    </w:p>
    <w:p w14:paraId="091170E6">
      <w:pPr>
        <w:keepNext w:val="0"/>
        <w:keepLines w:val="0"/>
        <w:pageBreakBefore w:val="0"/>
        <w:kinsoku w:val="0"/>
        <w:wordWrap/>
        <w:overflowPunct/>
        <w:topLinePunct w:val="0"/>
        <w:autoSpaceDE w:val="0"/>
        <w:autoSpaceDN w:val="0"/>
        <w:bidi w:val="0"/>
        <w:adjustRightInd w:val="0"/>
        <w:snapToGrid w:val="0"/>
        <w:spacing w:line="360" w:lineRule="auto"/>
        <w:ind w:left="0" w:right="0" w:firstLine="47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b/>
          <w:bCs/>
          <w:snapToGrid w:val="0"/>
          <w:color w:val="auto"/>
          <w:spacing w:val="-3"/>
          <w:kern w:val="0"/>
          <w:sz w:val="24"/>
          <w:szCs w:val="24"/>
          <w:lang w:val="en-US" w:eastAsia="zh-CN" w:bidi="ar-SA"/>
        </w:rPr>
        <w:t>⑷</w:t>
      </w:r>
      <w:r>
        <w:rPr>
          <w:rFonts w:hint="default" w:ascii="Times New Roman" w:hAnsi="Times New Roman" w:eastAsia="宋体" w:cs="Times New Roman"/>
          <w:b/>
          <w:bCs/>
          <w:snapToGrid w:val="0"/>
          <w:color w:val="auto"/>
          <w:spacing w:val="-3"/>
          <w:kern w:val="0"/>
          <w:sz w:val="24"/>
          <w:szCs w:val="24"/>
          <w:lang w:val="en-US" w:eastAsia="en-US" w:bidi="ar-SA"/>
        </w:rPr>
        <w:t>农田生态系统保护措施</w:t>
      </w:r>
    </w:p>
    <w:p w14:paraId="0617E394">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①为了保护耕地（含基本农田</w:t>
      </w:r>
      <w:r>
        <w:rPr>
          <w:rFonts w:hint="default" w:ascii="Times New Roman" w:hAnsi="Times New Roman" w:eastAsia="宋体" w:cs="Times New Roman"/>
          <w:snapToGrid w:val="0"/>
          <w:color w:val="auto"/>
          <w:spacing w:val="-22"/>
          <w:kern w:val="0"/>
          <w:sz w:val="24"/>
          <w:szCs w:val="24"/>
          <w:lang w:val="en-US" w:eastAsia="en-US" w:bidi="ar-SA"/>
        </w:rPr>
        <w:t>），</w:t>
      </w:r>
      <w:r>
        <w:rPr>
          <w:rFonts w:hint="default" w:ascii="Times New Roman" w:hAnsi="Times New Roman" w:eastAsia="宋体" w:cs="Times New Roman"/>
          <w:snapToGrid w:val="0"/>
          <w:color w:val="auto"/>
          <w:spacing w:val="-2"/>
          <w:kern w:val="0"/>
          <w:sz w:val="24"/>
          <w:szCs w:val="24"/>
          <w:lang w:val="en-US" w:eastAsia="en-US" w:bidi="ar-SA"/>
        </w:rPr>
        <w:t>本次要求设计单位在下一阶段设计中进一</w:t>
      </w:r>
      <w:r>
        <w:rPr>
          <w:rFonts w:hint="default" w:ascii="Times New Roman" w:hAnsi="Times New Roman" w:eastAsia="宋体" w:cs="Times New Roman"/>
          <w:snapToGrid w:val="0"/>
          <w:color w:val="auto"/>
          <w:spacing w:val="-7"/>
          <w:kern w:val="0"/>
          <w:sz w:val="24"/>
          <w:szCs w:val="24"/>
          <w:lang w:val="en-US" w:eastAsia="en-US" w:bidi="ar-SA"/>
        </w:rPr>
        <w:t>步优化塔位布置，减少耕地（含基本农田）占地面积，且占用耕地（含基本农田）</w:t>
      </w:r>
      <w:r>
        <w:rPr>
          <w:rFonts w:hint="default" w:ascii="Times New Roman" w:hAnsi="Times New Roman" w:eastAsia="宋体" w:cs="Times New Roman"/>
          <w:snapToGrid w:val="0"/>
          <w:color w:val="auto"/>
          <w:spacing w:val="-5"/>
          <w:kern w:val="0"/>
          <w:sz w:val="24"/>
          <w:szCs w:val="24"/>
          <w:lang w:val="en-US" w:eastAsia="en-US" w:bidi="ar-SA"/>
        </w:rPr>
        <w:t>要以边角田地为主。</w:t>
      </w:r>
    </w:p>
    <w:p w14:paraId="1478FA6C">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②施工便道尽量利用现有的机耕道，无法到达的本着节约集约用地</w:t>
      </w:r>
      <w:r>
        <w:rPr>
          <w:rFonts w:hint="default" w:ascii="Times New Roman" w:hAnsi="Times New Roman" w:eastAsia="宋体" w:cs="Times New Roman"/>
          <w:snapToGrid w:val="0"/>
          <w:color w:val="auto"/>
          <w:spacing w:val="-4"/>
          <w:kern w:val="0"/>
          <w:sz w:val="24"/>
          <w:szCs w:val="24"/>
          <w:lang w:val="en-US" w:eastAsia="en-US" w:bidi="ar-SA"/>
        </w:rPr>
        <w:t>原则布置</w:t>
      </w:r>
      <w:r>
        <w:rPr>
          <w:rFonts w:hint="default" w:ascii="Times New Roman" w:hAnsi="Times New Roman" w:eastAsia="宋体" w:cs="Times New Roman"/>
          <w:snapToGrid w:val="0"/>
          <w:color w:val="auto"/>
          <w:spacing w:val="-7"/>
          <w:kern w:val="0"/>
          <w:sz w:val="24"/>
          <w:szCs w:val="24"/>
          <w:lang w:val="en-US" w:eastAsia="en-US" w:bidi="ar-SA"/>
        </w:rPr>
        <w:t>施工便道。</w:t>
      </w:r>
    </w:p>
    <w:p w14:paraId="0E8282F3">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③施工便道边界用彩旗明确标出，施工临时占地采用</w:t>
      </w:r>
      <w:r>
        <w:rPr>
          <w:rFonts w:hint="default" w:ascii="Times New Roman" w:hAnsi="Times New Roman" w:eastAsia="宋体" w:cs="Times New Roman"/>
          <w:snapToGrid w:val="0"/>
          <w:color w:val="auto"/>
          <w:spacing w:val="-1"/>
          <w:kern w:val="0"/>
          <w:sz w:val="24"/>
          <w:szCs w:val="24"/>
          <w:lang w:val="en-US" w:eastAsia="en-US" w:bidi="ar-SA"/>
        </w:rPr>
        <w:t>彩条布对地表进行铺</w:t>
      </w:r>
      <w:r>
        <w:rPr>
          <w:rFonts w:hint="default" w:ascii="Times New Roman" w:hAnsi="Times New Roman" w:eastAsia="宋体" w:cs="Times New Roman"/>
          <w:snapToGrid w:val="0"/>
          <w:color w:val="auto"/>
          <w:spacing w:val="-2"/>
          <w:kern w:val="0"/>
          <w:sz w:val="24"/>
          <w:szCs w:val="24"/>
          <w:lang w:val="en-US" w:eastAsia="en-US" w:bidi="ar-SA"/>
        </w:rPr>
        <w:t>设，隔离保护，最大限度不破坏表土土壤结构及地表植被。</w:t>
      </w:r>
    </w:p>
    <w:p w14:paraId="14788881">
      <w:pPr>
        <w:keepNext w:val="0"/>
        <w:keepLines w:val="0"/>
        <w:pageBreakBefore w:val="0"/>
        <w:kinsoku w:val="0"/>
        <w:wordWrap/>
        <w:overflowPunct/>
        <w:topLinePunct w:val="0"/>
        <w:autoSpaceDE w:val="0"/>
        <w:autoSpaceDN w:val="0"/>
        <w:bidi w:val="0"/>
        <w:adjustRightInd w:val="0"/>
        <w:snapToGrid w:val="0"/>
        <w:spacing w:line="360" w:lineRule="auto"/>
        <w:ind w:left="0" w:right="0" w:firstLine="45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7"/>
          <w:kern w:val="0"/>
          <w:sz w:val="24"/>
          <w:szCs w:val="24"/>
          <w:lang w:val="en-US" w:eastAsia="en-US" w:bidi="ar-SA"/>
        </w:rPr>
        <w:t>④加强施工管理，禁止机械乱停乱放。区域雨季降水频繁， 松散土料极易受</w:t>
      </w:r>
      <w:r>
        <w:rPr>
          <w:rFonts w:hint="default" w:ascii="Times New Roman" w:hAnsi="Times New Roman" w:eastAsia="宋体" w:cs="Times New Roman"/>
          <w:snapToGrid w:val="0"/>
          <w:color w:val="auto"/>
          <w:spacing w:val="-4"/>
          <w:kern w:val="0"/>
          <w:sz w:val="24"/>
          <w:szCs w:val="24"/>
          <w:lang w:val="en-US" w:eastAsia="en-US" w:bidi="ar-SA"/>
        </w:rPr>
        <w:t>降水水力侵蚀，需避免露天堆放。</w:t>
      </w:r>
    </w:p>
    <w:p w14:paraId="0AC53CD8">
      <w:pPr>
        <w:keepNext w:val="0"/>
        <w:keepLines w:val="0"/>
        <w:pageBreakBefore w:val="0"/>
        <w:kinsoku w:val="0"/>
        <w:wordWrap/>
        <w:overflowPunct/>
        <w:topLinePunct w:val="0"/>
        <w:autoSpaceDE w:val="0"/>
        <w:autoSpaceDN w:val="0"/>
        <w:bidi w:val="0"/>
        <w:adjustRightInd w:val="0"/>
        <w:snapToGrid w:val="0"/>
        <w:spacing w:line="360" w:lineRule="auto"/>
        <w:ind w:left="0" w:right="0" w:firstLine="45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7"/>
          <w:kern w:val="0"/>
          <w:sz w:val="24"/>
          <w:szCs w:val="24"/>
          <w:lang w:val="en-US" w:eastAsia="en-US" w:bidi="ar-SA"/>
        </w:rPr>
        <w:t>⑤及时复耕。对于占用了的农业用地， 在施工中应保存表层的土壤，分层堆</w:t>
      </w:r>
      <w:r>
        <w:rPr>
          <w:rFonts w:hint="default" w:ascii="Times New Roman" w:hAnsi="Times New Roman" w:eastAsia="宋体" w:cs="Times New Roman"/>
          <w:snapToGrid w:val="0"/>
          <w:color w:val="auto"/>
          <w:spacing w:val="-3"/>
          <w:kern w:val="0"/>
          <w:sz w:val="24"/>
          <w:szCs w:val="24"/>
          <w:lang w:val="en-US" w:eastAsia="en-US" w:bidi="ar-SA"/>
        </w:rPr>
        <w:t>放，对劣质地或者其他耕地（含基本农田）的土壤改良。对于临时占用的农业土地，施工结束后，要进行土地复垦。</w:t>
      </w:r>
    </w:p>
    <w:p w14:paraId="209F14D5">
      <w:pPr>
        <w:keepNext w:val="0"/>
        <w:keepLines w:val="0"/>
        <w:pageBreakBefore w:val="0"/>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8"/>
          <w:kern w:val="0"/>
          <w:sz w:val="24"/>
          <w:szCs w:val="24"/>
          <w:lang w:val="en-US" w:eastAsia="en-US" w:bidi="ar-SA"/>
        </w:rPr>
        <w:t>⑥加强对施工队伍的管理，严格各项规章制度，教育施工人员注意保护环境、</w:t>
      </w:r>
      <w:r>
        <w:rPr>
          <w:rFonts w:hint="default" w:ascii="Times New Roman" w:hAnsi="Times New Roman" w:eastAsia="宋体" w:cs="Times New Roman"/>
          <w:snapToGrid w:val="0"/>
          <w:color w:val="auto"/>
          <w:spacing w:val="-6"/>
          <w:kern w:val="0"/>
          <w:sz w:val="24"/>
          <w:szCs w:val="24"/>
          <w:lang w:val="en-US" w:eastAsia="en-US" w:bidi="ar-SA"/>
        </w:rPr>
        <w:t>提高环保意识。</w:t>
      </w:r>
    </w:p>
    <w:p w14:paraId="17F6F447">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b/>
          <w:bCs/>
          <w:snapToGrid w:val="0"/>
          <w:color w:val="auto"/>
          <w:spacing w:val="0"/>
          <w:kern w:val="0"/>
          <w:sz w:val="24"/>
          <w:szCs w:val="24"/>
          <w:lang w:val="en-US" w:eastAsia="en-US" w:bidi="ar-SA"/>
        </w:rPr>
      </w:pPr>
      <w:bookmarkStart w:id="536" w:name="_Toc10167"/>
      <w:bookmarkStart w:id="537" w:name="_Toc5960"/>
      <w:r>
        <w:rPr>
          <w:rFonts w:hint="default" w:ascii="Times New Roman" w:hAnsi="Times New Roman" w:eastAsia="宋体" w:cs="Times New Roman"/>
          <w:b/>
          <w:bCs/>
          <w:snapToGrid w:val="0"/>
          <w:color w:val="auto"/>
          <w:spacing w:val="0"/>
          <w:kern w:val="0"/>
          <w:sz w:val="24"/>
          <w:szCs w:val="24"/>
          <w:lang w:val="en-US" w:eastAsia="zh-CN" w:bidi="ar-SA"/>
        </w:rPr>
        <w:t>4</w:t>
      </w:r>
      <w:r>
        <w:rPr>
          <w:rFonts w:hint="default" w:ascii="Times New Roman" w:hAnsi="Times New Roman" w:eastAsia="宋体" w:cs="Times New Roman"/>
          <w:b/>
          <w:bCs/>
          <w:snapToGrid w:val="0"/>
          <w:color w:val="auto"/>
          <w:spacing w:val="0"/>
          <w:kern w:val="0"/>
          <w:sz w:val="24"/>
          <w:szCs w:val="24"/>
          <w:lang w:val="en-US" w:eastAsia="en-US" w:bidi="ar-SA"/>
        </w:rPr>
        <w:t>.2植物保护措施</w:t>
      </w:r>
      <w:bookmarkEnd w:id="536"/>
      <w:bookmarkEnd w:id="537"/>
    </w:p>
    <w:p w14:paraId="5766FF6D">
      <w:pPr>
        <w:keepNext w:val="0"/>
        <w:keepLines w:val="0"/>
        <w:pageBreakBefore w:val="0"/>
        <w:wordWrap/>
        <w:overflowPunct/>
        <w:topLinePunct w:val="0"/>
        <w:bidi w:val="0"/>
        <w:adjustRightInd w:val="0"/>
        <w:snapToGrid w:val="0"/>
        <w:spacing w:line="360" w:lineRule="auto"/>
        <w:ind w:left="0" w:right="0" w:firstLine="420" w:firstLineChars="200"/>
        <w:jc w:val="both"/>
        <w:rPr>
          <w:rFonts w:hint="default" w:ascii="Times New Roman" w:hAnsi="Times New Roman" w:cs="Times New Roman"/>
          <w:color w:val="auto"/>
        </w:rPr>
        <w:sectPr>
          <w:footerReference r:id="rId28" w:type="default"/>
          <w:pgSz w:w="11906" w:h="16839"/>
          <w:pgMar w:top="1426" w:right="1695" w:bottom="1655" w:left="1785" w:header="0" w:footer="1493" w:gutter="0"/>
          <w:pgBorders>
            <w:top w:val="none" w:sz="0" w:space="0"/>
            <w:left w:val="none" w:sz="0" w:space="0"/>
            <w:bottom w:val="none" w:sz="0" w:space="0"/>
            <w:right w:val="none" w:sz="0" w:space="0"/>
          </w:pgBorders>
          <w:pgNumType w:fmt="decimal"/>
          <w:cols w:space="720" w:num="1"/>
        </w:sectPr>
      </w:pPr>
    </w:p>
    <w:p w14:paraId="7D1D8140">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3"/>
        <w:rPr>
          <w:rFonts w:hint="default" w:ascii="Times New Roman" w:hAnsi="Times New Roman" w:eastAsia="宋体" w:cs="Times New Roman"/>
          <w:b/>
          <w:bCs/>
          <w:snapToGrid w:val="0"/>
          <w:color w:val="auto"/>
          <w:spacing w:val="-3"/>
          <w:kern w:val="0"/>
          <w:sz w:val="24"/>
          <w:szCs w:val="24"/>
          <w:lang w:val="en-US" w:eastAsia="en-US" w:bidi="ar-SA"/>
        </w:rPr>
      </w:pPr>
      <w:r>
        <w:rPr>
          <w:rFonts w:hint="default" w:ascii="Times New Roman" w:hAnsi="Times New Roman" w:eastAsia="宋体" w:cs="Times New Roman"/>
          <w:b/>
          <w:bCs/>
          <w:snapToGrid w:val="0"/>
          <w:color w:val="auto"/>
          <w:spacing w:val="-3"/>
          <w:kern w:val="0"/>
          <w:sz w:val="24"/>
          <w:szCs w:val="24"/>
          <w:lang w:val="en-US" w:eastAsia="zh-CN" w:bidi="ar-SA"/>
        </w:rPr>
        <w:t>4</w:t>
      </w:r>
      <w:r>
        <w:rPr>
          <w:rFonts w:hint="default" w:ascii="Times New Roman" w:hAnsi="Times New Roman" w:eastAsia="宋体" w:cs="Times New Roman"/>
          <w:b/>
          <w:bCs/>
          <w:snapToGrid w:val="0"/>
          <w:color w:val="auto"/>
          <w:spacing w:val="-3"/>
          <w:kern w:val="0"/>
          <w:sz w:val="24"/>
          <w:szCs w:val="24"/>
          <w:lang w:val="en-US" w:eastAsia="en-US" w:bidi="ar-SA"/>
        </w:rPr>
        <w:t>.2.1避让措施</w:t>
      </w:r>
    </w:p>
    <w:p w14:paraId="084CB978">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3"/>
          <w:kern w:val="0"/>
          <w:sz w:val="24"/>
          <w:szCs w:val="24"/>
          <w:lang w:val="en-US" w:eastAsia="zh-CN" w:bidi="ar-SA"/>
        </w:rPr>
        <w:t>⑴</w:t>
      </w:r>
      <w:r>
        <w:rPr>
          <w:rFonts w:hint="default" w:ascii="Times New Roman" w:hAnsi="Times New Roman" w:eastAsia="宋体" w:cs="Times New Roman"/>
          <w:snapToGrid w:val="0"/>
          <w:color w:val="auto"/>
          <w:spacing w:val="-3"/>
          <w:kern w:val="0"/>
          <w:sz w:val="24"/>
          <w:szCs w:val="24"/>
          <w:lang w:val="en-US" w:eastAsia="en-US" w:bidi="ar-SA"/>
        </w:rPr>
        <w:t>合理选线和选择建设地点</w:t>
      </w:r>
    </w:p>
    <w:p w14:paraId="2AE0B2DC">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线路在设计时已尽量避开生态敏感区及植被覆盖度较好的</w:t>
      </w:r>
      <w:r>
        <w:rPr>
          <w:rFonts w:hint="default" w:ascii="Times New Roman" w:hAnsi="Times New Roman" w:eastAsia="宋体" w:cs="Times New Roman"/>
          <w:snapToGrid w:val="0"/>
          <w:color w:val="auto"/>
          <w:spacing w:val="-4"/>
          <w:kern w:val="0"/>
          <w:sz w:val="24"/>
          <w:szCs w:val="24"/>
          <w:lang w:val="en-US" w:eastAsia="en-US" w:bidi="ar-SA"/>
        </w:rPr>
        <w:t>区域。修建塔基基</w:t>
      </w:r>
      <w:r>
        <w:rPr>
          <w:rFonts w:hint="default" w:ascii="Times New Roman" w:hAnsi="Times New Roman" w:eastAsia="宋体" w:cs="Times New Roman"/>
          <w:snapToGrid w:val="0"/>
          <w:color w:val="auto"/>
          <w:spacing w:val="-3"/>
          <w:kern w:val="0"/>
          <w:sz w:val="24"/>
          <w:szCs w:val="24"/>
          <w:lang w:val="en-US" w:eastAsia="en-US" w:bidi="ar-SA"/>
        </w:rPr>
        <w:t>础平台应尽量利用自然地势和环境，严格按照施工作业范围进行施工，减少对植</w:t>
      </w:r>
      <w:r>
        <w:rPr>
          <w:rFonts w:hint="default" w:ascii="Times New Roman" w:hAnsi="Times New Roman" w:eastAsia="宋体" w:cs="Times New Roman"/>
          <w:snapToGrid w:val="0"/>
          <w:color w:val="auto"/>
          <w:spacing w:val="-7"/>
          <w:kern w:val="0"/>
          <w:sz w:val="24"/>
          <w:szCs w:val="24"/>
          <w:lang w:val="en-US" w:eastAsia="en-US" w:bidi="ar-SA"/>
        </w:rPr>
        <w:t>被的破坏。</w:t>
      </w:r>
    </w:p>
    <w:p w14:paraId="2D2D7512">
      <w:pPr>
        <w:keepNext w:val="0"/>
        <w:keepLines w:val="0"/>
        <w:pageBreakBefore w:val="0"/>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4"/>
          <w:kern w:val="0"/>
          <w:sz w:val="24"/>
          <w:szCs w:val="24"/>
          <w:lang w:val="en-US" w:eastAsia="zh-CN" w:bidi="ar-SA"/>
        </w:rPr>
        <w:t>⑵</w:t>
      </w:r>
      <w:r>
        <w:rPr>
          <w:rFonts w:hint="default" w:ascii="Times New Roman" w:hAnsi="Times New Roman" w:eastAsia="宋体" w:cs="Times New Roman"/>
          <w:snapToGrid w:val="0"/>
          <w:color w:val="auto"/>
          <w:spacing w:val="-4"/>
          <w:kern w:val="0"/>
          <w:sz w:val="24"/>
          <w:szCs w:val="24"/>
          <w:lang w:val="en-US" w:eastAsia="en-US" w:bidi="ar-SA"/>
        </w:rPr>
        <w:t>合理划定施工范围</w:t>
      </w:r>
    </w:p>
    <w:p w14:paraId="7C3E52B1">
      <w:pPr>
        <w:keepNext w:val="0"/>
        <w:keepLines w:val="0"/>
        <w:pageBreakBefore w:val="0"/>
        <w:kinsoku w:val="0"/>
        <w:wordWrap/>
        <w:overflowPunct/>
        <w:topLinePunct w:val="0"/>
        <w:autoSpaceDE w:val="0"/>
        <w:autoSpaceDN w:val="0"/>
        <w:bidi w:val="0"/>
        <w:adjustRightInd w:val="0"/>
        <w:snapToGrid w:val="0"/>
        <w:spacing w:line="360" w:lineRule="auto"/>
        <w:ind w:left="0" w:right="0" w:firstLine="45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7"/>
          <w:kern w:val="0"/>
          <w:sz w:val="24"/>
          <w:szCs w:val="24"/>
          <w:lang w:val="en-US" w:eastAsia="en-US" w:bidi="ar-SA"/>
        </w:rPr>
        <w:t>合理规划施工便道、牵引场地、施工作业区等临时占地， 严格划定施工范围</w:t>
      </w:r>
      <w:r>
        <w:rPr>
          <w:rFonts w:hint="default" w:ascii="Times New Roman" w:hAnsi="Times New Roman" w:eastAsia="宋体" w:cs="Times New Roman"/>
          <w:snapToGrid w:val="0"/>
          <w:color w:val="auto"/>
          <w:spacing w:val="-6"/>
          <w:kern w:val="0"/>
          <w:sz w:val="24"/>
          <w:szCs w:val="24"/>
          <w:lang w:val="en-US" w:eastAsia="en-US" w:bidi="ar-SA"/>
        </w:rPr>
        <w:t>和人员、车辆的行走路线， 边界用小彩旗标明界限，避免对</w:t>
      </w:r>
      <w:r>
        <w:rPr>
          <w:rFonts w:hint="default" w:ascii="Times New Roman" w:hAnsi="Times New Roman" w:eastAsia="宋体" w:cs="Times New Roman"/>
          <w:snapToGrid w:val="0"/>
          <w:color w:val="auto"/>
          <w:spacing w:val="-7"/>
          <w:kern w:val="0"/>
          <w:sz w:val="24"/>
          <w:szCs w:val="24"/>
          <w:lang w:val="en-US" w:eastAsia="en-US" w:bidi="ar-SA"/>
        </w:rPr>
        <w:t>施工范围之外的区域</w:t>
      </w:r>
      <w:r>
        <w:rPr>
          <w:rFonts w:hint="default" w:ascii="Times New Roman" w:hAnsi="Times New Roman" w:eastAsia="宋体" w:cs="Times New Roman"/>
          <w:snapToGrid w:val="0"/>
          <w:color w:val="auto"/>
          <w:spacing w:val="-4"/>
          <w:kern w:val="0"/>
          <w:sz w:val="24"/>
          <w:szCs w:val="24"/>
          <w:lang w:val="en-US" w:eastAsia="en-US" w:bidi="ar-SA"/>
        </w:rPr>
        <w:t>的植被造成碾压和破坏。</w:t>
      </w:r>
    </w:p>
    <w:p w14:paraId="2ED9F5F3">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⑶</w:t>
      </w:r>
      <w:r>
        <w:rPr>
          <w:rFonts w:hint="default" w:ascii="Times New Roman" w:hAnsi="Times New Roman" w:eastAsia="宋体" w:cs="Times New Roman"/>
          <w:snapToGrid w:val="0"/>
          <w:color w:val="auto"/>
          <w:spacing w:val="-1"/>
          <w:kern w:val="0"/>
          <w:sz w:val="24"/>
          <w:szCs w:val="24"/>
          <w:lang w:val="en-US" w:eastAsia="en-US" w:bidi="ar-SA"/>
        </w:rPr>
        <w:t>提高施工人员的保护意识，严禁捕猎野生动物。运输材料时也要注意</w:t>
      </w:r>
      <w:r>
        <w:rPr>
          <w:rFonts w:hint="default" w:ascii="Times New Roman" w:hAnsi="Times New Roman" w:eastAsia="宋体" w:cs="Times New Roman"/>
          <w:snapToGrid w:val="0"/>
          <w:color w:val="auto"/>
          <w:spacing w:val="-2"/>
          <w:kern w:val="0"/>
          <w:sz w:val="24"/>
          <w:szCs w:val="24"/>
          <w:lang w:val="en-US" w:eastAsia="en-US" w:bidi="ar-SA"/>
        </w:rPr>
        <w:t>不能被雨水或风吹至水体中，以免对这些动物的生境造成污染。</w:t>
      </w:r>
    </w:p>
    <w:p w14:paraId="322C912B">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⑷</w:t>
      </w:r>
      <w:r>
        <w:rPr>
          <w:rFonts w:hint="default" w:ascii="Times New Roman" w:hAnsi="Times New Roman" w:eastAsia="宋体" w:cs="Times New Roman"/>
          <w:snapToGrid w:val="0"/>
          <w:color w:val="auto"/>
          <w:spacing w:val="-1"/>
          <w:kern w:val="0"/>
          <w:sz w:val="24"/>
          <w:szCs w:val="24"/>
          <w:lang w:val="en-US" w:eastAsia="en-US" w:bidi="ar-SA"/>
        </w:rPr>
        <w:t>施工期尽量选用本地的施工机械及材料，外地进入施工区的施工机械</w:t>
      </w:r>
      <w:r>
        <w:rPr>
          <w:rFonts w:hint="default" w:ascii="Times New Roman" w:hAnsi="Times New Roman" w:eastAsia="宋体" w:cs="Times New Roman"/>
          <w:snapToGrid w:val="0"/>
          <w:color w:val="auto"/>
          <w:spacing w:val="-3"/>
          <w:kern w:val="0"/>
          <w:sz w:val="24"/>
          <w:szCs w:val="24"/>
          <w:lang w:val="en-US" w:eastAsia="en-US" w:bidi="ar-SA"/>
        </w:rPr>
        <w:t>及材料等应经过严格检疫，防止病虫害传播。</w:t>
      </w:r>
    </w:p>
    <w:p w14:paraId="0B11FBAE">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2"/>
          <w:kern w:val="0"/>
          <w:sz w:val="24"/>
          <w:szCs w:val="24"/>
          <w:lang w:val="en-US" w:eastAsia="zh-CN" w:bidi="ar-SA"/>
        </w:rPr>
        <w:t>4</w:t>
      </w:r>
      <w:r>
        <w:rPr>
          <w:rFonts w:hint="default" w:ascii="Times New Roman" w:hAnsi="Times New Roman" w:eastAsia="Times New Roman" w:cs="Times New Roman"/>
          <w:b/>
          <w:bCs/>
          <w:snapToGrid w:val="0"/>
          <w:color w:val="auto"/>
          <w:spacing w:val="-2"/>
          <w:kern w:val="0"/>
          <w:sz w:val="24"/>
          <w:szCs w:val="24"/>
          <w:lang w:val="en-US" w:eastAsia="en-US" w:bidi="ar-SA"/>
        </w:rPr>
        <w:t>.2.2</w:t>
      </w:r>
      <w:r>
        <w:rPr>
          <w:rFonts w:hint="default" w:ascii="Times New Roman" w:hAnsi="Times New Roman" w:eastAsia="宋体" w:cs="Times New Roman"/>
          <w:b/>
          <w:bCs/>
          <w:snapToGrid w:val="0"/>
          <w:color w:val="auto"/>
          <w:spacing w:val="-2"/>
          <w:kern w:val="0"/>
          <w:sz w:val="24"/>
          <w:szCs w:val="24"/>
          <w:lang w:val="en-US" w:eastAsia="en-US" w:bidi="ar-SA"/>
        </w:rPr>
        <w:t>减缓措施</w:t>
      </w:r>
    </w:p>
    <w:p w14:paraId="1061C288">
      <w:pPr>
        <w:keepNext w:val="0"/>
        <w:keepLines w:val="0"/>
        <w:pageBreakBefore w:val="0"/>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5"/>
          <w:kern w:val="0"/>
          <w:sz w:val="24"/>
          <w:szCs w:val="24"/>
          <w:lang w:val="en-US" w:eastAsia="zh-CN" w:bidi="ar-SA"/>
        </w:rPr>
        <w:t>⑴</w:t>
      </w:r>
      <w:r>
        <w:rPr>
          <w:rFonts w:hint="default" w:ascii="Times New Roman" w:hAnsi="Times New Roman" w:eastAsia="宋体" w:cs="Times New Roman"/>
          <w:snapToGrid w:val="0"/>
          <w:color w:val="auto"/>
          <w:spacing w:val="-5"/>
          <w:kern w:val="0"/>
          <w:sz w:val="24"/>
          <w:szCs w:val="24"/>
          <w:lang w:val="en-US" w:eastAsia="en-US" w:bidi="ar-SA"/>
        </w:rPr>
        <w:t>合理开挖，表土剥离保护。工程施工作业应采取表土剥离、单独堆存，</w:t>
      </w:r>
      <w:r>
        <w:rPr>
          <w:rFonts w:hint="default" w:ascii="Times New Roman" w:hAnsi="Times New Roman" w:eastAsia="宋体" w:cs="Times New Roman"/>
          <w:snapToGrid w:val="0"/>
          <w:color w:val="auto"/>
          <w:spacing w:val="-3"/>
          <w:kern w:val="0"/>
          <w:sz w:val="24"/>
          <w:szCs w:val="24"/>
          <w:lang w:val="en-US" w:eastAsia="en-US" w:bidi="ar-SA"/>
        </w:rPr>
        <w:t>并采用彩条布进行遮盖保存，施工结束后，塔基基础剥离的表土用于临时施工场</w:t>
      </w:r>
      <w:r>
        <w:rPr>
          <w:rFonts w:hint="default" w:ascii="Times New Roman" w:hAnsi="Times New Roman" w:eastAsia="宋体" w:cs="Times New Roman"/>
          <w:snapToGrid w:val="0"/>
          <w:color w:val="auto"/>
          <w:spacing w:val="-6"/>
          <w:kern w:val="0"/>
          <w:sz w:val="24"/>
          <w:szCs w:val="24"/>
          <w:lang w:val="en-US" w:eastAsia="en-US" w:bidi="ar-SA"/>
        </w:rPr>
        <w:t>地表土回覆利用，以便后期植被恢复。线路施工完成后， 对施</w:t>
      </w:r>
      <w:r>
        <w:rPr>
          <w:rFonts w:hint="default" w:ascii="Times New Roman" w:hAnsi="Times New Roman" w:eastAsia="宋体" w:cs="Times New Roman"/>
          <w:snapToGrid w:val="0"/>
          <w:color w:val="auto"/>
          <w:spacing w:val="-7"/>
          <w:kern w:val="0"/>
          <w:sz w:val="24"/>
          <w:szCs w:val="24"/>
          <w:lang w:val="en-US" w:eastAsia="en-US" w:bidi="ar-SA"/>
        </w:rPr>
        <w:t>工过程中临时占用</w:t>
      </w:r>
      <w:r>
        <w:rPr>
          <w:rFonts w:hint="default" w:ascii="Times New Roman" w:hAnsi="Times New Roman" w:eastAsia="宋体" w:cs="Times New Roman"/>
          <w:snapToGrid w:val="0"/>
          <w:color w:val="auto"/>
          <w:spacing w:val="-3"/>
          <w:kern w:val="0"/>
          <w:sz w:val="24"/>
          <w:szCs w:val="24"/>
          <w:lang w:val="en-US" w:eastAsia="en-US" w:bidi="ar-SA"/>
        </w:rPr>
        <w:t>的土地，及时进行场地清理，恢复原有植被。</w:t>
      </w:r>
    </w:p>
    <w:p w14:paraId="17050C62">
      <w:pPr>
        <w:keepNext w:val="0"/>
        <w:keepLines w:val="0"/>
        <w:pageBreakBefore w:val="0"/>
        <w:kinsoku w:val="0"/>
        <w:wordWrap/>
        <w:overflowPunct/>
        <w:topLinePunct w:val="0"/>
        <w:autoSpaceDE w:val="0"/>
        <w:autoSpaceDN w:val="0"/>
        <w:bidi w:val="0"/>
        <w:adjustRightInd w:val="0"/>
        <w:snapToGrid w:val="0"/>
        <w:spacing w:line="360" w:lineRule="auto"/>
        <w:ind w:left="0" w:right="0" w:firstLine="48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2"/>
          <w:kern w:val="0"/>
          <w:sz w:val="24"/>
          <w:szCs w:val="24"/>
          <w:lang w:val="en-US" w:eastAsia="zh-CN" w:bidi="ar-SA"/>
        </w:rPr>
        <w:t>⑵</w:t>
      </w:r>
      <w:r>
        <w:rPr>
          <w:rFonts w:hint="default" w:ascii="Times New Roman" w:hAnsi="Times New Roman" w:eastAsia="宋体" w:cs="Times New Roman"/>
          <w:snapToGrid w:val="0"/>
          <w:color w:val="auto"/>
          <w:spacing w:val="2"/>
          <w:kern w:val="0"/>
          <w:sz w:val="24"/>
          <w:szCs w:val="24"/>
          <w:lang w:val="en-US" w:eastAsia="en-US" w:bidi="ar-SA"/>
        </w:rPr>
        <w:t>挡护坡面坡脚，防止水土流失。对于的确需要在</w:t>
      </w:r>
      <w:r>
        <w:rPr>
          <w:rFonts w:hint="default" w:ascii="Times New Roman" w:hAnsi="Times New Roman" w:eastAsia="宋体" w:cs="Times New Roman"/>
          <w:snapToGrid w:val="0"/>
          <w:color w:val="auto"/>
          <w:spacing w:val="1"/>
          <w:kern w:val="0"/>
          <w:sz w:val="24"/>
          <w:szCs w:val="24"/>
          <w:lang w:val="en-US" w:eastAsia="en-US" w:bidi="ar-SA"/>
        </w:rPr>
        <w:t>坡度大于</w:t>
      </w:r>
      <w:r>
        <w:rPr>
          <w:rFonts w:hint="default" w:ascii="Times New Roman" w:hAnsi="Times New Roman" w:eastAsia="宋体" w:cs="Times New Roman"/>
          <w:snapToGrid w:val="0"/>
          <w:color w:val="auto"/>
          <w:spacing w:val="-27"/>
          <w:kern w:val="0"/>
          <w:sz w:val="24"/>
          <w:szCs w:val="24"/>
          <w:lang w:val="en-US" w:eastAsia="en-US" w:bidi="ar-SA"/>
        </w:rPr>
        <w:t xml:space="preserve"> </w:t>
      </w:r>
      <w:r>
        <w:rPr>
          <w:rFonts w:hint="default" w:ascii="Times New Roman" w:hAnsi="Times New Roman" w:eastAsia="Times New Roman" w:cs="Times New Roman"/>
          <w:snapToGrid w:val="0"/>
          <w:color w:val="auto"/>
          <w:spacing w:val="1"/>
          <w:kern w:val="0"/>
          <w:sz w:val="24"/>
          <w:szCs w:val="24"/>
          <w:lang w:val="en-US" w:eastAsia="en-US" w:bidi="ar-SA"/>
        </w:rPr>
        <w:t>15°</w:t>
      </w:r>
      <w:r>
        <w:rPr>
          <w:rFonts w:hint="default" w:ascii="Times New Roman" w:hAnsi="Times New Roman" w:eastAsia="宋体" w:cs="Times New Roman"/>
          <w:snapToGrid w:val="0"/>
          <w:color w:val="auto"/>
          <w:spacing w:val="1"/>
          <w:kern w:val="0"/>
          <w:sz w:val="24"/>
          <w:szCs w:val="24"/>
          <w:lang w:val="en-US" w:eastAsia="en-US" w:bidi="ar-SA"/>
        </w:rPr>
        <w:t>的地区</w:t>
      </w:r>
      <w:r>
        <w:rPr>
          <w:rFonts w:hint="default" w:ascii="Times New Roman" w:hAnsi="Times New Roman" w:eastAsia="宋体" w:cs="Times New Roman"/>
          <w:snapToGrid w:val="0"/>
          <w:color w:val="auto"/>
          <w:spacing w:val="-3"/>
          <w:kern w:val="0"/>
          <w:sz w:val="24"/>
          <w:szCs w:val="24"/>
          <w:lang w:val="en-US" w:eastAsia="en-US" w:bidi="ar-SA"/>
        </w:rPr>
        <w:t>设置杆塔的区域，施工时应及时在坡脚处设置草袋挡土墙挡护或坡面种植草本植</w:t>
      </w:r>
      <w:r>
        <w:rPr>
          <w:rFonts w:hint="default" w:ascii="Times New Roman" w:hAnsi="Times New Roman" w:eastAsia="宋体" w:cs="Times New Roman"/>
          <w:snapToGrid w:val="0"/>
          <w:color w:val="auto"/>
          <w:spacing w:val="-2"/>
          <w:kern w:val="0"/>
          <w:sz w:val="24"/>
          <w:szCs w:val="24"/>
          <w:lang w:val="en-US" w:eastAsia="en-US" w:bidi="ar-SA"/>
        </w:rPr>
        <w:t>物等防护措施加以防护，以减少水土流失对生态环境的影响。</w:t>
      </w:r>
    </w:p>
    <w:p w14:paraId="6709DC29">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⑶</w:t>
      </w:r>
      <w:r>
        <w:rPr>
          <w:rFonts w:hint="default" w:ascii="Times New Roman" w:hAnsi="Times New Roman" w:eastAsia="宋体" w:cs="Times New Roman"/>
          <w:snapToGrid w:val="0"/>
          <w:color w:val="auto"/>
          <w:spacing w:val="-1"/>
          <w:kern w:val="0"/>
          <w:sz w:val="24"/>
          <w:szCs w:val="24"/>
          <w:lang w:val="en-US" w:eastAsia="en-US" w:bidi="ar-SA"/>
        </w:rPr>
        <w:t>本项目输电线路经过的土地类型为旱地（含基本农田）、水浇地（含</w:t>
      </w:r>
      <w:r>
        <w:rPr>
          <w:rFonts w:hint="default" w:ascii="Times New Roman" w:hAnsi="Times New Roman" w:eastAsia="宋体" w:cs="Times New Roman"/>
          <w:snapToGrid w:val="0"/>
          <w:color w:val="auto"/>
          <w:spacing w:val="-9"/>
          <w:kern w:val="0"/>
          <w:sz w:val="24"/>
          <w:szCs w:val="24"/>
          <w:lang w:val="en-US" w:eastAsia="en-US" w:bidi="ar-SA"/>
        </w:rPr>
        <w:t>基本农田）、园地时， 对毁坏的青苗要给予赔偿。施工前</w:t>
      </w:r>
      <w:r>
        <w:rPr>
          <w:rFonts w:hint="default" w:ascii="Times New Roman" w:hAnsi="Times New Roman" w:eastAsia="宋体" w:cs="Times New Roman"/>
          <w:snapToGrid w:val="0"/>
          <w:color w:val="auto"/>
          <w:spacing w:val="-10"/>
          <w:kern w:val="0"/>
          <w:sz w:val="24"/>
          <w:szCs w:val="24"/>
          <w:lang w:val="en-US" w:eastAsia="en-US" w:bidi="ar-SA"/>
        </w:rPr>
        <w:t>先设置施工围栏， 设置</w:t>
      </w:r>
      <w:r>
        <w:rPr>
          <w:rFonts w:hint="default" w:ascii="Times New Roman" w:hAnsi="Times New Roman" w:eastAsia="宋体" w:cs="Times New Roman"/>
          <w:snapToGrid w:val="0"/>
          <w:color w:val="auto"/>
          <w:spacing w:val="-3"/>
          <w:kern w:val="0"/>
          <w:sz w:val="24"/>
          <w:szCs w:val="24"/>
          <w:lang w:val="en-US" w:eastAsia="en-US" w:bidi="ar-SA"/>
        </w:rPr>
        <w:t>固定的施工车辆行驶路线，控制施工人员及施工车辆在施工围栏内的活动，避免出现施工人员随意践踏土地的现象，施工车辆随意扩大施工作业范围的现象。临时材料堆放及临时堆土布设在植被较少的区域，对地面均铺设隔离保护措施。施工作业区全部进行耕作层土壤的剥离，并单独集中堆放；施工结束耕作层的土壤</w:t>
      </w:r>
      <w:r>
        <w:rPr>
          <w:rFonts w:hint="default" w:ascii="Times New Roman" w:hAnsi="Times New Roman" w:eastAsia="宋体" w:cs="Times New Roman"/>
          <w:snapToGrid w:val="0"/>
          <w:color w:val="auto"/>
          <w:spacing w:val="-6"/>
          <w:kern w:val="0"/>
          <w:sz w:val="24"/>
          <w:szCs w:val="24"/>
          <w:lang w:val="en-US" w:eastAsia="en-US" w:bidi="ar-SA"/>
        </w:rPr>
        <w:t>均用于临时占地区域植被恢复。施工结束后， 及时清理施工现</w:t>
      </w:r>
      <w:r>
        <w:rPr>
          <w:rFonts w:hint="default" w:ascii="Times New Roman" w:hAnsi="Times New Roman" w:eastAsia="宋体" w:cs="Times New Roman"/>
          <w:snapToGrid w:val="0"/>
          <w:color w:val="auto"/>
          <w:spacing w:val="-7"/>
          <w:kern w:val="0"/>
          <w:sz w:val="24"/>
          <w:szCs w:val="24"/>
          <w:lang w:val="en-US" w:eastAsia="en-US" w:bidi="ar-SA"/>
        </w:rPr>
        <w:t>场，以便后期耕地</w:t>
      </w:r>
      <w:r>
        <w:rPr>
          <w:rFonts w:hint="default" w:ascii="Times New Roman" w:hAnsi="Times New Roman" w:eastAsia="宋体" w:cs="Times New Roman"/>
          <w:snapToGrid w:val="0"/>
          <w:color w:val="auto"/>
          <w:spacing w:val="-3"/>
          <w:kern w:val="0"/>
          <w:sz w:val="24"/>
          <w:szCs w:val="24"/>
          <w:lang w:val="en-US" w:eastAsia="en-US" w:bidi="ar-SA"/>
        </w:rPr>
        <w:t>（含基本农田）的复耕；经过的土地类型为其他草地时，施工结束后通过撒播当</w:t>
      </w:r>
    </w:p>
    <w:p w14:paraId="0F859418">
      <w:pPr>
        <w:keepNext w:val="0"/>
        <w:keepLines w:val="0"/>
        <w:pageBreakBefore w:val="0"/>
        <w:wordWrap/>
        <w:overflowPunct/>
        <w:topLinePunct w:val="0"/>
        <w:bidi w:val="0"/>
        <w:adjustRightInd w:val="0"/>
        <w:snapToGrid w:val="0"/>
        <w:spacing w:line="360" w:lineRule="auto"/>
        <w:ind w:left="0" w:right="0" w:firstLine="420" w:firstLineChars="200"/>
        <w:jc w:val="both"/>
        <w:rPr>
          <w:rFonts w:hint="default" w:ascii="Times New Roman" w:hAnsi="Times New Roman" w:cs="Times New Roman"/>
          <w:color w:val="auto"/>
        </w:rPr>
        <w:sectPr>
          <w:footerReference r:id="rId29" w:type="default"/>
          <w:pgSz w:w="11906" w:h="16839"/>
          <w:pgMar w:top="1426" w:right="1733" w:bottom="1655" w:left="1785" w:header="0" w:footer="1493" w:gutter="0"/>
          <w:pgBorders>
            <w:top w:val="none" w:sz="0" w:space="0"/>
            <w:left w:val="none" w:sz="0" w:space="0"/>
            <w:bottom w:val="none" w:sz="0" w:space="0"/>
            <w:right w:val="none" w:sz="0" w:space="0"/>
          </w:pgBorders>
          <w:pgNumType w:fmt="decimal"/>
          <w:cols w:space="720" w:num="1"/>
        </w:sectPr>
      </w:pPr>
    </w:p>
    <w:p w14:paraId="69831690">
      <w:pPr>
        <w:keepNext w:val="0"/>
        <w:keepLines w:val="0"/>
        <w:pageBreakBefore w:val="0"/>
        <w:kinsoku w:val="0"/>
        <w:wordWrap/>
        <w:overflowPunct/>
        <w:topLinePunct w:val="0"/>
        <w:autoSpaceDE w:val="0"/>
        <w:autoSpaceDN w:val="0"/>
        <w:bidi w:val="0"/>
        <w:adjustRightInd w:val="0"/>
        <w:snapToGrid w:val="0"/>
        <w:spacing w:line="360" w:lineRule="auto"/>
        <w:ind w:left="0" w:right="0" w:firstLine="45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6"/>
          <w:kern w:val="0"/>
          <w:sz w:val="24"/>
          <w:szCs w:val="24"/>
          <w:lang w:val="en-US" w:eastAsia="en-US" w:bidi="ar-SA"/>
        </w:rPr>
        <w:t>地优势草籽及时进行植被恢复。本项目杆塔施工范围内的林木，</w:t>
      </w:r>
      <w:r>
        <w:rPr>
          <w:rFonts w:hint="default" w:ascii="Times New Roman" w:hAnsi="Times New Roman" w:eastAsia="宋体" w:cs="Times New Roman"/>
          <w:snapToGrid w:val="0"/>
          <w:color w:val="auto"/>
          <w:spacing w:val="-7"/>
          <w:kern w:val="0"/>
          <w:sz w:val="24"/>
          <w:szCs w:val="24"/>
          <w:lang w:val="en-US" w:eastAsia="en-US" w:bidi="ar-SA"/>
        </w:rPr>
        <w:t xml:space="preserve"> 要给予赔偿，施</w:t>
      </w:r>
      <w:r>
        <w:rPr>
          <w:rFonts w:hint="default" w:ascii="Times New Roman" w:hAnsi="Times New Roman" w:eastAsia="宋体" w:cs="Times New Roman"/>
          <w:snapToGrid w:val="0"/>
          <w:color w:val="auto"/>
          <w:spacing w:val="-6"/>
          <w:kern w:val="0"/>
          <w:sz w:val="24"/>
          <w:szCs w:val="24"/>
          <w:lang w:val="en-US" w:eastAsia="en-US" w:bidi="ar-SA"/>
        </w:rPr>
        <w:t>工结束后要进行林木的补植。施工结束后， 及时清理施</w:t>
      </w:r>
      <w:r>
        <w:rPr>
          <w:rFonts w:hint="default" w:ascii="Times New Roman" w:hAnsi="Times New Roman" w:eastAsia="宋体" w:cs="Times New Roman"/>
          <w:snapToGrid w:val="0"/>
          <w:color w:val="auto"/>
          <w:spacing w:val="-7"/>
          <w:kern w:val="0"/>
          <w:sz w:val="24"/>
          <w:szCs w:val="24"/>
          <w:lang w:val="en-US" w:eastAsia="en-US" w:bidi="ar-SA"/>
        </w:rPr>
        <w:t>工现场，以便后期植被恢</w:t>
      </w:r>
      <w:r>
        <w:rPr>
          <w:rFonts w:hint="default" w:ascii="Times New Roman" w:hAnsi="Times New Roman" w:eastAsia="宋体" w:cs="Times New Roman"/>
          <w:snapToGrid w:val="0"/>
          <w:color w:val="auto"/>
          <w:spacing w:val="-12"/>
          <w:kern w:val="0"/>
          <w:sz w:val="24"/>
          <w:szCs w:val="24"/>
          <w:lang w:val="en-US" w:eastAsia="en-US" w:bidi="ar-SA"/>
        </w:rPr>
        <w:t>复。</w:t>
      </w:r>
    </w:p>
    <w:p w14:paraId="27969D00">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⑷</w:t>
      </w:r>
      <w:r>
        <w:rPr>
          <w:rFonts w:hint="default" w:ascii="Times New Roman" w:hAnsi="Times New Roman" w:eastAsia="宋体" w:cs="Times New Roman"/>
          <w:snapToGrid w:val="0"/>
          <w:color w:val="auto"/>
          <w:spacing w:val="-1"/>
          <w:kern w:val="0"/>
          <w:sz w:val="24"/>
          <w:szCs w:val="24"/>
          <w:lang w:val="en-US" w:eastAsia="en-US" w:bidi="ar-SA"/>
        </w:rPr>
        <w:t>临时垃圾及时清理。对于临时占地，由于施工人员、施工车辆及施工</w:t>
      </w:r>
      <w:r>
        <w:rPr>
          <w:rFonts w:hint="default" w:ascii="Times New Roman" w:hAnsi="Times New Roman" w:eastAsia="宋体" w:cs="Times New Roman"/>
          <w:snapToGrid w:val="0"/>
          <w:color w:val="auto"/>
          <w:spacing w:val="-3"/>
          <w:kern w:val="0"/>
          <w:sz w:val="24"/>
          <w:szCs w:val="24"/>
          <w:lang w:val="en-US" w:eastAsia="en-US" w:bidi="ar-SA"/>
        </w:rPr>
        <w:t>材料压占临时设施区改变其土壤紧实度，会影响植被的自然生长，同时材料运输</w:t>
      </w:r>
      <w:r>
        <w:rPr>
          <w:rFonts w:hint="default" w:ascii="Times New Roman" w:hAnsi="Times New Roman" w:eastAsia="宋体" w:cs="Times New Roman"/>
          <w:snapToGrid w:val="0"/>
          <w:color w:val="auto"/>
          <w:spacing w:val="-6"/>
          <w:kern w:val="0"/>
          <w:sz w:val="24"/>
          <w:szCs w:val="24"/>
          <w:lang w:val="en-US" w:eastAsia="en-US" w:bidi="ar-SA"/>
        </w:rPr>
        <w:t>过程中部分沙石、水泥洒落， 施工迹地有部分建筑垃圾，因此</w:t>
      </w:r>
      <w:r>
        <w:rPr>
          <w:rFonts w:hint="default" w:ascii="Times New Roman" w:hAnsi="Times New Roman" w:eastAsia="宋体" w:cs="Times New Roman"/>
          <w:snapToGrid w:val="0"/>
          <w:color w:val="auto"/>
          <w:spacing w:val="-7"/>
          <w:kern w:val="0"/>
          <w:sz w:val="24"/>
          <w:szCs w:val="24"/>
          <w:lang w:val="en-US" w:eastAsia="en-US" w:bidi="ar-SA"/>
        </w:rPr>
        <w:t>在完工后应清除各</w:t>
      </w:r>
      <w:r>
        <w:rPr>
          <w:rFonts w:hint="default" w:ascii="Times New Roman" w:hAnsi="Times New Roman" w:eastAsia="宋体" w:cs="Times New Roman"/>
          <w:snapToGrid w:val="0"/>
          <w:color w:val="auto"/>
          <w:spacing w:val="-3"/>
          <w:kern w:val="0"/>
          <w:sz w:val="24"/>
          <w:szCs w:val="24"/>
          <w:lang w:val="en-US" w:eastAsia="en-US" w:bidi="ar-SA"/>
        </w:rPr>
        <w:t>种残留的建筑垃圾，对粒径大于</w:t>
      </w:r>
      <w:r>
        <w:rPr>
          <w:rFonts w:hint="default" w:ascii="Times New Roman" w:hAnsi="Times New Roman" w:eastAsia="宋体" w:cs="Times New Roman"/>
          <w:snapToGrid w:val="0"/>
          <w:color w:val="auto"/>
          <w:spacing w:val="-40"/>
          <w:kern w:val="0"/>
          <w:sz w:val="24"/>
          <w:szCs w:val="24"/>
          <w:lang w:val="en-US" w:eastAsia="en-US" w:bidi="ar-SA"/>
        </w:rPr>
        <w:t xml:space="preserve"> </w:t>
      </w:r>
      <w:r>
        <w:rPr>
          <w:rFonts w:hint="default" w:ascii="Times New Roman" w:hAnsi="Times New Roman" w:eastAsia="Times New Roman" w:cs="Times New Roman"/>
          <w:snapToGrid w:val="0"/>
          <w:color w:val="auto"/>
          <w:spacing w:val="-3"/>
          <w:kern w:val="0"/>
          <w:sz w:val="24"/>
          <w:szCs w:val="24"/>
          <w:lang w:val="en-US" w:eastAsia="en-US" w:bidi="ar-SA"/>
        </w:rPr>
        <w:t>5.0cm</w:t>
      </w:r>
      <w:r>
        <w:rPr>
          <w:rFonts w:hint="default" w:ascii="Times New Roman" w:hAnsi="Times New Roman" w:eastAsia="Times New Roman" w:cs="Times New Roman"/>
          <w:snapToGrid w:val="0"/>
          <w:color w:val="auto"/>
          <w:spacing w:val="30"/>
          <w:kern w:val="0"/>
          <w:sz w:val="24"/>
          <w:szCs w:val="24"/>
          <w:lang w:val="en-US" w:eastAsia="en-US" w:bidi="ar-SA"/>
        </w:rPr>
        <w:t xml:space="preserve"> </w:t>
      </w:r>
      <w:r>
        <w:rPr>
          <w:rFonts w:hint="default" w:ascii="Times New Roman" w:hAnsi="Times New Roman" w:eastAsia="宋体" w:cs="Times New Roman"/>
          <w:snapToGrid w:val="0"/>
          <w:color w:val="auto"/>
          <w:spacing w:val="-3"/>
          <w:kern w:val="0"/>
          <w:sz w:val="24"/>
          <w:szCs w:val="24"/>
          <w:lang w:val="en-US" w:eastAsia="en-US" w:bidi="ar-SA"/>
        </w:rPr>
        <w:t>的碎石块进行捡选去除。</w:t>
      </w:r>
    </w:p>
    <w:p w14:paraId="205C4DE5">
      <w:pPr>
        <w:keepNext w:val="0"/>
        <w:keepLines w:val="0"/>
        <w:pageBreakBefore w:val="0"/>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4"/>
          <w:kern w:val="0"/>
          <w:sz w:val="24"/>
          <w:szCs w:val="24"/>
          <w:lang w:val="en-US" w:eastAsia="zh-CN" w:bidi="ar-SA"/>
        </w:rPr>
        <w:t>⑸</w:t>
      </w:r>
      <w:r>
        <w:rPr>
          <w:rFonts w:hint="default" w:ascii="Times New Roman" w:hAnsi="Times New Roman" w:eastAsia="宋体" w:cs="Times New Roman"/>
          <w:snapToGrid w:val="0"/>
          <w:color w:val="auto"/>
          <w:spacing w:val="-4"/>
          <w:kern w:val="0"/>
          <w:sz w:val="24"/>
          <w:szCs w:val="24"/>
          <w:lang w:val="en-US" w:eastAsia="en-US" w:bidi="ar-SA"/>
        </w:rPr>
        <w:t>临时占用耕地（含基本农田）区域采用地表隔离</w:t>
      </w:r>
      <w:r>
        <w:rPr>
          <w:rFonts w:hint="default" w:ascii="Times New Roman" w:hAnsi="Times New Roman" w:eastAsia="宋体" w:cs="Times New Roman"/>
          <w:snapToGrid w:val="0"/>
          <w:color w:val="auto"/>
          <w:spacing w:val="-5"/>
          <w:kern w:val="0"/>
          <w:sz w:val="24"/>
          <w:szCs w:val="24"/>
          <w:lang w:val="en-US" w:eastAsia="en-US" w:bidi="ar-SA"/>
        </w:rPr>
        <w:t>措施，便于后期恢复。</w:t>
      </w:r>
    </w:p>
    <w:p w14:paraId="43B6FCCF">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2"/>
          <w:kern w:val="0"/>
          <w:sz w:val="24"/>
          <w:szCs w:val="24"/>
          <w:lang w:val="en-US" w:eastAsia="zh-CN" w:bidi="ar-SA"/>
        </w:rPr>
        <w:t>4</w:t>
      </w:r>
      <w:r>
        <w:rPr>
          <w:rFonts w:hint="default" w:ascii="Times New Roman" w:hAnsi="Times New Roman" w:eastAsia="Times New Roman" w:cs="Times New Roman"/>
          <w:b/>
          <w:bCs/>
          <w:snapToGrid w:val="0"/>
          <w:color w:val="auto"/>
          <w:spacing w:val="-2"/>
          <w:kern w:val="0"/>
          <w:sz w:val="24"/>
          <w:szCs w:val="24"/>
          <w:lang w:val="en-US" w:eastAsia="en-US" w:bidi="ar-SA"/>
        </w:rPr>
        <w:t>.2.3</w:t>
      </w:r>
      <w:r>
        <w:rPr>
          <w:rFonts w:hint="default" w:ascii="Times New Roman" w:hAnsi="Times New Roman" w:eastAsia="宋体" w:cs="Times New Roman"/>
          <w:b/>
          <w:bCs/>
          <w:snapToGrid w:val="0"/>
          <w:color w:val="auto"/>
          <w:spacing w:val="-2"/>
          <w:kern w:val="0"/>
          <w:sz w:val="24"/>
          <w:szCs w:val="24"/>
          <w:lang w:val="en-US" w:eastAsia="en-US" w:bidi="ar-SA"/>
        </w:rPr>
        <w:t>恢复与补偿措施</w:t>
      </w:r>
    </w:p>
    <w:p w14:paraId="44C9657D">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项目建设对陆生生态的影响主要体现在对陆生植被的影</w:t>
      </w:r>
      <w:r>
        <w:rPr>
          <w:rFonts w:hint="default" w:ascii="Times New Roman" w:hAnsi="Times New Roman" w:eastAsia="宋体" w:cs="Times New Roman"/>
          <w:snapToGrid w:val="0"/>
          <w:color w:val="auto"/>
          <w:spacing w:val="-4"/>
          <w:kern w:val="0"/>
          <w:sz w:val="24"/>
          <w:szCs w:val="24"/>
          <w:lang w:val="en-US" w:eastAsia="en-US" w:bidi="ar-SA"/>
        </w:rPr>
        <w:t>响上。因此施工结束</w:t>
      </w:r>
      <w:r>
        <w:rPr>
          <w:rFonts w:hint="default" w:ascii="Times New Roman" w:hAnsi="Times New Roman" w:eastAsia="宋体" w:cs="Times New Roman"/>
          <w:snapToGrid w:val="0"/>
          <w:color w:val="auto"/>
          <w:spacing w:val="-2"/>
          <w:kern w:val="0"/>
          <w:sz w:val="24"/>
          <w:szCs w:val="24"/>
          <w:lang w:val="en-US" w:eastAsia="en-US" w:bidi="ar-SA"/>
        </w:rPr>
        <w:t>后，应结合水土保持植物措施，对各类施工迹地实施陆生生态修复措施。</w:t>
      </w:r>
    </w:p>
    <w:p w14:paraId="16B1C046">
      <w:pPr>
        <w:keepNext w:val="0"/>
        <w:keepLines w:val="0"/>
        <w:pageBreakBefore w:val="0"/>
        <w:kinsoku w:val="0"/>
        <w:wordWrap/>
        <w:overflowPunct/>
        <w:topLinePunct w:val="0"/>
        <w:autoSpaceDE w:val="0"/>
        <w:autoSpaceDN w:val="0"/>
        <w:bidi w:val="0"/>
        <w:adjustRightInd w:val="0"/>
        <w:snapToGrid w:val="0"/>
        <w:spacing w:line="360" w:lineRule="auto"/>
        <w:ind w:left="0" w:right="0" w:firstLine="46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b/>
          <w:bCs/>
          <w:snapToGrid w:val="0"/>
          <w:color w:val="auto"/>
          <w:spacing w:val="-4"/>
          <w:kern w:val="0"/>
          <w:sz w:val="24"/>
          <w:szCs w:val="24"/>
          <w:lang w:val="en-US" w:eastAsia="zh-CN" w:bidi="ar-SA"/>
        </w:rPr>
        <w:t>⑴</w:t>
      </w:r>
      <w:r>
        <w:rPr>
          <w:rFonts w:hint="default" w:ascii="Times New Roman" w:hAnsi="Times New Roman" w:eastAsia="宋体" w:cs="Times New Roman"/>
          <w:b/>
          <w:bCs/>
          <w:snapToGrid w:val="0"/>
          <w:color w:val="auto"/>
          <w:spacing w:val="-4"/>
          <w:kern w:val="0"/>
          <w:sz w:val="24"/>
          <w:szCs w:val="24"/>
          <w:lang w:val="en-US" w:eastAsia="en-US" w:bidi="ar-SA"/>
        </w:rPr>
        <w:t>植被修复原则</w:t>
      </w:r>
    </w:p>
    <w:p w14:paraId="4C09DC62">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①保护原有生态系统的原则：评价范围位于宁夏回族自治区固原</w:t>
      </w:r>
      <w:r>
        <w:rPr>
          <w:rFonts w:hint="default" w:ascii="Times New Roman" w:hAnsi="Times New Roman" w:eastAsia="宋体" w:cs="Times New Roman"/>
          <w:snapToGrid w:val="0"/>
          <w:color w:val="auto"/>
          <w:spacing w:val="-4"/>
          <w:kern w:val="0"/>
          <w:sz w:val="24"/>
          <w:szCs w:val="24"/>
          <w:lang w:val="en-US" w:eastAsia="en-US" w:bidi="ar-SA"/>
        </w:rPr>
        <w:t>市，区域植</w:t>
      </w:r>
      <w:r>
        <w:rPr>
          <w:rFonts w:hint="default" w:ascii="Times New Roman" w:hAnsi="Times New Roman" w:eastAsia="宋体" w:cs="Times New Roman"/>
          <w:snapToGrid w:val="0"/>
          <w:color w:val="auto"/>
          <w:spacing w:val="-3"/>
          <w:kern w:val="0"/>
          <w:sz w:val="24"/>
          <w:szCs w:val="24"/>
          <w:lang w:val="en-US" w:eastAsia="en-US" w:bidi="ar-SA"/>
        </w:rPr>
        <w:t>被类型以灌丛和草原为主，在植被修复过程中，必须尽量保护施工占地区域原有</w:t>
      </w:r>
      <w:r>
        <w:rPr>
          <w:rFonts w:hint="default" w:ascii="Times New Roman" w:hAnsi="Times New Roman" w:eastAsia="宋体" w:cs="Times New Roman"/>
          <w:snapToGrid w:val="0"/>
          <w:color w:val="auto"/>
          <w:spacing w:val="-5"/>
          <w:kern w:val="0"/>
          <w:sz w:val="24"/>
          <w:szCs w:val="24"/>
          <w:lang w:val="en-US" w:eastAsia="en-US" w:bidi="ar-SA"/>
        </w:rPr>
        <w:t>体系的生态环境。</w:t>
      </w:r>
    </w:p>
    <w:p w14:paraId="064B0363">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②保护生物多样性的原则：施工期按照项目所在区域生态功能治理</w:t>
      </w:r>
      <w:r>
        <w:rPr>
          <w:rFonts w:hint="default" w:ascii="Times New Roman" w:hAnsi="Times New Roman" w:eastAsia="宋体" w:cs="Times New Roman"/>
          <w:snapToGrid w:val="0"/>
          <w:color w:val="auto"/>
          <w:spacing w:val="-4"/>
          <w:kern w:val="0"/>
          <w:sz w:val="24"/>
          <w:szCs w:val="24"/>
          <w:lang w:val="en-US" w:eastAsia="en-US" w:bidi="ar-SA"/>
        </w:rPr>
        <w:t>措施“山</w:t>
      </w:r>
      <w:r>
        <w:rPr>
          <w:rFonts w:hint="default" w:ascii="Times New Roman" w:hAnsi="Times New Roman" w:eastAsia="宋体" w:cs="Times New Roman"/>
          <w:snapToGrid w:val="0"/>
          <w:color w:val="auto"/>
          <w:spacing w:val="-3"/>
          <w:kern w:val="0"/>
          <w:sz w:val="24"/>
          <w:szCs w:val="24"/>
          <w:lang w:val="en-US" w:eastAsia="en-US" w:bidi="ar-SA"/>
        </w:rPr>
        <w:t>顶种草。山腰栽植灌木。山沟栽植乔木林和经果林”为原则，结合本项目实际占地类型，施工期根据其不同的占地类型，对沿线占用耕地（含基本农田）、林地和草地恢复其原有植被，恢复的植被种类均为占地区域生物群落的优势种、建群</w:t>
      </w:r>
      <w:r>
        <w:rPr>
          <w:rFonts w:hint="default" w:ascii="Times New Roman" w:hAnsi="Times New Roman" w:eastAsia="宋体" w:cs="Times New Roman"/>
          <w:snapToGrid w:val="0"/>
          <w:color w:val="auto"/>
          <w:spacing w:val="-5"/>
          <w:kern w:val="0"/>
          <w:sz w:val="24"/>
          <w:szCs w:val="24"/>
          <w:lang w:val="en-US" w:eastAsia="en-US" w:bidi="ar-SA"/>
        </w:rPr>
        <w:t>种。项目临时占地恢复后，</w:t>
      </w:r>
      <w:r>
        <w:rPr>
          <w:rFonts w:hint="default" w:ascii="Times New Roman" w:hAnsi="Times New Roman" w:eastAsia="宋体" w:cs="Times New Roman"/>
          <w:snapToGrid w:val="0"/>
          <w:color w:val="auto"/>
          <w:spacing w:val="-46"/>
          <w:kern w:val="0"/>
          <w:sz w:val="24"/>
          <w:szCs w:val="24"/>
          <w:lang w:val="en-US" w:eastAsia="en-US" w:bidi="ar-SA"/>
        </w:rPr>
        <w:t xml:space="preserve"> </w:t>
      </w:r>
      <w:r>
        <w:rPr>
          <w:rFonts w:hint="default" w:ascii="Times New Roman" w:hAnsi="Times New Roman" w:eastAsia="宋体" w:cs="Times New Roman"/>
          <w:snapToGrid w:val="0"/>
          <w:color w:val="auto"/>
          <w:spacing w:val="-5"/>
          <w:kern w:val="0"/>
          <w:sz w:val="24"/>
          <w:szCs w:val="24"/>
          <w:lang w:val="en-US" w:eastAsia="en-US" w:bidi="ar-SA"/>
        </w:rPr>
        <w:t>最终可形成与周边生态环境相协调的植物群落</w:t>
      </w:r>
      <w:r>
        <w:rPr>
          <w:rFonts w:hint="default" w:ascii="Times New Roman" w:hAnsi="Times New Roman" w:eastAsia="宋体" w:cs="Times New Roman"/>
          <w:snapToGrid w:val="0"/>
          <w:color w:val="auto"/>
          <w:spacing w:val="-6"/>
          <w:kern w:val="0"/>
          <w:sz w:val="24"/>
          <w:szCs w:val="24"/>
          <w:lang w:val="en-US" w:eastAsia="en-US" w:bidi="ar-SA"/>
        </w:rPr>
        <w:t>及生态</w:t>
      </w:r>
      <w:r>
        <w:rPr>
          <w:rFonts w:hint="default" w:ascii="Times New Roman" w:hAnsi="Times New Roman" w:eastAsia="宋体" w:cs="Times New Roman"/>
          <w:snapToGrid w:val="0"/>
          <w:color w:val="auto"/>
          <w:spacing w:val="-2"/>
          <w:kern w:val="0"/>
          <w:sz w:val="24"/>
          <w:szCs w:val="24"/>
          <w:lang w:val="en-US" w:eastAsia="en-US" w:bidi="ar-SA"/>
        </w:rPr>
        <w:t>系统，不涉及因外源生物入侵，而导致的生态环境风险。</w:t>
      </w:r>
    </w:p>
    <w:p w14:paraId="0B2DF024">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③临时占地全部恢复的原则：本项目生态恢复区域，包含本项目所</w:t>
      </w:r>
      <w:r>
        <w:rPr>
          <w:rFonts w:hint="default" w:ascii="Times New Roman" w:hAnsi="Times New Roman" w:eastAsia="宋体" w:cs="Times New Roman"/>
          <w:snapToGrid w:val="0"/>
          <w:color w:val="auto"/>
          <w:spacing w:val="-4"/>
          <w:kern w:val="0"/>
          <w:sz w:val="24"/>
          <w:szCs w:val="24"/>
          <w:lang w:val="en-US" w:eastAsia="en-US" w:bidi="ar-SA"/>
        </w:rPr>
        <w:t>有临时占</w:t>
      </w:r>
      <w:r>
        <w:rPr>
          <w:rFonts w:hint="default" w:ascii="Times New Roman" w:hAnsi="Times New Roman" w:eastAsia="宋体" w:cs="Times New Roman"/>
          <w:snapToGrid w:val="0"/>
          <w:color w:val="auto"/>
          <w:spacing w:val="-3"/>
          <w:kern w:val="0"/>
          <w:sz w:val="24"/>
          <w:szCs w:val="24"/>
          <w:lang w:val="en-US" w:eastAsia="en-US" w:bidi="ar-SA"/>
        </w:rPr>
        <w:t>地区域，包含塔基施工区域、施工临时道路、牵张场、跨越场、地下电缆施工区</w:t>
      </w:r>
      <w:r>
        <w:rPr>
          <w:rFonts w:hint="default" w:ascii="Times New Roman" w:hAnsi="Times New Roman" w:eastAsia="宋体" w:cs="Times New Roman"/>
          <w:snapToGrid w:val="0"/>
          <w:color w:val="auto"/>
          <w:spacing w:val="1"/>
          <w:kern w:val="0"/>
          <w:sz w:val="24"/>
          <w:szCs w:val="24"/>
          <w:lang w:val="en-US" w:eastAsia="en-US" w:bidi="ar-SA"/>
        </w:rPr>
        <w:t>域，恢复面积为</w:t>
      </w:r>
      <w:r>
        <w:rPr>
          <w:rFonts w:hint="default" w:ascii="Times New Roman" w:hAnsi="Times New Roman" w:eastAsia="宋体" w:cs="Times New Roman"/>
          <w:snapToGrid w:val="0"/>
          <w:color w:val="auto"/>
          <w:spacing w:val="-25"/>
          <w:kern w:val="0"/>
          <w:sz w:val="24"/>
          <w:szCs w:val="24"/>
          <w:lang w:val="en-US" w:eastAsia="en-US" w:bidi="ar-SA"/>
        </w:rPr>
        <w:t xml:space="preserve"> </w:t>
      </w:r>
      <w:r>
        <w:rPr>
          <w:rFonts w:hint="default" w:ascii="Times New Roman" w:hAnsi="Times New Roman" w:eastAsia="Times New Roman" w:cs="Times New Roman"/>
          <w:snapToGrid w:val="0"/>
          <w:color w:val="auto"/>
          <w:spacing w:val="1"/>
          <w:kern w:val="0"/>
          <w:sz w:val="24"/>
          <w:szCs w:val="24"/>
          <w:lang w:val="en-US" w:eastAsia="en-US" w:bidi="ar-SA"/>
        </w:rPr>
        <w:t>18.5861</w:t>
      </w:r>
      <w:r>
        <w:rPr>
          <w:rFonts w:hint="default" w:ascii="Times New Roman" w:hAnsi="Times New Roman" w:eastAsia="Times New Roman" w:cs="Times New Roman"/>
          <w:snapToGrid w:val="0"/>
          <w:color w:val="auto"/>
          <w:kern w:val="0"/>
          <w:sz w:val="24"/>
          <w:szCs w:val="24"/>
          <w:lang w:val="en-US" w:eastAsia="en-US" w:bidi="ar-SA"/>
        </w:rPr>
        <w:t>hm</w:t>
      </w:r>
      <w:r>
        <w:rPr>
          <w:rFonts w:hint="default" w:ascii="Times New Roman" w:hAnsi="Times New Roman" w:eastAsia="Times New Roman" w:cs="Times New Roman"/>
          <w:snapToGrid w:val="0"/>
          <w:color w:val="auto"/>
          <w:spacing w:val="1"/>
          <w:kern w:val="0"/>
          <w:position w:val="8"/>
          <w:sz w:val="15"/>
          <w:szCs w:val="15"/>
          <w:lang w:val="en-US" w:eastAsia="en-US" w:bidi="ar-SA"/>
        </w:rPr>
        <w:t>2</w:t>
      </w:r>
      <w:r>
        <w:rPr>
          <w:rFonts w:hint="default" w:ascii="Times New Roman" w:hAnsi="Times New Roman" w:eastAsia="宋体" w:cs="Times New Roman"/>
          <w:snapToGrid w:val="0"/>
          <w:color w:val="auto"/>
          <w:spacing w:val="1"/>
          <w:kern w:val="0"/>
          <w:sz w:val="24"/>
          <w:szCs w:val="24"/>
          <w:lang w:val="en-US" w:eastAsia="en-US" w:bidi="ar-SA"/>
        </w:rPr>
        <w:t>。恢复后植被覆盖率不低于当地同类型土地的</w:t>
      </w:r>
      <w:r>
        <w:rPr>
          <w:rFonts w:hint="default" w:ascii="Times New Roman" w:hAnsi="Times New Roman" w:eastAsia="宋体" w:cs="Times New Roman"/>
          <w:snapToGrid w:val="0"/>
          <w:color w:val="auto"/>
          <w:spacing w:val="-41"/>
          <w:kern w:val="0"/>
          <w:sz w:val="24"/>
          <w:szCs w:val="24"/>
          <w:lang w:val="en-US" w:eastAsia="en-US" w:bidi="ar-SA"/>
        </w:rPr>
        <w:t xml:space="preserve"> </w:t>
      </w:r>
      <w:r>
        <w:rPr>
          <w:rFonts w:hint="default" w:ascii="Times New Roman" w:hAnsi="Times New Roman" w:eastAsia="Times New Roman" w:cs="Times New Roman"/>
          <w:snapToGrid w:val="0"/>
          <w:color w:val="auto"/>
          <w:spacing w:val="1"/>
          <w:kern w:val="0"/>
          <w:sz w:val="24"/>
          <w:szCs w:val="24"/>
          <w:lang w:val="en-US" w:eastAsia="en-US" w:bidi="ar-SA"/>
        </w:rPr>
        <w:t>80%</w:t>
      </w:r>
      <w:r>
        <w:rPr>
          <w:rFonts w:hint="default" w:ascii="Times New Roman" w:hAnsi="Times New Roman" w:eastAsia="宋体" w:cs="Times New Roman"/>
          <w:snapToGrid w:val="0"/>
          <w:color w:val="auto"/>
          <w:spacing w:val="-7"/>
          <w:kern w:val="0"/>
          <w:sz w:val="24"/>
          <w:szCs w:val="24"/>
          <w:lang w:val="en-US" w:eastAsia="en-US" w:bidi="ar-SA"/>
        </w:rPr>
        <w:t>植被覆盖率。</w:t>
      </w:r>
    </w:p>
    <w:p w14:paraId="4D261929">
      <w:pPr>
        <w:keepNext w:val="0"/>
        <w:keepLines w:val="0"/>
        <w:pageBreakBefore w:val="0"/>
        <w:kinsoku w:val="0"/>
        <w:wordWrap/>
        <w:overflowPunct/>
        <w:topLinePunct w:val="0"/>
        <w:autoSpaceDE w:val="0"/>
        <w:autoSpaceDN w:val="0"/>
        <w:bidi w:val="0"/>
        <w:adjustRightInd w:val="0"/>
        <w:snapToGrid w:val="0"/>
        <w:spacing w:line="360" w:lineRule="auto"/>
        <w:ind w:left="0" w:right="0" w:firstLine="46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b/>
          <w:bCs/>
          <w:snapToGrid w:val="0"/>
          <w:color w:val="auto"/>
          <w:spacing w:val="-4"/>
          <w:kern w:val="0"/>
          <w:sz w:val="24"/>
          <w:szCs w:val="24"/>
          <w:lang w:val="en-US" w:eastAsia="zh-CN" w:bidi="ar-SA"/>
        </w:rPr>
        <w:t>⑵</w:t>
      </w:r>
      <w:r>
        <w:rPr>
          <w:rFonts w:hint="default" w:ascii="Times New Roman" w:hAnsi="Times New Roman" w:eastAsia="宋体" w:cs="Times New Roman"/>
          <w:b/>
          <w:bCs/>
          <w:snapToGrid w:val="0"/>
          <w:color w:val="auto"/>
          <w:spacing w:val="-4"/>
          <w:kern w:val="0"/>
          <w:sz w:val="24"/>
          <w:szCs w:val="24"/>
          <w:lang w:val="en-US" w:eastAsia="en-US" w:bidi="ar-SA"/>
        </w:rPr>
        <w:t>恢复植物的选择</w:t>
      </w:r>
    </w:p>
    <w:p w14:paraId="1EDA32D0">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生态适应性原则：植物生态习性必须与当地气候环境条件相</w:t>
      </w:r>
      <w:r>
        <w:rPr>
          <w:rFonts w:hint="default" w:ascii="Times New Roman" w:hAnsi="Times New Roman" w:eastAsia="宋体" w:cs="Times New Roman"/>
          <w:snapToGrid w:val="0"/>
          <w:color w:val="auto"/>
          <w:spacing w:val="-4"/>
          <w:kern w:val="0"/>
          <w:sz w:val="24"/>
          <w:szCs w:val="24"/>
          <w:lang w:val="en-US" w:eastAsia="en-US" w:bidi="ar-SA"/>
        </w:rPr>
        <w:t>适应。恢复时还需考虑适合工程区的植被区系。</w:t>
      </w:r>
    </w:p>
    <w:p w14:paraId="093DB09F">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本土植物优先原则：乡土种在当地食物链中已经形成相对稳定的结构，与生</w:t>
      </w:r>
    </w:p>
    <w:p w14:paraId="4593877B">
      <w:pPr>
        <w:keepNext w:val="0"/>
        <w:keepLines w:val="0"/>
        <w:pageBreakBefore w:val="0"/>
        <w:wordWrap/>
        <w:overflowPunct/>
        <w:topLinePunct w:val="0"/>
        <w:bidi w:val="0"/>
        <w:adjustRightInd w:val="0"/>
        <w:snapToGrid w:val="0"/>
        <w:spacing w:line="360" w:lineRule="auto"/>
        <w:ind w:left="0" w:right="0" w:firstLine="420" w:firstLineChars="200"/>
        <w:jc w:val="both"/>
        <w:rPr>
          <w:rFonts w:hint="default" w:ascii="Times New Roman" w:hAnsi="Times New Roman" w:cs="Times New Roman"/>
          <w:color w:val="auto"/>
        </w:rPr>
        <w:sectPr>
          <w:footerReference r:id="rId30" w:type="default"/>
          <w:pgSz w:w="11906" w:h="16839"/>
          <w:pgMar w:top="1426" w:right="1714" w:bottom="1655" w:left="1785" w:header="0" w:footer="1493" w:gutter="0"/>
          <w:pgBorders>
            <w:top w:val="none" w:sz="0" w:space="0"/>
            <w:left w:val="none" w:sz="0" w:space="0"/>
            <w:bottom w:val="none" w:sz="0" w:space="0"/>
            <w:right w:val="none" w:sz="0" w:space="0"/>
          </w:pgBorders>
          <w:pgNumType w:fmt="decimal"/>
          <w:cols w:space="720" w:num="1"/>
        </w:sectPr>
      </w:pPr>
    </w:p>
    <w:p w14:paraId="06BA1054">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境建立了和谐的关系，适应性强，有利于保护生物多样性和维持当地生态平衡，</w:t>
      </w:r>
      <w:r>
        <w:rPr>
          <w:rFonts w:hint="default" w:ascii="Times New Roman" w:hAnsi="Times New Roman" w:eastAsia="宋体" w:cs="Times New Roman"/>
          <w:snapToGrid w:val="0"/>
          <w:color w:val="auto"/>
          <w:spacing w:val="-5"/>
          <w:kern w:val="0"/>
          <w:sz w:val="24"/>
          <w:szCs w:val="24"/>
          <w:lang w:val="en-US" w:eastAsia="en-US" w:bidi="ar-SA"/>
        </w:rPr>
        <w:t>并且能体现当地地域特点。可根据评价区生态环境特点以及植被现状</w:t>
      </w:r>
      <w:r>
        <w:rPr>
          <w:rFonts w:hint="default" w:ascii="Times New Roman" w:hAnsi="Times New Roman" w:eastAsia="宋体" w:cs="Times New Roman"/>
          <w:snapToGrid w:val="0"/>
          <w:color w:val="auto"/>
          <w:spacing w:val="-6"/>
          <w:kern w:val="0"/>
          <w:sz w:val="24"/>
          <w:szCs w:val="24"/>
          <w:lang w:val="en-US" w:eastAsia="en-US" w:bidi="ar-SA"/>
        </w:rPr>
        <w:t>，</w:t>
      </w:r>
      <w:r>
        <w:rPr>
          <w:rFonts w:hint="default" w:ascii="Times New Roman" w:hAnsi="Times New Roman" w:eastAsia="宋体" w:cs="Times New Roman"/>
          <w:snapToGrid w:val="0"/>
          <w:color w:val="auto"/>
          <w:spacing w:val="-50"/>
          <w:kern w:val="0"/>
          <w:sz w:val="24"/>
          <w:szCs w:val="24"/>
          <w:lang w:val="en-US" w:eastAsia="en-US" w:bidi="ar-SA"/>
        </w:rPr>
        <w:t xml:space="preserve"> </w:t>
      </w:r>
      <w:r>
        <w:rPr>
          <w:rFonts w:hint="default" w:ascii="Times New Roman" w:hAnsi="Times New Roman" w:eastAsia="宋体" w:cs="Times New Roman"/>
          <w:snapToGrid w:val="0"/>
          <w:color w:val="auto"/>
          <w:spacing w:val="-6"/>
          <w:kern w:val="0"/>
          <w:sz w:val="24"/>
          <w:szCs w:val="24"/>
          <w:lang w:val="en-US" w:eastAsia="en-US" w:bidi="ar-SA"/>
        </w:rPr>
        <w:t>选择区域</w:t>
      </w:r>
      <w:r>
        <w:rPr>
          <w:rFonts w:hint="default" w:ascii="Times New Roman" w:hAnsi="Times New Roman" w:eastAsia="宋体" w:cs="Times New Roman"/>
          <w:snapToGrid w:val="0"/>
          <w:color w:val="auto"/>
          <w:spacing w:val="-5"/>
          <w:kern w:val="0"/>
          <w:sz w:val="24"/>
          <w:szCs w:val="24"/>
          <w:lang w:val="en-US" w:eastAsia="en-US" w:bidi="ar-SA"/>
        </w:rPr>
        <w:t>乡土物种进行植被恢复。</w:t>
      </w:r>
    </w:p>
    <w:p w14:paraId="491C64F8">
      <w:pPr>
        <w:keepNext w:val="0"/>
        <w:keepLines w:val="0"/>
        <w:pageBreakBefore w:val="0"/>
        <w:kinsoku w:val="0"/>
        <w:wordWrap/>
        <w:overflowPunct/>
        <w:topLinePunct w:val="0"/>
        <w:autoSpaceDE w:val="0"/>
        <w:autoSpaceDN w:val="0"/>
        <w:bidi w:val="0"/>
        <w:adjustRightInd w:val="0"/>
        <w:snapToGrid w:val="0"/>
        <w:spacing w:line="360" w:lineRule="auto"/>
        <w:ind w:left="0" w:right="0" w:firstLine="46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b/>
          <w:bCs/>
          <w:snapToGrid w:val="0"/>
          <w:color w:val="auto"/>
          <w:spacing w:val="-4"/>
          <w:kern w:val="0"/>
          <w:sz w:val="24"/>
          <w:szCs w:val="24"/>
          <w:lang w:val="en-US" w:eastAsia="zh-CN" w:bidi="ar-SA"/>
        </w:rPr>
        <w:t>⑶</w:t>
      </w:r>
      <w:r>
        <w:rPr>
          <w:rFonts w:hint="default" w:ascii="Times New Roman" w:hAnsi="Times New Roman" w:eastAsia="宋体" w:cs="Times New Roman"/>
          <w:b/>
          <w:bCs/>
          <w:snapToGrid w:val="0"/>
          <w:color w:val="auto"/>
          <w:spacing w:val="-4"/>
          <w:kern w:val="0"/>
          <w:sz w:val="24"/>
          <w:szCs w:val="24"/>
          <w:lang w:val="en-US" w:eastAsia="en-US" w:bidi="ar-SA"/>
        </w:rPr>
        <w:t>植被恢复措施</w:t>
      </w:r>
    </w:p>
    <w:p w14:paraId="57ADF9E2">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①表土回填：施工占地开挖的土方按照土层顺序进行回填，剥离</w:t>
      </w:r>
      <w:r>
        <w:rPr>
          <w:rFonts w:hint="default" w:ascii="Times New Roman" w:hAnsi="Times New Roman" w:eastAsia="宋体" w:cs="Times New Roman"/>
          <w:snapToGrid w:val="0"/>
          <w:color w:val="auto"/>
          <w:spacing w:val="-4"/>
          <w:kern w:val="0"/>
          <w:sz w:val="24"/>
          <w:szCs w:val="24"/>
          <w:lang w:val="en-US" w:eastAsia="en-US" w:bidi="ar-SA"/>
        </w:rPr>
        <w:t>的表土，按</w:t>
      </w:r>
      <w:r>
        <w:rPr>
          <w:rFonts w:hint="default" w:ascii="Times New Roman" w:hAnsi="Times New Roman" w:eastAsia="宋体" w:cs="Times New Roman"/>
          <w:snapToGrid w:val="0"/>
          <w:color w:val="auto"/>
          <w:spacing w:val="-2"/>
          <w:kern w:val="0"/>
          <w:sz w:val="24"/>
          <w:szCs w:val="24"/>
          <w:lang w:val="en-US" w:eastAsia="en-US" w:bidi="ar-SA"/>
        </w:rPr>
        <w:t>表层土在上的顺序堆放至临时占地区域，便于后期植被恢复使用。</w:t>
      </w:r>
    </w:p>
    <w:p w14:paraId="5AF1E592">
      <w:pPr>
        <w:keepNext w:val="0"/>
        <w:keepLines w:val="0"/>
        <w:pageBreakBefore w:val="0"/>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8"/>
          <w:kern w:val="0"/>
          <w:sz w:val="24"/>
          <w:szCs w:val="24"/>
          <w:lang w:val="en-US" w:eastAsia="en-US" w:bidi="ar-SA"/>
        </w:rPr>
        <w:t>②土地整治：施工结束后，对变电站及输电线路扰动区域实施土地整</w:t>
      </w:r>
      <w:r>
        <w:rPr>
          <w:rFonts w:hint="default" w:ascii="Times New Roman" w:hAnsi="Times New Roman" w:eastAsia="宋体" w:cs="Times New Roman"/>
          <w:snapToGrid w:val="0"/>
          <w:color w:val="auto"/>
          <w:spacing w:val="-9"/>
          <w:kern w:val="0"/>
          <w:sz w:val="24"/>
          <w:szCs w:val="24"/>
          <w:lang w:val="en-US" w:eastAsia="en-US" w:bidi="ar-SA"/>
        </w:rPr>
        <w:t>治措施，</w:t>
      </w:r>
      <w:r>
        <w:rPr>
          <w:rFonts w:hint="default" w:ascii="Times New Roman" w:hAnsi="Times New Roman" w:eastAsia="宋体" w:cs="Times New Roman"/>
          <w:snapToGrid w:val="0"/>
          <w:color w:val="auto"/>
          <w:spacing w:val="-1"/>
          <w:kern w:val="0"/>
          <w:sz w:val="24"/>
          <w:szCs w:val="24"/>
          <w:lang w:val="en-US" w:eastAsia="en-US" w:bidi="ar-SA"/>
        </w:rPr>
        <w:t>整治方式为机械整治，整地深度为</w:t>
      </w:r>
      <w:r>
        <w:rPr>
          <w:rFonts w:hint="default" w:ascii="Times New Roman" w:hAnsi="Times New Roman" w:eastAsia="宋体" w:cs="Times New Roman"/>
          <w:snapToGrid w:val="0"/>
          <w:color w:val="auto"/>
          <w:spacing w:val="-52"/>
          <w:kern w:val="0"/>
          <w:sz w:val="24"/>
          <w:szCs w:val="24"/>
          <w:lang w:val="en-US" w:eastAsia="en-US" w:bidi="ar-SA"/>
        </w:rPr>
        <w:t xml:space="preserve"> </w:t>
      </w:r>
      <w:r>
        <w:rPr>
          <w:rFonts w:hint="default" w:ascii="Times New Roman" w:hAnsi="Times New Roman" w:eastAsia="Times New Roman" w:cs="Times New Roman"/>
          <w:snapToGrid w:val="0"/>
          <w:color w:val="auto"/>
          <w:spacing w:val="-1"/>
          <w:kern w:val="0"/>
          <w:sz w:val="24"/>
          <w:szCs w:val="24"/>
          <w:lang w:val="en-US" w:eastAsia="en-US" w:bidi="ar-SA"/>
        </w:rPr>
        <w:t>0.3m</w:t>
      </w:r>
      <w:r>
        <w:rPr>
          <w:rFonts w:hint="default" w:ascii="Times New Roman" w:hAnsi="Times New Roman" w:eastAsia="宋体" w:cs="Times New Roman"/>
          <w:snapToGrid w:val="0"/>
          <w:color w:val="auto"/>
          <w:spacing w:val="-1"/>
          <w:kern w:val="0"/>
          <w:sz w:val="24"/>
          <w:szCs w:val="24"/>
          <w:lang w:val="en-US" w:eastAsia="en-US" w:bidi="ar-SA"/>
        </w:rPr>
        <w:t>。</w:t>
      </w:r>
    </w:p>
    <w:p w14:paraId="1F8B2B21">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③撒播种草：土地整治后，根据原地貌类型对占用土地进行撒播种</w:t>
      </w:r>
      <w:r>
        <w:rPr>
          <w:rFonts w:hint="default" w:ascii="Times New Roman" w:hAnsi="Times New Roman" w:eastAsia="宋体" w:cs="Times New Roman"/>
          <w:snapToGrid w:val="0"/>
          <w:color w:val="auto"/>
          <w:spacing w:val="-4"/>
          <w:kern w:val="0"/>
          <w:sz w:val="24"/>
          <w:szCs w:val="24"/>
          <w:lang w:val="en-US" w:eastAsia="en-US" w:bidi="ar-SA"/>
        </w:rPr>
        <w:t>草，进行</w:t>
      </w:r>
      <w:r>
        <w:rPr>
          <w:rFonts w:hint="default" w:ascii="Times New Roman" w:hAnsi="Times New Roman" w:eastAsia="宋体" w:cs="Times New Roman"/>
          <w:snapToGrid w:val="0"/>
          <w:color w:val="auto"/>
          <w:spacing w:val="-2"/>
          <w:kern w:val="0"/>
          <w:sz w:val="24"/>
          <w:szCs w:val="24"/>
          <w:lang w:val="en-US" w:eastAsia="en-US" w:bidi="ar-SA"/>
        </w:rPr>
        <w:t>植被恢复。选择的草种为扁穗冰草、芨芨草</w:t>
      </w:r>
      <w:r>
        <w:rPr>
          <w:rFonts w:hint="default" w:ascii="Times New Roman" w:hAnsi="Times New Roman" w:eastAsia="宋体" w:cs="Times New Roman"/>
          <w:snapToGrid w:val="0"/>
          <w:color w:val="auto"/>
          <w:spacing w:val="-3"/>
          <w:kern w:val="0"/>
          <w:sz w:val="24"/>
          <w:szCs w:val="24"/>
          <w:lang w:val="en-US" w:eastAsia="en-US" w:bidi="ar-SA"/>
        </w:rPr>
        <w:t>等。</w:t>
      </w:r>
    </w:p>
    <w:p w14:paraId="73DC695C">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④林木补植：土地平整后，对林区植被进行补偿或补植，选用当地</w:t>
      </w:r>
      <w:r>
        <w:rPr>
          <w:rFonts w:hint="default" w:ascii="Times New Roman" w:hAnsi="Times New Roman" w:eastAsia="宋体" w:cs="Times New Roman"/>
          <w:snapToGrid w:val="0"/>
          <w:color w:val="auto"/>
          <w:spacing w:val="-4"/>
          <w:kern w:val="0"/>
          <w:sz w:val="24"/>
          <w:szCs w:val="24"/>
          <w:lang w:val="en-US" w:eastAsia="en-US" w:bidi="ar-SA"/>
        </w:rPr>
        <w:t>人工种植</w:t>
      </w:r>
      <w:r>
        <w:rPr>
          <w:rFonts w:hint="default" w:ascii="Times New Roman" w:hAnsi="Times New Roman" w:eastAsia="宋体" w:cs="Times New Roman"/>
          <w:snapToGrid w:val="0"/>
          <w:color w:val="auto"/>
          <w:spacing w:val="-2"/>
          <w:kern w:val="0"/>
          <w:sz w:val="24"/>
          <w:szCs w:val="24"/>
          <w:lang w:val="en-US" w:eastAsia="en-US" w:bidi="ar-SA"/>
        </w:rPr>
        <w:t>且具有生长优势的树种，如云杉、山桃、山杏等。</w:t>
      </w:r>
    </w:p>
    <w:p w14:paraId="33B5102A">
      <w:pPr>
        <w:keepNext w:val="0"/>
        <w:keepLines w:val="0"/>
        <w:pageBreakBefore w:val="0"/>
        <w:kinsoku w:val="0"/>
        <w:wordWrap/>
        <w:overflowPunct/>
        <w:topLinePunct w:val="0"/>
        <w:autoSpaceDE w:val="0"/>
        <w:autoSpaceDN w:val="0"/>
        <w:bidi w:val="0"/>
        <w:adjustRightInd w:val="0"/>
        <w:snapToGrid w:val="0"/>
        <w:spacing w:line="360" w:lineRule="auto"/>
        <w:ind w:left="0" w:right="0" w:firstLine="46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b/>
          <w:bCs/>
          <w:snapToGrid w:val="0"/>
          <w:color w:val="auto"/>
          <w:spacing w:val="-5"/>
          <w:kern w:val="0"/>
          <w:sz w:val="24"/>
          <w:szCs w:val="24"/>
          <w:lang w:val="en-US" w:eastAsia="zh-CN" w:bidi="ar-SA"/>
        </w:rPr>
        <w:t>⑷</w:t>
      </w:r>
      <w:r>
        <w:rPr>
          <w:rFonts w:hint="default" w:ascii="Times New Roman" w:hAnsi="Times New Roman" w:eastAsia="宋体" w:cs="Times New Roman"/>
          <w:b/>
          <w:bCs/>
          <w:snapToGrid w:val="0"/>
          <w:color w:val="auto"/>
          <w:spacing w:val="-5"/>
          <w:kern w:val="0"/>
          <w:sz w:val="24"/>
          <w:szCs w:val="24"/>
          <w:lang w:val="en-US" w:eastAsia="en-US" w:bidi="ar-SA"/>
        </w:rPr>
        <w:t>补偿措施</w:t>
      </w:r>
    </w:p>
    <w:p w14:paraId="530454AE">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1"/>
          <w:kern w:val="0"/>
          <w:sz w:val="24"/>
          <w:szCs w:val="24"/>
          <w:lang w:val="en-US" w:eastAsia="en-US" w:bidi="ar-SA"/>
        </w:rPr>
        <w:t>本项目输电线路土地类型为旱地（含基本农</w:t>
      </w:r>
      <w:r>
        <w:rPr>
          <w:rFonts w:hint="default" w:ascii="Times New Roman" w:hAnsi="Times New Roman" w:eastAsia="宋体" w:cs="Times New Roman"/>
          <w:snapToGrid w:val="0"/>
          <w:color w:val="auto"/>
          <w:spacing w:val="-2"/>
          <w:kern w:val="0"/>
          <w:sz w:val="24"/>
          <w:szCs w:val="24"/>
          <w:lang w:val="en-US" w:eastAsia="en-US" w:bidi="ar-SA"/>
        </w:rPr>
        <w:t>田）、水浇地（含基本农田）、</w:t>
      </w:r>
      <w:r>
        <w:rPr>
          <w:rFonts w:hint="default" w:ascii="Times New Roman" w:hAnsi="Times New Roman" w:eastAsia="宋体" w:cs="Times New Roman"/>
          <w:snapToGrid w:val="0"/>
          <w:color w:val="auto"/>
          <w:spacing w:val="-8"/>
          <w:kern w:val="0"/>
          <w:sz w:val="24"/>
          <w:szCs w:val="24"/>
          <w:lang w:val="en-US" w:eastAsia="en-US" w:bidi="ar-SA"/>
        </w:rPr>
        <w:t>园地、其他林地区域时，</w:t>
      </w:r>
      <w:r>
        <w:rPr>
          <w:rFonts w:hint="default" w:ascii="Times New Roman" w:hAnsi="Times New Roman" w:eastAsia="宋体" w:cs="Times New Roman"/>
          <w:snapToGrid w:val="0"/>
          <w:color w:val="auto"/>
          <w:spacing w:val="53"/>
          <w:kern w:val="0"/>
          <w:sz w:val="24"/>
          <w:szCs w:val="24"/>
          <w:lang w:val="en-US" w:eastAsia="en-US" w:bidi="ar-SA"/>
        </w:rPr>
        <w:t xml:space="preserve"> </w:t>
      </w:r>
      <w:r>
        <w:rPr>
          <w:rFonts w:hint="default" w:ascii="Times New Roman" w:hAnsi="Times New Roman" w:eastAsia="宋体" w:cs="Times New Roman"/>
          <w:snapToGrid w:val="0"/>
          <w:color w:val="auto"/>
          <w:spacing w:val="-8"/>
          <w:kern w:val="0"/>
          <w:sz w:val="24"/>
          <w:szCs w:val="24"/>
          <w:lang w:val="en-US" w:eastAsia="en-US" w:bidi="ar-SA"/>
        </w:rPr>
        <w:t>应对永久占用的旱地（含基本农田）、水浇地（含基本</w:t>
      </w:r>
      <w:r>
        <w:rPr>
          <w:rFonts w:hint="default" w:ascii="Times New Roman" w:hAnsi="Times New Roman" w:eastAsia="宋体" w:cs="Times New Roman"/>
          <w:snapToGrid w:val="0"/>
          <w:color w:val="auto"/>
          <w:spacing w:val="-3"/>
          <w:kern w:val="0"/>
          <w:sz w:val="24"/>
          <w:szCs w:val="24"/>
          <w:lang w:val="en-US" w:eastAsia="en-US" w:bidi="ar-SA"/>
        </w:rPr>
        <w:t>农田）、园地、其他林地进行生态补偿。</w:t>
      </w:r>
    </w:p>
    <w:p w14:paraId="48620CD5">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4"/>
          <w:kern w:val="0"/>
          <w:sz w:val="24"/>
          <w:szCs w:val="24"/>
          <w:lang w:val="en-US" w:eastAsia="zh-CN" w:bidi="ar-SA"/>
        </w:rPr>
        <w:t>4</w:t>
      </w:r>
      <w:r>
        <w:rPr>
          <w:rFonts w:hint="default" w:ascii="Times New Roman" w:hAnsi="Times New Roman" w:eastAsia="Times New Roman" w:cs="Times New Roman"/>
          <w:b/>
          <w:bCs/>
          <w:snapToGrid w:val="0"/>
          <w:color w:val="auto"/>
          <w:spacing w:val="-4"/>
          <w:kern w:val="0"/>
          <w:sz w:val="24"/>
          <w:szCs w:val="24"/>
          <w:lang w:val="en-US" w:eastAsia="en-US" w:bidi="ar-SA"/>
        </w:rPr>
        <w:t>.2.4</w:t>
      </w:r>
      <w:r>
        <w:rPr>
          <w:rFonts w:hint="default" w:ascii="Times New Roman" w:hAnsi="Times New Roman" w:eastAsia="宋体" w:cs="Times New Roman"/>
          <w:b/>
          <w:bCs/>
          <w:snapToGrid w:val="0"/>
          <w:color w:val="auto"/>
          <w:spacing w:val="-4"/>
          <w:kern w:val="0"/>
          <w:sz w:val="24"/>
          <w:szCs w:val="24"/>
          <w:lang w:val="en-US" w:eastAsia="en-US" w:bidi="ar-SA"/>
        </w:rPr>
        <w:t>管理措施</w:t>
      </w:r>
    </w:p>
    <w:p w14:paraId="59BE6B90">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kern w:val="0"/>
          <w:sz w:val="24"/>
          <w:szCs w:val="24"/>
          <w:lang w:val="en-US" w:eastAsia="zh-CN" w:bidi="ar-SA"/>
        </w:rPr>
        <w:t>⑴</w:t>
      </w:r>
      <w:r>
        <w:rPr>
          <w:rFonts w:hint="default" w:ascii="Times New Roman" w:hAnsi="Times New Roman" w:eastAsia="宋体" w:cs="Times New Roman"/>
          <w:snapToGrid w:val="0"/>
          <w:color w:val="auto"/>
          <w:kern w:val="0"/>
          <w:sz w:val="24"/>
          <w:szCs w:val="24"/>
          <w:lang w:val="en-US" w:eastAsia="en-US" w:bidi="ar-SA"/>
        </w:rPr>
        <w:t>积极进行环保宣传，严格管理监督施工前应印发环境保护手册，组织</w:t>
      </w:r>
      <w:r>
        <w:rPr>
          <w:rFonts w:hint="default" w:ascii="Times New Roman" w:hAnsi="Times New Roman" w:eastAsia="宋体" w:cs="Times New Roman"/>
          <w:snapToGrid w:val="0"/>
          <w:color w:val="auto"/>
          <w:spacing w:val="-3"/>
          <w:kern w:val="0"/>
          <w:sz w:val="24"/>
          <w:szCs w:val="24"/>
          <w:lang w:val="en-US" w:eastAsia="en-US" w:bidi="ar-SA"/>
        </w:rPr>
        <w:t>专业人员对施工人员进行环保宣传教育，施工期严格按照施工作业范围施工，严</w:t>
      </w:r>
      <w:r>
        <w:rPr>
          <w:rFonts w:hint="default" w:ascii="Times New Roman" w:hAnsi="Times New Roman" w:eastAsia="宋体" w:cs="Times New Roman"/>
          <w:snapToGrid w:val="0"/>
          <w:color w:val="auto"/>
          <w:spacing w:val="-2"/>
          <w:kern w:val="0"/>
          <w:sz w:val="24"/>
          <w:szCs w:val="24"/>
          <w:lang w:val="en-US" w:eastAsia="en-US" w:bidi="ar-SA"/>
        </w:rPr>
        <w:t>格行为规范，进行必要的管理监督，禁止破坏植被的情况发生。</w:t>
      </w:r>
    </w:p>
    <w:p w14:paraId="3531FEAA">
      <w:pPr>
        <w:keepNext w:val="0"/>
        <w:keepLines w:val="0"/>
        <w:pageBreakBefore w:val="0"/>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4"/>
          <w:kern w:val="0"/>
          <w:sz w:val="24"/>
          <w:szCs w:val="24"/>
          <w:lang w:val="en-US" w:eastAsia="zh-CN" w:bidi="ar-SA"/>
        </w:rPr>
        <w:t>⑵</w:t>
      </w:r>
      <w:r>
        <w:rPr>
          <w:rFonts w:hint="default" w:ascii="Times New Roman" w:hAnsi="Times New Roman" w:eastAsia="宋体" w:cs="Times New Roman"/>
          <w:snapToGrid w:val="0"/>
          <w:color w:val="auto"/>
          <w:spacing w:val="-4"/>
          <w:kern w:val="0"/>
          <w:sz w:val="24"/>
          <w:szCs w:val="24"/>
          <w:lang w:val="en-US" w:eastAsia="en-US" w:bidi="ar-SA"/>
        </w:rPr>
        <w:t>积极采取有效措施预防火灾。</w:t>
      </w:r>
    </w:p>
    <w:p w14:paraId="34A207F0">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kern w:val="0"/>
          <w:sz w:val="24"/>
          <w:szCs w:val="24"/>
          <w:lang w:val="en-US" w:eastAsia="zh-CN" w:bidi="ar-SA"/>
        </w:rPr>
        <w:t>⑶</w:t>
      </w:r>
      <w:r>
        <w:rPr>
          <w:rFonts w:hint="default" w:ascii="Times New Roman" w:hAnsi="Times New Roman" w:eastAsia="宋体" w:cs="Times New Roman"/>
          <w:snapToGrid w:val="0"/>
          <w:color w:val="auto"/>
          <w:kern w:val="0"/>
          <w:sz w:val="24"/>
          <w:szCs w:val="24"/>
          <w:lang w:val="en-US" w:eastAsia="en-US" w:bidi="ar-SA"/>
        </w:rPr>
        <w:t>在林地分布较为集中的区段，在工程建设期，更应加强防护，如在施</w:t>
      </w:r>
      <w:r>
        <w:rPr>
          <w:rFonts w:hint="default" w:ascii="Times New Roman" w:hAnsi="Times New Roman" w:eastAsia="宋体" w:cs="Times New Roman"/>
          <w:snapToGrid w:val="0"/>
          <w:color w:val="auto"/>
          <w:spacing w:val="-3"/>
          <w:kern w:val="0"/>
          <w:sz w:val="24"/>
          <w:szCs w:val="24"/>
          <w:lang w:val="en-US" w:eastAsia="en-US" w:bidi="ar-SA"/>
        </w:rPr>
        <w:t>工区及周围竖立防火警示牌，禁止施工人员吸烟，巡回检查，以预防</w:t>
      </w:r>
      <w:r>
        <w:rPr>
          <w:rFonts w:hint="default" w:ascii="Times New Roman" w:hAnsi="Times New Roman" w:eastAsia="宋体" w:cs="Times New Roman"/>
          <w:snapToGrid w:val="0"/>
          <w:color w:val="auto"/>
          <w:spacing w:val="-4"/>
          <w:kern w:val="0"/>
          <w:sz w:val="24"/>
          <w:szCs w:val="24"/>
          <w:lang w:val="en-US" w:eastAsia="en-US" w:bidi="ar-SA"/>
        </w:rPr>
        <w:t>和杜绝火灾</w:t>
      </w:r>
      <w:r>
        <w:rPr>
          <w:rFonts w:hint="default" w:ascii="Times New Roman" w:hAnsi="Times New Roman" w:eastAsia="宋体" w:cs="Times New Roman"/>
          <w:snapToGrid w:val="0"/>
          <w:color w:val="auto"/>
          <w:spacing w:val="-11"/>
          <w:kern w:val="0"/>
          <w:sz w:val="24"/>
          <w:szCs w:val="24"/>
          <w:lang w:val="en-US" w:eastAsia="en-US" w:bidi="ar-SA"/>
        </w:rPr>
        <w:t>发生。</w:t>
      </w:r>
    </w:p>
    <w:p w14:paraId="57AEE899">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b/>
          <w:bCs/>
          <w:snapToGrid w:val="0"/>
          <w:color w:val="auto"/>
          <w:spacing w:val="0"/>
          <w:kern w:val="0"/>
          <w:sz w:val="24"/>
          <w:szCs w:val="24"/>
          <w:lang w:val="en-US" w:eastAsia="en-US" w:bidi="ar-SA"/>
        </w:rPr>
      </w:pPr>
      <w:bookmarkStart w:id="538" w:name="_Toc24315"/>
      <w:bookmarkStart w:id="539" w:name="_Toc13983"/>
      <w:r>
        <w:rPr>
          <w:rFonts w:hint="default" w:ascii="Times New Roman" w:hAnsi="Times New Roman" w:eastAsia="宋体" w:cs="Times New Roman"/>
          <w:b/>
          <w:bCs/>
          <w:snapToGrid w:val="0"/>
          <w:color w:val="auto"/>
          <w:spacing w:val="0"/>
          <w:kern w:val="0"/>
          <w:sz w:val="24"/>
          <w:szCs w:val="24"/>
          <w:lang w:val="en-US" w:eastAsia="zh-CN" w:bidi="ar-SA"/>
        </w:rPr>
        <w:t>4</w:t>
      </w:r>
      <w:r>
        <w:rPr>
          <w:rFonts w:hint="default" w:ascii="Times New Roman" w:hAnsi="Times New Roman" w:eastAsia="宋体" w:cs="Times New Roman"/>
          <w:b/>
          <w:bCs/>
          <w:snapToGrid w:val="0"/>
          <w:color w:val="auto"/>
          <w:spacing w:val="0"/>
          <w:kern w:val="0"/>
          <w:sz w:val="24"/>
          <w:szCs w:val="24"/>
          <w:lang w:val="en-US" w:eastAsia="en-US" w:bidi="ar-SA"/>
        </w:rPr>
        <w:t>.3动物保护措施</w:t>
      </w:r>
      <w:bookmarkEnd w:id="538"/>
      <w:bookmarkEnd w:id="539"/>
    </w:p>
    <w:p w14:paraId="77382C80">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2"/>
          <w:kern w:val="0"/>
          <w:sz w:val="24"/>
          <w:szCs w:val="24"/>
          <w:lang w:val="en-US" w:eastAsia="zh-CN" w:bidi="ar-SA"/>
        </w:rPr>
        <w:t>4</w:t>
      </w:r>
      <w:r>
        <w:rPr>
          <w:rFonts w:hint="default" w:ascii="Times New Roman" w:hAnsi="Times New Roman" w:eastAsia="Times New Roman" w:cs="Times New Roman"/>
          <w:b/>
          <w:bCs/>
          <w:snapToGrid w:val="0"/>
          <w:color w:val="auto"/>
          <w:spacing w:val="-2"/>
          <w:kern w:val="0"/>
          <w:sz w:val="24"/>
          <w:szCs w:val="24"/>
          <w:lang w:val="en-US" w:eastAsia="en-US" w:bidi="ar-SA"/>
        </w:rPr>
        <w:t>.3.1</w:t>
      </w:r>
      <w:r>
        <w:rPr>
          <w:rFonts w:hint="default" w:ascii="Times New Roman" w:hAnsi="Times New Roman" w:eastAsia="宋体" w:cs="Times New Roman"/>
          <w:b/>
          <w:bCs/>
          <w:snapToGrid w:val="0"/>
          <w:color w:val="auto"/>
          <w:spacing w:val="-2"/>
          <w:kern w:val="0"/>
          <w:sz w:val="24"/>
          <w:szCs w:val="24"/>
          <w:lang w:val="en-US" w:eastAsia="en-US" w:bidi="ar-SA"/>
        </w:rPr>
        <w:t>避让措施</w:t>
      </w:r>
    </w:p>
    <w:p w14:paraId="4B9DE1D7">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3"/>
          <w:kern w:val="0"/>
          <w:sz w:val="24"/>
          <w:szCs w:val="24"/>
          <w:lang w:val="en-US" w:eastAsia="zh-CN" w:bidi="ar-SA"/>
        </w:rPr>
        <w:t>⑴</w:t>
      </w:r>
      <w:r>
        <w:rPr>
          <w:rFonts w:hint="default" w:ascii="Times New Roman" w:hAnsi="Times New Roman" w:eastAsia="宋体" w:cs="Times New Roman"/>
          <w:snapToGrid w:val="0"/>
          <w:color w:val="auto"/>
          <w:spacing w:val="-3"/>
          <w:kern w:val="0"/>
          <w:sz w:val="24"/>
          <w:szCs w:val="24"/>
          <w:lang w:val="en-US" w:eastAsia="en-US" w:bidi="ar-SA"/>
        </w:rPr>
        <w:t>做好施工沿线水体保护</w:t>
      </w:r>
    </w:p>
    <w:p w14:paraId="2BA3B50A">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施工材料的堆放也要远离水体，运输材料时要进行苫盖，注意不能</w:t>
      </w:r>
      <w:r>
        <w:rPr>
          <w:rFonts w:hint="default" w:ascii="Times New Roman" w:hAnsi="Times New Roman" w:eastAsia="宋体" w:cs="Times New Roman"/>
          <w:snapToGrid w:val="0"/>
          <w:color w:val="auto"/>
          <w:spacing w:val="-4"/>
          <w:kern w:val="0"/>
          <w:sz w:val="24"/>
          <w:szCs w:val="24"/>
          <w:lang w:val="en-US" w:eastAsia="en-US" w:bidi="ar-SA"/>
        </w:rPr>
        <w:t>被雨水或</w:t>
      </w:r>
      <w:r>
        <w:rPr>
          <w:rFonts w:hint="default" w:ascii="Times New Roman" w:hAnsi="Times New Roman" w:eastAsia="宋体" w:cs="Times New Roman"/>
          <w:snapToGrid w:val="0"/>
          <w:color w:val="auto"/>
          <w:spacing w:val="-2"/>
          <w:kern w:val="0"/>
          <w:sz w:val="24"/>
          <w:szCs w:val="24"/>
          <w:lang w:val="en-US" w:eastAsia="en-US" w:bidi="ar-SA"/>
        </w:rPr>
        <w:t>风吹至水体中，以免对这些动物的生境造成污染。</w:t>
      </w:r>
    </w:p>
    <w:p w14:paraId="4DA6A7E8">
      <w:pPr>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2"/>
          <w:kern w:val="0"/>
          <w:sz w:val="24"/>
          <w:szCs w:val="24"/>
          <w:lang w:val="en-US" w:eastAsia="zh-CN" w:bidi="ar-SA"/>
        </w:rPr>
        <w:t>⑵</w:t>
      </w:r>
      <w:r>
        <w:rPr>
          <w:rFonts w:hint="default" w:ascii="Times New Roman" w:hAnsi="Times New Roman" w:eastAsia="宋体" w:cs="Times New Roman"/>
          <w:snapToGrid w:val="0"/>
          <w:color w:val="auto"/>
          <w:spacing w:val="-2"/>
          <w:kern w:val="0"/>
          <w:sz w:val="24"/>
          <w:szCs w:val="24"/>
          <w:lang w:val="en-US" w:eastAsia="en-US" w:bidi="ar-SA"/>
        </w:rPr>
        <w:t>合理安排，科学组织施工</w:t>
      </w:r>
    </w:p>
    <w:p w14:paraId="044B7D76">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鸟类和兽类大多是晨昏外出觅食，正午休息。为了减</w:t>
      </w:r>
      <w:r>
        <w:rPr>
          <w:rFonts w:hint="default" w:ascii="Times New Roman" w:hAnsi="Times New Roman" w:eastAsia="宋体" w:cs="Times New Roman"/>
          <w:snapToGrid w:val="0"/>
          <w:color w:val="auto"/>
          <w:spacing w:val="-4"/>
          <w:kern w:val="0"/>
          <w:sz w:val="24"/>
          <w:szCs w:val="24"/>
          <w:lang w:val="en-US" w:eastAsia="en-US" w:bidi="ar-SA"/>
        </w:rPr>
        <w:t>少工程施工噪声对野生</w:t>
      </w:r>
      <w:r>
        <w:rPr>
          <w:rFonts w:hint="default" w:ascii="Times New Roman" w:hAnsi="Times New Roman" w:eastAsia="宋体" w:cs="Times New Roman"/>
          <w:snapToGrid w:val="0"/>
          <w:color w:val="auto"/>
          <w:spacing w:val="-3"/>
          <w:kern w:val="0"/>
          <w:sz w:val="24"/>
          <w:szCs w:val="24"/>
          <w:lang w:val="en-US" w:eastAsia="en-US" w:bidi="ar-SA"/>
        </w:rPr>
        <w:t>动物的惊扰，应做好施工方式和时间的计划，并力求避免在晨昏和正午进行噪声</w:t>
      </w:r>
      <w:r>
        <w:rPr>
          <w:rFonts w:hint="default" w:ascii="Times New Roman" w:hAnsi="Times New Roman" w:eastAsia="宋体" w:cs="Times New Roman"/>
          <w:snapToGrid w:val="0"/>
          <w:color w:val="auto"/>
          <w:spacing w:val="-5"/>
          <w:kern w:val="0"/>
          <w:sz w:val="24"/>
          <w:szCs w:val="24"/>
          <w:lang w:val="en-US" w:eastAsia="en-US" w:bidi="ar-SA"/>
        </w:rPr>
        <w:t>较大的施工活动。</w:t>
      </w:r>
    </w:p>
    <w:p w14:paraId="4DBD8EC9">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2"/>
          <w:kern w:val="0"/>
          <w:sz w:val="24"/>
          <w:szCs w:val="24"/>
          <w:lang w:val="en-US" w:eastAsia="zh-CN" w:bidi="ar-SA"/>
        </w:rPr>
        <w:t>4</w:t>
      </w:r>
      <w:r>
        <w:rPr>
          <w:rFonts w:hint="default" w:ascii="Times New Roman" w:hAnsi="Times New Roman" w:eastAsia="Times New Roman" w:cs="Times New Roman"/>
          <w:b/>
          <w:bCs/>
          <w:snapToGrid w:val="0"/>
          <w:color w:val="auto"/>
          <w:spacing w:val="-2"/>
          <w:kern w:val="0"/>
          <w:sz w:val="24"/>
          <w:szCs w:val="24"/>
          <w:lang w:val="en-US" w:eastAsia="en-US" w:bidi="ar-SA"/>
        </w:rPr>
        <w:t>.3.2</w:t>
      </w:r>
      <w:r>
        <w:rPr>
          <w:rFonts w:hint="default" w:ascii="Times New Roman" w:hAnsi="Times New Roman" w:eastAsia="宋体" w:cs="Times New Roman"/>
          <w:b/>
          <w:bCs/>
          <w:snapToGrid w:val="0"/>
          <w:color w:val="auto"/>
          <w:spacing w:val="-2"/>
          <w:kern w:val="0"/>
          <w:sz w:val="24"/>
          <w:szCs w:val="24"/>
          <w:lang w:val="en-US" w:eastAsia="en-US" w:bidi="ar-SA"/>
        </w:rPr>
        <w:t>减缓措施</w:t>
      </w:r>
    </w:p>
    <w:p w14:paraId="0BF7FE4D">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⑴</w:t>
      </w:r>
      <w:r>
        <w:rPr>
          <w:rFonts w:hint="default" w:ascii="Times New Roman" w:hAnsi="Times New Roman" w:eastAsia="宋体" w:cs="Times New Roman"/>
          <w:snapToGrid w:val="0"/>
          <w:color w:val="auto"/>
          <w:spacing w:val="-1"/>
          <w:kern w:val="0"/>
          <w:sz w:val="24"/>
          <w:szCs w:val="24"/>
          <w:lang w:val="en-US" w:eastAsia="en-US" w:bidi="ar-SA"/>
        </w:rPr>
        <w:t>加强施工人员对野生动物和生态环境的保护意识，禁止猎</w:t>
      </w:r>
      <w:r>
        <w:rPr>
          <w:rFonts w:hint="default" w:ascii="Times New Roman" w:hAnsi="Times New Roman" w:eastAsia="宋体" w:cs="Times New Roman"/>
          <w:snapToGrid w:val="0"/>
          <w:color w:val="auto"/>
          <w:spacing w:val="-2"/>
          <w:kern w:val="0"/>
          <w:sz w:val="24"/>
          <w:szCs w:val="24"/>
          <w:lang w:val="en-US" w:eastAsia="en-US" w:bidi="ar-SA"/>
        </w:rPr>
        <w:t>杀兽类、鸟</w:t>
      </w:r>
      <w:r>
        <w:rPr>
          <w:rFonts w:hint="default" w:ascii="Times New Roman" w:hAnsi="Times New Roman" w:eastAsia="宋体" w:cs="Times New Roman"/>
          <w:snapToGrid w:val="0"/>
          <w:color w:val="auto"/>
          <w:spacing w:val="-3"/>
          <w:kern w:val="0"/>
          <w:sz w:val="24"/>
          <w:szCs w:val="24"/>
          <w:lang w:val="en-US" w:eastAsia="en-US" w:bidi="ar-SA"/>
        </w:rPr>
        <w:t>类和捕蛇捉蛙等，施工过程中遇到鸟、蛇等动物的卵应妥善移置到附近类似的环</w:t>
      </w:r>
      <w:r>
        <w:rPr>
          <w:rFonts w:hint="default" w:ascii="Times New Roman" w:hAnsi="Times New Roman" w:eastAsia="宋体" w:cs="Times New Roman"/>
          <w:snapToGrid w:val="0"/>
          <w:color w:val="auto"/>
          <w:spacing w:val="-10"/>
          <w:kern w:val="0"/>
          <w:sz w:val="24"/>
          <w:szCs w:val="24"/>
          <w:lang w:val="en-US" w:eastAsia="en-US" w:bidi="ar-SA"/>
        </w:rPr>
        <w:t>境中。</w:t>
      </w:r>
    </w:p>
    <w:p w14:paraId="32700798">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1"/>
          <w:kern w:val="0"/>
          <w:sz w:val="24"/>
          <w:szCs w:val="24"/>
          <w:lang w:val="en-US" w:eastAsia="zh-CN" w:bidi="ar-SA"/>
        </w:rPr>
        <w:t>⑵</w:t>
      </w:r>
      <w:r>
        <w:rPr>
          <w:rFonts w:hint="default" w:ascii="Times New Roman" w:hAnsi="Times New Roman" w:eastAsia="宋体" w:cs="Times New Roman"/>
          <w:snapToGrid w:val="0"/>
          <w:color w:val="auto"/>
          <w:spacing w:val="-1"/>
          <w:kern w:val="0"/>
          <w:sz w:val="24"/>
          <w:szCs w:val="24"/>
          <w:lang w:val="en-US" w:eastAsia="en-US" w:bidi="ar-SA"/>
        </w:rPr>
        <w:t>为消减施工队伍对野生动植物的影响，要标明施工活动区，严令禁止</w:t>
      </w:r>
      <w:r>
        <w:rPr>
          <w:rFonts w:hint="default" w:ascii="Times New Roman" w:hAnsi="Times New Roman" w:eastAsia="宋体" w:cs="Times New Roman"/>
          <w:snapToGrid w:val="0"/>
          <w:color w:val="auto"/>
          <w:spacing w:val="-2"/>
          <w:kern w:val="0"/>
          <w:sz w:val="24"/>
          <w:szCs w:val="24"/>
          <w:lang w:val="en-US" w:eastAsia="en-US" w:bidi="ar-SA"/>
        </w:rPr>
        <w:t>到非施工区域活动，尤其要禁止在非施工区点火、狩猎等。</w:t>
      </w:r>
    </w:p>
    <w:p w14:paraId="3CC0F5A5">
      <w:pPr>
        <w:keepNext w:val="0"/>
        <w:keepLines w:val="0"/>
        <w:pageBreakBefore w:val="0"/>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5"/>
          <w:kern w:val="0"/>
          <w:sz w:val="24"/>
          <w:szCs w:val="24"/>
          <w:lang w:val="en-US" w:eastAsia="zh-CN" w:bidi="ar-SA"/>
        </w:rPr>
        <w:t>⑶</w:t>
      </w:r>
      <w:r>
        <w:rPr>
          <w:rFonts w:hint="default" w:ascii="Times New Roman" w:hAnsi="Times New Roman" w:eastAsia="宋体" w:cs="Times New Roman"/>
          <w:snapToGrid w:val="0"/>
          <w:color w:val="auto"/>
          <w:spacing w:val="-5"/>
          <w:kern w:val="0"/>
          <w:sz w:val="24"/>
          <w:szCs w:val="24"/>
          <w:lang w:val="en-US" w:eastAsia="en-US" w:bidi="ar-SA"/>
        </w:rPr>
        <w:t>施工期间的噪声问题要从源头上把握，工程施工设备选取低噪声型号，</w:t>
      </w:r>
      <w:r>
        <w:rPr>
          <w:rFonts w:hint="default" w:ascii="Times New Roman" w:hAnsi="Times New Roman" w:eastAsia="宋体" w:cs="Times New Roman"/>
          <w:snapToGrid w:val="0"/>
          <w:color w:val="auto"/>
          <w:spacing w:val="-2"/>
          <w:kern w:val="0"/>
          <w:sz w:val="24"/>
          <w:szCs w:val="24"/>
          <w:lang w:val="en-US" w:eastAsia="en-US" w:bidi="ar-SA"/>
        </w:rPr>
        <w:t>并合理安排施工时间，尽量减少施工噪声对野生动物的干扰。</w:t>
      </w:r>
    </w:p>
    <w:p w14:paraId="36B846D1">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b/>
          <w:bCs/>
          <w:snapToGrid w:val="0"/>
          <w:color w:val="auto"/>
          <w:spacing w:val="-2"/>
          <w:kern w:val="0"/>
          <w:sz w:val="24"/>
          <w:szCs w:val="24"/>
          <w:lang w:val="en-US" w:eastAsia="zh-CN" w:bidi="ar-SA"/>
        </w:rPr>
        <w:t>4</w:t>
      </w:r>
      <w:r>
        <w:rPr>
          <w:rFonts w:hint="default" w:ascii="Times New Roman" w:hAnsi="Times New Roman" w:eastAsia="Times New Roman" w:cs="Times New Roman"/>
          <w:b/>
          <w:bCs/>
          <w:snapToGrid w:val="0"/>
          <w:color w:val="auto"/>
          <w:spacing w:val="-2"/>
          <w:kern w:val="0"/>
          <w:sz w:val="24"/>
          <w:szCs w:val="24"/>
          <w:lang w:val="en-US" w:eastAsia="en-US" w:bidi="ar-SA"/>
        </w:rPr>
        <w:t>.3.3</w:t>
      </w:r>
      <w:r>
        <w:rPr>
          <w:rFonts w:hint="default" w:ascii="Times New Roman" w:hAnsi="Times New Roman" w:eastAsia="宋体" w:cs="Times New Roman"/>
          <w:b/>
          <w:bCs/>
          <w:snapToGrid w:val="0"/>
          <w:color w:val="auto"/>
          <w:spacing w:val="-2"/>
          <w:kern w:val="0"/>
          <w:sz w:val="24"/>
          <w:szCs w:val="24"/>
          <w:lang w:val="en-US" w:eastAsia="en-US" w:bidi="ar-SA"/>
        </w:rPr>
        <w:t>恢复与补偿措施</w:t>
      </w:r>
    </w:p>
    <w:p w14:paraId="2EED79A2">
      <w:pPr>
        <w:keepNext w:val="0"/>
        <w:keepLines w:val="0"/>
        <w:pageBreakBefore w:val="0"/>
        <w:kinsoku w:val="0"/>
        <w:wordWrap/>
        <w:overflowPunct/>
        <w:topLinePunct w:val="0"/>
        <w:autoSpaceDE w:val="0"/>
        <w:autoSpaceDN w:val="0"/>
        <w:bidi w:val="0"/>
        <w:adjustRightInd w:val="0"/>
        <w:snapToGrid w:val="0"/>
        <w:spacing w:line="360" w:lineRule="auto"/>
        <w:ind w:left="0" w:right="0" w:firstLine="45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7"/>
          <w:kern w:val="0"/>
          <w:sz w:val="24"/>
          <w:szCs w:val="24"/>
          <w:lang w:val="en-US" w:eastAsia="en-US" w:bidi="ar-SA"/>
        </w:rPr>
        <w:t>对塔基临时施工区、施工临时道路等应及时做好植被恢复工作， 以尽量减少</w:t>
      </w:r>
      <w:r>
        <w:rPr>
          <w:rFonts w:hint="default" w:ascii="Times New Roman" w:hAnsi="Times New Roman" w:eastAsia="宋体" w:cs="Times New Roman"/>
          <w:snapToGrid w:val="0"/>
          <w:color w:val="auto"/>
          <w:spacing w:val="-4"/>
          <w:kern w:val="0"/>
          <w:sz w:val="24"/>
          <w:szCs w:val="24"/>
          <w:lang w:val="en-US" w:eastAsia="en-US" w:bidi="ar-SA"/>
        </w:rPr>
        <w:t>生境破坏对动物的不利影响。</w:t>
      </w:r>
    </w:p>
    <w:p w14:paraId="0CBAF484">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b/>
          <w:bCs/>
          <w:snapToGrid w:val="0"/>
          <w:color w:val="auto"/>
          <w:spacing w:val="0"/>
          <w:kern w:val="0"/>
          <w:sz w:val="24"/>
          <w:szCs w:val="24"/>
          <w:lang w:val="en-US" w:eastAsia="en-US" w:bidi="ar-SA"/>
        </w:rPr>
      </w:pPr>
      <w:bookmarkStart w:id="540" w:name="_Toc7192"/>
      <w:bookmarkStart w:id="541" w:name="_Toc1188"/>
      <w:r>
        <w:rPr>
          <w:rFonts w:hint="default" w:ascii="Times New Roman" w:hAnsi="Times New Roman" w:eastAsia="宋体" w:cs="Times New Roman"/>
          <w:b/>
          <w:bCs/>
          <w:snapToGrid w:val="0"/>
          <w:color w:val="auto"/>
          <w:spacing w:val="0"/>
          <w:kern w:val="0"/>
          <w:sz w:val="24"/>
          <w:szCs w:val="24"/>
          <w:lang w:val="en-US" w:eastAsia="zh-CN" w:bidi="ar-SA"/>
        </w:rPr>
        <w:t>4</w:t>
      </w:r>
      <w:r>
        <w:rPr>
          <w:rFonts w:hint="default" w:ascii="Times New Roman" w:hAnsi="Times New Roman" w:eastAsia="宋体" w:cs="Times New Roman"/>
          <w:b/>
          <w:bCs/>
          <w:snapToGrid w:val="0"/>
          <w:color w:val="auto"/>
          <w:spacing w:val="0"/>
          <w:kern w:val="0"/>
          <w:sz w:val="24"/>
          <w:szCs w:val="24"/>
          <w:lang w:val="en-US" w:eastAsia="en-US" w:bidi="ar-SA"/>
        </w:rPr>
        <w:t>.4对生态敏感区的保护措施</w:t>
      </w:r>
      <w:bookmarkEnd w:id="540"/>
      <w:bookmarkEnd w:id="541"/>
    </w:p>
    <w:p w14:paraId="3F473A5B">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除遵守以上生态保护措施以外，施工期在生态保护红线区域应同时落实以</w:t>
      </w:r>
      <w:r>
        <w:rPr>
          <w:rFonts w:hint="default" w:ascii="Times New Roman" w:hAnsi="Times New Roman" w:eastAsia="宋体" w:cs="Times New Roman"/>
          <w:snapToGrid w:val="0"/>
          <w:color w:val="auto"/>
          <w:spacing w:val="-3"/>
          <w:kern w:val="0"/>
          <w:sz w:val="24"/>
          <w:szCs w:val="24"/>
          <w:lang w:val="en-US" w:eastAsia="en-US" w:bidi="ar-SA"/>
        </w:rPr>
        <w:t>下有关水源涵养、生物多样性维护的生态保护措施：</w:t>
      </w:r>
    </w:p>
    <w:p w14:paraId="5CF9695F">
      <w:pPr>
        <w:keepNext w:val="0"/>
        <w:keepLines w:val="0"/>
        <w:pageBreakBefore w:val="0"/>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5"/>
          <w:kern w:val="0"/>
          <w:sz w:val="24"/>
          <w:szCs w:val="24"/>
          <w:lang w:val="en-US" w:eastAsia="zh-CN" w:bidi="ar-SA"/>
        </w:rPr>
        <w:t>⑴</w:t>
      </w:r>
      <w:r>
        <w:rPr>
          <w:rFonts w:hint="default" w:ascii="Times New Roman" w:hAnsi="Times New Roman" w:eastAsia="宋体" w:cs="Times New Roman"/>
          <w:snapToGrid w:val="0"/>
          <w:color w:val="auto"/>
          <w:spacing w:val="-5"/>
          <w:kern w:val="0"/>
          <w:sz w:val="24"/>
          <w:szCs w:val="24"/>
          <w:lang w:val="en-US" w:eastAsia="en-US" w:bidi="ar-SA"/>
        </w:rPr>
        <w:t>水源涵养生态保护措施：</w:t>
      </w:r>
    </w:p>
    <w:p w14:paraId="5F7721BC">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①设置临时防护设施：</w:t>
      </w:r>
      <w:r>
        <w:rPr>
          <w:rFonts w:hint="default" w:ascii="Times New Roman" w:hAnsi="Times New Roman" w:cs="Times New Roman"/>
          <w:color w:val="auto"/>
          <w:kern w:val="0"/>
          <w:sz w:val="24"/>
          <w:highlight w:val="none"/>
          <w:lang w:val="en-US" w:eastAsia="zh-CN"/>
        </w:rPr>
        <w:t>本线路沿线主要跨河川河、川口河及部分冲沟等水体，跨越宽度10-150m不等，</w:t>
      </w:r>
      <w:r>
        <w:rPr>
          <w:rFonts w:hint="default" w:ascii="Times New Roman" w:hAnsi="Times New Roman" w:eastAsia="宋体" w:cs="Times New Roman"/>
          <w:snapToGrid w:val="0"/>
          <w:color w:val="auto"/>
          <w:kern w:val="0"/>
          <w:sz w:val="24"/>
          <w:szCs w:val="24"/>
          <w:lang w:val="en-US" w:eastAsia="en-US" w:bidi="ar-SA"/>
        </w:rPr>
        <w:t>采用高跨一档方式通过</w:t>
      </w:r>
      <w:r>
        <w:rPr>
          <w:rFonts w:hint="default" w:ascii="Times New Roman" w:hAnsi="Times New Roman" w:cs="Times New Roman"/>
          <w:color w:val="auto"/>
          <w:kern w:val="0"/>
          <w:sz w:val="24"/>
          <w:highlight w:val="none"/>
          <w:lang w:val="en-US" w:eastAsia="zh-CN"/>
        </w:rPr>
        <w:t>，</w:t>
      </w:r>
      <w:r>
        <w:rPr>
          <w:rFonts w:hint="default" w:ascii="Times New Roman" w:hAnsi="Times New Roman" w:eastAsia="宋体" w:cs="Times New Roman"/>
          <w:snapToGrid w:val="0"/>
          <w:color w:val="auto"/>
          <w:kern w:val="0"/>
          <w:sz w:val="24"/>
          <w:szCs w:val="24"/>
          <w:lang w:val="en-US" w:eastAsia="en-US" w:bidi="ar-SA"/>
        </w:rPr>
        <w:t>不</w:t>
      </w:r>
      <w:r>
        <w:rPr>
          <w:rFonts w:hint="default" w:ascii="Times New Roman" w:hAnsi="Times New Roman" w:eastAsia="宋体" w:cs="Times New Roman"/>
          <w:snapToGrid w:val="0"/>
          <w:color w:val="auto"/>
          <w:spacing w:val="-3"/>
          <w:kern w:val="0"/>
          <w:sz w:val="24"/>
          <w:szCs w:val="24"/>
          <w:lang w:val="en-US" w:eastAsia="en-US" w:bidi="ar-SA"/>
        </w:rPr>
        <w:t>在河道范围内立塔，</w:t>
      </w:r>
      <w:r>
        <w:rPr>
          <w:rFonts w:hint="default" w:ascii="Times New Roman" w:hAnsi="Times New Roman" w:cs="Times New Roman"/>
          <w:color w:val="auto"/>
          <w:kern w:val="0"/>
          <w:sz w:val="24"/>
          <w:highlight w:val="none"/>
          <w:lang w:val="en-US" w:eastAsia="zh-CN"/>
        </w:rPr>
        <w:t>杆塔距离岸边50m外，放置于地势较高、较为稳固的位置。</w:t>
      </w:r>
      <w:r>
        <w:rPr>
          <w:rFonts w:hint="default" w:ascii="Times New Roman" w:hAnsi="Times New Roman" w:eastAsia="宋体" w:cs="Times New Roman"/>
          <w:snapToGrid w:val="0"/>
          <w:color w:val="auto"/>
          <w:spacing w:val="-4"/>
          <w:kern w:val="0"/>
          <w:sz w:val="24"/>
          <w:szCs w:val="24"/>
          <w:lang w:val="en-US" w:eastAsia="en-US" w:bidi="ar-SA"/>
        </w:rPr>
        <w:t>跨越河流、冲沟的施</w:t>
      </w:r>
      <w:r>
        <w:rPr>
          <w:rFonts w:hint="default" w:ascii="Times New Roman" w:hAnsi="Times New Roman" w:eastAsia="宋体" w:cs="Times New Roman"/>
          <w:snapToGrid w:val="0"/>
          <w:color w:val="auto"/>
          <w:spacing w:val="-9"/>
          <w:kern w:val="0"/>
          <w:sz w:val="24"/>
          <w:szCs w:val="24"/>
          <w:lang w:val="en-US" w:eastAsia="en-US" w:bidi="ar-SA"/>
        </w:rPr>
        <w:t>工场地应远离河道、冲沟，</w:t>
      </w:r>
      <w:r>
        <w:rPr>
          <w:rFonts w:hint="default" w:ascii="Times New Roman" w:hAnsi="Times New Roman" w:eastAsia="宋体" w:cs="Times New Roman"/>
          <w:snapToGrid w:val="0"/>
          <w:color w:val="auto"/>
          <w:spacing w:val="-10"/>
          <w:kern w:val="0"/>
          <w:sz w:val="24"/>
          <w:szCs w:val="24"/>
          <w:lang w:val="en-US" w:eastAsia="en-US" w:bidi="ar-SA"/>
        </w:rPr>
        <w:t>防止</w:t>
      </w:r>
      <w:r>
        <w:rPr>
          <w:rFonts w:hint="default" w:ascii="Times New Roman" w:hAnsi="Times New Roman" w:eastAsia="宋体" w:cs="Times New Roman"/>
          <w:snapToGrid w:val="0"/>
          <w:color w:val="auto"/>
          <w:spacing w:val="-3"/>
          <w:kern w:val="0"/>
          <w:sz w:val="24"/>
          <w:szCs w:val="24"/>
          <w:lang w:val="en-US" w:eastAsia="en-US" w:bidi="ar-SA"/>
        </w:rPr>
        <w:t>施工中</w:t>
      </w:r>
      <w:r>
        <w:rPr>
          <w:rFonts w:hint="eastAsia" w:cs="Times New Roman"/>
          <w:snapToGrid w:val="0"/>
          <w:color w:val="auto"/>
          <w:spacing w:val="-3"/>
          <w:kern w:val="0"/>
          <w:sz w:val="24"/>
          <w:szCs w:val="24"/>
          <w:lang w:val="en-US" w:eastAsia="zh-CN" w:bidi="ar-SA"/>
        </w:rPr>
        <w:t>固体废物</w:t>
      </w:r>
      <w:r>
        <w:rPr>
          <w:rFonts w:hint="default" w:ascii="Times New Roman" w:hAnsi="Times New Roman" w:eastAsia="宋体" w:cs="Times New Roman"/>
          <w:snapToGrid w:val="0"/>
          <w:color w:val="auto"/>
          <w:spacing w:val="-3"/>
          <w:kern w:val="0"/>
          <w:sz w:val="24"/>
          <w:szCs w:val="24"/>
          <w:lang w:val="en-US" w:eastAsia="en-US" w:bidi="ar-SA"/>
        </w:rPr>
        <w:t>进入周边水体。</w:t>
      </w:r>
    </w:p>
    <w:p w14:paraId="7DE1859A">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②合理安排施工顺序：遵循先拦后挖、先排水后施工的原则，避免在雨季</w:t>
      </w:r>
      <w:r>
        <w:rPr>
          <w:rFonts w:hint="default" w:ascii="Times New Roman" w:hAnsi="Times New Roman" w:eastAsia="宋体" w:cs="Times New Roman"/>
          <w:snapToGrid w:val="0"/>
          <w:color w:val="auto"/>
          <w:spacing w:val="-3"/>
          <w:kern w:val="0"/>
          <w:sz w:val="24"/>
          <w:szCs w:val="24"/>
          <w:lang w:val="en-US" w:eastAsia="en-US" w:bidi="ar-SA"/>
        </w:rPr>
        <w:t>进行大规模的土方开挖和填方作业，减少雨水对施工场地的冲刷，降低水土流失</w:t>
      </w:r>
      <w:r>
        <w:rPr>
          <w:rFonts w:hint="default" w:ascii="Times New Roman" w:hAnsi="Times New Roman" w:eastAsia="宋体" w:cs="Times New Roman"/>
          <w:snapToGrid w:val="0"/>
          <w:color w:val="auto"/>
          <w:spacing w:val="-8"/>
          <w:kern w:val="0"/>
          <w:sz w:val="24"/>
          <w:szCs w:val="24"/>
          <w:lang w:val="en-US" w:eastAsia="en-US" w:bidi="ar-SA"/>
        </w:rPr>
        <w:t>的风险。</w:t>
      </w:r>
    </w:p>
    <w:p w14:paraId="45015792">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③保护植被资源：在进出生态保护红线段设置明显的边界标识，划定施工</w:t>
      </w:r>
      <w:r>
        <w:rPr>
          <w:rFonts w:hint="default" w:ascii="Times New Roman" w:hAnsi="Times New Roman" w:eastAsia="宋体" w:cs="Times New Roman"/>
          <w:snapToGrid w:val="0"/>
          <w:color w:val="auto"/>
          <w:spacing w:val="-3"/>
          <w:kern w:val="0"/>
          <w:sz w:val="24"/>
          <w:szCs w:val="24"/>
          <w:lang w:val="en-US" w:eastAsia="en-US" w:bidi="ar-SA"/>
        </w:rPr>
        <w:t>范围，明确施工区域边界，严禁施工人员和机械超出范围作业，减少对</w:t>
      </w:r>
      <w:r>
        <w:rPr>
          <w:rFonts w:hint="default" w:ascii="Times New Roman" w:hAnsi="Times New Roman" w:eastAsia="宋体" w:cs="Times New Roman"/>
          <w:snapToGrid w:val="0"/>
          <w:color w:val="auto"/>
          <w:spacing w:val="-4"/>
          <w:kern w:val="0"/>
          <w:sz w:val="24"/>
          <w:szCs w:val="24"/>
          <w:lang w:val="en-US" w:eastAsia="en-US" w:bidi="ar-SA"/>
        </w:rPr>
        <w:t>施工区域</w:t>
      </w:r>
      <w:r>
        <w:rPr>
          <w:rFonts w:hint="default" w:ascii="Times New Roman" w:hAnsi="Times New Roman" w:eastAsia="宋体" w:cs="Times New Roman"/>
          <w:snapToGrid w:val="0"/>
          <w:color w:val="auto"/>
          <w:spacing w:val="-6"/>
          <w:kern w:val="0"/>
          <w:sz w:val="24"/>
          <w:szCs w:val="24"/>
          <w:lang w:val="en-US" w:eastAsia="en-US" w:bidi="ar-SA"/>
        </w:rPr>
        <w:t>外植被的破坏。</w:t>
      </w:r>
    </w:p>
    <w:p w14:paraId="5CB1C825">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spacing w:val="-6"/>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④及时恢复植被：施工结束后，及时对施工迹地进行植被恢复，根据当地</w:t>
      </w:r>
      <w:r>
        <w:rPr>
          <w:rFonts w:hint="default" w:ascii="Times New Roman" w:hAnsi="Times New Roman" w:eastAsia="宋体" w:cs="Times New Roman"/>
          <w:snapToGrid w:val="0"/>
          <w:color w:val="auto"/>
          <w:spacing w:val="-7"/>
          <w:kern w:val="0"/>
          <w:sz w:val="24"/>
          <w:szCs w:val="24"/>
          <w:lang w:val="en-US" w:eastAsia="en-US" w:bidi="ar-SA"/>
        </w:rPr>
        <w:t>的土壤、气候条件， 选择适宜的乡土树种和草种进行种植，提高植被覆盖率，增</w:t>
      </w:r>
      <w:r>
        <w:rPr>
          <w:rFonts w:hint="default" w:ascii="Times New Roman" w:hAnsi="Times New Roman" w:eastAsia="宋体" w:cs="Times New Roman"/>
          <w:snapToGrid w:val="0"/>
          <w:color w:val="auto"/>
          <w:spacing w:val="-6"/>
          <w:kern w:val="0"/>
          <w:sz w:val="24"/>
          <w:szCs w:val="24"/>
          <w:lang w:val="en-US" w:eastAsia="en-US" w:bidi="ar-SA"/>
        </w:rPr>
        <w:t>强水源涵养能力。</w:t>
      </w:r>
    </w:p>
    <w:p w14:paraId="1DE4C7C7">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⑤控制污水排放：加强对施工人员的管理，严禁将生活污水随意排放，避</w:t>
      </w:r>
      <w:r>
        <w:rPr>
          <w:rFonts w:hint="default" w:ascii="Times New Roman" w:hAnsi="Times New Roman" w:eastAsia="宋体" w:cs="Times New Roman"/>
          <w:snapToGrid w:val="0"/>
          <w:color w:val="auto"/>
          <w:spacing w:val="-5"/>
          <w:kern w:val="0"/>
          <w:sz w:val="24"/>
          <w:szCs w:val="24"/>
          <w:lang w:val="en-US" w:eastAsia="en-US" w:bidi="ar-SA"/>
        </w:rPr>
        <w:t>免对周边水体造成污染。</w:t>
      </w:r>
    </w:p>
    <w:p w14:paraId="7B527FD5">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snapToGrid w:val="0"/>
          <w:color w:val="auto"/>
          <w:spacing w:val="-2"/>
          <w:kern w:val="0"/>
          <w:sz w:val="24"/>
          <w:szCs w:val="24"/>
          <w:lang w:val="en-US" w:eastAsia="zh-CN" w:bidi="ar-SA"/>
        </w:rPr>
        <w:t>⑵</w:t>
      </w:r>
      <w:r>
        <w:rPr>
          <w:rFonts w:hint="default" w:ascii="Times New Roman" w:hAnsi="Times New Roman" w:eastAsia="宋体" w:cs="Times New Roman"/>
          <w:snapToGrid w:val="0"/>
          <w:color w:val="auto"/>
          <w:spacing w:val="-2"/>
          <w:kern w:val="0"/>
          <w:sz w:val="24"/>
          <w:szCs w:val="24"/>
          <w:lang w:val="en-US" w:eastAsia="en-US" w:bidi="ar-SA"/>
        </w:rPr>
        <w:t>生物多样性生态保护措施</w:t>
      </w:r>
    </w:p>
    <w:p w14:paraId="291EF2C1">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①控制施工范围与作业时间：严格划定施工范围，设置明显的边界标识，</w:t>
      </w:r>
      <w:r>
        <w:rPr>
          <w:rFonts w:hint="default" w:ascii="Times New Roman" w:hAnsi="Times New Roman" w:eastAsia="宋体" w:cs="Times New Roman"/>
          <w:snapToGrid w:val="0"/>
          <w:color w:val="auto"/>
          <w:spacing w:val="-3"/>
          <w:kern w:val="0"/>
          <w:sz w:val="24"/>
          <w:szCs w:val="24"/>
          <w:lang w:val="en-US" w:eastAsia="en-US" w:bidi="ar-SA"/>
        </w:rPr>
        <w:t>严禁施工人员和机械超出范围作业，避免对周边生态环境造成不必要的破坏。合</w:t>
      </w:r>
      <w:r>
        <w:rPr>
          <w:rFonts w:hint="default" w:ascii="Times New Roman" w:hAnsi="Times New Roman" w:eastAsia="宋体" w:cs="Times New Roman"/>
          <w:snapToGrid w:val="0"/>
          <w:color w:val="auto"/>
          <w:spacing w:val="-6"/>
          <w:kern w:val="0"/>
          <w:sz w:val="24"/>
          <w:szCs w:val="24"/>
          <w:lang w:val="en-US" w:eastAsia="en-US" w:bidi="ar-SA"/>
        </w:rPr>
        <w:t>理安排施工时间，避开野生动物的繁殖期、迁徙期等敏感时期</w:t>
      </w:r>
      <w:r>
        <w:rPr>
          <w:rFonts w:hint="default" w:ascii="Times New Roman" w:hAnsi="Times New Roman" w:eastAsia="宋体" w:cs="Times New Roman"/>
          <w:snapToGrid w:val="0"/>
          <w:color w:val="auto"/>
          <w:spacing w:val="-7"/>
          <w:kern w:val="0"/>
          <w:sz w:val="24"/>
          <w:szCs w:val="24"/>
          <w:lang w:val="en-US" w:eastAsia="en-US" w:bidi="ar-SA"/>
        </w:rPr>
        <w:t>，减少对生物活动</w:t>
      </w:r>
      <w:r>
        <w:rPr>
          <w:rFonts w:hint="default" w:ascii="Times New Roman" w:hAnsi="Times New Roman" w:eastAsia="宋体" w:cs="Times New Roman"/>
          <w:snapToGrid w:val="0"/>
          <w:color w:val="auto"/>
          <w:spacing w:val="-9"/>
          <w:kern w:val="0"/>
          <w:sz w:val="24"/>
          <w:szCs w:val="24"/>
          <w:lang w:val="en-US" w:eastAsia="en-US" w:bidi="ar-SA"/>
        </w:rPr>
        <w:t>的干扰。</w:t>
      </w:r>
    </w:p>
    <w:p w14:paraId="3AC01E4E">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1"/>
          <w:kern w:val="0"/>
          <w:sz w:val="24"/>
          <w:szCs w:val="24"/>
          <w:lang w:val="en-US" w:eastAsia="en-US" w:bidi="ar-SA"/>
        </w:rPr>
        <w:t>②在施工区域张贴项目所在区域可能存在的重点保护野生</w:t>
      </w:r>
      <w:r>
        <w:rPr>
          <w:rFonts w:hint="default" w:ascii="Times New Roman" w:hAnsi="Times New Roman" w:eastAsia="宋体" w:cs="Times New Roman"/>
          <w:snapToGrid w:val="0"/>
          <w:color w:val="auto"/>
          <w:spacing w:val="-2"/>
          <w:kern w:val="0"/>
          <w:sz w:val="24"/>
          <w:szCs w:val="24"/>
          <w:lang w:val="en-US" w:eastAsia="en-US" w:bidi="ar-SA"/>
        </w:rPr>
        <w:t>动植物的照片，</w:t>
      </w:r>
      <w:r>
        <w:rPr>
          <w:rFonts w:hint="default" w:ascii="Times New Roman" w:hAnsi="Times New Roman" w:eastAsia="宋体" w:cs="Times New Roman"/>
          <w:snapToGrid w:val="0"/>
          <w:color w:val="auto"/>
          <w:spacing w:val="-1"/>
          <w:kern w:val="0"/>
          <w:sz w:val="24"/>
          <w:szCs w:val="24"/>
          <w:lang w:val="en-US" w:eastAsia="en-US" w:bidi="ar-SA"/>
        </w:rPr>
        <w:t>加强施工人员保护野生动植物意识培训，便于施工人员</w:t>
      </w:r>
      <w:r>
        <w:rPr>
          <w:rFonts w:hint="default" w:ascii="Times New Roman" w:hAnsi="Times New Roman" w:eastAsia="宋体" w:cs="Times New Roman"/>
          <w:snapToGrid w:val="0"/>
          <w:color w:val="auto"/>
          <w:spacing w:val="-2"/>
          <w:kern w:val="0"/>
          <w:sz w:val="24"/>
          <w:szCs w:val="24"/>
          <w:lang w:val="en-US" w:eastAsia="en-US" w:bidi="ar-SA"/>
        </w:rPr>
        <w:t>发现和保护重点物种。</w:t>
      </w:r>
    </w:p>
    <w:p w14:paraId="61E3E78F">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③野生动物保护与救助：加强施工人员的教育和管理，文明施工，</w:t>
      </w:r>
      <w:r>
        <w:rPr>
          <w:rFonts w:hint="default" w:ascii="Times New Roman" w:hAnsi="Times New Roman" w:eastAsia="宋体" w:cs="Times New Roman"/>
          <w:snapToGrid w:val="0"/>
          <w:color w:val="auto"/>
          <w:spacing w:val="-4"/>
          <w:kern w:val="0"/>
          <w:sz w:val="24"/>
          <w:szCs w:val="24"/>
          <w:lang w:val="en-US" w:eastAsia="en-US" w:bidi="ar-SA"/>
        </w:rPr>
        <w:t>严禁捕猎</w:t>
      </w:r>
      <w:r>
        <w:rPr>
          <w:rFonts w:hint="default" w:ascii="Times New Roman" w:hAnsi="Times New Roman" w:eastAsia="宋体" w:cs="Times New Roman"/>
          <w:snapToGrid w:val="0"/>
          <w:color w:val="auto"/>
          <w:spacing w:val="-3"/>
          <w:kern w:val="0"/>
          <w:sz w:val="24"/>
          <w:szCs w:val="24"/>
          <w:lang w:val="en-US" w:eastAsia="en-US" w:bidi="ar-SA"/>
        </w:rPr>
        <w:t>野生动物，严禁破坏它们的栖息地；建立野生动物救助机制，一旦发现因施工受</w:t>
      </w:r>
      <w:r>
        <w:rPr>
          <w:rFonts w:hint="default" w:ascii="Times New Roman" w:hAnsi="Times New Roman" w:eastAsia="宋体" w:cs="Times New Roman"/>
          <w:snapToGrid w:val="0"/>
          <w:color w:val="auto"/>
          <w:spacing w:val="-2"/>
          <w:kern w:val="0"/>
          <w:sz w:val="24"/>
          <w:szCs w:val="24"/>
          <w:lang w:val="en-US" w:eastAsia="en-US" w:bidi="ar-SA"/>
        </w:rPr>
        <w:t>到伤害的野生动物，及时联系野生动物保护部门。</w:t>
      </w:r>
    </w:p>
    <w:p w14:paraId="3D28BA8F">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b/>
          <w:bCs/>
          <w:snapToGrid w:val="0"/>
          <w:color w:val="auto"/>
          <w:spacing w:val="0"/>
          <w:kern w:val="0"/>
          <w:sz w:val="24"/>
          <w:szCs w:val="24"/>
          <w:lang w:val="en-US" w:eastAsia="en-US" w:bidi="ar-SA"/>
        </w:rPr>
      </w:pPr>
      <w:bookmarkStart w:id="542" w:name="_Toc29215"/>
      <w:bookmarkStart w:id="543" w:name="_Toc18367"/>
      <w:r>
        <w:rPr>
          <w:rFonts w:hint="default" w:ascii="Times New Roman" w:hAnsi="Times New Roman" w:eastAsia="宋体" w:cs="Times New Roman"/>
          <w:b/>
          <w:bCs/>
          <w:snapToGrid w:val="0"/>
          <w:color w:val="auto"/>
          <w:spacing w:val="0"/>
          <w:kern w:val="0"/>
          <w:sz w:val="24"/>
          <w:szCs w:val="24"/>
          <w:lang w:val="en-US" w:eastAsia="zh-CN" w:bidi="ar-SA"/>
        </w:rPr>
        <w:t>4</w:t>
      </w:r>
      <w:r>
        <w:rPr>
          <w:rFonts w:hint="default" w:ascii="Times New Roman" w:hAnsi="Times New Roman" w:eastAsia="宋体" w:cs="Times New Roman"/>
          <w:b/>
          <w:bCs/>
          <w:snapToGrid w:val="0"/>
          <w:color w:val="auto"/>
          <w:spacing w:val="0"/>
          <w:kern w:val="0"/>
          <w:sz w:val="24"/>
          <w:szCs w:val="24"/>
          <w:lang w:val="en-US" w:eastAsia="en-US" w:bidi="ar-SA"/>
        </w:rPr>
        <w:t>.5生态管理</w:t>
      </w:r>
      <w:bookmarkEnd w:id="542"/>
      <w:bookmarkEnd w:id="543"/>
    </w:p>
    <w:p w14:paraId="19056E1E">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根据国家环境保护管理规定，工程施工期间在工程管理机构中应</w:t>
      </w:r>
      <w:r>
        <w:rPr>
          <w:rFonts w:hint="default" w:ascii="Times New Roman" w:hAnsi="Times New Roman" w:eastAsia="宋体" w:cs="Times New Roman"/>
          <w:snapToGrid w:val="0"/>
          <w:color w:val="auto"/>
          <w:spacing w:val="-4"/>
          <w:kern w:val="0"/>
          <w:sz w:val="24"/>
          <w:szCs w:val="24"/>
          <w:lang w:val="en-US" w:eastAsia="en-US" w:bidi="ar-SA"/>
        </w:rPr>
        <w:t>设置环保管</w:t>
      </w:r>
      <w:r>
        <w:rPr>
          <w:rFonts w:hint="default" w:ascii="Times New Roman" w:hAnsi="Times New Roman" w:eastAsia="宋体" w:cs="Times New Roman"/>
          <w:snapToGrid w:val="0"/>
          <w:color w:val="auto"/>
          <w:spacing w:val="-2"/>
          <w:kern w:val="0"/>
          <w:sz w:val="24"/>
          <w:szCs w:val="24"/>
          <w:lang w:val="en-US" w:eastAsia="en-US" w:bidi="ar-SA"/>
        </w:rPr>
        <w:t>理机构，安排专业环保人员负责施工中的环境管理工作。</w:t>
      </w:r>
    </w:p>
    <w:p w14:paraId="10785E83">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b/>
          <w:bCs/>
          <w:snapToGrid w:val="0"/>
          <w:color w:val="auto"/>
          <w:spacing w:val="0"/>
          <w:kern w:val="0"/>
          <w:sz w:val="24"/>
          <w:szCs w:val="24"/>
          <w:lang w:val="en-US" w:eastAsia="en-US" w:bidi="ar-SA"/>
        </w:rPr>
      </w:pPr>
      <w:bookmarkStart w:id="544" w:name="_Toc24279"/>
      <w:bookmarkStart w:id="545" w:name="_Toc10726"/>
      <w:r>
        <w:rPr>
          <w:rFonts w:hint="default" w:ascii="Times New Roman" w:hAnsi="Times New Roman" w:eastAsia="宋体" w:cs="Times New Roman"/>
          <w:b/>
          <w:bCs/>
          <w:snapToGrid w:val="0"/>
          <w:color w:val="auto"/>
          <w:spacing w:val="0"/>
          <w:kern w:val="0"/>
          <w:sz w:val="24"/>
          <w:szCs w:val="24"/>
          <w:lang w:val="en-US" w:eastAsia="zh-CN" w:bidi="ar-SA"/>
        </w:rPr>
        <w:t>4</w:t>
      </w:r>
      <w:r>
        <w:rPr>
          <w:rFonts w:hint="default" w:ascii="Times New Roman" w:hAnsi="Times New Roman" w:eastAsia="宋体" w:cs="Times New Roman"/>
          <w:b/>
          <w:bCs/>
          <w:snapToGrid w:val="0"/>
          <w:color w:val="auto"/>
          <w:spacing w:val="0"/>
          <w:kern w:val="0"/>
          <w:sz w:val="24"/>
          <w:szCs w:val="24"/>
          <w:lang w:val="en-US" w:eastAsia="en-US" w:bidi="ar-SA"/>
        </w:rPr>
        <w:t>.6施工期生态管理</w:t>
      </w:r>
      <w:bookmarkEnd w:id="544"/>
      <w:bookmarkEnd w:id="545"/>
    </w:p>
    <w:p w14:paraId="412A7C40">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本工程施工招标应优先选择具有较强的生态保</w:t>
      </w:r>
      <w:r>
        <w:rPr>
          <w:rFonts w:hint="default" w:ascii="Times New Roman" w:hAnsi="Times New Roman" w:eastAsia="宋体" w:cs="Times New Roman"/>
          <w:snapToGrid w:val="0"/>
          <w:color w:val="auto"/>
          <w:spacing w:val="-1"/>
          <w:kern w:val="0"/>
          <w:sz w:val="24"/>
          <w:szCs w:val="24"/>
          <w:lang w:val="en-US" w:eastAsia="en-US" w:bidi="ar-SA"/>
        </w:rPr>
        <w:t>护意识和掌握先进架线工艺</w:t>
      </w:r>
      <w:r>
        <w:rPr>
          <w:rFonts w:hint="default" w:ascii="Times New Roman" w:hAnsi="Times New Roman" w:eastAsia="宋体" w:cs="Times New Roman"/>
          <w:snapToGrid w:val="0"/>
          <w:color w:val="auto"/>
          <w:spacing w:val="-3"/>
          <w:kern w:val="0"/>
          <w:sz w:val="24"/>
          <w:szCs w:val="24"/>
          <w:lang w:val="en-US" w:eastAsia="en-US" w:bidi="ar-SA"/>
        </w:rPr>
        <w:t>等有利于生态环境保护新技术的施工单位。</w:t>
      </w:r>
    </w:p>
    <w:p w14:paraId="6673DB60">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施工前对施工人员和监理人员进行生态保护教育，施工过程中做好</w:t>
      </w:r>
      <w:r>
        <w:rPr>
          <w:rFonts w:hint="default" w:ascii="Times New Roman" w:hAnsi="Times New Roman" w:eastAsia="宋体" w:cs="Times New Roman"/>
          <w:snapToGrid w:val="0"/>
          <w:color w:val="auto"/>
          <w:spacing w:val="-4"/>
          <w:kern w:val="0"/>
          <w:sz w:val="24"/>
          <w:szCs w:val="24"/>
          <w:lang w:val="en-US" w:eastAsia="en-US" w:bidi="ar-SA"/>
        </w:rPr>
        <w:t>施工现场</w:t>
      </w:r>
      <w:r>
        <w:rPr>
          <w:rFonts w:hint="default" w:ascii="Times New Roman" w:hAnsi="Times New Roman" w:eastAsia="宋体" w:cs="Times New Roman"/>
          <w:snapToGrid w:val="0"/>
          <w:color w:val="auto"/>
          <w:spacing w:val="-1"/>
          <w:kern w:val="0"/>
          <w:sz w:val="24"/>
          <w:szCs w:val="24"/>
          <w:lang w:val="en-US" w:eastAsia="en-US" w:bidi="ar-SA"/>
        </w:rPr>
        <w:t>管理工作，并请保护区管理机构负责保护区范围内的生</w:t>
      </w:r>
      <w:r>
        <w:rPr>
          <w:rFonts w:hint="default" w:ascii="Times New Roman" w:hAnsi="Times New Roman" w:eastAsia="宋体" w:cs="Times New Roman"/>
          <w:snapToGrid w:val="0"/>
          <w:color w:val="auto"/>
          <w:spacing w:val="-2"/>
          <w:kern w:val="0"/>
          <w:sz w:val="24"/>
          <w:szCs w:val="24"/>
          <w:lang w:val="en-US" w:eastAsia="en-US" w:bidi="ar-SA"/>
        </w:rPr>
        <w:t>态保护措施的全程跟踪、</w:t>
      </w:r>
      <w:r>
        <w:rPr>
          <w:rFonts w:hint="default" w:ascii="Times New Roman" w:hAnsi="Times New Roman" w:eastAsia="宋体" w:cs="Times New Roman"/>
          <w:snapToGrid w:val="0"/>
          <w:color w:val="auto"/>
          <w:spacing w:val="-3"/>
          <w:kern w:val="0"/>
          <w:sz w:val="24"/>
          <w:szCs w:val="24"/>
          <w:lang w:val="en-US" w:eastAsia="en-US" w:bidi="ar-SA"/>
        </w:rPr>
        <w:t>检查和监督，配合建设单位开展环境保护的技术指导，协调处理工程建设过程中涉及的环境保护管理、林地恢复等相关问题。</w:t>
      </w:r>
    </w:p>
    <w:p w14:paraId="4FAEC83C">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在施工设计文件中详细说明施工期应注意的环保问题，如对沿线树木砍伐，</w:t>
      </w:r>
      <w:r>
        <w:rPr>
          <w:rFonts w:hint="default" w:ascii="Times New Roman" w:hAnsi="Times New Roman" w:eastAsia="宋体" w:cs="Times New Roman"/>
          <w:snapToGrid w:val="0"/>
          <w:color w:val="auto"/>
          <w:spacing w:val="-6"/>
          <w:kern w:val="0"/>
          <w:sz w:val="24"/>
          <w:szCs w:val="24"/>
          <w:lang w:val="en-US" w:eastAsia="en-US" w:bidi="ar-SA"/>
        </w:rPr>
        <w:t>野生动植物保护、植被恢复等情况均应按设计文件执行， 同时</w:t>
      </w:r>
      <w:r>
        <w:rPr>
          <w:rFonts w:hint="default" w:ascii="Times New Roman" w:hAnsi="Times New Roman" w:eastAsia="宋体" w:cs="Times New Roman"/>
          <w:snapToGrid w:val="0"/>
          <w:color w:val="auto"/>
          <w:spacing w:val="-7"/>
          <w:kern w:val="0"/>
          <w:sz w:val="24"/>
          <w:szCs w:val="24"/>
          <w:lang w:val="en-US" w:eastAsia="en-US" w:bidi="ar-SA"/>
        </w:rPr>
        <w:t>做好记录，并按标</w:t>
      </w:r>
      <w:r>
        <w:rPr>
          <w:rFonts w:hint="default" w:ascii="Times New Roman" w:hAnsi="Times New Roman" w:eastAsia="宋体" w:cs="Times New Roman"/>
          <w:snapToGrid w:val="0"/>
          <w:color w:val="auto"/>
          <w:spacing w:val="-5"/>
          <w:kern w:val="0"/>
          <w:sz w:val="24"/>
          <w:szCs w:val="24"/>
          <w:lang w:val="en-US" w:eastAsia="en-US" w:bidi="ar-SA"/>
        </w:rPr>
        <w:t>段将记录整理成册。严格要求施工单位按设计文件施工，</w:t>
      </w:r>
      <w:r>
        <w:rPr>
          <w:rFonts w:hint="default" w:ascii="Times New Roman" w:hAnsi="Times New Roman" w:eastAsia="宋体" w:cs="Times New Roman"/>
          <w:snapToGrid w:val="0"/>
          <w:color w:val="auto"/>
          <w:spacing w:val="-48"/>
          <w:kern w:val="0"/>
          <w:sz w:val="24"/>
          <w:szCs w:val="24"/>
          <w:lang w:val="en-US" w:eastAsia="en-US" w:bidi="ar-SA"/>
        </w:rPr>
        <w:t xml:space="preserve"> </w:t>
      </w:r>
      <w:r>
        <w:rPr>
          <w:rFonts w:hint="default" w:ascii="Times New Roman" w:hAnsi="Times New Roman" w:eastAsia="宋体" w:cs="Times New Roman"/>
          <w:snapToGrid w:val="0"/>
          <w:color w:val="auto"/>
          <w:spacing w:val="-5"/>
          <w:kern w:val="0"/>
          <w:sz w:val="24"/>
          <w:szCs w:val="24"/>
          <w:lang w:val="en-US" w:eastAsia="en-US" w:bidi="ar-SA"/>
        </w:rPr>
        <w:t>特别是按环保设计要求</w:t>
      </w:r>
      <w:r>
        <w:rPr>
          <w:rFonts w:hint="default" w:ascii="Times New Roman" w:hAnsi="Times New Roman" w:eastAsia="宋体" w:cs="Times New Roman"/>
          <w:snapToGrid w:val="0"/>
          <w:color w:val="auto"/>
          <w:spacing w:val="-10"/>
          <w:kern w:val="0"/>
          <w:sz w:val="24"/>
          <w:szCs w:val="24"/>
          <w:lang w:val="en-US" w:eastAsia="en-US" w:bidi="ar-SA"/>
        </w:rPr>
        <w:t>施工。</w:t>
      </w:r>
    </w:p>
    <w:p w14:paraId="4CB8A2DB">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建设方在施工期间应有专人负责环境管理工作，对施工中</w:t>
      </w:r>
      <w:r>
        <w:rPr>
          <w:rFonts w:hint="default" w:ascii="Times New Roman" w:hAnsi="Times New Roman" w:eastAsia="宋体" w:cs="Times New Roman"/>
          <w:snapToGrid w:val="0"/>
          <w:color w:val="auto"/>
          <w:spacing w:val="-4"/>
          <w:kern w:val="0"/>
          <w:sz w:val="24"/>
          <w:szCs w:val="24"/>
          <w:lang w:val="en-US" w:eastAsia="en-US" w:bidi="ar-SA"/>
        </w:rPr>
        <w:t>的每一道工序都应</w:t>
      </w:r>
      <w:r>
        <w:rPr>
          <w:rFonts w:hint="default" w:ascii="Times New Roman" w:hAnsi="Times New Roman" w:eastAsia="宋体" w:cs="Times New Roman"/>
          <w:snapToGrid w:val="0"/>
          <w:color w:val="auto"/>
          <w:spacing w:val="-3"/>
          <w:kern w:val="0"/>
          <w:sz w:val="24"/>
          <w:szCs w:val="24"/>
          <w:lang w:val="en-US" w:eastAsia="en-US" w:bidi="ar-SA"/>
        </w:rPr>
        <w:t>检查是否满足环保要求，并不定期地对各施工点位进行监督检查。在敏感区进行施工前环境监理应加强对施工人员进行自然保护区相关法规、野生动物保护等内</w:t>
      </w:r>
      <w:r>
        <w:rPr>
          <w:rFonts w:hint="default" w:ascii="Times New Roman" w:hAnsi="Times New Roman" w:eastAsia="宋体" w:cs="Times New Roman"/>
          <w:snapToGrid w:val="0"/>
          <w:color w:val="auto"/>
          <w:spacing w:val="-2"/>
          <w:kern w:val="0"/>
          <w:sz w:val="24"/>
          <w:szCs w:val="24"/>
          <w:lang w:val="en-US" w:eastAsia="en-US" w:bidi="ar-SA"/>
        </w:rPr>
        <w:t>容进行培训，规范施工队伍行为和施工现场管理。</w:t>
      </w:r>
    </w:p>
    <w:p w14:paraId="7E37D3AA">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b/>
          <w:bCs/>
          <w:snapToGrid w:val="0"/>
          <w:color w:val="auto"/>
          <w:spacing w:val="0"/>
          <w:kern w:val="0"/>
          <w:sz w:val="24"/>
          <w:szCs w:val="24"/>
          <w:lang w:val="en-US" w:eastAsia="en-US" w:bidi="ar-SA"/>
        </w:rPr>
      </w:pPr>
      <w:bookmarkStart w:id="546" w:name="_Toc16962"/>
      <w:bookmarkStart w:id="547" w:name="_Toc11630"/>
      <w:r>
        <w:rPr>
          <w:rFonts w:hint="default" w:ascii="Times New Roman" w:hAnsi="Times New Roman" w:eastAsia="宋体" w:cs="Times New Roman"/>
          <w:b/>
          <w:bCs/>
          <w:snapToGrid w:val="0"/>
          <w:color w:val="auto"/>
          <w:spacing w:val="0"/>
          <w:kern w:val="0"/>
          <w:sz w:val="24"/>
          <w:szCs w:val="24"/>
          <w:lang w:val="en-US" w:eastAsia="zh-CN" w:bidi="ar-SA"/>
        </w:rPr>
        <w:t>4</w:t>
      </w:r>
      <w:r>
        <w:rPr>
          <w:rFonts w:hint="default" w:ascii="Times New Roman" w:hAnsi="Times New Roman" w:eastAsia="宋体" w:cs="Times New Roman"/>
          <w:b/>
          <w:bCs/>
          <w:snapToGrid w:val="0"/>
          <w:color w:val="auto"/>
          <w:spacing w:val="0"/>
          <w:kern w:val="0"/>
          <w:sz w:val="24"/>
          <w:szCs w:val="24"/>
          <w:lang w:val="en-US" w:eastAsia="en-US" w:bidi="ar-SA"/>
        </w:rPr>
        <w:t>.7运行期生态管理</w:t>
      </w:r>
      <w:bookmarkEnd w:id="546"/>
      <w:bookmarkEnd w:id="547"/>
    </w:p>
    <w:p w14:paraId="06EE2478">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根据项目所在区域的环境特点，在工程运维过程中应关注生</w:t>
      </w:r>
      <w:r>
        <w:rPr>
          <w:rFonts w:hint="default" w:ascii="Times New Roman" w:hAnsi="Times New Roman" w:eastAsia="宋体" w:cs="Times New Roman"/>
          <w:snapToGrid w:val="0"/>
          <w:color w:val="auto"/>
          <w:spacing w:val="-3"/>
          <w:kern w:val="0"/>
          <w:sz w:val="24"/>
          <w:szCs w:val="24"/>
          <w:lang w:val="en-US" w:eastAsia="en-US" w:bidi="ar-SA"/>
        </w:rPr>
        <w:t>态管理：</w:t>
      </w:r>
    </w:p>
    <w:p w14:paraId="788CE05E">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不定期地巡查线路各段，制定合理的巡护路线，保护生</w:t>
      </w:r>
      <w:r>
        <w:rPr>
          <w:rFonts w:hint="default" w:ascii="Times New Roman" w:hAnsi="Times New Roman" w:eastAsia="宋体" w:cs="Times New Roman"/>
          <w:snapToGrid w:val="0"/>
          <w:color w:val="auto"/>
          <w:spacing w:val="-4"/>
          <w:kern w:val="0"/>
          <w:sz w:val="24"/>
          <w:szCs w:val="24"/>
          <w:lang w:val="en-US" w:eastAsia="en-US" w:bidi="ar-SA"/>
        </w:rPr>
        <w:t>态环境不被破坏，保</w:t>
      </w:r>
      <w:r>
        <w:rPr>
          <w:rFonts w:hint="default" w:ascii="Times New Roman" w:hAnsi="Times New Roman" w:eastAsia="宋体" w:cs="Times New Roman"/>
          <w:snapToGrid w:val="0"/>
          <w:color w:val="auto"/>
          <w:spacing w:val="-5"/>
          <w:kern w:val="0"/>
          <w:sz w:val="24"/>
          <w:szCs w:val="24"/>
          <w:lang w:val="en-US" w:eastAsia="en-US" w:bidi="ar-SA"/>
        </w:rPr>
        <w:t>证保护生态与工程运行相协调；</w:t>
      </w:r>
    </w:p>
    <w:p w14:paraId="33601B68">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配合上级生态环境部门所进行的环境调查，生态调查等活动；</w:t>
      </w:r>
    </w:p>
    <w:p w14:paraId="41757800">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加强巡护人员生态保护意识，制定适当的奖惩制度，杜绝肆意破</w:t>
      </w:r>
      <w:r>
        <w:rPr>
          <w:rFonts w:hint="default" w:ascii="Times New Roman" w:hAnsi="Times New Roman" w:eastAsia="宋体" w:cs="Times New Roman"/>
          <w:snapToGrid w:val="0"/>
          <w:color w:val="auto"/>
          <w:spacing w:val="-4"/>
          <w:kern w:val="0"/>
          <w:sz w:val="24"/>
          <w:szCs w:val="24"/>
          <w:lang w:val="en-US" w:eastAsia="en-US" w:bidi="ar-SA"/>
        </w:rPr>
        <w:t>坏区域内生</w:t>
      </w:r>
      <w:r>
        <w:rPr>
          <w:rFonts w:hint="default" w:ascii="Times New Roman" w:hAnsi="Times New Roman" w:eastAsia="宋体" w:cs="Times New Roman"/>
          <w:snapToGrid w:val="0"/>
          <w:color w:val="auto"/>
          <w:spacing w:val="-7"/>
          <w:kern w:val="0"/>
          <w:sz w:val="24"/>
          <w:szCs w:val="24"/>
          <w:lang w:val="en-US" w:eastAsia="en-US" w:bidi="ar-SA"/>
        </w:rPr>
        <w:t>态环境的现象发生；</w:t>
      </w:r>
    </w:p>
    <w:p w14:paraId="49597F5E">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加强线路巡护，及时进行维修，杜绝安全隐患，以防电力事故的</w:t>
      </w:r>
      <w:r>
        <w:rPr>
          <w:rFonts w:hint="default" w:ascii="Times New Roman" w:hAnsi="Times New Roman" w:eastAsia="宋体" w:cs="Times New Roman"/>
          <w:snapToGrid w:val="0"/>
          <w:color w:val="auto"/>
          <w:spacing w:val="-4"/>
          <w:kern w:val="0"/>
          <w:sz w:val="24"/>
          <w:szCs w:val="24"/>
          <w:lang w:val="en-US" w:eastAsia="en-US" w:bidi="ar-SA"/>
        </w:rPr>
        <w:t>发生导致当</w:t>
      </w:r>
      <w:r>
        <w:rPr>
          <w:rFonts w:hint="default" w:ascii="Times New Roman" w:hAnsi="Times New Roman" w:eastAsia="宋体" w:cs="Times New Roman"/>
          <w:snapToGrid w:val="0"/>
          <w:color w:val="auto"/>
          <w:spacing w:val="-6"/>
          <w:kern w:val="0"/>
          <w:sz w:val="24"/>
          <w:szCs w:val="24"/>
          <w:lang w:val="en-US" w:eastAsia="en-US" w:bidi="ar-SA"/>
        </w:rPr>
        <w:t>地生态环境遭到严重破坏；</w:t>
      </w:r>
    </w:p>
    <w:p w14:paraId="08AD7653">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运行</w:t>
      </w:r>
      <w:r>
        <w:rPr>
          <w:rFonts w:hint="eastAsia" w:cs="Times New Roman"/>
          <w:snapToGrid w:val="0"/>
          <w:color w:val="auto"/>
          <w:spacing w:val="-2"/>
          <w:kern w:val="0"/>
          <w:sz w:val="24"/>
          <w:szCs w:val="24"/>
          <w:lang w:val="en-US" w:eastAsia="zh-CN" w:bidi="ar-SA"/>
        </w:rPr>
        <w:t>期间</w:t>
      </w:r>
      <w:r>
        <w:rPr>
          <w:rFonts w:hint="default" w:ascii="Times New Roman" w:hAnsi="Times New Roman" w:eastAsia="宋体" w:cs="Times New Roman"/>
          <w:snapToGrid w:val="0"/>
          <w:color w:val="auto"/>
          <w:spacing w:val="-2"/>
          <w:kern w:val="0"/>
          <w:sz w:val="24"/>
          <w:szCs w:val="24"/>
          <w:lang w:val="en-US" w:eastAsia="en-US" w:bidi="ar-SA"/>
        </w:rPr>
        <w:t>线路维护产生的废弃物，应及时处理，避免生态环境的破坏。</w:t>
      </w:r>
    </w:p>
    <w:p w14:paraId="4630BE18">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b/>
          <w:bCs/>
          <w:snapToGrid w:val="0"/>
          <w:color w:val="auto"/>
          <w:spacing w:val="0"/>
          <w:kern w:val="0"/>
          <w:sz w:val="24"/>
          <w:szCs w:val="24"/>
          <w:lang w:val="en-US" w:eastAsia="en-US" w:bidi="ar-SA"/>
        </w:rPr>
      </w:pPr>
      <w:bookmarkStart w:id="548" w:name="_Toc26"/>
      <w:bookmarkStart w:id="549" w:name="_Toc22765"/>
      <w:r>
        <w:rPr>
          <w:rFonts w:hint="default" w:ascii="Times New Roman" w:hAnsi="Times New Roman" w:eastAsia="宋体" w:cs="Times New Roman"/>
          <w:b/>
          <w:bCs/>
          <w:snapToGrid w:val="0"/>
          <w:color w:val="auto"/>
          <w:spacing w:val="0"/>
          <w:kern w:val="0"/>
          <w:sz w:val="24"/>
          <w:szCs w:val="24"/>
          <w:lang w:val="en-US" w:eastAsia="zh-CN" w:bidi="ar-SA"/>
        </w:rPr>
        <w:t>4</w:t>
      </w:r>
      <w:r>
        <w:rPr>
          <w:rFonts w:hint="default" w:ascii="Times New Roman" w:hAnsi="Times New Roman" w:eastAsia="宋体" w:cs="Times New Roman"/>
          <w:b/>
          <w:bCs/>
          <w:snapToGrid w:val="0"/>
          <w:color w:val="auto"/>
          <w:spacing w:val="0"/>
          <w:kern w:val="0"/>
          <w:sz w:val="24"/>
          <w:szCs w:val="24"/>
          <w:lang w:val="en-US" w:eastAsia="en-US" w:bidi="ar-SA"/>
        </w:rPr>
        <w:t>.8生态监测</w:t>
      </w:r>
      <w:bookmarkEnd w:id="548"/>
      <w:bookmarkEnd w:id="549"/>
    </w:p>
    <w:p w14:paraId="3C5B1A05">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1"/>
          <w:kern w:val="0"/>
          <w:sz w:val="24"/>
          <w:szCs w:val="24"/>
          <w:lang w:val="en-US" w:eastAsia="en-US" w:bidi="ar-SA"/>
        </w:rPr>
        <w:t>按《环境影响评价技术导则 生态影响》（</w:t>
      </w:r>
      <w:r>
        <w:rPr>
          <w:rFonts w:hint="default" w:ascii="Times New Roman" w:hAnsi="Times New Roman" w:eastAsia="Times New Roman" w:cs="Times New Roman"/>
          <w:snapToGrid w:val="0"/>
          <w:color w:val="auto"/>
          <w:spacing w:val="-1"/>
          <w:kern w:val="0"/>
          <w:sz w:val="24"/>
          <w:szCs w:val="24"/>
          <w:lang w:val="en-US" w:eastAsia="en-US" w:bidi="ar-SA"/>
        </w:rPr>
        <w:t>HJ19—2022</w:t>
      </w:r>
      <w:r>
        <w:rPr>
          <w:rFonts w:hint="default" w:ascii="Times New Roman" w:hAnsi="Times New Roman" w:eastAsia="宋体" w:cs="Times New Roman"/>
          <w:snapToGrid w:val="0"/>
          <w:color w:val="auto"/>
          <w:spacing w:val="-1"/>
          <w:kern w:val="0"/>
          <w:sz w:val="24"/>
          <w:szCs w:val="24"/>
          <w:lang w:val="en-US" w:eastAsia="en-US" w:bidi="ar-SA"/>
        </w:rPr>
        <w:t>）的要求，本工程需</w:t>
      </w:r>
      <w:r>
        <w:rPr>
          <w:rFonts w:hint="default" w:ascii="Times New Roman" w:hAnsi="Times New Roman" w:eastAsia="宋体" w:cs="Times New Roman"/>
          <w:snapToGrid w:val="0"/>
          <w:color w:val="auto"/>
          <w:spacing w:val="-5"/>
          <w:kern w:val="0"/>
          <w:sz w:val="24"/>
          <w:szCs w:val="24"/>
          <w:lang w:val="en-US" w:eastAsia="en-US" w:bidi="ar-SA"/>
        </w:rPr>
        <w:t>要开展长期跟踪生态监测。由于工程对生态的影响具有相似性，</w:t>
      </w:r>
      <w:r>
        <w:rPr>
          <w:rFonts w:hint="default" w:ascii="Times New Roman" w:hAnsi="Times New Roman" w:eastAsia="宋体" w:cs="Times New Roman"/>
          <w:snapToGrid w:val="0"/>
          <w:color w:val="auto"/>
          <w:spacing w:val="-48"/>
          <w:kern w:val="0"/>
          <w:sz w:val="24"/>
          <w:szCs w:val="24"/>
          <w:lang w:val="en-US" w:eastAsia="en-US" w:bidi="ar-SA"/>
        </w:rPr>
        <w:t xml:space="preserve"> </w:t>
      </w:r>
      <w:r>
        <w:rPr>
          <w:rFonts w:hint="default" w:ascii="Times New Roman" w:hAnsi="Times New Roman" w:eastAsia="宋体" w:cs="Times New Roman"/>
          <w:snapToGrid w:val="0"/>
          <w:color w:val="auto"/>
          <w:spacing w:val="-5"/>
          <w:kern w:val="0"/>
          <w:sz w:val="24"/>
          <w:szCs w:val="24"/>
          <w:lang w:val="en-US" w:eastAsia="en-US" w:bidi="ar-SA"/>
        </w:rPr>
        <w:t>重点监测本</w:t>
      </w:r>
      <w:r>
        <w:rPr>
          <w:rFonts w:hint="default" w:ascii="Times New Roman" w:hAnsi="Times New Roman" w:eastAsia="宋体" w:cs="Times New Roman"/>
          <w:snapToGrid w:val="0"/>
          <w:color w:val="auto"/>
          <w:spacing w:val="-6"/>
          <w:kern w:val="0"/>
          <w:sz w:val="24"/>
          <w:szCs w:val="24"/>
          <w:lang w:val="en-US" w:eastAsia="en-US" w:bidi="ar-SA"/>
        </w:rPr>
        <w:t>工程</w:t>
      </w:r>
      <w:r>
        <w:rPr>
          <w:rFonts w:hint="default" w:ascii="Times New Roman" w:hAnsi="Times New Roman" w:eastAsia="宋体" w:cs="Times New Roman"/>
          <w:snapToGrid w:val="0"/>
          <w:color w:val="auto"/>
          <w:spacing w:val="-4"/>
          <w:kern w:val="0"/>
          <w:sz w:val="24"/>
          <w:szCs w:val="24"/>
          <w:lang w:val="en-US" w:eastAsia="en-US" w:bidi="ar-SA"/>
        </w:rPr>
        <w:t>穿越生态敏感区，各项监测内容如下：</w:t>
      </w:r>
    </w:p>
    <w:p w14:paraId="11A07D08">
      <w:pPr>
        <w:keepNext w:val="0"/>
        <w:keepLines w:val="0"/>
        <w:pageBreakBefore w:val="0"/>
        <w:kinsoku w:val="0"/>
        <w:wordWrap/>
        <w:overflowPunct/>
        <w:topLinePunct w:val="0"/>
        <w:autoSpaceDE w:val="0"/>
        <w:autoSpaceDN w:val="0"/>
        <w:bidi w:val="0"/>
        <w:adjustRightInd w:val="0"/>
        <w:snapToGrid w:val="0"/>
        <w:spacing w:line="360" w:lineRule="auto"/>
        <w:ind w:left="0" w:right="0" w:firstLine="46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eastAsia" w:ascii="Times New Roman" w:hAnsi="Times New Roman" w:cs="Times New Roman"/>
          <w:b/>
          <w:bCs/>
          <w:snapToGrid w:val="0"/>
          <w:color w:val="auto"/>
          <w:spacing w:val="-5"/>
          <w:kern w:val="0"/>
          <w:sz w:val="24"/>
          <w:szCs w:val="24"/>
          <w:lang w:val="en-US" w:eastAsia="zh-CN" w:bidi="ar-SA"/>
        </w:rPr>
        <w:t>⑴</w:t>
      </w:r>
      <w:r>
        <w:rPr>
          <w:rFonts w:hint="default" w:ascii="Times New Roman" w:hAnsi="Times New Roman" w:eastAsia="宋体" w:cs="Times New Roman"/>
          <w:b/>
          <w:bCs/>
          <w:snapToGrid w:val="0"/>
          <w:color w:val="auto"/>
          <w:spacing w:val="-5"/>
          <w:kern w:val="0"/>
          <w:sz w:val="24"/>
          <w:szCs w:val="24"/>
          <w:lang w:val="en-US" w:eastAsia="en-US" w:bidi="ar-SA"/>
        </w:rPr>
        <w:t>植物监测</w:t>
      </w:r>
    </w:p>
    <w:p w14:paraId="6E9D098B">
      <w:pPr>
        <w:keepNext w:val="0"/>
        <w:keepLines w:val="0"/>
        <w:pageBreakBefore w:val="0"/>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4"/>
          <w:kern w:val="0"/>
          <w:sz w:val="24"/>
          <w:szCs w:val="24"/>
          <w:lang w:val="en-US" w:eastAsia="en-US" w:bidi="ar-SA"/>
        </w:rPr>
        <w:t>①监测点位的布置：监测点选择在输电线路穿越生态敏感区（东南黄土高原</w:t>
      </w:r>
      <w:r>
        <w:rPr>
          <w:rFonts w:hint="default" w:ascii="Times New Roman" w:hAnsi="Times New Roman" w:eastAsia="宋体" w:cs="Times New Roman"/>
          <w:snapToGrid w:val="0"/>
          <w:color w:val="auto"/>
          <w:spacing w:val="-6"/>
          <w:kern w:val="0"/>
          <w:sz w:val="24"/>
          <w:szCs w:val="24"/>
          <w:lang w:val="en-US" w:eastAsia="en-US" w:bidi="ar-SA"/>
        </w:rPr>
        <w:t>丘陵水土保持生态保护红线</w:t>
      </w:r>
      <w:r>
        <w:rPr>
          <w:rFonts w:hint="default" w:ascii="Times New Roman" w:hAnsi="Times New Roman" w:eastAsia="宋体" w:cs="Times New Roman"/>
          <w:snapToGrid w:val="0"/>
          <w:color w:val="auto"/>
          <w:spacing w:val="-7"/>
          <w:kern w:val="0"/>
          <w:sz w:val="24"/>
          <w:szCs w:val="24"/>
          <w:lang w:val="en-US" w:eastAsia="en-US" w:bidi="ar-SA"/>
        </w:rPr>
        <w:t>） 处走廊的正</w:t>
      </w:r>
      <w:r>
        <w:rPr>
          <w:rFonts w:hint="default" w:ascii="Times New Roman" w:hAnsi="Times New Roman" w:eastAsia="宋体" w:cs="Times New Roman"/>
          <w:snapToGrid w:val="0"/>
          <w:color w:val="auto"/>
          <w:spacing w:val="-1"/>
          <w:kern w:val="0"/>
          <w:sz w:val="24"/>
          <w:szCs w:val="24"/>
          <w:lang w:val="en-US" w:eastAsia="en-US" w:bidi="ar-SA"/>
        </w:rPr>
        <w:t>下方和输电线路边导线外</w:t>
      </w:r>
      <w:r>
        <w:rPr>
          <w:rFonts w:hint="default" w:ascii="Times New Roman" w:hAnsi="Times New Roman" w:eastAsia="宋体" w:cs="Times New Roman"/>
          <w:snapToGrid w:val="0"/>
          <w:color w:val="auto"/>
          <w:spacing w:val="-34"/>
          <w:kern w:val="0"/>
          <w:sz w:val="24"/>
          <w:szCs w:val="24"/>
          <w:lang w:val="en-US" w:eastAsia="en-US" w:bidi="ar-SA"/>
        </w:rPr>
        <w:t xml:space="preserve"> </w:t>
      </w:r>
      <w:r>
        <w:rPr>
          <w:rFonts w:hint="default" w:ascii="Times New Roman" w:hAnsi="Times New Roman" w:eastAsia="Times New Roman" w:cs="Times New Roman"/>
          <w:snapToGrid w:val="0"/>
          <w:color w:val="auto"/>
          <w:spacing w:val="-1"/>
          <w:kern w:val="0"/>
          <w:sz w:val="24"/>
          <w:szCs w:val="24"/>
          <w:lang w:val="en-US" w:eastAsia="en-US" w:bidi="ar-SA"/>
        </w:rPr>
        <w:t xml:space="preserve">0~50m </w:t>
      </w:r>
      <w:r>
        <w:rPr>
          <w:rFonts w:hint="default" w:ascii="Times New Roman" w:hAnsi="Times New Roman" w:eastAsia="宋体" w:cs="Times New Roman"/>
          <w:snapToGrid w:val="0"/>
          <w:color w:val="auto"/>
          <w:spacing w:val="-1"/>
          <w:kern w:val="0"/>
          <w:sz w:val="24"/>
          <w:szCs w:val="24"/>
          <w:lang w:val="en-US" w:eastAsia="en-US" w:bidi="ar-SA"/>
        </w:rPr>
        <w:t>处及敏感区内塔基临时占地处，选择不同的植</w:t>
      </w:r>
      <w:r>
        <w:rPr>
          <w:rFonts w:hint="default" w:ascii="Times New Roman" w:hAnsi="Times New Roman" w:eastAsia="宋体" w:cs="Times New Roman"/>
          <w:snapToGrid w:val="0"/>
          <w:color w:val="auto"/>
          <w:spacing w:val="-5"/>
          <w:kern w:val="0"/>
          <w:sz w:val="24"/>
          <w:szCs w:val="24"/>
          <w:lang w:val="en-US" w:eastAsia="en-US" w:bidi="ar-SA"/>
        </w:rPr>
        <w:t>被类型进行监测。</w:t>
      </w:r>
    </w:p>
    <w:p w14:paraId="20B9D2C9">
      <w:pPr>
        <w:keepNext w:val="0"/>
        <w:keepLines w:val="0"/>
        <w:pageBreakBefore w:val="0"/>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8"/>
          <w:kern w:val="0"/>
          <w:sz w:val="24"/>
          <w:szCs w:val="24"/>
          <w:lang w:val="en-US" w:eastAsia="en-US" w:bidi="ar-SA"/>
        </w:rPr>
        <w:t>在生态敏感区范围，根据项目区存在的每种群落类型，设置不少</w:t>
      </w:r>
      <w:r>
        <w:rPr>
          <w:rFonts w:hint="default" w:ascii="Times New Roman" w:hAnsi="Times New Roman" w:eastAsia="宋体" w:cs="Times New Roman"/>
          <w:snapToGrid w:val="0"/>
          <w:color w:val="auto"/>
          <w:spacing w:val="-9"/>
          <w:kern w:val="0"/>
          <w:sz w:val="24"/>
          <w:szCs w:val="24"/>
          <w:lang w:val="en-US" w:eastAsia="en-US" w:bidi="ar-SA"/>
        </w:rPr>
        <w:t>于</w:t>
      </w:r>
      <w:r>
        <w:rPr>
          <w:rFonts w:hint="default" w:ascii="Times New Roman" w:hAnsi="Times New Roman" w:eastAsia="宋体" w:cs="Times New Roman"/>
          <w:snapToGrid w:val="0"/>
          <w:color w:val="auto"/>
          <w:spacing w:val="-50"/>
          <w:kern w:val="0"/>
          <w:sz w:val="24"/>
          <w:szCs w:val="24"/>
          <w:lang w:val="en-US" w:eastAsia="en-US" w:bidi="ar-SA"/>
        </w:rPr>
        <w:t xml:space="preserve"> </w:t>
      </w:r>
      <w:r>
        <w:rPr>
          <w:rFonts w:hint="default" w:ascii="Times New Roman" w:hAnsi="Times New Roman" w:eastAsia="Times New Roman" w:cs="Times New Roman"/>
          <w:snapToGrid w:val="0"/>
          <w:color w:val="auto"/>
          <w:spacing w:val="-9"/>
          <w:kern w:val="0"/>
          <w:sz w:val="24"/>
          <w:szCs w:val="24"/>
          <w:lang w:val="en-US" w:eastAsia="en-US" w:bidi="ar-SA"/>
        </w:rPr>
        <w:t xml:space="preserve">3 </w:t>
      </w:r>
      <w:r>
        <w:rPr>
          <w:rFonts w:hint="default" w:ascii="Times New Roman" w:hAnsi="Times New Roman" w:eastAsia="宋体" w:cs="Times New Roman"/>
          <w:snapToGrid w:val="0"/>
          <w:color w:val="auto"/>
          <w:spacing w:val="-9"/>
          <w:kern w:val="0"/>
          <w:sz w:val="24"/>
          <w:szCs w:val="24"/>
          <w:lang w:val="en-US" w:eastAsia="en-US" w:bidi="ar-SA"/>
        </w:rPr>
        <w:t>个样方，</w:t>
      </w:r>
      <w:r>
        <w:rPr>
          <w:rFonts w:hint="default" w:ascii="Times New Roman" w:hAnsi="Times New Roman" w:eastAsia="宋体" w:cs="Times New Roman"/>
          <w:snapToGrid w:val="0"/>
          <w:color w:val="auto"/>
          <w:spacing w:val="-2"/>
          <w:kern w:val="0"/>
          <w:sz w:val="24"/>
          <w:szCs w:val="24"/>
          <w:lang w:val="en-US" w:eastAsia="en-US" w:bidi="ar-SA"/>
        </w:rPr>
        <w:t>乔木每个样方大小为</w:t>
      </w:r>
      <w:r>
        <w:rPr>
          <w:rFonts w:hint="default" w:ascii="Times New Roman" w:hAnsi="Times New Roman" w:eastAsia="宋体" w:cs="Times New Roman"/>
          <w:snapToGrid w:val="0"/>
          <w:color w:val="auto"/>
          <w:spacing w:val="-32"/>
          <w:kern w:val="0"/>
          <w:sz w:val="24"/>
          <w:szCs w:val="24"/>
          <w:lang w:val="en-US" w:eastAsia="en-US" w:bidi="ar-SA"/>
        </w:rPr>
        <w:t xml:space="preserve"> </w:t>
      </w:r>
      <w:r>
        <w:rPr>
          <w:rFonts w:hint="default" w:ascii="Times New Roman" w:hAnsi="Times New Roman" w:eastAsia="Times New Roman" w:cs="Times New Roman"/>
          <w:snapToGrid w:val="0"/>
          <w:color w:val="auto"/>
          <w:spacing w:val="-2"/>
          <w:kern w:val="0"/>
          <w:sz w:val="24"/>
          <w:szCs w:val="24"/>
          <w:lang w:val="en-US" w:eastAsia="en-US" w:bidi="ar-SA"/>
        </w:rPr>
        <w:t>10m×10m</w:t>
      </w:r>
      <w:r>
        <w:rPr>
          <w:rFonts w:hint="default" w:ascii="Times New Roman" w:hAnsi="Times New Roman" w:eastAsia="宋体" w:cs="Times New Roman"/>
          <w:snapToGrid w:val="0"/>
          <w:color w:val="auto"/>
          <w:spacing w:val="-2"/>
          <w:kern w:val="0"/>
          <w:sz w:val="24"/>
          <w:szCs w:val="24"/>
          <w:lang w:val="en-US" w:eastAsia="en-US" w:bidi="ar-SA"/>
        </w:rPr>
        <w:t>，灌丛样方大小为</w:t>
      </w:r>
      <w:r>
        <w:rPr>
          <w:rFonts w:hint="default" w:ascii="Times New Roman" w:hAnsi="Times New Roman" w:eastAsia="宋体" w:cs="Times New Roman"/>
          <w:snapToGrid w:val="0"/>
          <w:color w:val="auto"/>
          <w:spacing w:val="-36"/>
          <w:kern w:val="0"/>
          <w:sz w:val="24"/>
          <w:szCs w:val="24"/>
          <w:lang w:val="en-US" w:eastAsia="en-US" w:bidi="ar-SA"/>
        </w:rPr>
        <w:t xml:space="preserve"> </w:t>
      </w:r>
      <w:r>
        <w:rPr>
          <w:rFonts w:hint="default" w:ascii="Times New Roman" w:hAnsi="Times New Roman" w:eastAsia="Times New Roman" w:cs="Times New Roman"/>
          <w:snapToGrid w:val="0"/>
          <w:color w:val="auto"/>
          <w:spacing w:val="-2"/>
          <w:kern w:val="0"/>
          <w:sz w:val="24"/>
          <w:szCs w:val="24"/>
          <w:lang w:val="en-US" w:eastAsia="en-US" w:bidi="ar-SA"/>
        </w:rPr>
        <w:t>5m×5m</w:t>
      </w:r>
      <w:r>
        <w:rPr>
          <w:rFonts w:hint="default" w:ascii="Times New Roman" w:hAnsi="Times New Roman" w:eastAsia="宋体" w:cs="Times New Roman"/>
          <w:snapToGrid w:val="0"/>
          <w:color w:val="auto"/>
          <w:spacing w:val="-2"/>
          <w:kern w:val="0"/>
          <w:sz w:val="24"/>
          <w:szCs w:val="24"/>
          <w:lang w:val="en-US" w:eastAsia="en-US" w:bidi="ar-SA"/>
        </w:rPr>
        <w:t>，草本样方大小为</w:t>
      </w:r>
      <w:r>
        <w:rPr>
          <w:rFonts w:hint="default" w:ascii="Times New Roman" w:hAnsi="Times New Roman" w:eastAsia="Times New Roman" w:cs="Times New Roman"/>
          <w:snapToGrid w:val="0"/>
          <w:color w:val="auto"/>
          <w:spacing w:val="-5"/>
          <w:kern w:val="0"/>
          <w:sz w:val="24"/>
          <w:szCs w:val="24"/>
          <w:lang w:val="en-US" w:eastAsia="en-US" w:bidi="ar-SA"/>
        </w:rPr>
        <w:t>1m×1m</w:t>
      </w:r>
      <w:r>
        <w:rPr>
          <w:rFonts w:hint="default" w:ascii="Times New Roman" w:hAnsi="Times New Roman" w:eastAsia="宋体" w:cs="Times New Roman"/>
          <w:snapToGrid w:val="0"/>
          <w:color w:val="auto"/>
          <w:spacing w:val="-5"/>
          <w:kern w:val="0"/>
          <w:sz w:val="24"/>
          <w:szCs w:val="24"/>
          <w:lang w:val="en-US" w:eastAsia="en-US" w:bidi="ar-SA"/>
        </w:rPr>
        <w:t>。</w:t>
      </w:r>
    </w:p>
    <w:p w14:paraId="539C83DF">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②监测内容</w:t>
      </w:r>
    </w:p>
    <w:p w14:paraId="0E7C7782">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监测输电线路正下方的植物种类及生理生态指</w:t>
      </w:r>
      <w:r>
        <w:rPr>
          <w:rFonts w:hint="default" w:ascii="Times New Roman" w:hAnsi="Times New Roman" w:eastAsia="宋体" w:cs="Times New Roman"/>
          <w:snapToGrid w:val="0"/>
          <w:color w:val="auto"/>
          <w:spacing w:val="-1"/>
          <w:kern w:val="0"/>
          <w:sz w:val="24"/>
          <w:szCs w:val="24"/>
          <w:lang w:val="en-US" w:eastAsia="en-US" w:bidi="ar-SA"/>
        </w:rPr>
        <w:t>标与边导线外具有可比性的</w:t>
      </w:r>
      <w:r>
        <w:rPr>
          <w:rFonts w:hint="default" w:ascii="Times New Roman" w:hAnsi="Times New Roman" w:eastAsia="宋体" w:cs="Times New Roman"/>
          <w:snapToGrid w:val="0"/>
          <w:color w:val="auto"/>
          <w:spacing w:val="-3"/>
          <w:kern w:val="0"/>
          <w:sz w:val="24"/>
          <w:szCs w:val="24"/>
          <w:lang w:val="en-US" w:eastAsia="en-US" w:bidi="ar-SA"/>
        </w:rPr>
        <w:t>样方群落中的相关指标是否有差别。</w:t>
      </w:r>
    </w:p>
    <w:p w14:paraId="10A30CF1">
      <w:pPr>
        <w:keepNext w:val="0"/>
        <w:keepLines w:val="0"/>
        <w:pageBreakBefore w:val="0"/>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8"/>
          <w:kern w:val="0"/>
          <w:sz w:val="24"/>
          <w:szCs w:val="24"/>
          <w:lang w:val="en-US" w:eastAsia="en-US" w:bidi="ar-SA"/>
        </w:rPr>
        <w:t>监测内容：植物物种、植物群落、植被类型、种植密度、存活率、覆盖率等。</w:t>
      </w:r>
    </w:p>
    <w:p w14:paraId="24C2A566">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③监测时间</w:t>
      </w:r>
    </w:p>
    <w:p w14:paraId="52833856">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监测时间段为施工期至投运后</w:t>
      </w:r>
      <w:r>
        <w:rPr>
          <w:rFonts w:hint="default" w:ascii="Times New Roman" w:hAnsi="Times New Roman" w:eastAsia="宋体" w:cs="Times New Roman"/>
          <w:snapToGrid w:val="0"/>
          <w:color w:val="auto"/>
          <w:spacing w:val="-48"/>
          <w:kern w:val="0"/>
          <w:sz w:val="24"/>
          <w:szCs w:val="24"/>
          <w:lang w:val="en-US" w:eastAsia="en-US" w:bidi="ar-SA"/>
        </w:rPr>
        <w:t xml:space="preserve"> </w:t>
      </w:r>
      <w:r>
        <w:rPr>
          <w:rFonts w:hint="default" w:ascii="Times New Roman" w:hAnsi="Times New Roman" w:eastAsia="Times New Roman" w:cs="Times New Roman"/>
          <w:snapToGrid w:val="0"/>
          <w:color w:val="auto"/>
          <w:spacing w:val="-3"/>
          <w:kern w:val="0"/>
          <w:sz w:val="24"/>
          <w:szCs w:val="24"/>
          <w:lang w:val="en-US" w:eastAsia="en-US" w:bidi="ar-SA"/>
        </w:rPr>
        <w:t xml:space="preserve">5 </w:t>
      </w:r>
      <w:r>
        <w:rPr>
          <w:rFonts w:hint="default" w:ascii="Times New Roman" w:hAnsi="Times New Roman" w:eastAsia="宋体" w:cs="Times New Roman"/>
          <w:snapToGrid w:val="0"/>
          <w:color w:val="auto"/>
          <w:spacing w:val="-3"/>
          <w:kern w:val="0"/>
          <w:sz w:val="24"/>
          <w:szCs w:val="24"/>
          <w:lang w:val="en-US" w:eastAsia="en-US" w:bidi="ar-SA"/>
        </w:rPr>
        <w:t>年。监测</w:t>
      </w:r>
      <w:r>
        <w:rPr>
          <w:rFonts w:hint="default" w:ascii="Times New Roman" w:hAnsi="Times New Roman" w:eastAsia="宋体" w:cs="Times New Roman"/>
          <w:snapToGrid w:val="0"/>
          <w:color w:val="auto"/>
          <w:spacing w:val="-4"/>
          <w:kern w:val="0"/>
          <w:sz w:val="24"/>
          <w:szCs w:val="24"/>
          <w:lang w:val="en-US" w:eastAsia="en-US" w:bidi="ar-SA"/>
        </w:rPr>
        <w:t>频次为施工期、运行初期（竣工环</w:t>
      </w:r>
      <w:r>
        <w:rPr>
          <w:rFonts w:hint="default" w:ascii="Times New Roman" w:hAnsi="Times New Roman" w:eastAsia="宋体" w:cs="Times New Roman"/>
          <w:snapToGrid w:val="0"/>
          <w:color w:val="auto"/>
          <w:spacing w:val="-2"/>
          <w:kern w:val="0"/>
          <w:sz w:val="24"/>
          <w:szCs w:val="24"/>
          <w:lang w:val="en-US" w:eastAsia="en-US" w:bidi="ar-SA"/>
        </w:rPr>
        <w:t>保验收时）、运行期各监测一次，选择植物生长旺盛季节。</w:t>
      </w:r>
    </w:p>
    <w:p w14:paraId="2700C215">
      <w:pPr>
        <w:keepNext w:val="0"/>
        <w:keepLines w:val="0"/>
        <w:pageBreakBefore w:val="0"/>
        <w:kinsoku w:val="0"/>
        <w:wordWrap/>
        <w:overflowPunct/>
        <w:topLinePunct w:val="0"/>
        <w:autoSpaceDE w:val="0"/>
        <w:autoSpaceDN w:val="0"/>
        <w:bidi w:val="0"/>
        <w:adjustRightInd w:val="0"/>
        <w:snapToGrid w:val="0"/>
        <w:spacing w:line="360" w:lineRule="auto"/>
        <w:ind w:left="0" w:right="0" w:firstLine="466" w:firstLineChars="200"/>
        <w:jc w:val="both"/>
        <w:textAlignment w:val="baseline"/>
        <w:rPr>
          <w:rFonts w:hint="default" w:ascii="Times New Roman" w:hAnsi="Times New Roman" w:eastAsia="宋体" w:cs="Times New Roman"/>
          <w:b/>
          <w:bCs/>
          <w:snapToGrid w:val="0"/>
          <w:color w:val="auto"/>
          <w:spacing w:val="-4"/>
          <w:kern w:val="0"/>
          <w:sz w:val="24"/>
          <w:szCs w:val="24"/>
          <w:lang w:val="en-US" w:eastAsia="en-US" w:bidi="ar-SA"/>
        </w:rPr>
      </w:pPr>
      <w:r>
        <w:rPr>
          <w:rFonts w:hint="eastAsia" w:ascii="Times New Roman" w:hAnsi="Times New Roman" w:cs="Times New Roman"/>
          <w:b/>
          <w:bCs/>
          <w:snapToGrid w:val="0"/>
          <w:color w:val="auto"/>
          <w:spacing w:val="-4"/>
          <w:kern w:val="0"/>
          <w:sz w:val="24"/>
          <w:szCs w:val="24"/>
          <w:lang w:val="en-US" w:eastAsia="zh-CN" w:bidi="ar-SA"/>
        </w:rPr>
        <w:t>⑵</w:t>
      </w:r>
      <w:r>
        <w:rPr>
          <w:rFonts w:hint="default" w:ascii="Times New Roman" w:hAnsi="Times New Roman" w:eastAsia="宋体" w:cs="Times New Roman"/>
          <w:b/>
          <w:bCs/>
          <w:snapToGrid w:val="0"/>
          <w:color w:val="auto"/>
          <w:spacing w:val="-4"/>
          <w:kern w:val="0"/>
          <w:sz w:val="24"/>
          <w:szCs w:val="24"/>
          <w:lang w:val="en-US" w:eastAsia="en-US" w:bidi="ar-SA"/>
        </w:rPr>
        <w:t>野生动物监测</w:t>
      </w:r>
    </w:p>
    <w:p w14:paraId="2730B7B4">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①监测点位</w:t>
      </w:r>
    </w:p>
    <w:p w14:paraId="7FA29C77">
      <w:pPr>
        <w:keepNext w:val="0"/>
        <w:keepLines w:val="0"/>
        <w:pageBreakBefore w:val="0"/>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1"/>
          <w:kern w:val="0"/>
          <w:sz w:val="24"/>
          <w:szCs w:val="24"/>
          <w:lang w:val="en-US" w:eastAsia="en-US" w:bidi="ar-SA"/>
        </w:rPr>
        <w:t>布置监测点选择在生态敏感区（东南黄土高原</w:t>
      </w:r>
      <w:r>
        <w:rPr>
          <w:rFonts w:hint="default" w:ascii="Times New Roman" w:hAnsi="Times New Roman" w:eastAsia="宋体" w:cs="Times New Roman"/>
          <w:snapToGrid w:val="0"/>
          <w:color w:val="auto"/>
          <w:spacing w:val="-2"/>
          <w:kern w:val="0"/>
          <w:sz w:val="24"/>
          <w:szCs w:val="24"/>
          <w:lang w:val="en-US" w:eastAsia="en-US" w:bidi="ar-SA"/>
        </w:rPr>
        <w:t>丘陵水土保持生态保护红线</w:t>
      </w:r>
      <w:r>
        <w:rPr>
          <w:rFonts w:hint="default" w:ascii="Times New Roman" w:hAnsi="Times New Roman" w:eastAsia="宋体" w:cs="Times New Roman"/>
          <w:snapToGrid w:val="0"/>
          <w:color w:val="auto"/>
          <w:spacing w:val="-3"/>
          <w:kern w:val="0"/>
          <w:sz w:val="24"/>
          <w:szCs w:val="24"/>
          <w:lang w:val="en-US" w:eastAsia="en-US" w:bidi="ar-SA"/>
        </w:rPr>
        <w:t>）。</w:t>
      </w:r>
    </w:p>
    <w:p w14:paraId="2796C03D">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②监测内容</w:t>
      </w:r>
    </w:p>
    <w:p w14:paraId="559991D2">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野生动物的种类、数量进行定点观测。</w:t>
      </w:r>
    </w:p>
    <w:p w14:paraId="109D4FAF">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2"/>
          <w:kern w:val="0"/>
          <w:sz w:val="24"/>
          <w:szCs w:val="24"/>
          <w:lang w:val="en-US" w:eastAsia="en-US" w:bidi="ar-SA"/>
        </w:rPr>
        <w:t>③监测时间</w:t>
      </w:r>
    </w:p>
    <w:p w14:paraId="52EEFE29">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spacing w:val="-3"/>
          <w:kern w:val="0"/>
          <w:sz w:val="24"/>
          <w:szCs w:val="24"/>
          <w:lang w:val="en-US" w:eastAsia="en-US" w:bidi="ar-SA"/>
        </w:rPr>
        <w:t>监测时间段为施工期至投运后</w:t>
      </w:r>
      <w:r>
        <w:rPr>
          <w:rFonts w:hint="default" w:ascii="Times New Roman" w:hAnsi="Times New Roman" w:eastAsia="宋体" w:cs="Times New Roman"/>
          <w:snapToGrid w:val="0"/>
          <w:color w:val="auto"/>
          <w:spacing w:val="-48"/>
          <w:kern w:val="0"/>
          <w:sz w:val="24"/>
          <w:szCs w:val="24"/>
          <w:lang w:val="en-US" w:eastAsia="en-US" w:bidi="ar-SA"/>
        </w:rPr>
        <w:t xml:space="preserve"> </w:t>
      </w:r>
      <w:r>
        <w:rPr>
          <w:rFonts w:hint="default" w:ascii="Times New Roman" w:hAnsi="Times New Roman" w:eastAsia="Times New Roman" w:cs="Times New Roman"/>
          <w:snapToGrid w:val="0"/>
          <w:color w:val="auto"/>
          <w:spacing w:val="-3"/>
          <w:kern w:val="0"/>
          <w:sz w:val="24"/>
          <w:szCs w:val="24"/>
          <w:lang w:val="en-US" w:eastAsia="en-US" w:bidi="ar-SA"/>
        </w:rPr>
        <w:t>5</w:t>
      </w:r>
      <w:r>
        <w:rPr>
          <w:rFonts w:hint="default" w:ascii="Times New Roman" w:hAnsi="Times New Roman" w:eastAsia="宋体" w:cs="Times New Roman"/>
          <w:snapToGrid w:val="0"/>
          <w:color w:val="auto"/>
          <w:spacing w:val="-3"/>
          <w:kern w:val="0"/>
          <w:sz w:val="24"/>
          <w:szCs w:val="24"/>
          <w:lang w:val="en-US" w:eastAsia="en-US" w:bidi="ar-SA"/>
        </w:rPr>
        <w:t>年。监测</w:t>
      </w:r>
      <w:r>
        <w:rPr>
          <w:rFonts w:hint="default" w:ascii="Times New Roman" w:hAnsi="Times New Roman" w:eastAsia="宋体" w:cs="Times New Roman"/>
          <w:snapToGrid w:val="0"/>
          <w:color w:val="auto"/>
          <w:spacing w:val="-4"/>
          <w:kern w:val="0"/>
          <w:sz w:val="24"/>
          <w:szCs w:val="24"/>
          <w:lang w:val="en-US" w:eastAsia="en-US" w:bidi="ar-SA"/>
        </w:rPr>
        <w:t>频次为施工期、运行初期（竣工环</w:t>
      </w:r>
      <w:r>
        <w:rPr>
          <w:rFonts w:hint="default" w:ascii="Times New Roman" w:hAnsi="Times New Roman" w:eastAsia="宋体" w:cs="Times New Roman"/>
          <w:snapToGrid w:val="0"/>
          <w:color w:val="auto"/>
          <w:spacing w:val="-2"/>
          <w:kern w:val="0"/>
          <w:sz w:val="24"/>
          <w:szCs w:val="24"/>
          <w:lang w:val="en-US" w:eastAsia="en-US" w:bidi="ar-SA"/>
        </w:rPr>
        <w:t>保验收时）、运行期各监测一次。</w:t>
      </w:r>
    </w:p>
    <w:p w14:paraId="04F85442">
      <w:pPr>
        <w:keepNext w:val="0"/>
        <w:keepLines w:val="0"/>
        <w:pageBreakBefore w:val="0"/>
        <w:kinsoku w:val="0"/>
        <w:wordWrap/>
        <w:overflowPunct/>
        <w:topLinePunct w:val="0"/>
        <w:autoSpaceDE w:val="0"/>
        <w:autoSpaceDN w:val="0"/>
        <w:bidi w:val="0"/>
        <w:adjustRightInd w:val="0"/>
        <w:snapToGrid w:val="0"/>
        <w:spacing w:line="240" w:lineRule="auto"/>
        <w:ind w:right="0"/>
        <w:jc w:val="center"/>
        <w:textAlignment w:val="baseline"/>
        <w:rPr>
          <w:rFonts w:ascii="宋体" w:hAnsi="宋体" w:eastAsia="宋体" w:cs="宋体"/>
          <w:snapToGrid w:val="0"/>
          <w:color w:val="auto"/>
          <w:kern w:val="0"/>
          <w:sz w:val="24"/>
          <w:szCs w:val="24"/>
          <w:lang w:val="en-US" w:eastAsia="en-US" w:bidi="ar-SA"/>
        </w:rPr>
      </w:pPr>
      <w:r>
        <w:rPr>
          <w:rFonts w:hint="default" w:ascii="Times New Roman" w:hAnsi="Times New Roman" w:cs="Times New Roman"/>
          <w:b/>
          <w:bCs/>
          <w:snapToGrid w:val="0"/>
          <w:color w:val="auto"/>
          <w:spacing w:val="-1"/>
          <w:kern w:val="0"/>
          <w:sz w:val="24"/>
          <w:szCs w:val="24"/>
          <w:lang w:val="en-US" w:eastAsia="zh-CN" w:bidi="ar-SA"/>
        </w:rPr>
        <w:t>专题</w:t>
      </w:r>
      <w:r>
        <w:rPr>
          <w:rFonts w:hint="default" w:ascii="Times New Roman" w:hAnsi="Times New Roman" w:eastAsia="宋体" w:cs="Times New Roman"/>
          <w:b/>
          <w:bCs/>
          <w:snapToGrid w:val="0"/>
          <w:color w:val="auto"/>
          <w:spacing w:val="-1"/>
          <w:kern w:val="0"/>
          <w:sz w:val="24"/>
          <w:szCs w:val="24"/>
          <w:lang w:val="en-US" w:eastAsia="en-US" w:bidi="ar-SA"/>
        </w:rPr>
        <w:t>表</w:t>
      </w:r>
      <w:r>
        <w:rPr>
          <w:rFonts w:hint="default" w:ascii="Times New Roman" w:hAnsi="Times New Roman" w:cs="Times New Roman"/>
          <w:b/>
          <w:bCs/>
          <w:snapToGrid w:val="0"/>
          <w:color w:val="auto"/>
          <w:spacing w:val="-48"/>
          <w:kern w:val="0"/>
          <w:sz w:val="24"/>
          <w:szCs w:val="24"/>
          <w:lang w:val="en-US" w:eastAsia="zh-CN" w:bidi="ar-SA"/>
        </w:rPr>
        <w:t>4</w:t>
      </w:r>
      <w:r>
        <w:rPr>
          <w:rFonts w:hint="default" w:ascii="Times New Roman" w:hAnsi="Times New Roman" w:eastAsia="Times New Roman" w:cs="Times New Roman"/>
          <w:b/>
          <w:bCs/>
          <w:snapToGrid w:val="0"/>
          <w:color w:val="auto"/>
          <w:spacing w:val="-1"/>
          <w:kern w:val="0"/>
          <w:sz w:val="24"/>
          <w:szCs w:val="24"/>
          <w:lang w:val="en-US" w:eastAsia="en-US" w:bidi="ar-SA"/>
        </w:rPr>
        <w:t xml:space="preserve">-1    </w:t>
      </w:r>
      <w:r>
        <w:rPr>
          <w:rFonts w:hint="default" w:ascii="Times New Roman" w:hAnsi="Times New Roman" w:eastAsia="宋体" w:cs="Times New Roman"/>
          <w:b/>
          <w:bCs/>
          <w:snapToGrid w:val="0"/>
          <w:color w:val="auto"/>
          <w:spacing w:val="-1"/>
          <w:kern w:val="0"/>
          <w:sz w:val="24"/>
          <w:szCs w:val="24"/>
          <w:lang w:val="en-US" w:eastAsia="en-US" w:bidi="ar-SA"/>
        </w:rPr>
        <w:t>本项</w:t>
      </w:r>
      <w:r>
        <w:rPr>
          <w:rFonts w:ascii="宋体" w:hAnsi="宋体" w:eastAsia="宋体" w:cs="宋体"/>
          <w:b/>
          <w:bCs/>
          <w:snapToGrid w:val="0"/>
          <w:color w:val="auto"/>
          <w:spacing w:val="-1"/>
          <w:kern w:val="0"/>
          <w:sz w:val="24"/>
          <w:szCs w:val="24"/>
          <w:lang w:val="en-US" w:eastAsia="en-US" w:bidi="ar-SA"/>
        </w:rPr>
        <w:t>目监测监测计划</w:t>
      </w:r>
    </w:p>
    <w:tbl>
      <w:tblPr>
        <w:tblStyle w:val="83"/>
        <w:tblW w:w="90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76"/>
        <w:gridCol w:w="1337"/>
        <w:gridCol w:w="838"/>
        <w:gridCol w:w="1766"/>
        <w:gridCol w:w="1475"/>
        <w:gridCol w:w="2722"/>
      </w:tblGrid>
      <w:tr w14:paraId="20E1B8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76" w:type="dxa"/>
            <w:tcBorders>
              <w:top w:val="single" w:color="000000" w:sz="10" w:space="0"/>
              <w:left w:val="nil"/>
            </w:tcBorders>
            <w:textDirection w:val="tbRlV"/>
            <w:vAlign w:val="center"/>
          </w:tcPr>
          <w:p w14:paraId="4356A5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阶</w:t>
            </w:r>
            <w:r>
              <w:rPr>
                <w:rFonts w:ascii="宋体" w:hAnsi="宋体" w:eastAsia="宋体" w:cs="宋体"/>
                <w:snapToGrid w:val="0"/>
                <w:color w:val="auto"/>
                <w:spacing w:val="-38"/>
                <w:kern w:val="0"/>
                <w:sz w:val="20"/>
                <w:szCs w:val="20"/>
                <w:lang w:eastAsia="en-US"/>
              </w:rPr>
              <w:t xml:space="preserve"> </w:t>
            </w:r>
            <w:r>
              <w:rPr>
                <w:rFonts w:ascii="宋体" w:hAnsi="宋体" w:eastAsia="宋体" w:cs="宋体"/>
                <w:b/>
                <w:bCs/>
                <w:snapToGrid w:val="0"/>
                <w:color w:val="auto"/>
                <w:spacing w:val="6"/>
                <w:kern w:val="0"/>
                <w:sz w:val="20"/>
                <w:szCs w:val="20"/>
                <w:lang w:eastAsia="en-US"/>
              </w:rPr>
              <w:t>段</w:t>
            </w:r>
          </w:p>
        </w:tc>
        <w:tc>
          <w:tcPr>
            <w:tcW w:w="1337" w:type="dxa"/>
            <w:tcBorders>
              <w:top w:val="single" w:color="000000" w:sz="10" w:space="0"/>
            </w:tcBorders>
            <w:vAlign w:val="center"/>
          </w:tcPr>
          <w:p w14:paraId="7160EA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监测点位</w:t>
            </w:r>
          </w:p>
        </w:tc>
        <w:tc>
          <w:tcPr>
            <w:tcW w:w="838" w:type="dxa"/>
            <w:tcBorders>
              <w:top w:val="single" w:color="000000" w:sz="10" w:space="0"/>
            </w:tcBorders>
            <w:vAlign w:val="center"/>
          </w:tcPr>
          <w:p w14:paraId="4087FB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监测</w:t>
            </w:r>
          </w:p>
          <w:p w14:paraId="7DB82E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3"/>
                <w:kern w:val="0"/>
                <w:sz w:val="20"/>
                <w:szCs w:val="20"/>
                <w:lang w:eastAsia="en-US"/>
              </w:rPr>
              <w:t>频次</w:t>
            </w:r>
          </w:p>
        </w:tc>
        <w:tc>
          <w:tcPr>
            <w:tcW w:w="1766" w:type="dxa"/>
            <w:tcBorders>
              <w:top w:val="single" w:color="000000" w:sz="10" w:space="0"/>
            </w:tcBorders>
            <w:vAlign w:val="center"/>
          </w:tcPr>
          <w:p w14:paraId="71DE4B3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监测因子</w:t>
            </w:r>
          </w:p>
        </w:tc>
        <w:tc>
          <w:tcPr>
            <w:tcW w:w="1475" w:type="dxa"/>
            <w:tcBorders>
              <w:top w:val="single" w:color="000000" w:sz="10" w:space="0"/>
            </w:tcBorders>
            <w:vAlign w:val="center"/>
          </w:tcPr>
          <w:p w14:paraId="644C369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6"/>
                <w:kern w:val="0"/>
                <w:sz w:val="20"/>
                <w:szCs w:val="20"/>
                <w:lang w:eastAsia="en-US"/>
              </w:rPr>
              <w:t>监测方法</w:t>
            </w:r>
          </w:p>
        </w:tc>
        <w:tc>
          <w:tcPr>
            <w:tcW w:w="2722" w:type="dxa"/>
            <w:tcBorders>
              <w:top w:val="single" w:color="000000" w:sz="10" w:space="0"/>
              <w:right w:val="nil"/>
            </w:tcBorders>
            <w:vAlign w:val="center"/>
          </w:tcPr>
          <w:p w14:paraId="63D3566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b/>
                <w:bCs/>
                <w:snapToGrid w:val="0"/>
                <w:color w:val="auto"/>
                <w:spacing w:val="2"/>
                <w:kern w:val="0"/>
                <w:sz w:val="20"/>
                <w:szCs w:val="20"/>
                <w:lang w:eastAsia="en-US"/>
              </w:rPr>
              <w:t>备注</w:t>
            </w:r>
          </w:p>
        </w:tc>
      </w:tr>
      <w:tr w14:paraId="1C387A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76" w:type="dxa"/>
            <w:tcBorders>
              <w:left w:val="nil"/>
            </w:tcBorders>
            <w:textDirection w:val="tbRlV"/>
            <w:vAlign w:val="center"/>
          </w:tcPr>
          <w:p w14:paraId="440A07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spacing w:val="1"/>
                <w:kern w:val="0"/>
                <w:sz w:val="20"/>
                <w:szCs w:val="20"/>
                <w:lang w:eastAsia="en-US"/>
              </w:rPr>
            </w:pPr>
            <w:r>
              <w:rPr>
                <w:rFonts w:ascii="宋体" w:hAnsi="宋体" w:eastAsia="宋体" w:cs="宋体"/>
                <w:snapToGrid w:val="0"/>
                <w:color w:val="auto"/>
                <w:spacing w:val="1"/>
                <w:kern w:val="0"/>
                <w:sz w:val="20"/>
                <w:szCs w:val="20"/>
                <w:lang w:eastAsia="en-US"/>
              </w:rPr>
              <w:t>施 工 期</w:t>
            </w:r>
          </w:p>
        </w:tc>
        <w:tc>
          <w:tcPr>
            <w:tcW w:w="1337" w:type="dxa"/>
            <w:vAlign w:val="center"/>
          </w:tcPr>
          <w:p w14:paraId="0EA7DC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1"/>
                <w:kern w:val="0"/>
                <w:sz w:val="20"/>
                <w:szCs w:val="20"/>
                <w:lang w:eastAsia="en-US"/>
              </w:rPr>
              <w:t>项目建设区，重</w:t>
            </w:r>
            <w:r>
              <w:rPr>
                <w:rFonts w:ascii="宋体" w:hAnsi="宋体" w:eastAsia="宋体" w:cs="宋体"/>
                <w:snapToGrid w:val="0"/>
                <w:color w:val="auto"/>
                <w:spacing w:val="8"/>
                <w:kern w:val="0"/>
                <w:sz w:val="20"/>
                <w:szCs w:val="20"/>
                <w:lang w:eastAsia="en-US"/>
              </w:rPr>
              <w:t>点监测生态保护红线内区域</w:t>
            </w:r>
          </w:p>
        </w:tc>
        <w:tc>
          <w:tcPr>
            <w:tcW w:w="838" w:type="dxa"/>
            <w:vAlign w:val="center"/>
          </w:tcPr>
          <w:p w14:paraId="355EE6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p w14:paraId="174778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p w14:paraId="1C7879B6">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val="en-US" w:eastAsia="en-US" w:bidi="ar-SA"/>
              </w:rPr>
            </w:pPr>
            <w:r>
              <w:rPr>
                <w:rFonts w:ascii="Times New Roman" w:hAnsi="Times New Roman" w:eastAsia="Times New Roman" w:cs="Times New Roman"/>
                <w:snapToGrid w:val="0"/>
                <w:color w:val="auto"/>
                <w:spacing w:val="-10"/>
                <w:kern w:val="0"/>
                <w:sz w:val="20"/>
                <w:szCs w:val="20"/>
                <w:lang w:val="en-US" w:eastAsia="en-US" w:bidi="ar-SA"/>
              </w:rPr>
              <w:t>1</w:t>
            </w:r>
            <w:r>
              <w:rPr>
                <w:rFonts w:ascii="Times New Roman" w:hAnsi="Times New Roman" w:eastAsia="Times New Roman" w:cs="Times New Roman"/>
                <w:snapToGrid w:val="0"/>
                <w:color w:val="auto"/>
                <w:spacing w:val="17"/>
                <w:w w:val="101"/>
                <w:kern w:val="0"/>
                <w:sz w:val="20"/>
                <w:szCs w:val="20"/>
                <w:lang w:val="en-US" w:eastAsia="en-US" w:bidi="ar-SA"/>
              </w:rPr>
              <w:t xml:space="preserve"> </w:t>
            </w:r>
            <w:r>
              <w:rPr>
                <w:rFonts w:ascii="宋体" w:hAnsi="宋体" w:eastAsia="宋体" w:cs="宋体"/>
                <w:snapToGrid w:val="0"/>
                <w:color w:val="auto"/>
                <w:spacing w:val="-10"/>
                <w:kern w:val="0"/>
                <w:sz w:val="20"/>
                <w:szCs w:val="20"/>
                <w:lang w:val="en-US" w:eastAsia="en-US" w:bidi="ar-SA"/>
              </w:rPr>
              <w:t>次</w:t>
            </w:r>
          </w:p>
        </w:tc>
        <w:tc>
          <w:tcPr>
            <w:tcW w:w="1766" w:type="dxa"/>
            <w:vAlign w:val="center"/>
          </w:tcPr>
          <w:p w14:paraId="43A7D0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p w14:paraId="27D79FC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6"/>
                <w:kern w:val="0"/>
                <w:sz w:val="20"/>
                <w:szCs w:val="20"/>
                <w:lang w:eastAsia="en-US"/>
              </w:rPr>
              <w:t>物种组成；植被</w:t>
            </w:r>
          </w:p>
          <w:p w14:paraId="422DBD6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4"/>
                <w:kern w:val="0"/>
                <w:sz w:val="20"/>
                <w:szCs w:val="20"/>
                <w:lang w:eastAsia="en-US"/>
              </w:rPr>
              <w:t>群落</w:t>
            </w:r>
            <w:r>
              <w:rPr>
                <w:rFonts w:ascii="宋体" w:hAnsi="宋体" w:eastAsia="宋体" w:cs="宋体"/>
                <w:snapToGrid w:val="0"/>
                <w:color w:val="auto"/>
                <w:spacing w:val="8"/>
                <w:kern w:val="0"/>
                <w:sz w:val="20"/>
                <w:szCs w:val="20"/>
                <w:lang w:eastAsia="en-US"/>
              </w:rPr>
              <w:t>类型和结构</w:t>
            </w:r>
          </w:p>
        </w:tc>
        <w:tc>
          <w:tcPr>
            <w:tcW w:w="1475" w:type="dxa"/>
            <w:vMerge w:val="restart"/>
            <w:tcBorders>
              <w:bottom w:val="nil"/>
            </w:tcBorders>
            <w:vAlign w:val="center"/>
          </w:tcPr>
          <w:p w14:paraId="0B64B4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2"/>
                <w:kern w:val="0"/>
                <w:sz w:val="22"/>
                <w:szCs w:val="22"/>
                <w:lang w:eastAsia="en-US"/>
              </w:rPr>
              <w:t>野外调查法、遥感分</w:t>
            </w:r>
            <w:r>
              <w:rPr>
                <w:rFonts w:ascii="宋体" w:hAnsi="宋体" w:eastAsia="宋体" w:cs="宋体"/>
                <w:snapToGrid w:val="0"/>
                <w:color w:val="auto"/>
                <w:spacing w:val="-3"/>
                <w:kern w:val="0"/>
                <w:sz w:val="22"/>
                <w:szCs w:val="22"/>
                <w:lang w:eastAsia="en-US"/>
              </w:rPr>
              <w:t>析法等</w:t>
            </w:r>
          </w:p>
        </w:tc>
        <w:tc>
          <w:tcPr>
            <w:tcW w:w="2722" w:type="dxa"/>
            <w:tcBorders>
              <w:right w:val="nil"/>
            </w:tcBorders>
            <w:vAlign w:val="center"/>
          </w:tcPr>
          <w:p w14:paraId="694F17F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1"/>
                <w:kern w:val="0"/>
                <w:sz w:val="22"/>
                <w:szCs w:val="22"/>
                <w:lang w:eastAsia="en-US"/>
              </w:rPr>
              <w:t>重点监测施工活动干扰</w:t>
            </w:r>
            <w:r>
              <w:rPr>
                <w:rFonts w:ascii="宋体" w:hAnsi="宋体" w:eastAsia="宋体" w:cs="宋体"/>
                <w:snapToGrid w:val="0"/>
                <w:color w:val="auto"/>
                <w:spacing w:val="-2"/>
                <w:kern w:val="0"/>
                <w:sz w:val="22"/>
                <w:szCs w:val="22"/>
                <w:lang w:eastAsia="en-US"/>
              </w:rPr>
              <w:t>下生态保护目标的受影</w:t>
            </w:r>
            <w:r>
              <w:rPr>
                <w:rFonts w:ascii="宋体" w:hAnsi="宋体" w:eastAsia="宋体" w:cs="宋体"/>
                <w:snapToGrid w:val="0"/>
                <w:color w:val="auto"/>
                <w:spacing w:val="-8"/>
                <w:kern w:val="0"/>
                <w:sz w:val="22"/>
                <w:szCs w:val="22"/>
                <w:lang w:eastAsia="en-US"/>
              </w:rPr>
              <w:t>响状况，如重要物种的活</w:t>
            </w:r>
            <w:r>
              <w:rPr>
                <w:rFonts w:ascii="宋体" w:hAnsi="宋体" w:eastAsia="宋体" w:cs="宋体"/>
                <w:snapToGrid w:val="0"/>
                <w:color w:val="auto"/>
                <w:spacing w:val="-7"/>
                <w:kern w:val="0"/>
                <w:sz w:val="22"/>
                <w:szCs w:val="22"/>
                <w:lang w:eastAsia="en-US"/>
              </w:rPr>
              <w:t>动和分布变化、植物群落</w:t>
            </w:r>
            <w:r>
              <w:rPr>
                <w:rFonts w:ascii="宋体" w:hAnsi="宋体" w:eastAsia="宋体" w:cs="宋体"/>
                <w:snapToGrid w:val="0"/>
                <w:color w:val="auto"/>
                <w:spacing w:val="-3"/>
                <w:kern w:val="0"/>
                <w:sz w:val="22"/>
                <w:szCs w:val="22"/>
                <w:lang w:eastAsia="en-US"/>
              </w:rPr>
              <w:t>变化等</w:t>
            </w:r>
          </w:p>
        </w:tc>
      </w:tr>
      <w:tr w14:paraId="6B021C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76" w:type="dxa"/>
            <w:tcBorders>
              <w:left w:val="nil"/>
            </w:tcBorders>
            <w:textDirection w:val="tbRlV"/>
            <w:vAlign w:val="center"/>
          </w:tcPr>
          <w:p w14:paraId="1C928B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spacing w:val="1"/>
                <w:kern w:val="0"/>
                <w:sz w:val="20"/>
                <w:szCs w:val="20"/>
                <w:lang w:eastAsia="en-US"/>
              </w:rPr>
            </w:pPr>
            <w:r>
              <w:rPr>
                <w:rFonts w:ascii="宋体" w:hAnsi="宋体" w:eastAsia="宋体" w:cs="宋体"/>
                <w:snapToGrid w:val="0"/>
                <w:color w:val="auto"/>
                <w:spacing w:val="1"/>
                <w:kern w:val="0"/>
                <w:sz w:val="20"/>
                <w:szCs w:val="20"/>
                <w:lang w:eastAsia="en-US"/>
              </w:rPr>
              <w:t>运 行 初 期</w:t>
            </w:r>
          </w:p>
        </w:tc>
        <w:tc>
          <w:tcPr>
            <w:tcW w:w="1337" w:type="dxa"/>
            <w:vAlign w:val="center"/>
          </w:tcPr>
          <w:p w14:paraId="18876C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1"/>
                <w:kern w:val="0"/>
                <w:sz w:val="20"/>
                <w:szCs w:val="20"/>
                <w:lang w:eastAsia="en-US"/>
              </w:rPr>
              <w:t>项目建设区，重</w:t>
            </w:r>
            <w:r>
              <w:rPr>
                <w:rFonts w:ascii="宋体" w:hAnsi="宋体" w:eastAsia="宋体" w:cs="宋体"/>
                <w:snapToGrid w:val="0"/>
                <w:color w:val="auto"/>
                <w:spacing w:val="8"/>
                <w:kern w:val="0"/>
                <w:sz w:val="20"/>
                <w:szCs w:val="20"/>
                <w:lang w:eastAsia="en-US"/>
              </w:rPr>
              <w:t>点监测生态保护红线内区域</w:t>
            </w:r>
          </w:p>
        </w:tc>
        <w:tc>
          <w:tcPr>
            <w:tcW w:w="838" w:type="dxa"/>
            <w:vAlign w:val="center"/>
          </w:tcPr>
          <w:p w14:paraId="51B967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p w14:paraId="643FA77B">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val="en-US" w:eastAsia="en-US" w:bidi="ar-SA"/>
              </w:rPr>
            </w:pPr>
            <w:r>
              <w:rPr>
                <w:rFonts w:ascii="Times New Roman" w:hAnsi="Times New Roman" w:eastAsia="Times New Roman" w:cs="Times New Roman"/>
                <w:snapToGrid w:val="0"/>
                <w:color w:val="auto"/>
                <w:spacing w:val="-10"/>
                <w:kern w:val="0"/>
                <w:sz w:val="20"/>
                <w:szCs w:val="20"/>
                <w:lang w:val="en-US" w:eastAsia="en-US" w:bidi="ar-SA"/>
              </w:rPr>
              <w:t>1</w:t>
            </w:r>
            <w:r>
              <w:rPr>
                <w:rFonts w:ascii="Times New Roman" w:hAnsi="Times New Roman" w:eastAsia="Times New Roman" w:cs="Times New Roman"/>
                <w:snapToGrid w:val="0"/>
                <w:color w:val="auto"/>
                <w:spacing w:val="17"/>
                <w:w w:val="101"/>
                <w:kern w:val="0"/>
                <w:sz w:val="20"/>
                <w:szCs w:val="20"/>
                <w:lang w:val="en-US" w:eastAsia="en-US" w:bidi="ar-SA"/>
              </w:rPr>
              <w:t xml:space="preserve"> </w:t>
            </w:r>
            <w:r>
              <w:rPr>
                <w:rFonts w:ascii="宋体" w:hAnsi="宋体" w:eastAsia="宋体" w:cs="宋体"/>
                <w:snapToGrid w:val="0"/>
                <w:color w:val="auto"/>
                <w:spacing w:val="-10"/>
                <w:kern w:val="0"/>
                <w:sz w:val="20"/>
                <w:szCs w:val="20"/>
                <w:lang w:val="en-US" w:eastAsia="en-US" w:bidi="ar-SA"/>
              </w:rPr>
              <w:t>次</w:t>
            </w:r>
          </w:p>
        </w:tc>
        <w:tc>
          <w:tcPr>
            <w:tcW w:w="1766" w:type="dxa"/>
            <w:vMerge w:val="restart"/>
            <w:tcBorders>
              <w:bottom w:val="nil"/>
            </w:tcBorders>
            <w:vAlign w:val="center"/>
          </w:tcPr>
          <w:p w14:paraId="065CEB1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p w14:paraId="03E74D2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6"/>
                <w:kern w:val="0"/>
                <w:sz w:val="20"/>
                <w:szCs w:val="20"/>
                <w:lang w:eastAsia="en-US"/>
              </w:rPr>
              <w:t>植物成活率、植</w:t>
            </w:r>
            <w:r>
              <w:rPr>
                <w:rFonts w:ascii="宋体" w:hAnsi="宋体" w:eastAsia="宋体" w:cs="宋体"/>
                <w:snapToGrid w:val="0"/>
                <w:color w:val="auto"/>
                <w:spacing w:val="8"/>
                <w:kern w:val="0"/>
                <w:sz w:val="20"/>
                <w:szCs w:val="20"/>
                <w:lang w:eastAsia="en-US"/>
              </w:rPr>
              <w:t>被群落组成类</w:t>
            </w:r>
            <w:r>
              <w:rPr>
                <w:rFonts w:ascii="宋体" w:hAnsi="宋体" w:eastAsia="宋体" w:cs="宋体"/>
                <w:snapToGrid w:val="0"/>
                <w:color w:val="auto"/>
                <w:spacing w:val="5"/>
                <w:kern w:val="0"/>
                <w:sz w:val="20"/>
                <w:szCs w:val="20"/>
                <w:lang w:eastAsia="en-US"/>
              </w:rPr>
              <w:t>型和结构、植被</w:t>
            </w:r>
            <w:r>
              <w:rPr>
                <w:rFonts w:ascii="宋体" w:hAnsi="宋体" w:eastAsia="宋体" w:cs="宋体"/>
                <w:snapToGrid w:val="0"/>
                <w:color w:val="auto"/>
                <w:spacing w:val="6"/>
                <w:kern w:val="0"/>
                <w:sz w:val="20"/>
                <w:szCs w:val="20"/>
                <w:lang w:eastAsia="en-US"/>
              </w:rPr>
              <w:t>覆盖度，野生动</w:t>
            </w:r>
            <w:r>
              <w:rPr>
                <w:rFonts w:ascii="宋体" w:hAnsi="宋体" w:eastAsia="宋体" w:cs="宋体"/>
                <w:snapToGrid w:val="0"/>
                <w:color w:val="auto"/>
                <w:spacing w:val="8"/>
                <w:kern w:val="0"/>
                <w:sz w:val="20"/>
                <w:szCs w:val="20"/>
                <w:lang w:eastAsia="en-US"/>
              </w:rPr>
              <w:t>物动物分布情</w:t>
            </w:r>
            <w:r>
              <w:rPr>
                <w:rFonts w:ascii="宋体" w:hAnsi="宋体" w:eastAsia="宋体" w:cs="宋体"/>
                <w:snapToGrid w:val="0"/>
                <w:color w:val="auto"/>
                <w:spacing w:val="4"/>
                <w:kern w:val="0"/>
                <w:sz w:val="20"/>
                <w:szCs w:val="20"/>
                <w:lang w:eastAsia="en-US"/>
              </w:rPr>
              <w:t>况等</w:t>
            </w:r>
          </w:p>
        </w:tc>
        <w:tc>
          <w:tcPr>
            <w:tcW w:w="1475" w:type="dxa"/>
            <w:vMerge w:val="continue"/>
            <w:tcBorders>
              <w:top w:val="nil"/>
              <w:bottom w:val="nil"/>
            </w:tcBorders>
            <w:vAlign w:val="center"/>
          </w:tcPr>
          <w:p w14:paraId="4B608FF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tc>
        <w:tc>
          <w:tcPr>
            <w:tcW w:w="2722" w:type="dxa"/>
            <w:vMerge w:val="restart"/>
            <w:tcBorders>
              <w:bottom w:val="nil"/>
              <w:right w:val="nil"/>
            </w:tcBorders>
            <w:vAlign w:val="center"/>
          </w:tcPr>
          <w:p w14:paraId="5DD575B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p w14:paraId="55605E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2"/>
                <w:szCs w:val="22"/>
                <w:lang w:eastAsia="en-US"/>
              </w:rPr>
            </w:pPr>
            <w:r>
              <w:rPr>
                <w:rFonts w:ascii="宋体" w:hAnsi="宋体" w:eastAsia="宋体" w:cs="宋体"/>
                <w:snapToGrid w:val="0"/>
                <w:color w:val="auto"/>
                <w:spacing w:val="-1"/>
                <w:kern w:val="0"/>
                <w:sz w:val="22"/>
                <w:szCs w:val="22"/>
                <w:lang w:eastAsia="en-US"/>
              </w:rPr>
              <w:t>重点监测对生态保护目</w:t>
            </w:r>
            <w:r>
              <w:rPr>
                <w:rFonts w:ascii="宋体" w:hAnsi="宋体" w:eastAsia="宋体" w:cs="宋体"/>
                <w:snapToGrid w:val="0"/>
                <w:color w:val="auto"/>
                <w:spacing w:val="-7"/>
                <w:kern w:val="0"/>
                <w:sz w:val="22"/>
                <w:szCs w:val="22"/>
                <w:lang w:eastAsia="en-US"/>
              </w:rPr>
              <w:t>标的实际影响、生态保护</w:t>
            </w:r>
            <w:r>
              <w:rPr>
                <w:rFonts w:ascii="宋体" w:hAnsi="宋体" w:eastAsia="宋体" w:cs="宋体"/>
                <w:snapToGrid w:val="0"/>
                <w:color w:val="auto"/>
                <w:spacing w:val="-1"/>
                <w:kern w:val="0"/>
                <w:sz w:val="22"/>
                <w:szCs w:val="22"/>
                <w:lang w:eastAsia="en-US"/>
              </w:rPr>
              <w:t>对策措施的有效性以及</w:t>
            </w:r>
            <w:r>
              <w:rPr>
                <w:rFonts w:ascii="宋体" w:hAnsi="宋体" w:eastAsia="宋体" w:cs="宋体"/>
                <w:snapToGrid w:val="0"/>
                <w:color w:val="auto"/>
                <w:spacing w:val="-2"/>
                <w:kern w:val="0"/>
                <w:sz w:val="22"/>
                <w:szCs w:val="22"/>
                <w:lang w:eastAsia="en-US"/>
              </w:rPr>
              <w:t>生态修复效果等</w:t>
            </w:r>
          </w:p>
        </w:tc>
      </w:tr>
      <w:tr w14:paraId="2BC542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76" w:type="dxa"/>
            <w:tcBorders>
              <w:left w:val="nil"/>
              <w:bottom w:val="single" w:color="000000" w:sz="10" w:space="0"/>
            </w:tcBorders>
            <w:textDirection w:val="tbRlV"/>
            <w:vAlign w:val="center"/>
          </w:tcPr>
          <w:p w14:paraId="7A6A155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spacing w:val="1"/>
                <w:kern w:val="0"/>
                <w:sz w:val="20"/>
                <w:szCs w:val="20"/>
                <w:lang w:eastAsia="en-US"/>
              </w:rPr>
            </w:pPr>
            <w:r>
              <w:rPr>
                <w:rFonts w:ascii="宋体" w:hAnsi="宋体" w:eastAsia="宋体" w:cs="宋体"/>
                <w:snapToGrid w:val="0"/>
                <w:color w:val="auto"/>
                <w:spacing w:val="1"/>
                <w:kern w:val="0"/>
                <w:sz w:val="20"/>
                <w:szCs w:val="20"/>
                <w:lang w:eastAsia="en-US"/>
              </w:rPr>
              <w:t>运 行 期</w:t>
            </w:r>
          </w:p>
        </w:tc>
        <w:tc>
          <w:tcPr>
            <w:tcW w:w="1337" w:type="dxa"/>
            <w:tcBorders>
              <w:bottom w:val="single" w:color="000000" w:sz="10" w:space="0"/>
            </w:tcBorders>
            <w:vAlign w:val="center"/>
          </w:tcPr>
          <w:p w14:paraId="60B5771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eastAsia="en-US"/>
              </w:rPr>
            </w:pPr>
            <w:r>
              <w:rPr>
                <w:rFonts w:ascii="宋体" w:hAnsi="宋体" w:eastAsia="宋体" w:cs="宋体"/>
                <w:snapToGrid w:val="0"/>
                <w:color w:val="auto"/>
                <w:spacing w:val="1"/>
                <w:kern w:val="0"/>
                <w:sz w:val="20"/>
                <w:szCs w:val="20"/>
                <w:lang w:eastAsia="en-US"/>
              </w:rPr>
              <w:t>项目建设区，重</w:t>
            </w:r>
            <w:r>
              <w:rPr>
                <w:rFonts w:ascii="宋体" w:hAnsi="宋体" w:eastAsia="宋体" w:cs="宋体"/>
                <w:snapToGrid w:val="0"/>
                <w:color w:val="auto"/>
                <w:spacing w:val="8"/>
                <w:kern w:val="0"/>
                <w:sz w:val="20"/>
                <w:szCs w:val="20"/>
                <w:lang w:eastAsia="en-US"/>
              </w:rPr>
              <w:t>点监测生态保护红线内区域</w:t>
            </w:r>
          </w:p>
        </w:tc>
        <w:tc>
          <w:tcPr>
            <w:tcW w:w="838" w:type="dxa"/>
            <w:tcBorders>
              <w:bottom w:val="single" w:color="000000" w:sz="10" w:space="0"/>
            </w:tcBorders>
            <w:vAlign w:val="center"/>
          </w:tcPr>
          <w:p w14:paraId="6DBC7DC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p w14:paraId="38E45568">
            <w:pPr>
              <w:keepNext w:val="0"/>
              <w:keepLines w:val="0"/>
              <w:pageBreakBefore w:val="0"/>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napToGrid w:val="0"/>
                <w:color w:val="auto"/>
                <w:kern w:val="0"/>
                <w:sz w:val="20"/>
                <w:szCs w:val="20"/>
                <w:lang w:val="en-US" w:eastAsia="en-US" w:bidi="ar-SA"/>
              </w:rPr>
            </w:pPr>
            <w:r>
              <w:rPr>
                <w:rFonts w:ascii="Times New Roman" w:hAnsi="Times New Roman" w:eastAsia="Times New Roman" w:cs="Times New Roman"/>
                <w:snapToGrid w:val="0"/>
                <w:color w:val="auto"/>
                <w:spacing w:val="-10"/>
                <w:kern w:val="0"/>
                <w:sz w:val="20"/>
                <w:szCs w:val="20"/>
                <w:lang w:val="en-US" w:eastAsia="en-US" w:bidi="ar-SA"/>
              </w:rPr>
              <w:t>1</w:t>
            </w:r>
            <w:r>
              <w:rPr>
                <w:rFonts w:ascii="Times New Roman" w:hAnsi="Times New Roman" w:eastAsia="Times New Roman" w:cs="Times New Roman"/>
                <w:snapToGrid w:val="0"/>
                <w:color w:val="auto"/>
                <w:spacing w:val="17"/>
                <w:w w:val="101"/>
                <w:kern w:val="0"/>
                <w:sz w:val="20"/>
                <w:szCs w:val="20"/>
                <w:lang w:val="en-US" w:eastAsia="en-US" w:bidi="ar-SA"/>
              </w:rPr>
              <w:t xml:space="preserve"> </w:t>
            </w:r>
            <w:r>
              <w:rPr>
                <w:rFonts w:ascii="宋体" w:hAnsi="宋体" w:eastAsia="宋体" w:cs="宋体"/>
                <w:snapToGrid w:val="0"/>
                <w:color w:val="auto"/>
                <w:spacing w:val="-10"/>
                <w:kern w:val="0"/>
                <w:sz w:val="20"/>
                <w:szCs w:val="20"/>
                <w:lang w:val="en-US" w:eastAsia="en-US" w:bidi="ar-SA"/>
              </w:rPr>
              <w:t>次</w:t>
            </w:r>
          </w:p>
        </w:tc>
        <w:tc>
          <w:tcPr>
            <w:tcW w:w="1766" w:type="dxa"/>
            <w:vMerge w:val="continue"/>
            <w:tcBorders>
              <w:top w:val="nil"/>
              <w:bottom w:val="single" w:color="000000" w:sz="10" w:space="0"/>
            </w:tcBorders>
            <w:vAlign w:val="center"/>
          </w:tcPr>
          <w:p w14:paraId="62CDCA2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tc>
        <w:tc>
          <w:tcPr>
            <w:tcW w:w="1475" w:type="dxa"/>
            <w:vMerge w:val="continue"/>
            <w:tcBorders>
              <w:top w:val="nil"/>
              <w:bottom w:val="single" w:color="000000" w:sz="10" w:space="0"/>
            </w:tcBorders>
            <w:vAlign w:val="center"/>
          </w:tcPr>
          <w:p w14:paraId="7A8834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tc>
        <w:tc>
          <w:tcPr>
            <w:tcW w:w="2722" w:type="dxa"/>
            <w:vMerge w:val="continue"/>
            <w:tcBorders>
              <w:top w:val="nil"/>
              <w:bottom w:val="single" w:color="000000" w:sz="10" w:space="0"/>
              <w:right w:val="nil"/>
            </w:tcBorders>
            <w:vAlign w:val="center"/>
          </w:tcPr>
          <w:p w14:paraId="16621D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hAnsi="Arial" w:eastAsia="Arial" w:cs="Arial"/>
                <w:snapToGrid w:val="0"/>
                <w:color w:val="auto"/>
                <w:kern w:val="0"/>
                <w:sz w:val="21"/>
                <w:szCs w:val="21"/>
                <w:lang w:eastAsia="en-US"/>
              </w:rPr>
            </w:pPr>
          </w:p>
        </w:tc>
      </w:tr>
    </w:tbl>
    <w:p w14:paraId="0567DAA5">
      <w:pPr>
        <w:widowControl/>
        <w:kinsoku w:val="0"/>
        <w:autoSpaceDE w:val="0"/>
        <w:autoSpaceDN w:val="0"/>
        <w:adjustRightInd w:val="0"/>
        <w:snapToGrid w:val="0"/>
        <w:spacing w:line="240" w:lineRule="auto"/>
        <w:jc w:val="left"/>
        <w:textAlignment w:val="baseline"/>
        <w:rPr>
          <w:rFonts w:ascii="Arial" w:hAnsi="Arial" w:eastAsia="Arial" w:cs="Arial"/>
          <w:snapToGrid w:val="0"/>
          <w:color w:val="auto"/>
          <w:kern w:val="0"/>
          <w:sz w:val="21"/>
          <w:szCs w:val="21"/>
          <w:lang w:eastAsia="en-US"/>
        </w:rPr>
      </w:pPr>
    </w:p>
    <w:p w14:paraId="369D2F58">
      <w:pPr>
        <w:rPr>
          <w:rFonts w:ascii="Arial" w:hAnsi="Arial" w:eastAsia="Arial" w:cs="Arial"/>
          <w:color w:val="auto"/>
          <w:sz w:val="21"/>
          <w:szCs w:val="21"/>
        </w:rPr>
        <w:sectPr>
          <w:footerReference r:id="rId31" w:type="default"/>
          <w:pgSz w:w="11906" w:h="16839"/>
          <w:pgMar w:top="1426" w:right="1686" w:bottom="1655" w:left="1691" w:header="0" w:footer="1493" w:gutter="0"/>
          <w:pgBorders>
            <w:top w:val="none" w:sz="0" w:space="0"/>
            <w:left w:val="none" w:sz="0" w:space="0"/>
            <w:bottom w:val="none" w:sz="0" w:space="0"/>
            <w:right w:val="none" w:sz="0" w:space="0"/>
          </w:pgBorders>
          <w:pgNumType w:fmt="decimal"/>
          <w:cols w:space="720" w:num="1"/>
        </w:sectPr>
      </w:pPr>
    </w:p>
    <w:p w14:paraId="709C9697">
      <w:pPr>
        <w:keepNext w:val="0"/>
        <w:keepLines w:val="0"/>
        <w:pageBreakBefore w:val="0"/>
        <w:widowControl/>
        <w:kinsoku w:val="0"/>
        <w:wordWrap/>
        <w:overflowPunct/>
        <w:topLinePunct w:val="0"/>
        <w:autoSpaceDE w:val="0"/>
        <w:autoSpaceDN w:val="0"/>
        <w:bidi w:val="0"/>
        <w:adjustRightInd w:val="0"/>
        <w:snapToGrid w:val="0"/>
        <w:spacing w:line="360" w:lineRule="auto"/>
        <w:ind w:left="0"/>
        <w:jc w:val="both"/>
        <w:textAlignment w:val="baseline"/>
        <w:outlineLvl w:val="0"/>
        <w:rPr>
          <w:rFonts w:hint="eastAsia" w:ascii="Times New Roman" w:hAnsi="Times New Roman" w:eastAsia="宋体" w:cs="Times New Roman"/>
          <w:b/>
          <w:bCs w:val="0"/>
          <w:color w:val="auto"/>
          <w:kern w:val="44"/>
          <w:sz w:val="28"/>
          <w:szCs w:val="28"/>
          <w:highlight w:val="none"/>
          <w:lang w:val="en-US" w:eastAsia="en-US" w:bidi="ar-SA"/>
        </w:rPr>
      </w:pPr>
      <w:bookmarkStart w:id="550" w:name="_Toc10171"/>
      <w:bookmarkStart w:id="551" w:name="_Toc20509"/>
      <w:r>
        <w:rPr>
          <w:rFonts w:hint="eastAsia" w:ascii="Times New Roman" w:hAnsi="Times New Roman" w:eastAsia="宋体" w:cs="Times New Roman"/>
          <w:b/>
          <w:bCs w:val="0"/>
          <w:color w:val="auto"/>
          <w:kern w:val="44"/>
          <w:sz w:val="28"/>
          <w:szCs w:val="28"/>
          <w:highlight w:val="none"/>
          <w:lang w:val="en-US" w:eastAsia="zh-CN" w:bidi="ar-SA"/>
        </w:rPr>
        <w:t>5</w:t>
      </w:r>
      <w:r>
        <w:rPr>
          <w:rFonts w:hint="eastAsia" w:ascii="Times New Roman" w:hAnsi="Times New Roman" w:eastAsia="宋体" w:cs="Times New Roman"/>
          <w:b/>
          <w:bCs w:val="0"/>
          <w:color w:val="auto"/>
          <w:kern w:val="44"/>
          <w:sz w:val="28"/>
          <w:szCs w:val="28"/>
          <w:highlight w:val="none"/>
          <w:lang w:val="en-US" w:eastAsia="en-US" w:bidi="ar-SA"/>
        </w:rPr>
        <w:t>结论与建议</w:t>
      </w:r>
      <w:bookmarkEnd w:id="550"/>
      <w:bookmarkEnd w:id="551"/>
    </w:p>
    <w:p w14:paraId="0D5F853B">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eastAsia" w:ascii="Times New Roman" w:hAnsi="Times New Roman" w:eastAsia="宋体" w:cs="Times New Roman"/>
          <w:b/>
          <w:bCs/>
          <w:snapToGrid w:val="0"/>
          <w:color w:val="auto"/>
          <w:spacing w:val="0"/>
          <w:kern w:val="0"/>
          <w:sz w:val="24"/>
          <w:szCs w:val="24"/>
          <w:lang w:val="en-US" w:eastAsia="en-US" w:bidi="ar-SA"/>
        </w:rPr>
      </w:pPr>
      <w:bookmarkStart w:id="552" w:name="_Toc268"/>
      <w:bookmarkStart w:id="553" w:name="_Toc27061"/>
      <w:r>
        <w:rPr>
          <w:rFonts w:hint="eastAsia" w:ascii="Times New Roman" w:hAnsi="Times New Roman" w:eastAsia="宋体" w:cs="Times New Roman"/>
          <w:b/>
          <w:bCs/>
          <w:snapToGrid w:val="0"/>
          <w:color w:val="auto"/>
          <w:spacing w:val="0"/>
          <w:kern w:val="0"/>
          <w:sz w:val="24"/>
          <w:szCs w:val="24"/>
          <w:lang w:val="en-US" w:eastAsia="zh-CN" w:bidi="ar-SA"/>
        </w:rPr>
        <w:t>5</w:t>
      </w:r>
      <w:r>
        <w:rPr>
          <w:rFonts w:hint="eastAsia" w:ascii="Times New Roman" w:hAnsi="Times New Roman" w:eastAsia="宋体" w:cs="Times New Roman"/>
          <w:b/>
          <w:bCs/>
          <w:snapToGrid w:val="0"/>
          <w:color w:val="auto"/>
          <w:spacing w:val="0"/>
          <w:kern w:val="0"/>
          <w:sz w:val="24"/>
          <w:szCs w:val="24"/>
          <w:lang w:val="en-US" w:eastAsia="en-US" w:bidi="ar-SA"/>
        </w:rPr>
        <w:t>.1生态影响预测评价结论</w:t>
      </w:r>
      <w:bookmarkEnd w:id="552"/>
      <w:bookmarkEnd w:id="553"/>
    </w:p>
    <w:p w14:paraId="77D06C87">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本项目建设期间，将通过有效的生态管理来减少生态损失，永</w:t>
      </w:r>
      <w:r>
        <w:rPr>
          <w:rFonts w:ascii="宋体" w:hAnsi="宋体" w:eastAsia="宋体" w:cs="宋体"/>
          <w:snapToGrid w:val="0"/>
          <w:color w:val="auto"/>
          <w:spacing w:val="-4"/>
          <w:kern w:val="0"/>
          <w:sz w:val="24"/>
          <w:szCs w:val="24"/>
          <w:lang w:val="en-US" w:eastAsia="en-US" w:bidi="ar-SA"/>
        </w:rPr>
        <w:t>久占地的部分</w:t>
      </w:r>
      <w:r>
        <w:rPr>
          <w:rFonts w:ascii="宋体" w:hAnsi="宋体" w:eastAsia="宋体" w:cs="宋体"/>
          <w:snapToGrid w:val="0"/>
          <w:color w:val="auto"/>
          <w:spacing w:val="-3"/>
          <w:kern w:val="0"/>
          <w:sz w:val="24"/>
          <w:szCs w:val="24"/>
          <w:lang w:val="en-US" w:eastAsia="en-US" w:bidi="ar-SA"/>
        </w:rPr>
        <w:t>植被与临时占地植被会得到有效的生态恢复，少量的植被损失及其导致的生态变化，不会对各类型植被群落及生态系统的稳定性造成影响，不会导致生态服务功</w:t>
      </w:r>
      <w:r>
        <w:rPr>
          <w:rFonts w:ascii="宋体" w:hAnsi="宋体" w:eastAsia="宋体" w:cs="宋体"/>
          <w:snapToGrid w:val="0"/>
          <w:color w:val="auto"/>
          <w:spacing w:val="-6"/>
          <w:kern w:val="0"/>
          <w:sz w:val="24"/>
          <w:szCs w:val="24"/>
          <w:lang w:val="en-US" w:eastAsia="en-US" w:bidi="ar-SA"/>
        </w:rPr>
        <w:t>能的明显下降。</w:t>
      </w:r>
    </w:p>
    <w:p w14:paraId="203C89DE">
      <w:pPr>
        <w:keepNext w:val="0"/>
        <w:keepLines w:val="0"/>
        <w:pageBreakBefore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2"/>
          <w:kern w:val="0"/>
          <w:sz w:val="24"/>
          <w:szCs w:val="24"/>
          <w:lang w:val="en-US" w:eastAsia="en-US" w:bidi="ar-SA"/>
        </w:rPr>
        <w:t>调查期间未在评价范围内发现国家重点保护及珍稀动、植物分布。</w:t>
      </w:r>
    </w:p>
    <w:p w14:paraId="5EE6A36C">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项目建设影响主要表现在施工期对动物栖息环境和对植</w:t>
      </w:r>
      <w:r>
        <w:rPr>
          <w:rFonts w:ascii="宋体" w:hAnsi="宋体" w:eastAsia="宋体" w:cs="宋体"/>
          <w:snapToGrid w:val="0"/>
          <w:color w:val="auto"/>
          <w:spacing w:val="-4"/>
          <w:kern w:val="0"/>
          <w:sz w:val="24"/>
          <w:szCs w:val="24"/>
          <w:lang w:val="en-US" w:eastAsia="en-US" w:bidi="ar-SA"/>
        </w:rPr>
        <w:t>被占用的影响。施工</w:t>
      </w:r>
      <w:r>
        <w:rPr>
          <w:rFonts w:ascii="宋体" w:hAnsi="宋体" w:eastAsia="宋体" w:cs="宋体"/>
          <w:snapToGrid w:val="0"/>
          <w:color w:val="auto"/>
          <w:spacing w:val="-6"/>
          <w:kern w:val="0"/>
          <w:sz w:val="24"/>
          <w:szCs w:val="24"/>
          <w:lang w:val="en-US" w:eastAsia="en-US" w:bidi="ar-SA"/>
        </w:rPr>
        <w:t>活动会对动物日常的觅食、繁殖造成惊扰， 由于动物具有迁徙能</w:t>
      </w:r>
      <w:r>
        <w:rPr>
          <w:rFonts w:ascii="宋体" w:hAnsi="宋体" w:eastAsia="宋体" w:cs="宋体"/>
          <w:snapToGrid w:val="0"/>
          <w:color w:val="auto"/>
          <w:spacing w:val="-7"/>
          <w:kern w:val="0"/>
          <w:sz w:val="24"/>
          <w:szCs w:val="24"/>
          <w:lang w:val="en-US" w:eastAsia="en-US" w:bidi="ar-SA"/>
        </w:rPr>
        <w:t>力，且本区的动</w:t>
      </w:r>
      <w:r>
        <w:rPr>
          <w:rFonts w:ascii="宋体" w:hAnsi="宋体" w:eastAsia="宋体" w:cs="宋体"/>
          <w:snapToGrid w:val="0"/>
          <w:color w:val="auto"/>
          <w:spacing w:val="-3"/>
          <w:kern w:val="0"/>
          <w:sz w:val="24"/>
          <w:szCs w:val="24"/>
          <w:lang w:val="en-US" w:eastAsia="en-US" w:bidi="ar-SA"/>
        </w:rPr>
        <w:t>物多为广分布性物种，分布生境可回旋余地大，部分栖息在施工地带的个体会受到影响而暂时离开工程影响区，工程施工活动不会对动物造成影响；施工期永久及临时占地，一定程度上改变现状植被，线路的永久占地除塔基桩脚外，可部分恢复现状植被或转变为其他植被类型，临时占地经过一段时间自然保育或人工恢</w:t>
      </w:r>
      <w:r>
        <w:rPr>
          <w:rFonts w:ascii="宋体" w:hAnsi="宋体" w:eastAsia="宋体" w:cs="宋体"/>
          <w:snapToGrid w:val="0"/>
          <w:color w:val="auto"/>
          <w:spacing w:val="-4"/>
          <w:kern w:val="0"/>
          <w:sz w:val="24"/>
          <w:szCs w:val="24"/>
          <w:lang w:val="en-US" w:eastAsia="en-US" w:bidi="ar-SA"/>
        </w:rPr>
        <w:t>复，可恢复至原有水平。</w:t>
      </w:r>
    </w:p>
    <w:p w14:paraId="36F59E6F">
      <w:pPr>
        <w:keepNext w:val="0"/>
        <w:keepLines w:val="0"/>
        <w:pageBreakBefore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kern w:val="0"/>
          <w:sz w:val="24"/>
          <w:szCs w:val="24"/>
          <w:lang w:val="en-US" w:eastAsia="en-US" w:bidi="ar-SA"/>
        </w:rPr>
        <w:t>本项目的实施不会对评价区的自然生态系统的</w:t>
      </w:r>
      <w:r>
        <w:rPr>
          <w:rFonts w:ascii="宋体" w:hAnsi="宋体" w:eastAsia="宋体" w:cs="宋体"/>
          <w:snapToGrid w:val="0"/>
          <w:color w:val="auto"/>
          <w:spacing w:val="-1"/>
          <w:kern w:val="0"/>
          <w:sz w:val="24"/>
          <w:szCs w:val="24"/>
          <w:lang w:val="en-US" w:eastAsia="en-US" w:bidi="ar-SA"/>
        </w:rPr>
        <w:t>完整性、稳定性造成明显影</w:t>
      </w:r>
      <w:r>
        <w:rPr>
          <w:rFonts w:ascii="宋体" w:hAnsi="宋体" w:eastAsia="宋体" w:cs="宋体"/>
          <w:snapToGrid w:val="0"/>
          <w:color w:val="auto"/>
          <w:spacing w:val="-3"/>
          <w:kern w:val="0"/>
          <w:sz w:val="24"/>
          <w:szCs w:val="24"/>
          <w:lang w:val="en-US" w:eastAsia="en-US" w:bidi="ar-SA"/>
        </w:rPr>
        <w:t>响，对景观格局、生态状况的影响也较小。根据其所处的部位和影响因子的性质</w:t>
      </w:r>
      <w:r>
        <w:rPr>
          <w:rFonts w:ascii="宋体" w:hAnsi="宋体" w:eastAsia="宋体" w:cs="宋体"/>
          <w:snapToGrid w:val="0"/>
          <w:color w:val="auto"/>
          <w:spacing w:val="-2"/>
          <w:kern w:val="0"/>
          <w:sz w:val="24"/>
          <w:szCs w:val="24"/>
          <w:lang w:val="en-US" w:eastAsia="en-US" w:bidi="ar-SA"/>
        </w:rPr>
        <w:t>及影响程度，有不同的影响反应，都在可接受的范围之内。</w:t>
      </w:r>
    </w:p>
    <w:p w14:paraId="0E1943E0">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eastAsia" w:ascii="Times New Roman" w:hAnsi="Times New Roman" w:eastAsia="宋体" w:cs="Times New Roman"/>
          <w:b/>
          <w:bCs/>
          <w:snapToGrid w:val="0"/>
          <w:color w:val="auto"/>
          <w:spacing w:val="0"/>
          <w:kern w:val="0"/>
          <w:sz w:val="24"/>
          <w:szCs w:val="24"/>
          <w:lang w:val="en-US" w:eastAsia="en-US" w:bidi="ar-SA"/>
        </w:rPr>
      </w:pPr>
      <w:bookmarkStart w:id="554" w:name="_Toc26988"/>
      <w:bookmarkStart w:id="555" w:name="_Toc6885"/>
      <w:r>
        <w:rPr>
          <w:rFonts w:hint="eastAsia" w:ascii="Times New Roman" w:hAnsi="Times New Roman" w:eastAsia="宋体" w:cs="Times New Roman"/>
          <w:b/>
          <w:bCs/>
          <w:snapToGrid w:val="0"/>
          <w:color w:val="auto"/>
          <w:spacing w:val="0"/>
          <w:kern w:val="0"/>
          <w:sz w:val="24"/>
          <w:szCs w:val="24"/>
          <w:lang w:val="en-US" w:eastAsia="zh-CN" w:bidi="ar-SA"/>
        </w:rPr>
        <w:t>5</w:t>
      </w:r>
      <w:r>
        <w:rPr>
          <w:rFonts w:hint="eastAsia" w:ascii="Times New Roman" w:hAnsi="Times New Roman" w:eastAsia="宋体" w:cs="Times New Roman"/>
          <w:b/>
          <w:bCs/>
          <w:snapToGrid w:val="0"/>
          <w:color w:val="auto"/>
          <w:spacing w:val="0"/>
          <w:kern w:val="0"/>
          <w:sz w:val="24"/>
          <w:szCs w:val="24"/>
          <w:lang w:val="en-US" w:eastAsia="en-US" w:bidi="ar-SA"/>
        </w:rPr>
        <w:t>.2生态综合评价结论</w:t>
      </w:r>
      <w:bookmarkEnd w:id="554"/>
      <w:bookmarkEnd w:id="555"/>
    </w:p>
    <w:p w14:paraId="49B69988">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ascii="宋体" w:hAnsi="宋体" w:eastAsia="宋体" w:cs="宋体"/>
          <w:snapToGrid w:val="0"/>
          <w:color w:val="auto"/>
          <w:kern w:val="0"/>
          <w:sz w:val="24"/>
          <w:szCs w:val="24"/>
          <w:lang w:val="en-US" w:eastAsia="en-US" w:bidi="ar-SA"/>
        </w:rPr>
      </w:pPr>
      <w:r>
        <w:rPr>
          <w:rFonts w:ascii="宋体" w:hAnsi="宋体" w:eastAsia="宋体" w:cs="宋体"/>
          <w:snapToGrid w:val="0"/>
          <w:color w:val="auto"/>
          <w:spacing w:val="-3"/>
          <w:kern w:val="0"/>
          <w:sz w:val="24"/>
          <w:szCs w:val="24"/>
          <w:lang w:val="en-US" w:eastAsia="en-US" w:bidi="ar-SA"/>
        </w:rPr>
        <w:t>本项目建设属于线性工程，工程施工相对简单，永久占地面积</w:t>
      </w:r>
      <w:r>
        <w:rPr>
          <w:rFonts w:ascii="宋体" w:hAnsi="宋体" w:eastAsia="宋体" w:cs="宋体"/>
          <w:snapToGrid w:val="0"/>
          <w:color w:val="auto"/>
          <w:spacing w:val="-4"/>
          <w:kern w:val="0"/>
          <w:sz w:val="24"/>
          <w:szCs w:val="24"/>
          <w:lang w:val="en-US" w:eastAsia="en-US" w:bidi="ar-SA"/>
        </w:rPr>
        <w:t>很小，对区域</w:t>
      </w:r>
      <w:r>
        <w:rPr>
          <w:rFonts w:ascii="宋体" w:hAnsi="宋体" w:eastAsia="宋体" w:cs="宋体"/>
          <w:snapToGrid w:val="0"/>
          <w:color w:val="auto"/>
          <w:spacing w:val="-6"/>
          <w:kern w:val="0"/>
          <w:sz w:val="24"/>
          <w:szCs w:val="24"/>
          <w:lang w:val="en-US" w:eastAsia="en-US" w:bidi="ar-SA"/>
        </w:rPr>
        <w:t>植物的破坏有限，不会造成植物、动物种质资源和生物多样性的减</w:t>
      </w:r>
      <w:r>
        <w:rPr>
          <w:rFonts w:ascii="宋体" w:hAnsi="宋体" w:eastAsia="宋体" w:cs="宋体"/>
          <w:snapToGrid w:val="0"/>
          <w:color w:val="auto"/>
          <w:spacing w:val="-7"/>
          <w:kern w:val="0"/>
          <w:sz w:val="24"/>
          <w:szCs w:val="24"/>
          <w:lang w:val="en-US" w:eastAsia="en-US" w:bidi="ar-SA"/>
        </w:rPr>
        <w:t>少， 不会造成</w:t>
      </w:r>
      <w:r>
        <w:rPr>
          <w:rFonts w:ascii="宋体" w:hAnsi="宋体" w:eastAsia="宋体" w:cs="宋体"/>
          <w:snapToGrid w:val="0"/>
          <w:color w:val="auto"/>
          <w:spacing w:val="-3"/>
          <w:kern w:val="0"/>
          <w:sz w:val="24"/>
          <w:szCs w:val="24"/>
          <w:lang w:val="en-US" w:eastAsia="en-US" w:bidi="ar-SA"/>
        </w:rPr>
        <w:t>评价区景观格局的根本变</w:t>
      </w:r>
      <w:bookmarkStart w:id="558" w:name="_GoBack"/>
      <w:bookmarkEnd w:id="558"/>
      <w:r>
        <w:rPr>
          <w:rFonts w:ascii="宋体" w:hAnsi="宋体" w:eastAsia="宋体" w:cs="宋体"/>
          <w:snapToGrid w:val="0"/>
          <w:color w:val="auto"/>
          <w:spacing w:val="-3"/>
          <w:kern w:val="0"/>
          <w:sz w:val="24"/>
          <w:szCs w:val="24"/>
          <w:lang w:val="en-US" w:eastAsia="en-US" w:bidi="ar-SA"/>
        </w:rPr>
        <w:t>化，不会造成生态系统完整性的变化，评价区生态系统</w:t>
      </w:r>
      <w:r>
        <w:rPr>
          <w:rFonts w:ascii="宋体" w:hAnsi="宋体" w:eastAsia="宋体" w:cs="宋体"/>
          <w:snapToGrid w:val="0"/>
          <w:color w:val="auto"/>
          <w:kern w:val="0"/>
          <w:sz w:val="24"/>
          <w:szCs w:val="24"/>
          <w:lang w:val="en-US" w:eastAsia="en-US" w:bidi="ar-SA"/>
        </w:rPr>
        <w:t>结构和功能不会发生转变。本项目涉及东南黄土高原丘</w:t>
      </w:r>
      <w:r>
        <w:rPr>
          <w:rFonts w:ascii="宋体" w:hAnsi="宋体" w:eastAsia="宋体" w:cs="宋体"/>
          <w:snapToGrid w:val="0"/>
          <w:color w:val="auto"/>
          <w:spacing w:val="-1"/>
          <w:kern w:val="0"/>
          <w:sz w:val="24"/>
          <w:szCs w:val="24"/>
          <w:lang w:val="en-US" w:eastAsia="en-US" w:bidi="ar-SA"/>
        </w:rPr>
        <w:t>陵水土保持生态保护红线。由于项目评价</w:t>
      </w:r>
      <w:r>
        <w:rPr>
          <w:rFonts w:ascii="宋体" w:hAnsi="宋体" w:eastAsia="宋体" w:cs="宋体"/>
          <w:snapToGrid w:val="0"/>
          <w:color w:val="auto"/>
          <w:spacing w:val="-2"/>
          <w:kern w:val="0"/>
          <w:sz w:val="24"/>
          <w:szCs w:val="24"/>
          <w:lang w:val="en-US" w:eastAsia="en-US" w:bidi="ar-SA"/>
        </w:rPr>
        <w:t>范围的植被较为常见，</w:t>
      </w:r>
      <w:r>
        <w:rPr>
          <w:rFonts w:ascii="宋体" w:hAnsi="宋体" w:eastAsia="宋体" w:cs="宋体"/>
          <w:snapToGrid w:val="0"/>
          <w:color w:val="auto"/>
          <w:spacing w:val="-5"/>
          <w:kern w:val="0"/>
          <w:sz w:val="24"/>
          <w:szCs w:val="24"/>
          <w:lang w:val="en-US" w:eastAsia="en-US" w:bidi="ar-SA"/>
        </w:rPr>
        <w:t>动物也多为常见爬行类、鸟类和昆虫类，</w:t>
      </w:r>
      <w:r>
        <w:rPr>
          <w:rFonts w:ascii="宋体" w:hAnsi="宋体" w:eastAsia="宋体" w:cs="宋体"/>
          <w:snapToGrid w:val="0"/>
          <w:color w:val="auto"/>
          <w:spacing w:val="-48"/>
          <w:kern w:val="0"/>
          <w:sz w:val="24"/>
          <w:szCs w:val="24"/>
          <w:lang w:val="en-US" w:eastAsia="en-US" w:bidi="ar-SA"/>
        </w:rPr>
        <w:t xml:space="preserve"> </w:t>
      </w:r>
      <w:r>
        <w:rPr>
          <w:rFonts w:ascii="宋体" w:hAnsi="宋体" w:eastAsia="宋体" w:cs="宋体"/>
          <w:snapToGrid w:val="0"/>
          <w:color w:val="auto"/>
          <w:spacing w:val="-5"/>
          <w:kern w:val="0"/>
          <w:sz w:val="24"/>
          <w:szCs w:val="24"/>
          <w:lang w:val="en-US" w:eastAsia="en-US" w:bidi="ar-SA"/>
        </w:rPr>
        <w:t>其适宜生境分布广泛且动物的环境适应</w:t>
      </w:r>
      <w:r>
        <w:rPr>
          <w:rFonts w:ascii="宋体" w:hAnsi="宋体" w:eastAsia="宋体" w:cs="宋体"/>
          <w:snapToGrid w:val="0"/>
          <w:color w:val="auto"/>
          <w:spacing w:val="-1"/>
          <w:kern w:val="0"/>
          <w:sz w:val="24"/>
          <w:szCs w:val="24"/>
          <w:lang w:val="en-US" w:eastAsia="en-US" w:bidi="ar-SA"/>
        </w:rPr>
        <w:t>性较强。因此在做好动植物保护的前提下，项目建设在环</w:t>
      </w:r>
      <w:r>
        <w:rPr>
          <w:rFonts w:ascii="宋体" w:hAnsi="宋体" w:eastAsia="宋体" w:cs="宋体"/>
          <w:snapToGrid w:val="0"/>
          <w:color w:val="auto"/>
          <w:spacing w:val="-2"/>
          <w:kern w:val="0"/>
          <w:sz w:val="24"/>
          <w:szCs w:val="24"/>
          <w:lang w:val="en-US" w:eastAsia="en-US" w:bidi="ar-SA"/>
        </w:rPr>
        <w:t>境保护角度是可行的。</w:t>
      </w:r>
    </w:p>
    <w:p w14:paraId="320DD2DC">
      <w:pPr>
        <w:keepNext w:val="0"/>
        <w:keepLines w:val="0"/>
        <w:pageBreakBefore w:val="0"/>
        <w:kinsoku w:val="0"/>
        <w:wordWrap/>
        <w:overflowPunct/>
        <w:topLinePunct w:val="0"/>
        <w:autoSpaceDE w:val="0"/>
        <w:autoSpaceDN w:val="0"/>
        <w:bidi w:val="0"/>
        <w:adjustRightInd w:val="0"/>
        <w:snapToGrid w:val="0"/>
        <w:spacing w:line="360" w:lineRule="auto"/>
        <w:ind w:right="0"/>
        <w:jc w:val="both"/>
        <w:textAlignment w:val="baseline"/>
        <w:outlineLvl w:val="1"/>
        <w:rPr>
          <w:rFonts w:hint="eastAsia" w:ascii="Times New Roman" w:hAnsi="Times New Roman" w:eastAsia="宋体" w:cs="Times New Roman"/>
          <w:b/>
          <w:bCs/>
          <w:snapToGrid w:val="0"/>
          <w:color w:val="auto"/>
          <w:spacing w:val="0"/>
          <w:kern w:val="0"/>
          <w:sz w:val="24"/>
          <w:szCs w:val="24"/>
          <w:lang w:val="en-US" w:eastAsia="en-US" w:bidi="ar-SA"/>
        </w:rPr>
      </w:pPr>
      <w:bookmarkStart w:id="556" w:name="_Toc23326"/>
      <w:bookmarkStart w:id="557" w:name="_Toc25733"/>
      <w:r>
        <w:rPr>
          <w:rFonts w:hint="eastAsia" w:ascii="Times New Roman" w:hAnsi="Times New Roman" w:eastAsia="宋体" w:cs="Times New Roman"/>
          <w:b/>
          <w:bCs/>
          <w:snapToGrid w:val="0"/>
          <w:color w:val="auto"/>
          <w:spacing w:val="0"/>
          <w:kern w:val="0"/>
          <w:sz w:val="24"/>
          <w:szCs w:val="24"/>
          <w:lang w:val="en-US" w:eastAsia="zh-CN" w:bidi="ar-SA"/>
        </w:rPr>
        <w:t>5</w:t>
      </w:r>
      <w:r>
        <w:rPr>
          <w:rFonts w:hint="eastAsia" w:ascii="Times New Roman" w:hAnsi="Times New Roman" w:eastAsia="宋体" w:cs="Times New Roman"/>
          <w:b/>
          <w:bCs/>
          <w:snapToGrid w:val="0"/>
          <w:color w:val="auto"/>
          <w:spacing w:val="0"/>
          <w:kern w:val="0"/>
          <w:sz w:val="24"/>
          <w:szCs w:val="24"/>
          <w:lang w:val="en-US" w:eastAsia="en-US" w:bidi="ar-SA"/>
        </w:rPr>
        <w:t>.3建议</w:t>
      </w:r>
      <w:bookmarkEnd w:id="556"/>
      <w:bookmarkEnd w:id="557"/>
    </w:p>
    <w:p w14:paraId="51BC4777">
      <w:pPr>
        <w:keepNext w:val="0"/>
        <w:keepLines w:val="0"/>
        <w:pageBreakBefore w:val="0"/>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Arial" w:hAnsi="Arial" w:eastAsia="Arial" w:cs="Arial"/>
          <w:snapToGrid w:val="0"/>
          <w:color w:val="auto"/>
          <w:kern w:val="0"/>
          <w:sz w:val="21"/>
          <w:szCs w:val="21"/>
          <w:lang w:val="en-US" w:eastAsia="zh-CN"/>
        </w:rPr>
      </w:pPr>
      <w:r>
        <w:rPr>
          <w:rFonts w:ascii="宋体" w:hAnsi="宋体" w:eastAsia="宋体" w:cs="宋体"/>
          <w:snapToGrid w:val="0"/>
          <w:color w:val="auto"/>
          <w:spacing w:val="-3"/>
          <w:kern w:val="0"/>
          <w:sz w:val="24"/>
          <w:szCs w:val="24"/>
          <w:lang w:val="en-US" w:eastAsia="en-US" w:bidi="ar-SA"/>
        </w:rPr>
        <w:t>施工单位严格按照相关要求组织施工建设，施工期间应指定专人负</w:t>
      </w:r>
      <w:r>
        <w:rPr>
          <w:rFonts w:ascii="宋体" w:hAnsi="宋体" w:eastAsia="宋体" w:cs="宋体"/>
          <w:snapToGrid w:val="0"/>
          <w:color w:val="auto"/>
          <w:spacing w:val="-4"/>
          <w:kern w:val="0"/>
          <w:sz w:val="24"/>
          <w:szCs w:val="24"/>
          <w:lang w:val="en-US" w:eastAsia="en-US" w:bidi="ar-SA"/>
        </w:rPr>
        <w:t>责环保工</w:t>
      </w:r>
      <w:r>
        <w:rPr>
          <w:rFonts w:ascii="宋体" w:hAnsi="宋体" w:eastAsia="宋体" w:cs="宋体"/>
          <w:snapToGrid w:val="0"/>
          <w:color w:val="auto"/>
          <w:spacing w:val="-6"/>
          <w:kern w:val="0"/>
          <w:sz w:val="24"/>
          <w:szCs w:val="24"/>
          <w:lang w:val="en-US" w:eastAsia="en-US" w:bidi="ar-SA"/>
        </w:rPr>
        <w:t>作。项目施工前， 应对全体施工人员进行污染控制和动植物</w:t>
      </w:r>
      <w:r>
        <w:rPr>
          <w:rFonts w:ascii="宋体" w:hAnsi="宋体" w:eastAsia="宋体" w:cs="宋体"/>
          <w:snapToGrid w:val="0"/>
          <w:color w:val="auto"/>
          <w:spacing w:val="-7"/>
          <w:kern w:val="0"/>
          <w:sz w:val="24"/>
          <w:szCs w:val="24"/>
          <w:lang w:val="en-US" w:eastAsia="en-US" w:bidi="ar-SA"/>
        </w:rPr>
        <w:t>保护教育，提高施工</w:t>
      </w:r>
      <w:r>
        <w:rPr>
          <w:rFonts w:ascii="宋体" w:hAnsi="宋体" w:eastAsia="宋体" w:cs="宋体"/>
          <w:snapToGrid w:val="0"/>
          <w:color w:val="auto"/>
          <w:spacing w:val="-6"/>
          <w:kern w:val="0"/>
          <w:sz w:val="24"/>
          <w:szCs w:val="24"/>
          <w:lang w:val="en-US" w:eastAsia="en-US" w:bidi="ar-SA"/>
        </w:rPr>
        <w:t>人员的环境保护意识，禁止开挖、捕捉国家保护动植物</w:t>
      </w:r>
      <w:r>
        <w:rPr>
          <w:rFonts w:ascii="宋体" w:hAnsi="宋体" w:eastAsia="宋体" w:cs="宋体"/>
          <w:snapToGrid w:val="0"/>
          <w:color w:val="auto"/>
          <w:spacing w:val="-7"/>
          <w:kern w:val="0"/>
          <w:sz w:val="24"/>
          <w:szCs w:val="24"/>
          <w:lang w:val="en-US" w:eastAsia="en-US" w:bidi="ar-SA"/>
        </w:rPr>
        <w:t>， 最大限度保护区域内国</w:t>
      </w:r>
      <w:r>
        <w:rPr>
          <w:rFonts w:ascii="宋体" w:hAnsi="宋体" w:eastAsia="宋体" w:cs="宋体"/>
          <w:snapToGrid w:val="0"/>
          <w:color w:val="auto"/>
          <w:spacing w:val="-4"/>
          <w:kern w:val="0"/>
          <w:sz w:val="24"/>
          <w:szCs w:val="24"/>
          <w:lang w:val="en-US" w:eastAsia="en-US" w:bidi="ar-SA"/>
        </w:rPr>
        <w:t>家保护动植物的生长环境。</w:t>
      </w:r>
    </w:p>
    <w:sectPr>
      <w:footerReference r:id="rId32"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22DEAC4F-FC78-4BF3-AFBE-61D8CA55C6BE}"/>
  </w:font>
  <w:font w:name="黑体">
    <w:panose1 w:val="02010609060101010101"/>
    <w:charset w:val="86"/>
    <w:family w:val="auto"/>
    <w:pitch w:val="default"/>
    <w:sig w:usb0="800002BF" w:usb1="38CF7CFA" w:usb2="00000016" w:usb3="00000000" w:csb0="00040001" w:csb1="00000000"/>
    <w:embedRegular r:id="rId2" w:fontKey="{DE93BA8C-02D0-4955-AB2C-276A15F42433}"/>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embedRegular r:id="rId3" w:fontKey="{EE7D745F-7A1D-4524-9D88-6CA07AE07E83}"/>
  </w:font>
  <w:font w:name="仿宋">
    <w:panose1 w:val="02010609060101010101"/>
    <w:charset w:val="86"/>
    <w:family w:val="auto"/>
    <w:pitch w:val="default"/>
    <w:sig w:usb0="800002BF" w:usb1="38CF7CFA" w:usb2="00000016" w:usb3="00000000" w:csb0="00040001" w:csb1="00000000"/>
    <w:embedRegular r:id="rId4" w:fontKey="{8200CC58-7ABE-44B5-A00E-0EA9A1BEE111}"/>
  </w:font>
  <w:font w:name="楷体_GB2312">
    <w:altName w:val="楷体"/>
    <w:panose1 w:val="02010609030101010101"/>
    <w:charset w:val="86"/>
    <w:family w:val="modern"/>
    <w:pitch w:val="default"/>
    <w:sig w:usb0="00000000" w:usb1="00000000" w:usb2="00000000" w:usb3="00000000" w:csb0="00040000" w:csb1="00000000"/>
    <w:embedRegular r:id="rId5" w:fontKey="{51AF3A63-7F5D-4B93-83BD-DABA137C5016}"/>
  </w:font>
  <w:font w:name="楷体">
    <w:panose1 w:val="02010609060101010101"/>
    <w:charset w:val="86"/>
    <w:family w:val="auto"/>
    <w:pitch w:val="default"/>
    <w:sig w:usb0="800002BF" w:usb1="38CF7CFA" w:usb2="00000016" w:usb3="00000000" w:csb0="00040001" w:csb1="00000000"/>
  </w:font>
  <w:font w:name="MingLiU-ExtB">
    <w:panose1 w:val="02020500000000000000"/>
    <w:charset w:val="88"/>
    <w:family w:val="auto"/>
    <w:pitch w:val="default"/>
    <w:sig w:usb0="8000002F" w:usb1="02000008" w:usb2="00000000" w:usb3="00000000" w:csb0="00100001" w:csb1="00000000"/>
  </w:font>
  <w:font w:name="等线">
    <w:panose1 w:val="02010600030101010101"/>
    <w:charset w:val="86"/>
    <w:family w:val="auto"/>
    <w:pitch w:val="default"/>
    <w:sig w:usb0="A00002BF" w:usb1="38CF7CFA" w:usb2="00000016" w:usb3="00000000" w:csb0="0004000F" w:csb1="00000000"/>
    <w:embedRegular r:id="rId6" w:fontKey="{41A7E868-A3F9-484B-BF33-89499606CFB5}"/>
  </w:font>
  <w:font w:name="Consolas">
    <w:panose1 w:val="020B0609020204030204"/>
    <w:charset w:val="00"/>
    <w:family w:val="modern"/>
    <w:pitch w:val="default"/>
    <w:sig w:usb0="E00006FF" w:usb1="0000FCFF" w:usb2="00000001" w:usb3="00000000" w:csb0="6000019F" w:csb1="DFD70000"/>
  </w:font>
  <w:font w:name="仿宋体">
    <w:altName w:val="仿宋"/>
    <w:panose1 w:val="00000000000000000000"/>
    <w:charset w:val="86"/>
    <w:family w:val="roman"/>
    <w:pitch w:val="default"/>
    <w:sig w:usb0="00000000" w:usb1="00000000" w:usb2="00000010" w:usb3="00000000" w:csb0="00040000" w:csb1="00000000"/>
  </w:font>
  <w:font w:name="方正仿宋_GB18030">
    <w:panose1 w:val="02000000000000000000"/>
    <w:charset w:val="86"/>
    <w:family w:val="auto"/>
    <w:pitch w:val="default"/>
    <w:sig w:usb0="00000001" w:usb1="08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MS Mincho">
    <w:altName w:val="仓耳章鱼小丸子体 W01"/>
    <w:panose1 w:val="02020609040205080304"/>
    <w:charset w:val="80"/>
    <w:family w:val="roman"/>
    <w:pitch w:val="default"/>
    <w:sig w:usb0="00000000" w:usb1="00000000" w:usb2="00000010" w:usb3="00000000" w:csb0="4002009F" w:csb1="DFD70000"/>
  </w:font>
  <w:font w:name="仓耳章鱼小丸子体 W01">
    <w:panose1 w:val="02020400000000000000"/>
    <w:charset w:val="80"/>
    <w:family w:val="auto"/>
    <w:pitch w:val="default"/>
    <w:sig w:usb0="800002BF" w:usb1="184F64F8" w:usb2="00000012" w:usb3="00000000" w:csb0="00020001" w:csb1="00000000"/>
  </w:font>
  <w:font w:name="Arial">
    <w:panose1 w:val="020B0604020202020204"/>
    <w:charset w:val="00"/>
    <w:family w:val="auto"/>
    <w:pitch w:val="default"/>
    <w:sig w:usb0="E0002EFF" w:usb1="C000785B" w:usb2="00000009" w:usb3="00000000" w:csb0="400001FF" w:csb1="FFFF0000"/>
  </w:font>
  <w:font w:name="Cambria">
    <w:panose1 w:val="02040503050406030204"/>
    <w:charset w:val="00"/>
    <w:family w:val="auto"/>
    <w:pitch w:val="default"/>
    <w:sig w:usb0="E00006FF" w:usb1="420024FF" w:usb2="02000000" w:usb3="00000000" w:csb0="2000019F" w:csb1="00000000"/>
    <w:embedRegular r:id="rId7" w:fontKey="{DA11B167-F24C-49AB-9352-8793433A1D2E}"/>
  </w:font>
  <w:font w:name="KSOFE44F9426">
    <w:panose1 w:val="02010609060101010101"/>
    <w:charset w:val="86"/>
    <w:family w:val="auto"/>
    <w:pitch w:val="default"/>
    <w:sig w:usb0="00000001" w:usb1="00000000" w:usb2="00000000" w:usb3="00000000" w:csb0="00040001" w:csb1="00000000"/>
  </w:font>
  <w:font w:name="Tahoma">
    <w:panose1 w:val="020B0604030504040204"/>
    <w:charset w:val="00"/>
    <w:family w:val="auto"/>
    <w:pitch w:val="default"/>
    <w:sig w:usb0="E1002EFF" w:usb1="C000605B" w:usb2="00000029" w:usb3="00000000" w:csb0="200101FF" w:csb1="20280000"/>
  </w:font>
  <w:font w:name="KSOFF9CBECC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8B4B9E">
    <w:pPr>
      <w:pStyle w:val="19"/>
      <w:ind w:right="360" w:firstLine="36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FD22A">
    <w:pPr>
      <w:pStyle w:val="19"/>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A0441BB">
                          <w:pPr>
                            <w:pStyle w:val="19"/>
                          </w:pPr>
                          <w:r>
                            <w:fldChar w:fldCharType="begin"/>
                          </w:r>
                          <w:r>
                            <w:instrText xml:space="preserve"> PAGE  \* MERGEFORMAT </w:instrText>
                          </w:r>
                          <w:r>
                            <w:fldChar w:fldCharType="separate"/>
                          </w:r>
                          <w:r>
                            <w:t>80</w:t>
                          </w:r>
                          <w:r>
                            <w:fldChar w:fldCharType="end"/>
                          </w:r>
                        </w:p>
                      </w:txbxContent>
                    </wps:txbx>
                    <wps:bodyPr wrap="none" lIns="0" tIns="0" rIns="0" bIns="0" upright="0">
                      <a:spAutoFit/>
                    </wps:bodyPr>
                  </wps:wsp>
                </a:graphicData>
              </a:graphic>
            </wp:anchor>
          </w:drawing>
        </mc:Choice>
        <mc:Fallback>
          <w:pict>
            <v:shape id="文本框 3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TYEgesoBAACbAwAADgAAAAAAAAABACAAAAAeAQAAZHJzL2Uyb0Rv&#10;Yy54bWxQSwUGAAAAAAYABgBZAQAAWgUAAAAA&#10;">
              <v:fill on="f" focussize="0,0"/>
              <v:stroke on="f"/>
              <v:imagedata o:title=""/>
              <o:lock v:ext="edit" aspectratio="f"/>
              <v:textbox inset="0mm,0mm,0mm,0mm" style="mso-fit-shape-to-text:t;">
                <w:txbxContent>
                  <w:p w14:paraId="4A0441BB">
                    <w:pPr>
                      <w:pStyle w:val="19"/>
                    </w:pPr>
                    <w:r>
                      <w:fldChar w:fldCharType="begin"/>
                    </w:r>
                    <w:r>
                      <w:instrText xml:space="preserve"> PAGE  \* MERGEFORMAT </w:instrText>
                    </w:r>
                    <w:r>
                      <w:fldChar w:fldCharType="separate"/>
                    </w:r>
                    <w:r>
                      <w:t>80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2E91D8">
    <w:pPr>
      <w:pStyle w:val="19"/>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6B850D0">
                          <w:pPr>
                            <w:pStyle w:val="19"/>
                          </w:pPr>
                          <w:r>
                            <w:fldChar w:fldCharType="begin"/>
                          </w:r>
                          <w:r>
                            <w:instrText xml:space="preserve"> PAGE  \* MERGEFORMAT </w:instrText>
                          </w:r>
                          <w:r>
                            <w:fldChar w:fldCharType="separate"/>
                          </w:r>
                          <w:r>
                            <w:t>80</w:t>
                          </w:r>
                          <w:r>
                            <w:fldChar w:fldCharType="end"/>
                          </w:r>
                        </w:p>
                      </w:txbxContent>
                    </wps:txbx>
                    <wps:bodyPr vert="horz" wrap="none" lIns="0" tIns="0" rIns="0" bIns="0" anchor="t" anchorCtr="0" upright="0">
                      <a:spAutoFit/>
                    </wps:bodyPr>
                  </wps:wsp>
                </a:graphicData>
              </a:graphic>
            </wp:anchor>
          </w:drawing>
        </mc:Choice>
        <mc:Fallback>
          <w:pict>
            <v:shape id="文本框 21"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C7EK1R3gEAAMADAAAOAAAAAAAA&#10;AAEAIAAAAB4BAABkcnMvZTJvRG9jLnhtbFBLBQYAAAAABgAGAFkBAABuBQAAAAA=&#10;">
              <v:fill on="f" focussize="0,0"/>
              <v:stroke on="f"/>
              <v:imagedata o:title=""/>
              <o:lock v:ext="edit" aspectratio="f"/>
              <v:textbox inset="0mm,0mm,0mm,0mm" style="mso-fit-shape-to-text:t;">
                <w:txbxContent>
                  <w:p w14:paraId="66B850D0">
                    <w:pPr>
                      <w:pStyle w:val="19"/>
                    </w:pPr>
                    <w:r>
                      <w:fldChar w:fldCharType="begin"/>
                    </w:r>
                    <w:r>
                      <w:instrText xml:space="preserve"> PAGE  \* MERGEFORMAT </w:instrText>
                    </w:r>
                    <w:r>
                      <w:fldChar w:fldCharType="separate"/>
                    </w:r>
                    <w:r>
                      <w:t>80</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E2569E">
    <w:pPr>
      <w:pStyle w:val="19"/>
      <w:ind w:right="360" w:firstLine="36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1512F6">
                          <w:pPr>
                            <w:pStyle w:val="19"/>
                          </w:pPr>
                          <w:r>
                            <w:fldChar w:fldCharType="begin"/>
                          </w:r>
                          <w:r>
                            <w:instrText xml:space="preserve"> PAGE  \* MERGEFORMAT </w:instrText>
                          </w:r>
                          <w:r>
                            <w:fldChar w:fldCharType="separate"/>
                          </w:r>
                          <w:r>
                            <w:t>98</w:t>
                          </w:r>
                          <w:r>
                            <w:fldChar w:fldCharType="end"/>
                          </w:r>
                        </w:p>
                      </w:txbxContent>
                    </wps:txbx>
                    <wps:bodyPr vert="horz" wrap="none" lIns="0" tIns="0" rIns="0" bIns="0" anchor="t" anchorCtr="0" upright="0">
                      <a:spAutoFit/>
                    </wps:bodyPr>
                  </wps:wsp>
                </a:graphicData>
              </a:graphic>
            </wp:anchor>
          </w:drawing>
        </mc:Choice>
        <mc:Fallback>
          <w:pict>
            <v:shape id="文本框 22"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DWSsuN8BAADAAwAADgAAAAAA&#10;AAABACAAAAAeAQAAZHJzL2Uyb0RvYy54bWxQSwUGAAAAAAYABgBZAQAAbwUAAAAA&#10;">
              <v:fill on="f" focussize="0,0"/>
              <v:stroke on="f"/>
              <v:imagedata o:title=""/>
              <o:lock v:ext="edit" aspectratio="f"/>
              <v:textbox inset="0mm,0mm,0mm,0mm" style="mso-fit-shape-to-text:t;">
                <w:txbxContent>
                  <w:p w14:paraId="0D1512F6">
                    <w:pPr>
                      <w:pStyle w:val="19"/>
                    </w:pPr>
                    <w:r>
                      <w:fldChar w:fldCharType="begin"/>
                    </w:r>
                    <w:r>
                      <w:instrText xml:space="preserve"> PAGE  \* MERGEFORMAT </w:instrText>
                    </w:r>
                    <w:r>
                      <w:fldChar w:fldCharType="separate"/>
                    </w:r>
                    <w:r>
                      <w:t>98</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AF0C58">
    <w:pPr>
      <w:pStyle w:val="19"/>
      <w:ind w:right="360" w:firstLine="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2BB22">
    <w:pPr>
      <w:pStyle w:val="19"/>
      <w:ind w:right="360" w:firstLine="36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DA7AF1">
    <w:pPr>
      <w:pStyle w:val="19"/>
      <w:ind w:left="480"/>
      <w:jc w:val="center"/>
    </w:pPr>
  </w:p>
  <w:p w14:paraId="5D242410">
    <w:pPr>
      <w:pStyle w:val="19"/>
      <w:ind w:left="48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1E39A6">
    <w:pPr>
      <w:pStyle w:val="19"/>
      <w:ind w:left="480"/>
      <w:jc w:val="center"/>
    </w:pPr>
  </w:p>
  <w:p w14:paraId="37615E9B">
    <w:pPr>
      <w:pStyle w:val="19"/>
      <w:ind w:left="48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8C176C">
    <w:pPr>
      <w:pStyle w:val="19"/>
      <w:ind w:left="480"/>
      <w:jc w:val="center"/>
    </w:pPr>
  </w:p>
  <w:p w14:paraId="7AAC9C26">
    <w:pPr>
      <w:pStyle w:val="19"/>
      <w:ind w:left="48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14B9B">
    <w:pPr>
      <w:pStyle w:val="19"/>
      <w:ind w:right="360" w:firstLine="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43DEAA">
    <w:pPr>
      <w:pStyle w:val="19"/>
      <w:ind w:right="360" w:firstLine="360"/>
    </w:pPr>
    <w:r>
      <w:rPr>
        <w:sz w:val="18"/>
      </w:rPr>
      <mc:AlternateContent>
        <mc:Choice Requires="wps">
          <w:drawing>
            <wp:anchor distT="0" distB="0" distL="114300" distR="114300" simplePos="0" relativeHeight="251675648" behindDoc="0" locked="0" layoutInCell="1" allowOverlap="1">
              <wp:simplePos x="0" y="0"/>
              <wp:positionH relativeFrom="margin">
                <wp:posOffset>2604135</wp:posOffset>
              </wp:positionH>
              <wp:positionV relativeFrom="paragraph">
                <wp:posOffset>0</wp:posOffset>
              </wp:positionV>
              <wp:extent cx="166370" cy="137795"/>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166370" cy="137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AFDFCD">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05.05pt;margin-top:0pt;height:10.85pt;width:13.1pt;mso-position-horizontal-relative:margin;z-index:251675648;mso-width-relative:page;mso-height-relative:page;" filled="f" stroked="f" coordsize="21600,21600" o:gfxdata="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wklG1gAAAAcBAAAPAAAAAAAAAAEAIAAAACIAAABkcnMvZG93bnJl&#10;di54bWxQSwECFAAUAAAACACHTuJAVOF3bzgCAABlBAAADgAAAAAAAAABACAAAAAlAQAAZHJzL2Uy&#10;b0RvYy54bWxQSwUGAAAAAAYABgBZAQAAzwUAAAAA&#10;">
              <v:fill on="f" focussize="0,0"/>
              <v:stroke on="f" weight="0.5pt"/>
              <v:imagedata o:title=""/>
              <o:lock v:ext="edit" aspectratio="f"/>
              <v:textbox inset="0mm,0mm,0mm,0mm">
                <w:txbxContent>
                  <w:p w14:paraId="27AFDFCD">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8BCFD8">
    <w:pPr>
      <w:pStyle w:val="19"/>
      <w:jc w:val="center"/>
      <w:rPr>
        <w:sz w:val="21"/>
        <w:szCs w:val="21"/>
      </w:rPr>
    </w:pPr>
  </w:p>
  <w:p w14:paraId="49992E6E">
    <w:pPr>
      <w:pStyle w:val="19"/>
      <w:ind w:right="360" w:firstLine="360"/>
      <w:jc w:val="cen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FA38B1">
    <w:pPr>
      <w:pStyle w:val="19"/>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4CD85F">
                          <w:pPr>
                            <w:pStyle w:val="19"/>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N9aMk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31oyTICAABlBAAADgAAAAAAAAABACAAAAAfAQAAZHJzL2Uyb0RvYy54bWxQSwUG&#10;AAAAAAYABgBZAQAAwwUAAAAA&#10;">
              <v:fill on="f" focussize="0,0"/>
              <v:stroke on="f" weight="0.5pt"/>
              <v:imagedata o:title=""/>
              <o:lock v:ext="edit" aspectratio="f"/>
              <v:textbox inset="0mm,0mm,0mm,0mm" style="mso-fit-shape-to-text:t;">
                <w:txbxContent>
                  <w:p w14:paraId="754CD85F">
                    <w:pPr>
                      <w:pStyle w:val="19"/>
                    </w:pPr>
                    <w:r>
                      <w:fldChar w:fldCharType="begin"/>
                    </w:r>
                    <w:r>
                      <w:instrText xml:space="preserve"> PAGE  \* MERGEFORMAT </w:instrText>
                    </w:r>
                    <w:r>
                      <w:fldChar w:fldCharType="separate"/>
                    </w:r>
                    <w:r>
                      <w:t>10</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EE0AB1">
    <w:pPr>
      <w:pStyle w:val="19"/>
      <w:rPr>
        <w:lang w:eastAsia="en-US"/>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167D9C">
                          <w:pPr>
                            <w:pStyle w:val="19"/>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urc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urczAgAAZQQAAA4AAAAAAAAAAQAgAAAAHwEAAGRycy9lMm9Eb2MueG1sUEsF&#10;BgAAAAAGAAYAWQEAAMQFAAAAAA==&#10;">
              <v:fill on="f" focussize="0,0"/>
              <v:stroke on="f" weight="0.5pt"/>
              <v:imagedata o:title=""/>
              <o:lock v:ext="edit" aspectratio="f"/>
              <v:textbox inset="0mm,0mm,0mm,0mm" style="mso-fit-shape-to-text:t;">
                <w:txbxContent>
                  <w:p w14:paraId="2D167D9C">
                    <w:pPr>
                      <w:pStyle w:val="19"/>
                    </w:pPr>
                    <w:r>
                      <w:fldChar w:fldCharType="begin"/>
                    </w:r>
                    <w:r>
                      <w:instrText xml:space="preserve"> PAGE  \* MERGEFORMAT </w:instrText>
                    </w:r>
                    <w:r>
                      <w:fldChar w:fldCharType="separate"/>
                    </w:r>
                    <w:r>
                      <w:t>28</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BE6FC2">
    <w:pPr>
      <w:widowControl/>
      <w:kinsoku w:val="0"/>
      <w:autoSpaceDE w:val="0"/>
      <w:autoSpaceDN w:val="0"/>
      <w:adjustRightInd w:val="0"/>
      <w:snapToGrid w:val="0"/>
      <w:spacing w:line="176" w:lineRule="auto"/>
      <w:ind w:left="4052"/>
      <w:jc w:val="left"/>
      <w:textAlignment w:val="baseline"/>
      <w:rPr>
        <w:rFonts w:ascii="Times New Roman" w:hAnsi="Times New Roman" w:eastAsia="Times New Roman" w:cs="Times New Roman"/>
        <w:snapToGrid w:val="0"/>
        <w:color w:val="000000"/>
        <w:kern w:val="0"/>
        <w:sz w:val="18"/>
        <w:szCs w:val="18"/>
        <w:lang w:eastAsia="en-US"/>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4F8541">
                          <w:pPr>
                            <w:pStyle w:val="19"/>
                          </w:pPr>
                          <w:r>
                            <w:fldChar w:fldCharType="begin"/>
                          </w:r>
                          <w:r>
                            <w:instrText xml:space="preserve"> PAGE  \* MERGEFORMAT </w:instrText>
                          </w:r>
                          <w:r>
                            <w:fldChar w:fldCharType="separate"/>
                          </w:r>
                          <w:r>
                            <w:t>36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DJCs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5os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QDJCszAgAAZQQAAA4AAAAAAAAAAQAgAAAAHwEAAGRycy9lMm9Eb2MueG1sUEsF&#10;BgAAAAAGAAYAWQEAAMQFAAAAAA==&#10;">
              <v:fill on="f" focussize="0,0"/>
              <v:stroke on="f" weight="0.5pt"/>
              <v:imagedata o:title=""/>
              <o:lock v:ext="edit" aspectratio="f"/>
              <v:textbox inset="0mm,0mm,0mm,0mm" style="mso-fit-shape-to-text:t;">
                <w:txbxContent>
                  <w:p w14:paraId="054F8541">
                    <w:pPr>
                      <w:pStyle w:val="19"/>
                    </w:pPr>
                    <w:r>
                      <w:fldChar w:fldCharType="begin"/>
                    </w:r>
                    <w:r>
                      <w:instrText xml:space="preserve"> PAGE  \* MERGEFORMAT </w:instrText>
                    </w:r>
                    <w:r>
                      <w:fldChar w:fldCharType="separate"/>
                    </w:r>
                    <w:r>
                      <w:t>36</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247BD6">
    <w:pPr>
      <w:pStyle w:val="19"/>
      <w:rPr>
        <w:lang w:eastAsia="en-US"/>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35C806">
                          <w:pPr>
                            <w:pStyle w:val="19"/>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6H0o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nOh9KNAIAAGUEAAAOAAAAAAAAAAEAIAAAAB8BAABkcnMvZTJvRG9jLnhtbFBL&#10;BQYAAAAABgAGAFkBAADFBQAAAAA=&#10;">
              <v:fill on="f" focussize="0,0"/>
              <v:stroke on="f" weight="0.5pt"/>
              <v:imagedata o:title=""/>
              <o:lock v:ext="edit" aspectratio="f"/>
              <v:textbox inset="0mm,0mm,0mm,0mm" style="mso-fit-shape-to-text:t;">
                <w:txbxContent>
                  <w:p w14:paraId="0435C806">
                    <w:pPr>
                      <w:pStyle w:val="19"/>
                    </w:pPr>
                    <w:r>
                      <w:fldChar w:fldCharType="begin"/>
                    </w:r>
                    <w:r>
                      <w:instrText xml:space="preserve"> PAGE  \* MERGEFORMAT </w:instrText>
                    </w:r>
                    <w:r>
                      <w:fldChar w:fldCharType="separate"/>
                    </w:r>
                    <w:r>
                      <w:t>44</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1DBC39">
    <w:pPr>
      <w:pStyle w:val="19"/>
      <w:rPr>
        <w:lang w:eastAsia="en-US"/>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993109">
                          <w:pPr>
                            <w:pStyle w:val="19"/>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yGgdY0AgAAZ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hoHWNAIAAGUEAAAOAAAAAAAAAAEAIAAAAB8BAABkcnMvZTJvRG9jLnhtbFBL&#10;BQYAAAAABgAGAFkBAADFBQAAAAA=&#10;">
              <v:fill on="f" focussize="0,0"/>
              <v:stroke on="f" weight="0.5pt"/>
              <v:imagedata o:title=""/>
              <o:lock v:ext="edit" aspectratio="f"/>
              <v:textbox inset="0mm,0mm,0mm,0mm" style="mso-fit-shape-to-text:t;">
                <w:txbxContent>
                  <w:p w14:paraId="6A993109">
                    <w:pPr>
                      <w:pStyle w:val="19"/>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209EC7">
    <w:pPr>
      <w:widowControl/>
      <w:kinsoku w:val="0"/>
      <w:autoSpaceDE w:val="0"/>
      <w:autoSpaceDN w:val="0"/>
      <w:adjustRightInd w:val="0"/>
      <w:snapToGrid w:val="0"/>
      <w:spacing w:line="176" w:lineRule="auto"/>
      <w:ind w:left="4052"/>
      <w:jc w:val="left"/>
      <w:textAlignment w:val="baseline"/>
      <w:rPr>
        <w:rFonts w:ascii="Times New Roman" w:hAnsi="Times New Roman" w:eastAsia="Times New Roman" w:cs="Times New Roman"/>
        <w:snapToGrid w:val="0"/>
        <w:color w:val="000000"/>
        <w:kern w:val="0"/>
        <w:sz w:val="18"/>
        <w:szCs w:val="18"/>
        <w:lang w:eastAsia="en-US"/>
      </w:rP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402371">
                          <w:pPr>
                            <w:pStyle w:val="19"/>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BEU6gzAgAAZ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BEU6gzAgAAZQQAAA4AAAAAAAAAAQAgAAAAHwEAAGRycy9lMm9Eb2MueG1sUEsF&#10;BgAAAAAGAAYAWQEAAMQFAAAAAA==&#10;">
              <v:fill on="f" focussize="0,0"/>
              <v:stroke on="f" weight="0.5pt"/>
              <v:imagedata o:title=""/>
              <o:lock v:ext="edit" aspectratio="f"/>
              <v:textbox inset="0mm,0mm,0mm,0mm" style="mso-fit-shape-to-text:t;">
                <w:txbxContent>
                  <w:p w14:paraId="6A402371">
                    <w:pPr>
                      <w:pStyle w:val="19"/>
                    </w:pPr>
                    <w:r>
                      <w:fldChar w:fldCharType="begin"/>
                    </w:r>
                    <w:r>
                      <w:instrText xml:space="preserve"> PAGE  \* MERGEFORMAT </w:instrText>
                    </w:r>
                    <w:r>
                      <w:fldChar w:fldCharType="separate"/>
                    </w:r>
                    <w:r>
                      <w:t>47</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72176C">
    <w:pPr>
      <w:pStyle w:val="19"/>
      <w:rPr>
        <w:lang w:eastAsia="en-US"/>
      </w:rP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C63BE0">
                          <w:pPr>
                            <w:pStyle w:val="19"/>
                          </w:pPr>
                          <w:r>
                            <w:fldChar w:fldCharType="begin"/>
                          </w:r>
                          <w:r>
                            <w:instrText xml:space="preserve"> PAGE  \* MERGEFORMAT </w:instrText>
                          </w:r>
                          <w:r>
                            <w:fldChar w:fldCharType="separate"/>
                          </w:r>
                          <w:r>
                            <w:t>48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v4zTQ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b+M00NAIAAGUEAAAOAAAAAAAAAAEAIAAAAB8BAABkcnMvZTJvRG9jLnhtbFBL&#10;BQYAAAAABgAGAFkBAADFBQAAAAA=&#10;">
              <v:fill on="f" focussize="0,0"/>
              <v:stroke on="f" weight="0.5pt"/>
              <v:imagedata o:title=""/>
              <o:lock v:ext="edit" aspectratio="f"/>
              <v:textbox inset="0mm,0mm,0mm,0mm" style="mso-fit-shape-to-text:t;">
                <w:txbxContent>
                  <w:p w14:paraId="1EC63BE0">
                    <w:pPr>
                      <w:pStyle w:val="19"/>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9F8C1C">
    <w:pPr>
      <w:pStyle w:val="19"/>
      <w:rPr>
        <w:lang w:eastAsia="en-US"/>
      </w:rP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2C6B49">
                          <w:pPr>
                            <w:pStyle w:val="19"/>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3JWo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g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jclajICAABlBAAADgAAAAAAAAABACAAAAAfAQAAZHJzL2Uyb0RvYy54bWxQSwUG&#10;AAAAAAYABgBZAQAAwwUAAAAA&#10;">
              <v:fill on="f" focussize="0,0"/>
              <v:stroke on="f" weight="0.5pt"/>
              <v:imagedata o:title=""/>
              <o:lock v:ext="edit" aspectratio="f"/>
              <v:textbox inset="0mm,0mm,0mm,0mm" style="mso-fit-shape-to-text:t;">
                <w:txbxContent>
                  <w:p w14:paraId="752C6B49">
                    <w:pPr>
                      <w:pStyle w:val="19"/>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9D9881">
    <w:pPr>
      <w:pStyle w:val="19"/>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417402">
                          <w:pPr>
                            <w:pStyle w:val="19"/>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2Lu/Y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9i7v2NAIAAGUEAAAOAAAAAAAAAAEAIAAAAB8BAABkcnMvZTJvRG9jLnhtbFBL&#10;BQYAAAAABgAGAFkBAADFBQAAAAA=&#10;">
              <v:fill on="f" focussize="0,0"/>
              <v:stroke on="f" weight="0.5pt"/>
              <v:imagedata o:title=""/>
              <o:lock v:ext="edit" aspectratio="f"/>
              <v:textbox inset="0mm,0mm,0mm,0mm" style="mso-fit-shape-to-text:t;">
                <w:txbxContent>
                  <w:p w14:paraId="09417402">
                    <w:pPr>
                      <w:pStyle w:val="19"/>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B1B359">
    <w:pPr>
      <w:pStyle w:val="19"/>
      <w:jc w:val="center"/>
    </w:pPr>
    <w:r>
      <w:rPr>
        <w:sz w:val="2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7816155">
                          <w:pPr>
                            <w:pStyle w:val="19"/>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18</w:t>
                          </w:r>
                          <w:r>
                            <w:rPr>
                              <w:sz w:val="21"/>
                              <w:szCs w:val="21"/>
                            </w:rPr>
                            <w:fldChar w:fldCharType="end"/>
                          </w:r>
                        </w:p>
                      </w:txbxContent>
                    </wps:txbx>
                    <wps:bodyPr vert="horz" wrap="none" lIns="0" tIns="0" rIns="0" bIns="0" anchor="t" anchorCtr="0" upright="0">
                      <a:spAutoFit/>
                    </wps:bodyPr>
                  </wps:wsp>
                </a:graphicData>
              </a:graphic>
            </wp:anchor>
          </w:drawing>
        </mc:Choice>
        <mc:Fallback>
          <w:pict>
            <v:shape id="文本框 1025"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v2dMD4QEAAMIDAAAOAAAA&#10;AAAAAAEAIAAAAB4BAABkcnMvZTJvRG9jLnhtbFBLBQYAAAAABgAGAFkBAABxBQAAAAA=&#10;">
              <v:fill on="f" focussize="0,0"/>
              <v:stroke on="f"/>
              <v:imagedata o:title=""/>
              <o:lock v:ext="edit" aspectratio="f"/>
              <v:textbox inset="0mm,0mm,0mm,0mm" style="mso-fit-shape-to-text:t;">
                <w:txbxContent>
                  <w:p w14:paraId="67816155">
                    <w:pPr>
                      <w:pStyle w:val="19"/>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18</w:t>
                    </w:r>
                    <w:r>
                      <w:rPr>
                        <w:sz w:val="21"/>
                        <w:szCs w:val="21"/>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F503A1">
    <w:pPr>
      <w:pStyle w:val="1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BFC2A8F">
                          <w:pPr>
                            <w:pStyle w:val="19"/>
                          </w:pPr>
                          <w:r>
                            <w:fldChar w:fldCharType="begin"/>
                          </w:r>
                          <w:r>
                            <w:instrText xml:space="preserve"> PAGE  \* MERGEFORMAT </w:instrText>
                          </w:r>
                          <w:r>
                            <w:fldChar w:fldCharType="separate"/>
                          </w:r>
                          <w:r>
                            <w:t>6</w:t>
                          </w:r>
                          <w:r>
                            <w:fldChar w:fldCharType="end"/>
                          </w:r>
                        </w:p>
                      </w:txbxContent>
                    </wps:txbx>
                    <wps:bodyPr vert="horz" wrap="none" lIns="0" tIns="0" rIns="0" bIns="0" anchor="t" anchorCtr="0" upright="0">
                      <a:spAutoFit/>
                    </wps:bodyPr>
                  </wps:wsp>
                </a:graphicData>
              </a:graphic>
            </wp:anchor>
          </w:drawing>
        </mc:Choice>
        <mc:Fallback>
          <w:pict>
            <v:shape id="文本框 1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BkOOpQ3gEAAMADAAAOAAAAAAAA&#10;AAEAIAAAAB4BAABkcnMvZTJvRG9jLnhtbFBLBQYAAAAABgAGAFkBAABuBQAAAAA=&#10;">
              <v:fill on="f" focussize="0,0"/>
              <v:stroke on="f"/>
              <v:imagedata o:title=""/>
              <o:lock v:ext="edit" aspectratio="f"/>
              <v:textbox inset="0mm,0mm,0mm,0mm" style="mso-fit-shape-to-text:t;">
                <w:txbxContent>
                  <w:p w14:paraId="4BFC2A8F">
                    <w:pPr>
                      <w:pStyle w:val="19"/>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2B0695">
    <w:pPr>
      <w:pStyle w:val="19"/>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BD2D8D2">
                          <w:pPr>
                            <w:pStyle w:val="19"/>
                            <w:rPr>
                              <w:rStyle w:val="34"/>
                              <w:rFonts w:ascii="宋体" w:hAnsi="宋体"/>
                              <w:sz w:val="28"/>
                              <w:szCs w:val="28"/>
                            </w:rPr>
                          </w:pPr>
                          <w:r>
                            <w:rPr>
                              <w:rStyle w:val="34"/>
                              <w:sz w:val="21"/>
                              <w:szCs w:val="21"/>
                            </w:rPr>
                            <w:t xml:space="preserve">—  </w:t>
                          </w:r>
                          <w:r>
                            <w:rPr>
                              <w:sz w:val="21"/>
                              <w:szCs w:val="21"/>
                            </w:rPr>
                            <w:fldChar w:fldCharType="begin"/>
                          </w:r>
                          <w:r>
                            <w:rPr>
                              <w:rStyle w:val="34"/>
                              <w:sz w:val="21"/>
                              <w:szCs w:val="21"/>
                            </w:rPr>
                            <w:instrText xml:space="preserve">PAGE  </w:instrText>
                          </w:r>
                          <w:r>
                            <w:rPr>
                              <w:sz w:val="21"/>
                              <w:szCs w:val="21"/>
                            </w:rPr>
                            <w:fldChar w:fldCharType="separate"/>
                          </w:r>
                          <w:r>
                            <w:rPr>
                              <w:rStyle w:val="34"/>
                              <w:sz w:val="21"/>
                              <w:szCs w:val="21"/>
                            </w:rPr>
                            <w:t>75</w:t>
                          </w:r>
                          <w:r>
                            <w:rPr>
                              <w:sz w:val="21"/>
                              <w:szCs w:val="21"/>
                            </w:rPr>
                            <w:fldChar w:fldCharType="end"/>
                          </w:r>
                          <w:r>
                            <w:rPr>
                              <w:rStyle w:val="34"/>
                              <w:sz w:val="21"/>
                              <w:szCs w:val="21"/>
                            </w:rPr>
                            <w:t xml:space="preserve">  —</w:t>
                          </w:r>
                        </w:p>
                      </w:txbxContent>
                    </wps:txbx>
                    <wps:bodyPr vert="horz" wrap="none" lIns="0" tIns="0" rIns="0" bIns="0" anchor="t" anchorCtr="0" upright="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AjHO33gAQAAwgMAAA4AAAAA&#10;AAAAAQAgAAAAHgEAAGRycy9lMm9Eb2MueG1sUEsFBgAAAAAGAAYAWQEAAHAFAAAAAA==&#10;">
              <v:fill on="f" focussize="0,0"/>
              <v:stroke on="f"/>
              <v:imagedata o:title=""/>
              <o:lock v:ext="edit" aspectratio="f"/>
              <v:textbox inset="0mm,0mm,0mm,0mm" style="mso-fit-shape-to-text:t;">
                <w:txbxContent>
                  <w:p w14:paraId="1BD2D8D2">
                    <w:pPr>
                      <w:pStyle w:val="19"/>
                      <w:rPr>
                        <w:rStyle w:val="34"/>
                        <w:rFonts w:ascii="宋体" w:hAnsi="宋体"/>
                        <w:sz w:val="28"/>
                        <w:szCs w:val="28"/>
                      </w:rPr>
                    </w:pPr>
                    <w:r>
                      <w:rPr>
                        <w:rStyle w:val="34"/>
                        <w:sz w:val="21"/>
                        <w:szCs w:val="21"/>
                      </w:rPr>
                      <w:t xml:space="preserve">—  </w:t>
                    </w:r>
                    <w:r>
                      <w:rPr>
                        <w:sz w:val="21"/>
                        <w:szCs w:val="21"/>
                      </w:rPr>
                      <w:fldChar w:fldCharType="begin"/>
                    </w:r>
                    <w:r>
                      <w:rPr>
                        <w:rStyle w:val="34"/>
                        <w:sz w:val="21"/>
                        <w:szCs w:val="21"/>
                      </w:rPr>
                      <w:instrText xml:space="preserve">PAGE  </w:instrText>
                    </w:r>
                    <w:r>
                      <w:rPr>
                        <w:sz w:val="21"/>
                        <w:szCs w:val="21"/>
                      </w:rPr>
                      <w:fldChar w:fldCharType="separate"/>
                    </w:r>
                    <w:r>
                      <w:rPr>
                        <w:rStyle w:val="34"/>
                        <w:sz w:val="21"/>
                        <w:szCs w:val="21"/>
                      </w:rPr>
                      <w:t>75</w:t>
                    </w:r>
                    <w:r>
                      <w:rPr>
                        <w:sz w:val="21"/>
                        <w:szCs w:val="21"/>
                      </w:rPr>
                      <w:fldChar w:fldCharType="end"/>
                    </w:r>
                    <w:r>
                      <w:rPr>
                        <w:rStyle w:val="34"/>
                        <w:sz w:val="21"/>
                        <w:szCs w:val="21"/>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0FFA6B">
    <w:pPr>
      <w:pStyle w:val="19"/>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0401D">
    <w:pPr>
      <w:pStyle w:val="19"/>
      <w:ind w:right="360" w:firstLine="360"/>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43B35F"/>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ZRm0zAgAAZQQAAA4AAAAAAAAAAQAgAAAAHwEAAGRycy9lMm9Eb2MueG1sUEsF&#10;BgAAAAAGAAYAWQEAAMQFAAAAAA==&#10;">
              <v:fill on="f" focussize="0,0"/>
              <v:stroke on="f" weight="0.5pt"/>
              <v:imagedata o:title=""/>
              <o:lock v:ext="edit" aspectratio="f"/>
              <v:textbox inset="0mm,0mm,0mm,0mm" style="mso-fit-shape-to-text:t;">
                <w:txbxContent>
                  <w:p w14:paraId="4B43B35F"/>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169BB1"/>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F212F2">
    <w:pPr>
      <w:pStyle w:val="19"/>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2C59E0">
    <w:pPr>
      <w:pStyle w:val="2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B42624">
    <w:pPr>
      <w:pStyle w:val="2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A64F2A"/>
    <w:multiLevelType w:val="singleLevel"/>
    <w:tmpl w:val="86A64F2A"/>
    <w:lvl w:ilvl="0" w:tentative="0">
      <w:start w:val="1"/>
      <w:numFmt w:val="decimal"/>
      <w:suff w:val="nothing"/>
      <w:lvlText w:val="%1）"/>
      <w:lvlJc w:val="left"/>
    </w:lvl>
  </w:abstractNum>
  <w:abstractNum w:abstractNumId="1">
    <w:nsid w:val="DC6E53DB"/>
    <w:multiLevelType w:val="singleLevel"/>
    <w:tmpl w:val="DC6E53DB"/>
    <w:lvl w:ilvl="0" w:tentative="0">
      <w:start w:val="1"/>
      <w:numFmt w:val="decimal"/>
      <w:suff w:val="nothing"/>
      <w:lvlText w:val="%1）"/>
      <w:lvlJc w:val="left"/>
    </w:lvl>
  </w:abstractNum>
  <w:abstractNum w:abstractNumId="2">
    <w:nsid w:val="FBBCBEB8"/>
    <w:multiLevelType w:val="singleLevel"/>
    <w:tmpl w:val="FBBCBEB8"/>
    <w:lvl w:ilvl="0" w:tentative="0">
      <w:start w:val="8"/>
      <w:numFmt w:val="decimal"/>
      <w:suff w:val="nothing"/>
      <w:lvlText w:val="%1）"/>
      <w:lvlJc w:val="left"/>
    </w:lvl>
  </w:abstractNum>
  <w:abstractNum w:abstractNumId="3">
    <w:nsid w:val="2AF22858"/>
    <w:multiLevelType w:val="multilevel"/>
    <w:tmpl w:val="2AF22858"/>
    <w:lvl w:ilvl="0" w:tentative="0">
      <w:start w:val="1"/>
      <w:numFmt w:val="decimal"/>
      <w:lvlText w:val="%1."/>
      <w:lvlJc w:val="left"/>
      <w:pPr>
        <w:tabs>
          <w:tab w:val="left" w:pos="625"/>
        </w:tabs>
        <w:ind w:left="625" w:hanging="425"/>
      </w:pPr>
      <w:rPr>
        <w:rFonts w:hint="eastAsia"/>
      </w:rPr>
    </w:lvl>
    <w:lvl w:ilvl="1" w:tentative="0">
      <w:start w:val="1"/>
      <w:numFmt w:val="decimal"/>
      <w:lvlText w:val="%1.%2."/>
      <w:lvlJc w:val="left"/>
      <w:pPr>
        <w:tabs>
          <w:tab w:val="left" w:pos="927"/>
        </w:tabs>
        <w:ind w:left="927" w:hanging="567"/>
      </w:pPr>
      <w:rPr>
        <w:rFonts w:hint="eastAsia"/>
      </w:rPr>
    </w:lvl>
    <w:lvl w:ilvl="2" w:tentative="0">
      <w:start w:val="1"/>
      <w:numFmt w:val="decimal"/>
      <w:pStyle w:val="4"/>
      <w:lvlText w:val="%1.%2.%3."/>
      <w:lvlJc w:val="left"/>
      <w:pPr>
        <w:tabs>
          <w:tab w:val="left" w:pos="709"/>
        </w:tabs>
        <w:ind w:left="709" w:hanging="709"/>
      </w:pPr>
      <w:rPr>
        <w:rFonts w:hint="eastAsia"/>
      </w:rPr>
    </w:lvl>
    <w:lvl w:ilvl="3" w:tentative="0">
      <w:start w:val="1"/>
      <w:numFmt w:val="decimal"/>
      <w:lvlText w:val="%1.%2.%3.%4."/>
      <w:lvlJc w:val="left"/>
      <w:pPr>
        <w:tabs>
          <w:tab w:val="left" w:pos="1051"/>
        </w:tabs>
        <w:ind w:left="1051" w:hanging="851"/>
      </w:pPr>
      <w:rPr>
        <w:rFonts w:hint="eastAsia"/>
      </w:rPr>
    </w:lvl>
    <w:lvl w:ilvl="4" w:tentative="0">
      <w:start w:val="1"/>
      <w:numFmt w:val="decimal"/>
      <w:lvlText w:val="%1.%2.%3.%4.%5."/>
      <w:lvlJc w:val="left"/>
      <w:pPr>
        <w:tabs>
          <w:tab w:val="left" w:pos="1192"/>
        </w:tabs>
        <w:ind w:left="1192" w:hanging="992"/>
      </w:pPr>
      <w:rPr>
        <w:rFonts w:hint="eastAsia"/>
      </w:rPr>
    </w:lvl>
    <w:lvl w:ilvl="5" w:tentative="0">
      <w:start w:val="1"/>
      <w:numFmt w:val="decimal"/>
      <w:lvlText w:val="%1.%2.%3.%4.%5.%6."/>
      <w:lvlJc w:val="left"/>
      <w:pPr>
        <w:tabs>
          <w:tab w:val="left" w:pos="1334"/>
        </w:tabs>
        <w:ind w:left="1334" w:hanging="1134"/>
      </w:pPr>
      <w:rPr>
        <w:rFonts w:hint="eastAsia"/>
      </w:rPr>
    </w:lvl>
    <w:lvl w:ilvl="6" w:tentative="0">
      <w:start w:val="1"/>
      <w:numFmt w:val="decimal"/>
      <w:lvlText w:val="%1.%2.%3.%4.%5.%6.%7."/>
      <w:lvlJc w:val="left"/>
      <w:pPr>
        <w:tabs>
          <w:tab w:val="left" w:pos="1476"/>
        </w:tabs>
        <w:ind w:left="1476" w:hanging="1276"/>
      </w:pPr>
      <w:rPr>
        <w:rFonts w:hint="eastAsia"/>
      </w:rPr>
    </w:lvl>
    <w:lvl w:ilvl="7" w:tentative="0">
      <w:start w:val="1"/>
      <w:numFmt w:val="decimal"/>
      <w:lvlText w:val="%1.%2.%3.%4.%5.%6.%7.%8."/>
      <w:lvlJc w:val="left"/>
      <w:pPr>
        <w:tabs>
          <w:tab w:val="left" w:pos="1618"/>
        </w:tabs>
        <w:ind w:left="1618" w:hanging="1418"/>
      </w:pPr>
      <w:rPr>
        <w:rFonts w:hint="eastAsia"/>
      </w:rPr>
    </w:lvl>
    <w:lvl w:ilvl="8" w:tentative="0">
      <w:start w:val="1"/>
      <w:numFmt w:val="decimal"/>
      <w:lvlText w:val="%1.%2.%3.%4.%5.%6.%7.%8.%9."/>
      <w:lvlJc w:val="left"/>
      <w:pPr>
        <w:tabs>
          <w:tab w:val="left" w:pos="1759"/>
        </w:tabs>
        <w:ind w:left="1759" w:hanging="1559"/>
      </w:pPr>
      <w:rPr>
        <w:rFonts w:hint="eastAsia"/>
      </w:rPr>
    </w:lvl>
  </w:abstractNum>
  <w:abstractNum w:abstractNumId="4">
    <w:nsid w:val="5FAAF2D2"/>
    <w:multiLevelType w:val="singleLevel"/>
    <w:tmpl w:val="5FAAF2D2"/>
    <w:lvl w:ilvl="0" w:tentative="0">
      <w:start w:val="1"/>
      <w:numFmt w:val="bullet"/>
      <w:pStyle w:val="16"/>
      <w:lvlText w:val=""/>
      <w:lvlJc w:val="left"/>
      <w:pPr>
        <w:tabs>
          <w:tab w:val="left" w:pos="2040"/>
        </w:tabs>
        <w:ind w:left="2040" w:hanging="360"/>
      </w:pPr>
      <w:rPr>
        <w:rFonts w:hint="default" w:ascii="Wingdings" w:hAnsi="Wingdings"/>
      </w:rPr>
    </w:lvl>
  </w:abstractNum>
  <w:num w:numId="1">
    <w:abstractNumId w:val="3"/>
  </w:num>
  <w:num w:numId="2">
    <w:abstractNumId w:val="4"/>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AxYTFkYzNkYjY4MDUxNjFhMzdkMTBjNWNmZDlhNDEifQ=="/>
  </w:docVars>
  <w:rsids>
    <w:rsidRoot w:val="00172A27"/>
    <w:rsid w:val="0000033B"/>
    <w:rsid w:val="0000093B"/>
    <w:rsid w:val="00000C10"/>
    <w:rsid w:val="00000CFF"/>
    <w:rsid w:val="00000F60"/>
    <w:rsid w:val="00000FFE"/>
    <w:rsid w:val="00001619"/>
    <w:rsid w:val="00001CED"/>
    <w:rsid w:val="00001E67"/>
    <w:rsid w:val="000020AC"/>
    <w:rsid w:val="00002F08"/>
    <w:rsid w:val="00003CD8"/>
    <w:rsid w:val="00004609"/>
    <w:rsid w:val="00005DFC"/>
    <w:rsid w:val="0000667E"/>
    <w:rsid w:val="00007049"/>
    <w:rsid w:val="000076E1"/>
    <w:rsid w:val="00012DD9"/>
    <w:rsid w:val="00014965"/>
    <w:rsid w:val="0001523A"/>
    <w:rsid w:val="00015A0E"/>
    <w:rsid w:val="0001692E"/>
    <w:rsid w:val="00016ECB"/>
    <w:rsid w:val="00017C2B"/>
    <w:rsid w:val="00020930"/>
    <w:rsid w:val="00023CA9"/>
    <w:rsid w:val="000248EB"/>
    <w:rsid w:val="0002565C"/>
    <w:rsid w:val="0002622C"/>
    <w:rsid w:val="000269F6"/>
    <w:rsid w:val="00030087"/>
    <w:rsid w:val="00030331"/>
    <w:rsid w:val="000307E0"/>
    <w:rsid w:val="00031939"/>
    <w:rsid w:val="00032381"/>
    <w:rsid w:val="00032D25"/>
    <w:rsid w:val="000346C6"/>
    <w:rsid w:val="000362CA"/>
    <w:rsid w:val="00040301"/>
    <w:rsid w:val="00040FD3"/>
    <w:rsid w:val="00041276"/>
    <w:rsid w:val="00041B82"/>
    <w:rsid w:val="00042100"/>
    <w:rsid w:val="0004257B"/>
    <w:rsid w:val="000449D3"/>
    <w:rsid w:val="00044A4F"/>
    <w:rsid w:val="00044B8D"/>
    <w:rsid w:val="000456F8"/>
    <w:rsid w:val="00045EF8"/>
    <w:rsid w:val="00045F53"/>
    <w:rsid w:val="000468E3"/>
    <w:rsid w:val="0004767C"/>
    <w:rsid w:val="000478AD"/>
    <w:rsid w:val="0005089B"/>
    <w:rsid w:val="00050DFC"/>
    <w:rsid w:val="00051135"/>
    <w:rsid w:val="0005219D"/>
    <w:rsid w:val="000529BB"/>
    <w:rsid w:val="00053676"/>
    <w:rsid w:val="00054860"/>
    <w:rsid w:val="0005530F"/>
    <w:rsid w:val="0005568F"/>
    <w:rsid w:val="00055935"/>
    <w:rsid w:val="00055C2D"/>
    <w:rsid w:val="00056094"/>
    <w:rsid w:val="000576CA"/>
    <w:rsid w:val="0006153D"/>
    <w:rsid w:val="00061B1F"/>
    <w:rsid w:val="0006220D"/>
    <w:rsid w:val="00062727"/>
    <w:rsid w:val="00062AF9"/>
    <w:rsid w:val="000637EB"/>
    <w:rsid w:val="00063BF6"/>
    <w:rsid w:val="00065467"/>
    <w:rsid w:val="00065EED"/>
    <w:rsid w:val="000664DB"/>
    <w:rsid w:val="000667B3"/>
    <w:rsid w:val="00067759"/>
    <w:rsid w:val="00067A74"/>
    <w:rsid w:val="000700BD"/>
    <w:rsid w:val="0007057D"/>
    <w:rsid w:val="00071016"/>
    <w:rsid w:val="0007127D"/>
    <w:rsid w:val="000717CB"/>
    <w:rsid w:val="00071AE5"/>
    <w:rsid w:val="00071F58"/>
    <w:rsid w:val="000726A6"/>
    <w:rsid w:val="000727AE"/>
    <w:rsid w:val="00074783"/>
    <w:rsid w:val="00075090"/>
    <w:rsid w:val="0007590E"/>
    <w:rsid w:val="000761D4"/>
    <w:rsid w:val="00077330"/>
    <w:rsid w:val="00080186"/>
    <w:rsid w:val="000801E0"/>
    <w:rsid w:val="00080580"/>
    <w:rsid w:val="00080E87"/>
    <w:rsid w:val="00080F1D"/>
    <w:rsid w:val="00082A29"/>
    <w:rsid w:val="00083071"/>
    <w:rsid w:val="0008331D"/>
    <w:rsid w:val="00083B73"/>
    <w:rsid w:val="00083C18"/>
    <w:rsid w:val="00084186"/>
    <w:rsid w:val="00084438"/>
    <w:rsid w:val="0008460D"/>
    <w:rsid w:val="00085C08"/>
    <w:rsid w:val="0008607E"/>
    <w:rsid w:val="000902EA"/>
    <w:rsid w:val="00090989"/>
    <w:rsid w:val="00090CAA"/>
    <w:rsid w:val="00091253"/>
    <w:rsid w:val="000922F1"/>
    <w:rsid w:val="00092899"/>
    <w:rsid w:val="00092E0C"/>
    <w:rsid w:val="00093841"/>
    <w:rsid w:val="00094283"/>
    <w:rsid w:val="000945AC"/>
    <w:rsid w:val="00094782"/>
    <w:rsid w:val="0009524E"/>
    <w:rsid w:val="00095288"/>
    <w:rsid w:val="00096F25"/>
    <w:rsid w:val="00096F6C"/>
    <w:rsid w:val="000975EB"/>
    <w:rsid w:val="00097CF2"/>
    <w:rsid w:val="000A0254"/>
    <w:rsid w:val="000A071C"/>
    <w:rsid w:val="000A15F4"/>
    <w:rsid w:val="000A178E"/>
    <w:rsid w:val="000A205E"/>
    <w:rsid w:val="000A3660"/>
    <w:rsid w:val="000A5224"/>
    <w:rsid w:val="000A557E"/>
    <w:rsid w:val="000A579F"/>
    <w:rsid w:val="000A6F5C"/>
    <w:rsid w:val="000A7778"/>
    <w:rsid w:val="000B01F4"/>
    <w:rsid w:val="000B058F"/>
    <w:rsid w:val="000B2CC3"/>
    <w:rsid w:val="000B50AF"/>
    <w:rsid w:val="000B693F"/>
    <w:rsid w:val="000C09AC"/>
    <w:rsid w:val="000C0A63"/>
    <w:rsid w:val="000C0DBD"/>
    <w:rsid w:val="000C1EA9"/>
    <w:rsid w:val="000C2891"/>
    <w:rsid w:val="000C3621"/>
    <w:rsid w:val="000C3D26"/>
    <w:rsid w:val="000C3DB7"/>
    <w:rsid w:val="000C4290"/>
    <w:rsid w:val="000C437E"/>
    <w:rsid w:val="000C4D5C"/>
    <w:rsid w:val="000C4EF5"/>
    <w:rsid w:val="000C5163"/>
    <w:rsid w:val="000C51ED"/>
    <w:rsid w:val="000C66B3"/>
    <w:rsid w:val="000C6833"/>
    <w:rsid w:val="000D3493"/>
    <w:rsid w:val="000D41F7"/>
    <w:rsid w:val="000D5375"/>
    <w:rsid w:val="000D5A28"/>
    <w:rsid w:val="000D5C34"/>
    <w:rsid w:val="000D635C"/>
    <w:rsid w:val="000D6EE0"/>
    <w:rsid w:val="000E0CE3"/>
    <w:rsid w:val="000E0E30"/>
    <w:rsid w:val="000E18EB"/>
    <w:rsid w:val="000E19F0"/>
    <w:rsid w:val="000E356C"/>
    <w:rsid w:val="000E3938"/>
    <w:rsid w:val="000E40CF"/>
    <w:rsid w:val="000E5F16"/>
    <w:rsid w:val="000E612D"/>
    <w:rsid w:val="000E6DCE"/>
    <w:rsid w:val="000E703D"/>
    <w:rsid w:val="000E726E"/>
    <w:rsid w:val="000F03E0"/>
    <w:rsid w:val="000F0A10"/>
    <w:rsid w:val="000F0AB3"/>
    <w:rsid w:val="000F0D5E"/>
    <w:rsid w:val="000F1761"/>
    <w:rsid w:val="000F2C02"/>
    <w:rsid w:val="000F3C66"/>
    <w:rsid w:val="000F4452"/>
    <w:rsid w:val="000F473E"/>
    <w:rsid w:val="000F4C7F"/>
    <w:rsid w:val="000F595D"/>
    <w:rsid w:val="000F5DE8"/>
    <w:rsid w:val="000F5E17"/>
    <w:rsid w:val="000F6604"/>
    <w:rsid w:val="000F675F"/>
    <w:rsid w:val="000F6DA1"/>
    <w:rsid w:val="000F701B"/>
    <w:rsid w:val="000F759A"/>
    <w:rsid w:val="000F7ED4"/>
    <w:rsid w:val="00100B31"/>
    <w:rsid w:val="00100CA7"/>
    <w:rsid w:val="00100D35"/>
    <w:rsid w:val="00101670"/>
    <w:rsid w:val="0010179E"/>
    <w:rsid w:val="001019EE"/>
    <w:rsid w:val="0010257B"/>
    <w:rsid w:val="00103E15"/>
    <w:rsid w:val="001046E9"/>
    <w:rsid w:val="001056A0"/>
    <w:rsid w:val="001062FD"/>
    <w:rsid w:val="0010700D"/>
    <w:rsid w:val="001106D1"/>
    <w:rsid w:val="00110701"/>
    <w:rsid w:val="00110920"/>
    <w:rsid w:val="00110A11"/>
    <w:rsid w:val="0011200C"/>
    <w:rsid w:val="001138AD"/>
    <w:rsid w:val="00114C1C"/>
    <w:rsid w:val="00114F06"/>
    <w:rsid w:val="00115279"/>
    <w:rsid w:val="00115A6E"/>
    <w:rsid w:val="00117459"/>
    <w:rsid w:val="0011749A"/>
    <w:rsid w:val="00117FC8"/>
    <w:rsid w:val="00121451"/>
    <w:rsid w:val="0012156E"/>
    <w:rsid w:val="0012169A"/>
    <w:rsid w:val="00121AE5"/>
    <w:rsid w:val="00122096"/>
    <w:rsid w:val="00122F27"/>
    <w:rsid w:val="00123355"/>
    <w:rsid w:val="00123B82"/>
    <w:rsid w:val="00124A6E"/>
    <w:rsid w:val="00125ABB"/>
    <w:rsid w:val="001261CB"/>
    <w:rsid w:val="00126BE6"/>
    <w:rsid w:val="001271F4"/>
    <w:rsid w:val="00127A68"/>
    <w:rsid w:val="00127C59"/>
    <w:rsid w:val="0013078C"/>
    <w:rsid w:val="00130A49"/>
    <w:rsid w:val="00130C76"/>
    <w:rsid w:val="00131174"/>
    <w:rsid w:val="00132496"/>
    <w:rsid w:val="001349AA"/>
    <w:rsid w:val="0013702E"/>
    <w:rsid w:val="001376F4"/>
    <w:rsid w:val="00137CA4"/>
    <w:rsid w:val="00137F25"/>
    <w:rsid w:val="00140B13"/>
    <w:rsid w:val="00140E52"/>
    <w:rsid w:val="00140EF2"/>
    <w:rsid w:val="001413A7"/>
    <w:rsid w:val="00141B68"/>
    <w:rsid w:val="00141FCF"/>
    <w:rsid w:val="00145150"/>
    <w:rsid w:val="00145790"/>
    <w:rsid w:val="0014607D"/>
    <w:rsid w:val="00146353"/>
    <w:rsid w:val="001466DA"/>
    <w:rsid w:val="00147496"/>
    <w:rsid w:val="00147545"/>
    <w:rsid w:val="00147A2F"/>
    <w:rsid w:val="00147D71"/>
    <w:rsid w:val="00147E95"/>
    <w:rsid w:val="00150E81"/>
    <w:rsid w:val="00150EFB"/>
    <w:rsid w:val="00151132"/>
    <w:rsid w:val="0015139F"/>
    <w:rsid w:val="00151B73"/>
    <w:rsid w:val="00153F92"/>
    <w:rsid w:val="00154DE1"/>
    <w:rsid w:val="00154DF5"/>
    <w:rsid w:val="00155156"/>
    <w:rsid w:val="00155A0D"/>
    <w:rsid w:val="00155B40"/>
    <w:rsid w:val="00155CE9"/>
    <w:rsid w:val="00155F9C"/>
    <w:rsid w:val="00156BB2"/>
    <w:rsid w:val="00156E72"/>
    <w:rsid w:val="00156ED0"/>
    <w:rsid w:val="001571D9"/>
    <w:rsid w:val="00157435"/>
    <w:rsid w:val="0015755F"/>
    <w:rsid w:val="001578E9"/>
    <w:rsid w:val="001606DC"/>
    <w:rsid w:val="00160889"/>
    <w:rsid w:val="0016132A"/>
    <w:rsid w:val="0016368A"/>
    <w:rsid w:val="00163B32"/>
    <w:rsid w:val="00163EEA"/>
    <w:rsid w:val="0016487C"/>
    <w:rsid w:val="00164FC2"/>
    <w:rsid w:val="001654DB"/>
    <w:rsid w:val="001674E8"/>
    <w:rsid w:val="00167896"/>
    <w:rsid w:val="00167A07"/>
    <w:rsid w:val="0017046A"/>
    <w:rsid w:val="001704A3"/>
    <w:rsid w:val="001707E7"/>
    <w:rsid w:val="00170C21"/>
    <w:rsid w:val="001711CA"/>
    <w:rsid w:val="00171451"/>
    <w:rsid w:val="001744FF"/>
    <w:rsid w:val="0017504D"/>
    <w:rsid w:val="00175348"/>
    <w:rsid w:val="0017583D"/>
    <w:rsid w:val="00176CE5"/>
    <w:rsid w:val="00176F4F"/>
    <w:rsid w:val="00177422"/>
    <w:rsid w:val="00180BF2"/>
    <w:rsid w:val="00181C51"/>
    <w:rsid w:val="00181E86"/>
    <w:rsid w:val="0018249E"/>
    <w:rsid w:val="00182500"/>
    <w:rsid w:val="001826EE"/>
    <w:rsid w:val="0018277A"/>
    <w:rsid w:val="001843A4"/>
    <w:rsid w:val="00184AD8"/>
    <w:rsid w:val="00184F10"/>
    <w:rsid w:val="00185546"/>
    <w:rsid w:val="00185772"/>
    <w:rsid w:val="00185AD8"/>
    <w:rsid w:val="0018639D"/>
    <w:rsid w:val="0018682F"/>
    <w:rsid w:val="00186C8D"/>
    <w:rsid w:val="001909C2"/>
    <w:rsid w:val="00191308"/>
    <w:rsid w:val="0019146B"/>
    <w:rsid w:val="00191EE2"/>
    <w:rsid w:val="0019413F"/>
    <w:rsid w:val="00194398"/>
    <w:rsid w:val="00194F6E"/>
    <w:rsid w:val="00195847"/>
    <w:rsid w:val="00196D07"/>
    <w:rsid w:val="0019714A"/>
    <w:rsid w:val="00197D9B"/>
    <w:rsid w:val="001A1409"/>
    <w:rsid w:val="001A1462"/>
    <w:rsid w:val="001A3167"/>
    <w:rsid w:val="001A3A39"/>
    <w:rsid w:val="001A4406"/>
    <w:rsid w:val="001A4B13"/>
    <w:rsid w:val="001A4C40"/>
    <w:rsid w:val="001A744F"/>
    <w:rsid w:val="001A7A09"/>
    <w:rsid w:val="001A7D2A"/>
    <w:rsid w:val="001B0AE1"/>
    <w:rsid w:val="001B1628"/>
    <w:rsid w:val="001B1B40"/>
    <w:rsid w:val="001B1CD4"/>
    <w:rsid w:val="001B2B1F"/>
    <w:rsid w:val="001B39F8"/>
    <w:rsid w:val="001B405E"/>
    <w:rsid w:val="001B574C"/>
    <w:rsid w:val="001B5F99"/>
    <w:rsid w:val="001C048E"/>
    <w:rsid w:val="001C0AF9"/>
    <w:rsid w:val="001C126C"/>
    <w:rsid w:val="001C155A"/>
    <w:rsid w:val="001C1A9E"/>
    <w:rsid w:val="001C1CCF"/>
    <w:rsid w:val="001C26DD"/>
    <w:rsid w:val="001C2D0F"/>
    <w:rsid w:val="001C3471"/>
    <w:rsid w:val="001C44BE"/>
    <w:rsid w:val="001C48C0"/>
    <w:rsid w:val="001C527F"/>
    <w:rsid w:val="001C571D"/>
    <w:rsid w:val="001C5A61"/>
    <w:rsid w:val="001C5D70"/>
    <w:rsid w:val="001C6713"/>
    <w:rsid w:val="001C7934"/>
    <w:rsid w:val="001C7AF8"/>
    <w:rsid w:val="001D0712"/>
    <w:rsid w:val="001D1954"/>
    <w:rsid w:val="001D1A0C"/>
    <w:rsid w:val="001D1A41"/>
    <w:rsid w:val="001D1E52"/>
    <w:rsid w:val="001D2DC1"/>
    <w:rsid w:val="001D4955"/>
    <w:rsid w:val="001D5DA3"/>
    <w:rsid w:val="001D630C"/>
    <w:rsid w:val="001D6726"/>
    <w:rsid w:val="001E0CDF"/>
    <w:rsid w:val="001E0F68"/>
    <w:rsid w:val="001E1673"/>
    <w:rsid w:val="001E19D3"/>
    <w:rsid w:val="001E297C"/>
    <w:rsid w:val="001E56E6"/>
    <w:rsid w:val="001E58EE"/>
    <w:rsid w:val="001E6414"/>
    <w:rsid w:val="001E730A"/>
    <w:rsid w:val="001E7B42"/>
    <w:rsid w:val="001F00AA"/>
    <w:rsid w:val="001F0849"/>
    <w:rsid w:val="001F0E67"/>
    <w:rsid w:val="001F148C"/>
    <w:rsid w:val="001F1C83"/>
    <w:rsid w:val="001F1D9C"/>
    <w:rsid w:val="001F3347"/>
    <w:rsid w:val="001F3A75"/>
    <w:rsid w:val="001F3BB7"/>
    <w:rsid w:val="001F3C20"/>
    <w:rsid w:val="001F42EB"/>
    <w:rsid w:val="001F4440"/>
    <w:rsid w:val="001F5236"/>
    <w:rsid w:val="001F5E39"/>
    <w:rsid w:val="001F65BF"/>
    <w:rsid w:val="001F65F5"/>
    <w:rsid w:val="001F69E4"/>
    <w:rsid w:val="002007C5"/>
    <w:rsid w:val="00200EA3"/>
    <w:rsid w:val="00201BCE"/>
    <w:rsid w:val="00202234"/>
    <w:rsid w:val="002023B4"/>
    <w:rsid w:val="00204B55"/>
    <w:rsid w:val="00206134"/>
    <w:rsid w:val="00206A65"/>
    <w:rsid w:val="00211180"/>
    <w:rsid w:val="002114A5"/>
    <w:rsid w:val="002116D0"/>
    <w:rsid w:val="00211AF8"/>
    <w:rsid w:val="00211EF2"/>
    <w:rsid w:val="002124BE"/>
    <w:rsid w:val="00212D31"/>
    <w:rsid w:val="002130C7"/>
    <w:rsid w:val="00213EB2"/>
    <w:rsid w:val="0021444E"/>
    <w:rsid w:val="0021452E"/>
    <w:rsid w:val="00214B83"/>
    <w:rsid w:val="00215047"/>
    <w:rsid w:val="00215386"/>
    <w:rsid w:val="00215F09"/>
    <w:rsid w:val="00216226"/>
    <w:rsid w:val="0021649A"/>
    <w:rsid w:val="00217E4D"/>
    <w:rsid w:val="00220DAA"/>
    <w:rsid w:val="00221586"/>
    <w:rsid w:val="002218A8"/>
    <w:rsid w:val="00221F98"/>
    <w:rsid w:val="002229C3"/>
    <w:rsid w:val="0022306D"/>
    <w:rsid w:val="002233FD"/>
    <w:rsid w:val="002235CA"/>
    <w:rsid w:val="002243E4"/>
    <w:rsid w:val="0022541E"/>
    <w:rsid w:val="00226574"/>
    <w:rsid w:val="00226A53"/>
    <w:rsid w:val="0022758D"/>
    <w:rsid w:val="002278EC"/>
    <w:rsid w:val="00227D04"/>
    <w:rsid w:val="00230C1E"/>
    <w:rsid w:val="00232194"/>
    <w:rsid w:val="00232500"/>
    <w:rsid w:val="00234F08"/>
    <w:rsid w:val="00235267"/>
    <w:rsid w:val="002357C7"/>
    <w:rsid w:val="002360B6"/>
    <w:rsid w:val="002367C4"/>
    <w:rsid w:val="0023724E"/>
    <w:rsid w:val="002378E6"/>
    <w:rsid w:val="00240F83"/>
    <w:rsid w:val="002426B3"/>
    <w:rsid w:val="00242FD4"/>
    <w:rsid w:val="002449DD"/>
    <w:rsid w:val="00244DA3"/>
    <w:rsid w:val="00244ED3"/>
    <w:rsid w:val="002452B1"/>
    <w:rsid w:val="0024611A"/>
    <w:rsid w:val="00247B84"/>
    <w:rsid w:val="00250E1F"/>
    <w:rsid w:val="00251565"/>
    <w:rsid w:val="002524AE"/>
    <w:rsid w:val="002535B7"/>
    <w:rsid w:val="002544A8"/>
    <w:rsid w:val="0025474C"/>
    <w:rsid w:val="002548F4"/>
    <w:rsid w:val="00254B45"/>
    <w:rsid w:val="00254DBE"/>
    <w:rsid w:val="00255E55"/>
    <w:rsid w:val="0025679E"/>
    <w:rsid w:val="0025781D"/>
    <w:rsid w:val="00257A45"/>
    <w:rsid w:val="00260067"/>
    <w:rsid w:val="0026087F"/>
    <w:rsid w:val="00260C2F"/>
    <w:rsid w:val="00260C68"/>
    <w:rsid w:val="002619D6"/>
    <w:rsid w:val="00263627"/>
    <w:rsid w:val="002648B0"/>
    <w:rsid w:val="00264AC8"/>
    <w:rsid w:val="00264FD8"/>
    <w:rsid w:val="002679D6"/>
    <w:rsid w:val="00270BE1"/>
    <w:rsid w:val="002721D1"/>
    <w:rsid w:val="00272E14"/>
    <w:rsid w:val="0027405F"/>
    <w:rsid w:val="00274537"/>
    <w:rsid w:val="00275271"/>
    <w:rsid w:val="0027535E"/>
    <w:rsid w:val="00275AA6"/>
    <w:rsid w:val="002767DF"/>
    <w:rsid w:val="002806AD"/>
    <w:rsid w:val="002807D5"/>
    <w:rsid w:val="0028216C"/>
    <w:rsid w:val="00282B31"/>
    <w:rsid w:val="00282CCD"/>
    <w:rsid w:val="00283579"/>
    <w:rsid w:val="0028449D"/>
    <w:rsid w:val="00284809"/>
    <w:rsid w:val="002851CE"/>
    <w:rsid w:val="002856D9"/>
    <w:rsid w:val="00286A23"/>
    <w:rsid w:val="00287E73"/>
    <w:rsid w:val="00291378"/>
    <w:rsid w:val="0029178A"/>
    <w:rsid w:val="00292252"/>
    <w:rsid w:val="00292A4A"/>
    <w:rsid w:val="002958D7"/>
    <w:rsid w:val="002962EC"/>
    <w:rsid w:val="002968C5"/>
    <w:rsid w:val="00296FB6"/>
    <w:rsid w:val="00297278"/>
    <w:rsid w:val="002979F4"/>
    <w:rsid w:val="002A02F4"/>
    <w:rsid w:val="002A10DB"/>
    <w:rsid w:val="002A168C"/>
    <w:rsid w:val="002A2C48"/>
    <w:rsid w:val="002A324B"/>
    <w:rsid w:val="002A3300"/>
    <w:rsid w:val="002A346F"/>
    <w:rsid w:val="002A3A5C"/>
    <w:rsid w:val="002A3EED"/>
    <w:rsid w:val="002A4A39"/>
    <w:rsid w:val="002A5A17"/>
    <w:rsid w:val="002A5D15"/>
    <w:rsid w:val="002A5EC2"/>
    <w:rsid w:val="002A60BB"/>
    <w:rsid w:val="002A6425"/>
    <w:rsid w:val="002A6E1C"/>
    <w:rsid w:val="002A6EAE"/>
    <w:rsid w:val="002A6F4E"/>
    <w:rsid w:val="002A7B80"/>
    <w:rsid w:val="002B04E1"/>
    <w:rsid w:val="002B1863"/>
    <w:rsid w:val="002B197C"/>
    <w:rsid w:val="002B1D9A"/>
    <w:rsid w:val="002B2149"/>
    <w:rsid w:val="002B3522"/>
    <w:rsid w:val="002B3695"/>
    <w:rsid w:val="002B49E2"/>
    <w:rsid w:val="002B4F74"/>
    <w:rsid w:val="002B5103"/>
    <w:rsid w:val="002B58FD"/>
    <w:rsid w:val="002B5E3B"/>
    <w:rsid w:val="002B6258"/>
    <w:rsid w:val="002B7214"/>
    <w:rsid w:val="002B73D7"/>
    <w:rsid w:val="002B7B00"/>
    <w:rsid w:val="002B7C44"/>
    <w:rsid w:val="002B7FCB"/>
    <w:rsid w:val="002C0C9E"/>
    <w:rsid w:val="002C1388"/>
    <w:rsid w:val="002C2352"/>
    <w:rsid w:val="002C30B7"/>
    <w:rsid w:val="002C3C6A"/>
    <w:rsid w:val="002C3FA7"/>
    <w:rsid w:val="002C5404"/>
    <w:rsid w:val="002C6658"/>
    <w:rsid w:val="002C672D"/>
    <w:rsid w:val="002C6F75"/>
    <w:rsid w:val="002C700A"/>
    <w:rsid w:val="002C7906"/>
    <w:rsid w:val="002C7C2B"/>
    <w:rsid w:val="002D3C0B"/>
    <w:rsid w:val="002D42B3"/>
    <w:rsid w:val="002D42DB"/>
    <w:rsid w:val="002D5938"/>
    <w:rsid w:val="002D62C3"/>
    <w:rsid w:val="002D6E47"/>
    <w:rsid w:val="002D6F02"/>
    <w:rsid w:val="002E0189"/>
    <w:rsid w:val="002E1F3A"/>
    <w:rsid w:val="002E213D"/>
    <w:rsid w:val="002E2202"/>
    <w:rsid w:val="002E298A"/>
    <w:rsid w:val="002E4300"/>
    <w:rsid w:val="002E5A12"/>
    <w:rsid w:val="002E621D"/>
    <w:rsid w:val="002E6F12"/>
    <w:rsid w:val="002E710F"/>
    <w:rsid w:val="002E75FE"/>
    <w:rsid w:val="002E7813"/>
    <w:rsid w:val="002E7C30"/>
    <w:rsid w:val="002F02A4"/>
    <w:rsid w:val="002F0455"/>
    <w:rsid w:val="002F0AFB"/>
    <w:rsid w:val="002F183A"/>
    <w:rsid w:val="002F272B"/>
    <w:rsid w:val="002F42E2"/>
    <w:rsid w:val="002F4A7A"/>
    <w:rsid w:val="002F545A"/>
    <w:rsid w:val="002F5889"/>
    <w:rsid w:val="002F59B7"/>
    <w:rsid w:val="002F5A8E"/>
    <w:rsid w:val="002F6CF4"/>
    <w:rsid w:val="002F7C6D"/>
    <w:rsid w:val="002F7E9F"/>
    <w:rsid w:val="0030180C"/>
    <w:rsid w:val="0030221B"/>
    <w:rsid w:val="003027E4"/>
    <w:rsid w:val="00302965"/>
    <w:rsid w:val="00302AD2"/>
    <w:rsid w:val="0030310E"/>
    <w:rsid w:val="0030332C"/>
    <w:rsid w:val="0030335E"/>
    <w:rsid w:val="00303C0C"/>
    <w:rsid w:val="00306306"/>
    <w:rsid w:val="00306384"/>
    <w:rsid w:val="0030743B"/>
    <w:rsid w:val="0030751F"/>
    <w:rsid w:val="00307A40"/>
    <w:rsid w:val="00307FBD"/>
    <w:rsid w:val="00312296"/>
    <w:rsid w:val="0031259E"/>
    <w:rsid w:val="0031261A"/>
    <w:rsid w:val="003129E7"/>
    <w:rsid w:val="00312DC5"/>
    <w:rsid w:val="0031340E"/>
    <w:rsid w:val="00316464"/>
    <w:rsid w:val="0032073A"/>
    <w:rsid w:val="00321D8E"/>
    <w:rsid w:val="00322364"/>
    <w:rsid w:val="00324266"/>
    <w:rsid w:val="00324426"/>
    <w:rsid w:val="0032488A"/>
    <w:rsid w:val="00333611"/>
    <w:rsid w:val="00333CC7"/>
    <w:rsid w:val="00334472"/>
    <w:rsid w:val="003347C6"/>
    <w:rsid w:val="0033481F"/>
    <w:rsid w:val="00334996"/>
    <w:rsid w:val="003351F8"/>
    <w:rsid w:val="0033576F"/>
    <w:rsid w:val="0033580D"/>
    <w:rsid w:val="00336969"/>
    <w:rsid w:val="00336C52"/>
    <w:rsid w:val="003371D7"/>
    <w:rsid w:val="00337323"/>
    <w:rsid w:val="003379CA"/>
    <w:rsid w:val="003405D3"/>
    <w:rsid w:val="00340859"/>
    <w:rsid w:val="00340A7A"/>
    <w:rsid w:val="00340B56"/>
    <w:rsid w:val="0034158E"/>
    <w:rsid w:val="00341B3E"/>
    <w:rsid w:val="00341B42"/>
    <w:rsid w:val="003427A2"/>
    <w:rsid w:val="003427C9"/>
    <w:rsid w:val="00344C81"/>
    <w:rsid w:val="00345154"/>
    <w:rsid w:val="003454F7"/>
    <w:rsid w:val="0034560E"/>
    <w:rsid w:val="003467AA"/>
    <w:rsid w:val="00350523"/>
    <w:rsid w:val="0035101F"/>
    <w:rsid w:val="00352975"/>
    <w:rsid w:val="0035377E"/>
    <w:rsid w:val="00353CE4"/>
    <w:rsid w:val="003551C1"/>
    <w:rsid w:val="00355695"/>
    <w:rsid w:val="00355E46"/>
    <w:rsid w:val="00356868"/>
    <w:rsid w:val="00360C29"/>
    <w:rsid w:val="00361181"/>
    <w:rsid w:val="003615BB"/>
    <w:rsid w:val="00361C40"/>
    <w:rsid w:val="00362501"/>
    <w:rsid w:val="00362B80"/>
    <w:rsid w:val="003634CB"/>
    <w:rsid w:val="00363548"/>
    <w:rsid w:val="00364142"/>
    <w:rsid w:val="0036485B"/>
    <w:rsid w:val="003649C4"/>
    <w:rsid w:val="00364FF3"/>
    <w:rsid w:val="00367920"/>
    <w:rsid w:val="00370DDE"/>
    <w:rsid w:val="00371514"/>
    <w:rsid w:val="003716F2"/>
    <w:rsid w:val="0037259C"/>
    <w:rsid w:val="00372FA0"/>
    <w:rsid w:val="003731FA"/>
    <w:rsid w:val="003739AC"/>
    <w:rsid w:val="00373B0D"/>
    <w:rsid w:val="003743BA"/>
    <w:rsid w:val="00374607"/>
    <w:rsid w:val="00375CCA"/>
    <w:rsid w:val="00375EBE"/>
    <w:rsid w:val="003766B5"/>
    <w:rsid w:val="00376988"/>
    <w:rsid w:val="003808A1"/>
    <w:rsid w:val="00381A72"/>
    <w:rsid w:val="00381C06"/>
    <w:rsid w:val="0038201F"/>
    <w:rsid w:val="003829DF"/>
    <w:rsid w:val="00382A71"/>
    <w:rsid w:val="0038309B"/>
    <w:rsid w:val="00384715"/>
    <w:rsid w:val="003859B0"/>
    <w:rsid w:val="00386289"/>
    <w:rsid w:val="00387347"/>
    <w:rsid w:val="00387F43"/>
    <w:rsid w:val="0039064E"/>
    <w:rsid w:val="003911DC"/>
    <w:rsid w:val="00391AC2"/>
    <w:rsid w:val="0039253A"/>
    <w:rsid w:val="00394902"/>
    <w:rsid w:val="003A0833"/>
    <w:rsid w:val="003A1948"/>
    <w:rsid w:val="003A3642"/>
    <w:rsid w:val="003A3801"/>
    <w:rsid w:val="003A3C71"/>
    <w:rsid w:val="003A3D33"/>
    <w:rsid w:val="003A4165"/>
    <w:rsid w:val="003A4C28"/>
    <w:rsid w:val="003A5318"/>
    <w:rsid w:val="003A5A09"/>
    <w:rsid w:val="003A7B53"/>
    <w:rsid w:val="003B0DD1"/>
    <w:rsid w:val="003B1260"/>
    <w:rsid w:val="003B1492"/>
    <w:rsid w:val="003B152A"/>
    <w:rsid w:val="003B201B"/>
    <w:rsid w:val="003B213D"/>
    <w:rsid w:val="003B27F0"/>
    <w:rsid w:val="003B2B5C"/>
    <w:rsid w:val="003B2F3E"/>
    <w:rsid w:val="003B3B11"/>
    <w:rsid w:val="003B4259"/>
    <w:rsid w:val="003B4BE4"/>
    <w:rsid w:val="003B545B"/>
    <w:rsid w:val="003B6089"/>
    <w:rsid w:val="003B7101"/>
    <w:rsid w:val="003B7C7C"/>
    <w:rsid w:val="003B7C94"/>
    <w:rsid w:val="003C0AFC"/>
    <w:rsid w:val="003C2A49"/>
    <w:rsid w:val="003C41EA"/>
    <w:rsid w:val="003C45F5"/>
    <w:rsid w:val="003C4A74"/>
    <w:rsid w:val="003C62B1"/>
    <w:rsid w:val="003C7261"/>
    <w:rsid w:val="003D0953"/>
    <w:rsid w:val="003D2298"/>
    <w:rsid w:val="003D33E9"/>
    <w:rsid w:val="003D3443"/>
    <w:rsid w:val="003D3EE9"/>
    <w:rsid w:val="003D46F3"/>
    <w:rsid w:val="003D4AD2"/>
    <w:rsid w:val="003D56AF"/>
    <w:rsid w:val="003D6282"/>
    <w:rsid w:val="003D64AA"/>
    <w:rsid w:val="003D6E3C"/>
    <w:rsid w:val="003E1FA6"/>
    <w:rsid w:val="003E3611"/>
    <w:rsid w:val="003E5574"/>
    <w:rsid w:val="003E5693"/>
    <w:rsid w:val="003E5915"/>
    <w:rsid w:val="003E5981"/>
    <w:rsid w:val="003E661F"/>
    <w:rsid w:val="003E71F9"/>
    <w:rsid w:val="003E7681"/>
    <w:rsid w:val="003E7C1F"/>
    <w:rsid w:val="003E7F81"/>
    <w:rsid w:val="003F04A5"/>
    <w:rsid w:val="003F0809"/>
    <w:rsid w:val="003F1324"/>
    <w:rsid w:val="003F2B04"/>
    <w:rsid w:val="003F2D4E"/>
    <w:rsid w:val="003F2DBD"/>
    <w:rsid w:val="003F3C87"/>
    <w:rsid w:val="003F3F5D"/>
    <w:rsid w:val="003F40E0"/>
    <w:rsid w:val="003F4822"/>
    <w:rsid w:val="003F4A8E"/>
    <w:rsid w:val="003F4D18"/>
    <w:rsid w:val="003F611C"/>
    <w:rsid w:val="003F6396"/>
    <w:rsid w:val="003F696D"/>
    <w:rsid w:val="003F755C"/>
    <w:rsid w:val="0040056A"/>
    <w:rsid w:val="00401B75"/>
    <w:rsid w:val="00401B93"/>
    <w:rsid w:val="00401D86"/>
    <w:rsid w:val="00402347"/>
    <w:rsid w:val="00402557"/>
    <w:rsid w:val="004030D2"/>
    <w:rsid w:val="00405702"/>
    <w:rsid w:val="004066EA"/>
    <w:rsid w:val="00406F01"/>
    <w:rsid w:val="0040701F"/>
    <w:rsid w:val="00407408"/>
    <w:rsid w:val="00410858"/>
    <w:rsid w:val="004109CC"/>
    <w:rsid w:val="00410CDC"/>
    <w:rsid w:val="00410E9E"/>
    <w:rsid w:val="004115E6"/>
    <w:rsid w:val="00411B36"/>
    <w:rsid w:val="00411DB4"/>
    <w:rsid w:val="004121D7"/>
    <w:rsid w:val="0041370B"/>
    <w:rsid w:val="004138A0"/>
    <w:rsid w:val="00413ABF"/>
    <w:rsid w:val="004148F1"/>
    <w:rsid w:val="00414E2A"/>
    <w:rsid w:val="00416D50"/>
    <w:rsid w:val="00417143"/>
    <w:rsid w:val="00417772"/>
    <w:rsid w:val="00420E6A"/>
    <w:rsid w:val="00421172"/>
    <w:rsid w:val="0042200C"/>
    <w:rsid w:val="00422A51"/>
    <w:rsid w:val="00422DD8"/>
    <w:rsid w:val="00423AA1"/>
    <w:rsid w:val="00423E14"/>
    <w:rsid w:val="00424060"/>
    <w:rsid w:val="004248E3"/>
    <w:rsid w:val="0042492C"/>
    <w:rsid w:val="004260BE"/>
    <w:rsid w:val="0042672E"/>
    <w:rsid w:val="00427A13"/>
    <w:rsid w:val="00431F7C"/>
    <w:rsid w:val="0043270D"/>
    <w:rsid w:val="00433CA9"/>
    <w:rsid w:val="00434220"/>
    <w:rsid w:val="00434E14"/>
    <w:rsid w:val="0043521D"/>
    <w:rsid w:val="004352B9"/>
    <w:rsid w:val="0043625F"/>
    <w:rsid w:val="00436A74"/>
    <w:rsid w:val="00436F5A"/>
    <w:rsid w:val="004371DF"/>
    <w:rsid w:val="00437561"/>
    <w:rsid w:val="00437D88"/>
    <w:rsid w:val="00440567"/>
    <w:rsid w:val="00442024"/>
    <w:rsid w:val="00442156"/>
    <w:rsid w:val="0044254C"/>
    <w:rsid w:val="00442929"/>
    <w:rsid w:val="00442CD4"/>
    <w:rsid w:val="0044331F"/>
    <w:rsid w:val="00443C9E"/>
    <w:rsid w:val="00443F6A"/>
    <w:rsid w:val="004452E0"/>
    <w:rsid w:val="00445A50"/>
    <w:rsid w:val="00445CF9"/>
    <w:rsid w:val="00445E2C"/>
    <w:rsid w:val="00446FF8"/>
    <w:rsid w:val="0045003B"/>
    <w:rsid w:val="00450A17"/>
    <w:rsid w:val="00450F8B"/>
    <w:rsid w:val="00450FD4"/>
    <w:rsid w:val="004517B4"/>
    <w:rsid w:val="00453C2A"/>
    <w:rsid w:val="00453E75"/>
    <w:rsid w:val="00454051"/>
    <w:rsid w:val="00454619"/>
    <w:rsid w:val="00454992"/>
    <w:rsid w:val="004558D6"/>
    <w:rsid w:val="00455F36"/>
    <w:rsid w:val="0045612D"/>
    <w:rsid w:val="004568D6"/>
    <w:rsid w:val="0045714E"/>
    <w:rsid w:val="00460317"/>
    <w:rsid w:val="004613BC"/>
    <w:rsid w:val="00462536"/>
    <w:rsid w:val="00463FB9"/>
    <w:rsid w:val="00464598"/>
    <w:rsid w:val="004649F1"/>
    <w:rsid w:val="00465A0A"/>
    <w:rsid w:val="00466321"/>
    <w:rsid w:val="0046681C"/>
    <w:rsid w:val="0046689B"/>
    <w:rsid w:val="004672AF"/>
    <w:rsid w:val="00467C64"/>
    <w:rsid w:val="00470C92"/>
    <w:rsid w:val="00471256"/>
    <w:rsid w:val="00471F4F"/>
    <w:rsid w:val="004727B0"/>
    <w:rsid w:val="00472A39"/>
    <w:rsid w:val="0047420E"/>
    <w:rsid w:val="0047494A"/>
    <w:rsid w:val="00475A2B"/>
    <w:rsid w:val="00475D2C"/>
    <w:rsid w:val="004763E5"/>
    <w:rsid w:val="00480247"/>
    <w:rsid w:val="0048081D"/>
    <w:rsid w:val="00480A67"/>
    <w:rsid w:val="0048117E"/>
    <w:rsid w:val="00483C7D"/>
    <w:rsid w:val="0048400D"/>
    <w:rsid w:val="004844F4"/>
    <w:rsid w:val="00484A3F"/>
    <w:rsid w:val="00484F10"/>
    <w:rsid w:val="00484FCE"/>
    <w:rsid w:val="004855F6"/>
    <w:rsid w:val="00486094"/>
    <w:rsid w:val="004861F7"/>
    <w:rsid w:val="00486EBC"/>
    <w:rsid w:val="00486F0C"/>
    <w:rsid w:val="00486FE1"/>
    <w:rsid w:val="004919FC"/>
    <w:rsid w:val="00491B72"/>
    <w:rsid w:val="00492600"/>
    <w:rsid w:val="0049269A"/>
    <w:rsid w:val="00493575"/>
    <w:rsid w:val="00493D88"/>
    <w:rsid w:val="00494670"/>
    <w:rsid w:val="00494F3D"/>
    <w:rsid w:val="004966F3"/>
    <w:rsid w:val="004967D2"/>
    <w:rsid w:val="00497C90"/>
    <w:rsid w:val="004A0042"/>
    <w:rsid w:val="004A0657"/>
    <w:rsid w:val="004A0EB4"/>
    <w:rsid w:val="004A2610"/>
    <w:rsid w:val="004A3823"/>
    <w:rsid w:val="004A3FB7"/>
    <w:rsid w:val="004A4272"/>
    <w:rsid w:val="004A4C4E"/>
    <w:rsid w:val="004A561D"/>
    <w:rsid w:val="004A59BB"/>
    <w:rsid w:val="004A5ECA"/>
    <w:rsid w:val="004A5FA2"/>
    <w:rsid w:val="004A680C"/>
    <w:rsid w:val="004A6A5E"/>
    <w:rsid w:val="004B1970"/>
    <w:rsid w:val="004B22C2"/>
    <w:rsid w:val="004B37F0"/>
    <w:rsid w:val="004B43A3"/>
    <w:rsid w:val="004B457B"/>
    <w:rsid w:val="004B4654"/>
    <w:rsid w:val="004B4C49"/>
    <w:rsid w:val="004B522A"/>
    <w:rsid w:val="004B58A5"/>
    <w:rsid w:val="004B6056"/>
    <w:rsid w:val="004B63D9"/>
    <w:rsid w:val="004B66DA"/>
    <w:rsid w:val="004B723C"/>
    <w:rsid w:val="004C0882"/>
    <w:rsid w:val="004C14E2"/>
    <w:rsid w:val="004C15F5"/>
    <w:rsid w:val="004C16E1"/>
    <w:rsid w:val="004C1C8E"/>
    <w:rsid w:val="004C2D07"/>
    <w:rsid w:val="004C36F9"/>
    <w:rsid w:val="004C377E"/>
    <w:rsid w:val="004C3E18"/>
    <w:rsid w:val="004C4206"/>
    <w:rsid w:val="004C527C"/>
    <w:rsid w:val="004C549F"/>
    <w:rsid w:val="004C55BE"/>
    <w:rsid w:val="004C6B9C"/>
    <w:rsid w:val="004D0B49"/>
    <w:rsid w:val="004D22B0"/>
    <w:rsid w:val="004D2D27"/>
    <w:rsid w:val="004D3280"/>
    <w:rsid w:val="004D43C5"/>
    <w:rsid w:val="004D4449"/>
    <w:rsid w:val="004D4A50"/>
    <w:rsid w:val="004D4D53"/>
    <w:rsid w:val="004D4E86"/>
    <w:rsid w:val="004D58AD"/>
    <w:rsid w:val="004D7815"/>
    <w:rsid w:val="004E0283"/>
    <w:rsid w:val="004E0F50"/>
    <w:rsid w:val="004E13FF"/>
    <w:rsid w:val="004E14D9"/>
    <w:rsid w:val="004E482F"/>
    <w:rsid w:val="004E4DF1"/>
    <w:rsid w:val="004E4E8A"/>
    <w:rsid w:val="004E523B"/>
    <w:rsid w:val="004E5B30"/>
    <w:rsid w:val="004E6A79"/>
    <w:rsid w:val="004E7606"/>
    <w:rsid w:val="004E7A1D"/>
    <w:rsid w:val="004F0779"/>
    <w:rsid w:val="004F0783"/>
    <w:rsid w:val="004F0879"/>
    <w:rsid w:val="004F0C1B"/>
    <w:rsid w:val="004F1230"/>
    <w:rsid w:val="004F173F"/>
    <w:rsid w:val="004F177C"/>
    <w:rsid w:val="004F1CD4"/>
    <w:rsid w:val="004F27D2"/>
    <w:rsid w:val="004F2DCE"/>
    <w:rsid w:val="004F2DDF"/>
    <w:rsid w:val="004F3119"/>
    <w:rsid w:val="004F3277"/>
    <w:rsid w:val="004F32CA"/>
    <w:rsid w:val="004F3FDD"/>
    <w:rsid w:val="004F48FE"/>
    <w:rsid w:val="004F5740"/>
    <w:rsid w:val="004F5D94"/>
    <w:rsid w:val="004F68B1"/>
    <w:rsid w:val="004F68E8"/>
    <w:rsid w:val="004F6CC9"/>
    <w:rsid w:val="004F79F1"/>
    <w:rsid w:val="00501305"/>
    <w:rsid w:val="00501A6E"/>
    <w:rsid w:val="0050289C"/>
    <w:rsid w:val="00502A6D"/>
    <w:rsid w:val="00503417"/>
    <w:rsid w:val="005035A2"/>
    <w:rsid w:val="005039CB"/>
    <w:rsid w:val="00504525"/>
    <w:rsid w:val="005052BE"/>
    <w:rsid w:val="0050558F"/>
    <w:rsid w:val="005057E0"/>
    <w:rsid w:val="00506286"/>
    <w:rsid w:val="00507755"/>
    <w:rsid w:val="00510400"/>
    <w:rsid w:val="00510813"/>
    <w:rsid w:val="00510E16"/>
    <w:rsid w:val="00510E27"/>
    <w:rsid w:val="00511114"/>
    <w:rsid w:val="005116A8"/>
    <w:rsid w:val="005118BF"/>
    <w:rsid w:val="00511DE0"/>
    <w:rsid w:val="00512132"/>
    <w:rsid w:val="00513392"/>
    <w:rsid w:val="00514765"/>
    <w:rsid w:val="00514C30"/>
    <w:rsid w:val="00514FC8"/>
    <w:rsid w:val="00516057"/>
    <w:rsid w:val="00516849"/>
    <w:rsid w:val="005169AA"/>
    <w:rsid w:val="005171A3"/>
    <w:rsid w:val="00517F02"/>
    <w:rsid w:val="0052063B"/>
    <w:rsid w:val="00520C97"/>
    <w:rsid w:val="00520D11"/>
    <w:rsid w:val="00520EE7"/>
    <w:rsid w:val="00520FB1"/>
    <w:rsid w:val="005216DB"/>
    <w:rsid w:val="00521954"/>
    <w:rsid w:val="00521D8A"/>
    <w:rsid w:val="00522C56"/>
    <w:rsid w:val="00524547"/>
    <w:rsid w:val="00524662"/>
    <w:rsid w:val="005246AB"/>
    <w:rsid w:val="00524A45"/>
    <w:rsid w:val="005258A2"/>
    <w:rsid w:val="00525C45"/>
    <w:rsid w:val="00525EEA"/>
    <w:rsid w:val="00526065"/>
    <w:rsid w:val="00526F47"/>
    <w:rsid w:val="00530D84"/>
    <w:rsid w:val="00530F7C"/>
    <w:rsid w:val="00531AEC"/>
    <w:rsid w:val="00534567"/>
    <w:rsid w:val="00534F43"/>
    <w:rsid w:val="005359D7"/>
    <w:rsid w:val="00535A84"/>
    <w:rsid w:val="00536889"/>
    <w:rsid w:val="00536989"/>
    <w:rsid w:val="00536B4C"/>
    <w:rsid w:val="0053718B"/>
    <w:rsid w:val="00537373"/>
    <w:rsid w:val="0053756A"/>
    <w:rsid w:val="005375C2"/>
    <w:rsid w:val="00542A5C"/>
    <w:rsid w:val="00542B6F"/>
    <w:rsid w:val="00542E07"/>
    <w:rsid w:val="00545885"/>
    <w:rsid w:val="00545E4C"/>
    <w:rsid w:val="005515F7"/>
    <w:rsid w:val="005516AE"/>
    <w:rsid w:val="00551D45"/>
    <w:rsid w:val="005523F8"/>
    <w:rsid w:val="00553672"/>
    <w:rsid w:val="00554A7B"/>
    <w:rsid w:val="0055572C"/>
    <w:rsid w:val="005566FD"/>
    <w:rsid w:val="00556B03"/>
    <w:rsid w:val="00557F25"/>
    <w:rsid w:val="0056064F"/>
    <w:rsid w:val="00560ACD"/>
    <w:rsid w:val="00561B84"/>
    <w:rsid w:val="00561D34"/>
    <w:rsid w:val="005628C1"/>
    <w:rsid w:val="00563CA8"/>
    <w:rsid w:val="00564F69"/>
    <w:rsid w:val="005705F8"/>
    <w:rsid w:val="005711A8"/>
    <w:rsid w:val="00571804"/>
    <w:rsid w:val="00571C92"/>
    <w:rsid w:val="00571D98"/>
    <w:rsid w:val="00571F99"/>
    <w:rsid w:val="005720AE"/>
    <w:rsid w:val="005725D2"/>
    <w:rsid w:val="00575A62"/>
    <w:rsid w:val="005764CA"/>
    <w:rsid w:val="00577CAC"/>
    <w:rsid w:val="0058002B"/>
    <w:rsid w:val="0058005A"/>
    <w:rsid w:val="0058030D"/>
    <w:rsid w:val="00582045"/>
    <w:rsid w:val="00582ACA"/>
    <w:rsid w:val="00583824"/>
    <w:rsid w:val="00583AD8"/>
    <w:rsid w:val="00584EAA"/>
    <w:rsid w:val="00584FEF"/>
    <w:rsid w:val="00590141"/>
    <w:rsid w:val="00590AE3"/>
    <w:rsid w:val="005918F1"/>
    <w:rsid w:val="00592189"/>
    <w:rsid w:val="005923C7"/>
    <w:rsid w:val="0059279C"/>
    <w:rsid w:val="00594141"/>
    <w:rsid w:val="0059461C"/>
    <w:rsid w:val="00595285"/>
    <w:rsid w:val="005976E3"/>
    <w:rsid w:val="0059796E"/>
    <w:rsid w:val="00597DC3"/>
    <w:rsid w:val="00597F44"/>
    <w:rsid w:val="005A0653"/>
    <w:rsid w:val="005A06B7"/>
    <w:rsid w:val="005A1151"/>
    <w:rsid w:val="005A1759"/>
    <w:rsid w:val="005A2D18"/>
    <w:rsid w:val="005A54A2"/>
    <w:rsid w:val="005A5884"/>
    <w:rsid w:val="005A5A6A"/>
    <w:rsid w:val="005B0496"/>
    <w:rsid w:val="005B0E50"/>
    <w:rsid w:val="005B11F4"/>
    <w:rsid w:val="005B18A2"/>
    <w:rsid w:val="005B276C"/>
    <w:rsid w:val="005B2871"/>
    <w:rsid w:val="005B331A"/>
    <w:rsid w:val="005B3DD0"/>
    <w:rsid w:val="005B3F29"/>
    <w:rsid w:val="005B417D"/>
    <w:rsid w:val="005B4FCB"/>
    <w:rsid w:val="005B53BC"/>
    <w:rsid w:val="005B54CF"/>
    <w:rsid w:val="005B5B87"/>
    <w:rsid w:val="005B66B2"/>
    <w:rsid w:val="005B71B0"/>
    <w:rsid w:val="005B7C3C"/>
    <w:rsid w:val="005B7E9F"/>
    <w:rsid w:val="005C21F6"/>
    <w:rsid w:val="005C23F0"/>
    <w:rsid w:val="005C2E1D"/>
    <w:rsid w:val="005C55A7"/>
    <w:rsid w:val="005C586D"/>
    <w:rsid w:val="005C5C9D"/>
    <w:rsid w:val="005C60E9"/>
    <w:rsid w:val="005C621D"/>
    <w:rsid w:val="005C6A70"/>
    <w:rsid w:val="005C6FF4"/>
    <w:rsid w:val="005D0369"/>
    <w:rsid w:val="005D08E5"/>
    <w:rsid w:val="005D0E08"/>
    <w:rsid w:val="005D169B"/>
    <w:rsid w:val="005D34C9"/>
    <w:rsid w:val="005D53FE"/>
    <w:rsid w:val="005D5CEA"/>
    <w:rsid w:val="005D66DB"/>
    <w:rsid w:val="005D73C2"/>
    <w:rsid w:val="005D779C"/>
    <w:rsid w:val="005D7890"/>
    <w:rsid w:val="005D7A0F"/>
    <w:rsid w:val="005E0438"/>
    <w:rsid w:val="005E0688"/>
    <w:rsid w:val="005E10B7"/>
    <w:rsid w:val="005E1791"/>
    <w:rsid w:val="005E1BC3"/>
    <w:rsid w:val="005E1ECE"/>
    <w:rsid w:val="005E2536"/>
    <w:rsid w:val="005E2CE6"/>
    <w:rsid w:val="005E6324"/>
    <w:rsid w:val="005F033C"/>
    <w:rsid w:val="005F0A30"/>
    <w:rsid w:val="005F0C9B"/>
    <w:rsid w:val="005F0CD9"/>
    <w:rsid w:val="005F228B"/>
    <w:rsid w:val="005F29CD"/>
    <w:rsid w:val="005F34F0"/>
    <w:rsid w:val="005F393E"/>
    <w:rsid w:val="005F3EBD"/>
    <w:rsid w:val="005F4DFB"/>
    <w:rsid w:val="005F5DB8"/>
    <w:rsid w:val="005F6CC0"/>
    <w:rsid w:val="005F7CFC"/>
    <w:rsid w:val="00600521"/>
    <w:rsid w:val="0060153E"/>
    <w:rsid w:val="00602BCF"/>
    <w:rsid w:val="0060340A"/>
    <w:rsid w:val="00603E5B"/>
    <w:rsid w:val="00604BC8"/>
    <w:rsid w:val="006055B1"/>
    <w:rsid w:val="006061B2"/>
    <w:rsid w:val="00607423"/>
    <w:rsid w:val="00607BBD"/>
    <w:rsid w:val="0061200C"/>
    <w:rsid w:val="006140F3"/>
    <w:rsid w:val="00615B4C"/>
    <w:rsid w:val="00615B5D"/>
    <w:rsid w:val="00616215"/>
    <w:rsid w:val="00616A82"/>
    <w:rsid w:val="00617FA5"/>
    <w:rsid w:val="00620D6C"/>
    <w:rsid w:val="0062146F"/>
    <w:rsid w:val="0062231C"/>
    <w:rsid w:val="00623D22"/>
    <w:rsid w:val="00624963"/>
    <w:rsid w:val="00625A3B"/>
    <w:rsid w:val="0063024D"/>
    <w:rsid w:val="00630DFD"/>
    <w:rsid w:val="00632228"/>
    <w:rsid w:val="00632820"/>
    <w:rsid w:val="0063304D"/>
    <w:rsid w:val="0063379B"/>
    <w:rsid w:val="00633BA3"/>
    <w:rsid w:val="00633F7B"/>
    <w:rsid w:val="006343AF"/>
    <w:rsid w:val="00634EB0"/>
    <w:rsid w:val="0063507B"/>
    <w:rsid w:val="00636041"/>
    <w:rsid w:val="0063634A"/>
    <w:rsid w:val="00637E0B"/>
    <w:rsid w:val="0064012C"/>
    <w:rsid w:val="006412EF"/>
    <w:rsid w:val="0064144A"/>
    <w:rsid w:val="00641459"/>
    <w:rsid w:val="00641D64"/>
    <w:rsid w:val="00642438"/>
    <w:rsid w:val="0064250D"/>
    <w:rsid w:val="00643708"/>
    <w:rsid w:val="00645661"/>
    <w:rsid w:val="00645805"/>
    <w:rsid w:val="006477D1"/>
    <w:rsid w:val="00650065"/>
    <w:rsid w:val="00650FB7"/>
    <w:rsid w:val="00651088"/>
    <w:rsid w:val="006522C4"/>
    <w:rsid w:val="0065309E"/>
    <w:rsid w:val="006535EB"/>
    <w:rsid w:val="006557BE"/>
    <w:rsid w:val="00655B5A"/>
    <w:rsid w:val="006560AD"/>
    <w:rsid w:val="006568EB"/>
    <w:rsid w:val="00660987"/>
    <w:rsid w:val="00662814"/>
    <w:rsid w:val="00662AC9"/>
    <w:rsid w:val="00662D88"/>
    <w:rsid w:val="00663016"/>
    <w:rsid w:val="006635D8"/>
    <w:rsid w:val="0066407E"/>
    <w:rsid w:val="0066478F"/>
    <w:rsid w:val="00664C6B"/>
    <w:rsid w:val="006650D1"/>
    <w:rsid w:val="006652EA"/>
    <w:rsid w:val="006665BF"/>
    <w:rsid w:val="0067036D"/>
    <w:rsid w:val="006707F9"/>
    <w:rsid w:val="00671D83"/>
    <w:rsid w:val="006728A5"/>
    <w:rsid w:val="00672E0C"/>
    <w:rsid w:val="00673025"/>
    <w:rsid w:val="00673AE6"/>
    <w:rsid w:val="00673AFE"/>
    <w:rsid w:val="00674605"/>
    <w:rsid w:val="00674830"/>
    <w:rsid w:val="006748B8"/>
    <w:rsid w:val="00675C63"/>
    <w:rsid w:val="00675F35"/>
    <w:rsid w:val="00677E32"/>
    <w:rsid w:val="006803D7"/>
    <w:rsid w:val="0068069C"/>
    <w:rsid w:val="00680F5A"/>
    <w:rsid w:val="00681ED1"/>
    <w:rsid w:val="00682243"/>
    <w:rsid w:val="00682DEC"/>
    <w:rsid w:val="00682EF0"/>
    <w:rsid w:val="0068339A"/>
    <w:rsid w:val="006848F3"/>
    <w:rsid w:val="0068535B"/>
    <w:rsid w:val="0068736E"/>
    <w:rsid w:val="006878FC"/>
    <w:rsid w:val="00690B67"/>
    <w:rsid w:val="0069290A"/>
    <w:rsid w:val="00692F0F"/>
    <w:rsid w:val="006949FB"/>
    <w:rsid w:val="00694FFF"/>
    <w:rsid w:val="00695420"/>
    <w:rsid w:val="00697032"/>
    <w:rsid w:val="00697189"/>
    <w:rsid w:val="0069757A"/>
    <w:rsid w:val="006975AC"/>
    <w:rsid w:val="00697663"/>
    <w:rsid w:val="006A15FB"/>
    <w:rsid w:val="006A1648"/>
    <w:rsid w:val="006A3935"/>
    <w:rsid w:val="006A3D44"/>
    <w:rsid w:val="006A4235"/>
    <w:rsid w:val="006A489F"/>
    <w:rsid w:val="006A4E7B"/>
    <w:rsid w:val="006A5380"/>
    <w:rsid w:val="006A7299"/>
    <w:rsid w:val="006A72BF"/>
    <w:rsid w:val="006B0978"/>
    <w:rsid w:val="006B1058"/>
    <w:rsid w:val="006B2087"/>
    <w:rsid w:val="006B27A4"/>
    <w:rsid w:val="006B27B7"/>
    <w:rsid w:val="006B332A"/>
    <w:rsid w:val="006B33BD"/>
    <w:rsid w:val="006B381E"/>
    <w:rsid w:val="006B6DDD"/>
    <w:rsid w:val="006B7604"/>
    <w:rsid w:val="006C0274"/>
    <w:rsid w:val="006C2C81"/>
    <w:rsid w:val="006C3704"/>
    <w:rsid w:val="006C3927"/>
    <w:rsid w:val="006C3F75"/>
    <w:rsid w:val="006C4C3D"/>
    <w:rsid w:val="006C500B"/>
    <w:rsid w:val="006C582B"/>
    <w:rsid w:val="006C5C01"/>
    <w:rsid w:val="006C5E1F"/>
    <w:rsid w:val="006C60A0"/>
    <w:rsid w:val="006C6636"/>
    <w:rsid w:val="006C6CA4"/>
    <w:rsid w:val="006C6EF2"/>
    <w:rsid w:val="006C7317"/>
    <w:rsid w:val="006C77CF"/>
    <w:rsid w:val="006C7B05"/>
    <w:rsid w:val="006D170E"/>
    <w:rsid w:val="006D27EF"/>
    <w:rsid w:val="006D5A38"/>
    <w:rsid w:val="006D5E7B"/>
    <w:rsid w:val="006D6773"/>
    <w:rsid w:val="006D7D44"/>
    <w:rsid w:val="006E05D0"/>
    <w:rsid w:val="006E06AF"/>
    <w:rsid w:val="006E0920"/>
    <w:rsid w:val="006E1437"/>
    <w:rsid w:val="006E1B03"/>
    <w:rsid w:val="006E24FE"/>
    <w:rsid w:val="006E2E70"/>
    <w:rsid w:val="006E2F3A"/>
    <w:rsid w:val="006E4671"/>
    <w:rsid w:val="006E4B4F"/>
    <w:rsid w:val="006E62D3"/>
    <w:rsid w:val="006E6938"/>
    <w:rsid w:val="006E7E29"/>
    <w:rsid w:val="006F064B"/>
    <w:rsid w:val="006F0D6B"/>
    <w:rsid w:val="006F16D8"/>
    <w:rsid w:val="006F1789"/>
    <w:rsid w:val="006F1A0D"/>
    <w:rsid w:val="006F3234"/>
    <w:rsid w:val="006F42DF"/>
    <w:rsid w:val="006F500C"/>
    <w:rsid w:val="006F649E"/>
    <w:rsid w:val="006F6C27"/>
    <w:rsid w:val="006F7AC3"/>
    <w:rsid w:val="007031C8"/>
    <w:rsid w:val="00703231"/>
    <w:rsid w:val="007035E7"/>
    <w:rsid w:val="00706C5D"/>
    <w:rsid w:val="00711045"/>
    <w:rsid w:val="007118E6"/>
    <w:rsid w:val="007131A4"/>
    <w:rsid w:val="007133EE"/>
    <w:rsid w:val="00713745"/>
    <w:rsid w:val="00714022"/>
    <w:rsid w:val="007167EB"/>
    <w:rsid w:val="00717792"/>
    <w:rsid w:val="00720860"/>
    <w:rsid w:val="007225C9"/>
    <w:rsid w:val="0072374F"/>
    <w:rsid w:val="00723F01"/>
    <w:rsid w:val="00725D58"/>
    <w:rsid w:val="0072621B"/>
    <w:rsid w:val="007314F9"/>
    <w:rsid w:val="007323B3"/>
    <w:rsid w:val="0073255E"/>
    <w:rsid w:val="00732C23"/>
    <w:rsid w:val="0073389E"/>
    <w:rsid w:val="00735610"/>
    <w:rsid w:val="00735634"/>
    <w:rsid w:val="00735CD7"/>
    <w:rsid w:val="007371A3"/>
    <w:rsid w:val="00740BA4"/>
    <w:rsid w:val="007410D0"/>
    <w:rsid w:val="00742C82"/>
    <w:rsid w:val="00742D29"/>
    <w:rsid w:val="00743002"/>
    <w:rsid w:val="00743040"/>
    <w:rsid w:val="0074392C"/>
    <w:rsid w:val="007459E8"/>
    <w:rsid w:val="00745ADA"/>
    <w:rsid w:val="00746F9B"/>
    <w:rsid w:val="00750FB6"/>
    <w:rsid w:val="00751529"/>
    <w:rsid w:val="00752819"/>
    <w:rsid w:val="0075340A"/>
    <w:rsid w:val="00754034"/>
    <w:rsid w:val="00754BF1"/>
    <w:rsid w:val="00755A30"/>
    <w:rsid w:val="00755D26"/>
    <w:rsid w:val="00755DD4"/>
    <w:rsid w:val="00755E1C"/>
    <w:rsid w:val="00756556"/>
    <w:rsid w:val="00756766"/>
    <w:rsid w:val="00760362"/>
    <w:rsid w:val="0076064B"/>
    <w:rsid w:val="00760AC9"/>
    <w:rsid w:val="00760C1C"/>
    <w:rsid w:val="0076132B"/>
    <w:rsid w:val="007623AE"/>
    <w:rsid w:val="007644D3"/>
    <w:rsid w:val="00765A4D"/>
    <w:rsid w:val="00766C18"/>
    <w:rsid w:val="0076798E"/>
    <w:rsid w:val="00770523"/>
    <w:rsid w:val="00770A49"/>
    <w:rsid w:val="00770B19"/>
    <w:rsid w:val="00772AE8"/>
    <w:rsid w:val="0077309D"/>
    <w:rsid w:val="007741DA"/>
    <w:rsid w:val="00774EFC"/>
    <w:rsid w:val="00774FA0"/>
    <w:rsid w:val="0077567B"/>
    <w:rsid w:val="00776620"/>
    <w:rsid w:val="007769D2"/>
    <w:rsid w:val="00777048"/>
    <w:rsid w:val="00777B6D"/>
    <w:rsid w:val="00780463"/>
    <w:rsid w:val="00780A60"/>
    <w:rsid w:val="00781603"/>
    <w:rsid w:val="00783F6D"/>
    <w:rsid w:val="0078429F"/>
    <w:rsid w:val="00784855"/>
    <w:rsid w:val="00784F39"/>
    <w:rsid w:val="00785349"/>
    <w:rsid w:val="0078545C"/>
    <w:rsid w:val="0078571D"/>
    <w:rsid w:val="00785E24"/>
    <w:rsid w:val="00785F99"/>
    <w:rsid w:val="0078690A"/>
    <w:rsid w:val="0078759F"/>
    <w:rsid w:val="00790043"/>
    <w:rsid w:val="007906C4"/>
    <w:rsid w:val="00791160"/>
    <w:rsid w:val="00791488"/>
    <w:rsid w:val="007917D3"/>
    <w:rsid w:val="00792888"/>
    <w:rsid w:val="00792F40"/>
    <w:rsid w:val="00793671"/>
    <w:rsid w:val="00793A8D"/>
    <w:rsid w:val="00793F31"/>
    <w:rsid w:val="007940EA"/>
    <w:rsid w:val="00794F93"/>
    <w:rsid w:val="007967E8"/>
    <w:rsid w:val="00796FAE"/>
    <w:rsid w:val="007A031E"/>
    <w:rsid w:val="007A1177"/>
    <w:rsid w:val="007A1DCB"/>
    <w:rsid w:val="007A2033"/>
    <w:rsid w:val="007A2272"/>
    <w:rsid w:val="007A238F"/>
    <w:rsid w:val="007A3618"/>
    <w:rsid w:val="007A385A"/>
    <w:rsid w:val="007A5373"/>
    <w:rsid w:val="007A5927"/>
    <w:rsid w:val="007A63F2"/>
    <w:rsid w:val="007A6E20"/>
    <w:rsid w:val="007A7B88"/>
    <w:rsid w:val="007A7C1C"/>
    <w:rsid w:val="007B0DFC"/>
    <w:rsid w:val="007B5D19"/>
    <w:rsid w:val="007B6087"/>
    <w:rsid w:val="007B68DE"/>
    <w:rsid w:val="007B73A3"/>
    <w:rsid w:val="007B793F"/>
    <w:rsid w:val="007B7AC3"/>
    <w:rsid w:val="007C0813"/>
    <w:rsid w:val="007C1857"/>
    <w:rsid w:val="007C24EA"/>
    <w:rsid w:val="007C2518"/>
    <w:rsid w:val="007C2596"/>
    <w:rsid w:val="007C3329"/>
    <w:rsid w:val="007C37F4"/>
    <w:rsid w:val="007C3E2B"/>
    <w:rsid w:val="007C48EF"/>
    <w:rsid w:val="007C4CC5"/>
    <w:rsid w:val="007C514F"/>
    <w:rsid w:val="007C6091"/>
    <w:rsid w:val="007C6F91"/>
    <w:rsid w:val="007C7B00"/>
    <w:rsid w:val="007C7EFF"/>
    <w:rsid w:val="007D0548"/>
    <w:rsid w:val="007D0F95"/>
    <w:rsid w:val="007D2A9B"/>
    <w:rsid w:val="007D3F19"/>
    <w:rsid w:val="007D431A"/>
    <w:rsid w:val="007D5E1C"/>
    <w:rsid w:val="007D60BC"/>
    <w:rsid w:val="007D632E"/>
    <w:rsid w:val="007D7ECB"/>
    <w:rsid w:val="007E16C5"/>
    <w:rsid w:val="007E21EB"/>
    <w:rsid w:val="007E25A1"/>
    <w:rsid w:val="007E4BD2"/>
    <w:rsid w:val="007E67E5"/>
    <w:rsid w:val="007E69EF"/>
    <w:rsid w:val="007E6B5C"/>
    <w:rsid w:val="007E6F4B"/>
    <w:rsid w:val="007E7145"/>
    <w:rsid w:val="007E78EB"/>
    <w:rsid w:val="007F1232"/>
    <w:rsid w:val="007F1674"/>
    <w:rsid w:val="007F17EC"/>
    <w:rsid w:val="007F268A"/>
    <w:rsid w:val="007F35BF"/>
    <w:rsid w:val="007F3916"/>
    <w:rsid w:val="007F400D"/>
    <w:rsid w:val="007F55C3"/>
    <w:rsid w:val="007F56BE"/>
    <w:rsid w:val="007F7017"/>
    <w:rsid w:val="00801179"/>
    <w:rsid w:val="00802479"/>
    <w:rsid w:val="00803C92"/>
    <w:rsid w:val="00805372"/>
    <w:rsid w:val="00805854"/>
    <w:rsid w:val="00805A1E"/>
    <w:rsid w:val="00805B7B"/>
    <w:rsid w:val="00806697"/>
    <w:rsid w:val="0080773A"/>
    <w:rsid w:val="00807976"/>
    <w:rsid w:val="00807BBA"/>
    <w:rsid w:val="00810258"/>
    <w:rsid w:val="0081066A"/>
    <w:rsid w:val="008110D1"/>
    <w:rsid w:val="008127FB"/>
    <w:rsid w:val="0081293E"/>
    <w:rsid w:val="008135C3"/>
    <w:rsid w:val="00813B8E"/>
    <w:rsid w:val="00814FFB"/>
    <w:rsid w:val="00815025"/>
    <w:rsid w:val="00815F90"/>
    <w:rsid w:val="008160A8"/>
    <w:rsid w:val="00817207"/>
    <w:rsid w:val="008173F1"/>
    <w:rsid w:val="008201EF"/>
    <w:rsid w:val="00820568"/>
    <w:rsid w:val="008213C2"/>
    <w:rsid w:val="00821446"/>
    <w:rsid w:val="00821CD7"/>
    <w:rsid w:val="0082244F"/>
    <w:rsid w:val="008226EE"/>
    <w:rsid w:val="00822822"/>
    <w:rsid w:val="008229BB"/>
    <w:rsid w:val="00822A87"/>
    <w:rsid w:val="00822B3D"/>
    <w:rsid w:val="008240CE"/>
    <w:rsid w:val="008242D2"/>
    <w:rsid w:val="0082613D"/>
    <w:rsid w:val="00826390"/>
    <w:rsid w:val="00830CE0"/>
    <w:rsid w:val="008311F3"/>
    <w:rsid w:val="00831A80"/>
    <w:rsid w:val="00831E88"/>
    <w:rsid w:val="00833065"/>
    <w:rsid w:val="008332C8"/>
    <w:rsid w:val="00833743"/>
    <w:rsid w:val="008337D5"/>
    <w:rsid w:val="008340A4"/>
    <w:rsid w:val="00834D29"/>
    <w:rsid w:val="008355C0"/>
    <w:rsid w:val="00836469"/>
    <w:rsid w:val="00836799"/>
    <w:rsid w:val="008367E0"/>
    <w:rsid w:val="00837028"/>
    <w:rsid w:val="00837131"/>
    <w:rsid w:val="00837CDE"/>
    <w:rsid w:val="00841EE2"/>
    <w:rsid w:val="00842160"/>
    <w:rsid w:val="00842677"/>
    <w:rsid w:val="008455DE"/>
    <w:rsid w:val="00845BE1"/>
    <w:rsid w:val="00845F57"/>
    <w:rsid w:val="00847A91"/>
    <w:rsid w:val="00847E67"/>
    <w:rsid w:val="008521E0"/>
    <w:rsid w:val="008525B0"/>
    <w:rsid w:val="008538C2"/>
    <w:rsid w:val="0085396A"/>
    <w:rsid w:val="00853B8B"/>
    <w:rsid w:val="008547CA"/>
    <w:rsid w:val="00854A29"/>
    <w:rsid w:val="00855E3C"/>
    <w:rsid w:val="00856306"/>
    <w:rsid w:val="00856757"/>
    <w:rsid w:val="0085712D"/>
    <w:rsid w:val="008602DB"/>
    <w:rsid w:val="008609CB"/>
    <w:rsid w:val="008615A3"/>
    <w:rsid w:val="008630AE"/>
    <w:rsid w:val="00864E25"/>
    <w:rsid w:val="00864E6B"/>
    <w:rsid w:val="00866325"/>
    <w:rsid w:val="00867B09"/>
    <w:rsid w:val="00867CBC"/>
    <w:rsid w:val="00870369"/>
    <w:rsid w:val="00871B20"/>
    <w:rsid w:val="00871B90"/>
    <w:rsid w:val="008729B3"/>
    <w:rsid w:val="00872F12"/>
    <w:rsid w:val="008732C6"/>
    <w:rsid w:val="00874668"/>
    <w:rsid w:val="00875672"/>
    <w:rsid w:val="00875A8D"/>
    <w:rsid w:val="00876A88"/>
    <w:rsid w:val="00876C30"/>
    <w:rsid w:val="00877017"/>
    <w:rsid w:val="008773C0"/>
    <w:rsid w:val="00877BD8"/>
    <w:rsid w:val="00877F97"/>
    <w:rsid w:val="00880364"/>
    <w:rsid w:val="008804F5"/>
    <w:rsid w:val="0088054A"/>
    <w:rsid w:val="0088171D"/>
    <w:rsid w:val="008819B8"/>
    <w:rsid w:val="008820E2"/>
    <w:rsid w:val="0088306C"/>
    <w:rsid w:val="00883A42"/>
    <w:rsid w:val="008840A7"/>
    <w:rsid w:val="008849D2"/>
    <w:rsid w:val="00885A1A"/>
    <w:rsid w:val="00885EB1"/>
    <w:rsid w:val="00886C4C"/>
    <w:rsid w:val="0088711C"/>
    <w:rsid w:val="00887326"/>
    <w:rsid w:val="00887BB2"/>
    <w:rsid w:val="00890706"/>
    <w:rsid w:val="008929CF"/>
    <w:rsid w:val="00892ECF"/>
    <w:rsid w:val="00892F06"/>
    <w:rsid w:val="00893288"/>
    <w:rsid w:val="0089331E"/>
    <w:rsid w:val="00894285"/>
    <w:rsid w:val="00895AC8"/>
    <w:rsid w:val="00895EDB"/>
    <w:rsid w:val="00896818"/>
    <w:rsid w:val="00896E2C"/>
    <w:rsid w:val="0089705A"/>
    <w:rsid w:val="00897148"/>
    <w:rsid w:val="008A0030"/>
    <w:rsid w:val="008A110F"/>
    <w:rsid w:val="008A1F20"/>
    <w:rsid w:val="008A28B8"/>
    <w:rsid w:val="008A2DFC"/>
    <w:rsid w:val="008A398B"/>
    <w:rsid w:val="008A3A22"/>
    <w:rsid w:val="008A40AE"/>
    <w:rsid w:val="008A4E19"/>
    <w:rsid w:val="008A4F27"/>
    <w:rsid w:val="008A5754"/>
    <w:rsid w:val="008A67C5"/>
    <w:rsid w:val="008A6C2D"/>
    <w:rsid w:val="008A6EB9"/>
    <w:rsid w:val="008A7551"/>
    <w:rsid w:val="008A7F20"/>
    <w:rsid w:val="008B20D4"/>
    <w:rsid w:val="008B22E1"/>
    <w:rsid w:val="008B27FE"/>
    <w:rsid w:val="008B28A5"/>
    <w:rsid w:val="008B3200"/>
    <w:rsid w:val="008B37E4"/>
    <w:rsid w:val="008B3C78"/>
    <w:rsid w:val="008B4AE9"/>
    <w:rsid w:val="008B53D5"/>
    <w:rsid w:val="008B6F1E"/>
    <w:rsid w:val="008B739D"/>
    <w:rsid w:val="008B7444"/>
    <w:rsid w:val="008B79EF"/>
    <w:rsid w:val="008C0C8B"/>
    <w:rsid w:val="008C30AD"/>
    <w:rsid w:val="008C3553"/>
    <w:rsid w:val="008C35AE"/>
    <w:rsid w:val="008C392B"/>
    <w:rsid w:val="008C43AC"/>
    <w:rsid w:val="008C4C06"/>
    <w:rsid w:val="008C5160"/>
    <w:rsid w:val="008C5185"/>
    <w:rsid w:val="008C52D5"/>
    <w:rsid w:val="008C53D9"/>
    <w:rsid w:val="008C5B96"/>
    <w:rsid w:val="008C5F0B"/>
    <w:rsid w:val="008C7853"/>
    <w:rsid w:val="008C7955"/>
    <w:rsid w:val="008D068E"/>
    <w:rsid w:val="008D0F7A"/>
    <w:rsid w:val="008D138C"/>
    <w:rsid w:val="008D17F7"/>
    <w:rsid w:val="008D1978"/>
    <w:rsid w:val="008D1F75"/>
    <w:rsid w:val="008D22DE"/>
    <w:rsid w:val="008D3E9F"/>
    <w:rsid w:val="008D53FB"/>
    <w:rsid w:val="008D58FE"/>
    <w:rsid w:val="008D5AA9"/>
    <w:rsid w:val="008D5F58"/>
    <w:rsid w:val="008D63BE"/>
    <w:rsid w:val="008D659C"/>
    <w:rsid w:val="008D7116"/>
    <w:rsid w:val="008D7616"/>
    <w:rsid w:val="008E0C60"/>
    <w:rsid w:val="008E0CFF"/>
    <w:rsid w:val="008E1E8D"/>
    <w:rsid w:val="008E297F"/>
    <w:rsid w:val="008E33E1"/>
    <w:rsid w:val="008E3787"/>
    <w:rsid w:val="008E3935"/>
    <w:rsid w:val="008E4D3B"/>
    <w:rsid w:val="008E4EEC"/>
    <w:rsid w:val="008E5D6B"/>
    <w:rsid w:val="008E689B"/>
    <w:rsid w:val="008E76F0"/>
    <w:rsid w:val="008F0927"/>
    <w:rsid w:val="008F15FE"/>
    <w:rsid w:val="008F2A94"/>
    <w:rsid w:val="008F32F2"/>
    <w:rsid w:val="008F5187"/>
    <w:rsid w:val="008F6008"/>
    <w:rsid w:val="008F61DF"/>
    <w:rsid w:val="008F709C"/>
    <w:rsid w:val="008F73D4"/>
    <w:rsid w:val="0090002C"/>
    <w:rsid w:val="00900635"/>
    <w:rsid w:val="00900FCB"/>
    <w:rsid w:val="00901893"/>
    <w:rsid w:val="0090312B"/>
    <w:rsid w:val="009033AA"/>
    <w:rsid w:val="00903D69"/>
    <w:rsid w:val="00904961"/>
    <w:rsid w:val="00906E1D"/>
    <w:rsid w:val="00910CCA"/>
    <w:rsid w:val="00912412"/>
    <w:rsid w:val="00913AF2"/>
    <w:rsid w:val="00913CE2"/>
    <w:rsid w:val="0091404B"/>
    <w:rsid w:val="00914C85"/>
    <w:rsid w:val="00915BF2"/>
    <w:rsid w:val="00915CEB"/>
    <w:rsid w:val="0091736D"/>
    <w:rsid w:val="00917D86"/>
    <w:rsid w:val="009204E6"/>
    <w:rsid w:val="00920C2E"/>
    <w:rsid w:val="00920FC9"/>
    <w:rsid w:val="00921FAB"/>
    <w:rsid w:val="009239F8"/>
    <w:rsid w:val="00924747"/>
    <w:rsid w:val="0092625E"/>
    <w:rsid w:val="00931001"/>
    <w:rsid w:val="00931863"/>
    <w:rsid w:val="0093229A"/>
    <w:rsid w:val="00932969"/>
    <w:rsid w:val="00932F05"/>
    <w:rsid w:val="00933524"/>
    <w:rsid w:val="00933C6B"/>
    <w:rsid w:val="009341E3"/>
    <w:rsid w:val="009346A0"/>
    <w:rsid w:val="00934C7F"/>
    <w:rsid w:val="00936079"/>
    <w:rsid w:val="00936276"/>
    <w:rsid w:val="009366D1"/>
    <w:rsid w:val="00937B8E"/>
    <w:rsid w:val="00937F28"/>
    <w:rsid w:val="00941CB2"/>
    <w:rsid w:val="009426AB"/>
    <w:rsid w:val="0094278D"/>
    <w:rsid w:val="009437F7"/>
    <w:rsid w:val="009447C5"/>
    <w:rsid w:val="0094559A"/>
    <w:rsid w:val="00946193"/>
    <w:rsid w:val="00946DF2"/>
    <w:rsid w:val="009472AF"/>
    <w:rsid w:val="0095168C"/>
    <w:rsid w:val="00951870"/>
    <w:rsid w:val="00952F8B"/>
    <w:rsid w:val="0095308A"/>
    <w:rsid w:val="009531D4"/>
    <w:rsid w:val="009543F5"/>
    <w:rsid w:val="00955129"/>
    <w:rsid w:val="00955989"/>
    <w:rsid w:val="00955AEE"/>
    <w:rsid w:val="0095618A"/>
    <w:rsid w:val="00956D8D"/>
    <w:rsid w:val="00956F14"/>
    <w:rsid w:val="009609F4"/>
    <w:rsid w:val="00961958"/>
    <w:rsid w:val="00961F44"/>
    <w:rsid w:val="009620FD"/>
    <w:rsid w:val="0096247A"/>
    <w:rsid w:val="009628D3"/>
    <w:rsid w:val="00963047"/>
    <w:rsid w:val="009634D6"/>
    <w:rsid w:val="00964A27"/>
    <w:rsid w:val="0096538B"/>
    <w:rsid w:val="0096561B"/>
    <w:rsid w:val="00965628"/>
    <w:rsid w:val="00965F4B"/>
    <w:rsid w:val="0096682F"/>
    <w:rsid w:val="0096694E"/>
    <w:rsid w:val="009670B9"/>
    <w:rsid w:val="00967BDD"/>
    <w:rsid w:val="00970E93"/>
    <w:rsid w:val="00970F8A"/>
    <w:rsid w:val="00971FB5"/>
    <w:rsid w:val="00972D2A"/>
    <w:rsid w:val="00973756"/>
    <w:rsid w:val="0097392A"/>
    <w:rsid w:val="00974AB9"/>
    <w:rsid w:val="00975649"/>
    <w:rsid w:val="00975CC5"/>
    <w:rsid w:val="00975D27"/>
    <w:rsid w:val="00975EF8"/>
    <w:rsid w:val="0097615C"/>
    <w:rsid w:val="00976328"/>
    <w:rsid w:val="00976B4E"/>
    <w:rsid w:val="00976E5F"/>
    <w:rsid w:val="00977279"/>
    <w:rsid w:val="009777F8"/>
    <w:rsid w:val="009800A5"/>
    <w:rsid w:val="009804F6"/>
    <w:rsid w:val="009819F0"/>
    <w:rsid w:val="00982F0F"/>
    <w:rsid w:val="00983B13"/>
    <w:rsid w:val="00984458"/>
    <w:rsid w:val="0098451C"/>
    <w:rsid w:val="0098476F"/>
    <w:rsid w:val="009847B3"/>
    <w:rsid w:val="00985283"/>
    <w:rsid w:val="00985EE0"/>
    <w:rsid w:val="0098606C"/>
    <w:rsid w:val="009861FC"/>
    <w:rsid w:val="00987322"/>
    <w:rsid w:val="009900B8"/>
    <w:rsid w:val="00990243"/>
    <w:rsid w:val="00990DE9"/>
    <w:rsid w:val="0099119E"/>
    <w:rsid w:val="00992FA5"/>
    <w:rsid w:val="0099530F"/>
    <w:rsid w:val="009A0F3B"/>
    <w:rsid w:val="009A1270"/>
    <w:rsid w:val="009A1D3E"/>
    <w:rsid w:val="009A3944"/>
    <w:rsid w:val="009A4974"/>
    <w:rsid w:val="009A4BB5"/>
    <w:rsid w:val="009A72C7"/>
    <w:rsid w:val="009B03D7"/>
    <w:rsid w:val="009B045B"/>
    <w:rsid w:val="009B0658"/>
    <w:rsid w:val="009B0897"/>
    <w:rsid w:val="009B10F1"/>
    <w:rsid w:val="009B111D"/>
    <w:rsid w:val="009B1EE9"/>
    <w:rsid w:val="009B1FD5"/>
    <w:rsid w:val="009B2837"/>
    <w:rsid w:val="009B295D"/>
    <w:rsid w:val="009B2FB9"/>
    <w:rsid w:val="009B3EC6"/>
    <w:rsid w:val="009B45A4"/>
    <w:rsid w:val="009B54A6"/>
    <w:rsid w:val="009B565C"/>
    <w:rsid w:val="009B5AE2"/>
    <w:rsid w:val="009B6C10"/>
    <w:rsid w:val="009B71FE"/>
    <w:rsid w:val="009B7F46"/>
    <w:rsid w:val="009C0ADE"/>
    <w:rsid w:val="009C1A89"/>
    <w:rsid w:val="009C2B51"/>
    <w:rsid w:val="009C49EF"/>
    <w:rsid w:val="009C4AE1"/>
    <w:rsid w:val="009C6A77"/>
    <w:rsid w:val="009D0852"/>
    <w:rsid w:val="009D1D91"/>
    <w:rsid w:val="009D1F1F"/>
    <w:rsid w:val="009D1FBF"/>
    <w:rsid w:val="009D297B"/>
    <w:rsid w:val="009D5985"/>
    <w:rsid w:val="009D5BA4"/>
    <w:rsid w:val="009D702C"/>
    <w:rsid w:val="009D7BCC"/>
    <w:rsid w:val="009E01F1"/>
    <w:rsid w:val="009E1AC0"/>
    <w:rsid w:val="009E1B10"/>
    <w:rsid w:val="009E2191"/>
    <w:rsid w:val="009E38F6"/>
    <w:rsid w:val="009E399C"/>
    <w:rsid w:val="009E3BAF"/>
    <w:rsid w:val="009E43C1"/>
    <w:rsid w:val="009E4E17"/>
    <w:rsid w:val="009E5AE0"/>
    <w:rsid w:val="009E5C66"/>
    <w:rsid w:val="009E6590"/>
    <w:rsid w:val="009E6BD2"/>
    <w:rsid w:val="009E7E95"/>
    <w:rsid w:val="009E7F19"/>
    <w:rsid w:val="009F116F"/>
    <w:rsid w:val="009F14B7"/>
    <w:rsid w:val="009F1793"/>
    <w:rsid w:val="009F2B95"/>
    <w:rsid w:val="009F329E"/>
    <w:rsid w:val="009F3755"/>
    <w:rsid w:val="009F4FC2"/>
    <w:rsid w:val="009F613C"/>
    <w:rsid w:val="009F6BF2"/>
    <w:rsid w:val="009F7739"/>
    <w:rsid w:val="009F7ED3"/>
    <w:rsid w:val="00A017DF"/>
    <w:rsid w:val="00A03607"/>
    <w:rsid w:val="00A047FF"/>
    <w:rsid w:val="00A04FEF"/>
    <w:rsid w:val="00A05B3B"/>
    <w:rsid w:val="00A05C21"/>
    <w:rsid w:val="00A06B1B"/>
    <w:rsid w:val="00A06EFF"/>
    <w:rsid w:val="00A07F80"/>
    <w:rsid w:val="00A12036"/>
    <w:rsid w:val="00A122CD"/>
    <w:rsid w:val="00A12A32"/>
    <w:rsid w:val="00A13151"/>
    <w:rsid w:val="00A14248"/>
    <w:rsid w:val="00A14947"/>
    <w:rsid w:val="00A14FAD"/>
    <w:rsid w:val="00A1509C"/>
    <w:rsid w:val="00A17875"/>
    <w:rsid w:val="00A2070D"/>
    <w:rsid w:val="00A21A9C"/>
    <w:rsid w:val="00A22847"/>
    <w:rsid w:val="00A23DC5"/>
    <w:rsid w:val="00A23DCA"/>
    <w:rsid w:val="00A26047"/>
    <w:rsid w:val="00A26131"/>
    <w:rsid w:val="00A264DF"/>
    <w:rsid w:val="00A26771"/>
    <w:rsid w:val="00A26F4F"/>
    <w:rsid w:val="00A26F50"/>
    <w:rsid w:val="00A27BB3"/>
    <w:rsid w:val="00A309A1"/>
    <w:rsid w:val="00A30ED8"/>
    <w:rsid w:val="00A31068"/>
    <w:rsid w:val="00A311BF"/>
    <w:rsid w:val="00A31356"/>
    <w:rsid w:val="00A3199B"/>
    <w:rsid w:val="00A31B87"/>
    <w:rsid w:val="00A33181"/>
    <w:rsid w:val="00A34028"/>
    <w:rsid w:val="00A34646"/>
    <w:rsid w:val="00A34918"/>
    <w:rsid w:val="00A35568"/>
    <w:rsid w:val="00A35AFD"/>
    <w:rsid w:val="00A35F6F"/>
    <w:rsid w:val="00A364B9"/>
    <w:rsid w:val="00A365B1"/>
    <w:rsid w:val="00A37056"/>
    <w:rsid w:val="00A40ECB"/>
    <w:rsid w:val="00A4358F"/>
    <w:rsid w:val="00A43D4B"/>
    <w:rsid w:val="00A4543D"/>
    <w:rsid w:val="00A45F9F"/>
    <w:rsid w:val="00A4632B"/>
    <w:rsid w:val="00A46F67"/>
    <w:rsid w:val="00A4702C"/>
    <w:rsid w:val="00A51904"/>
    <w:rsid w:val="00A51DDD"/>
    <w:rsid w:val="00A54AA1"/>
    <w:rsid w:val="00A5544D"/>
    <w:rsid w:val="00A557B0"/>
    <w:rsid w:val="00A55C01"/>
    <w:rsid w:val="00A568FF"/>
    <w:rsid w:val="00A56CB3"/>
    <w:rsid w:val="00A57BC9"/>
    <w:rsid w:val="00A57EF6"/>
    <w:rsid w:val="00A60C48"/>
    <w:rsid w:val="00A61496"/>
    <w:rsid w:val="00A61833"/>
    <w:rsid w:val="00A61B0E"/>
    <w:rsid w:val="00A623C5"/>
    <w:rsid w:val="00A624C6"/>
    <w:rsid w:val="00A6253B"/>
    <w:rsid w:val="00A63785"/>
    <w:rsid w:val="00A63CEC"/>
    <w:rsid w:val="00A6428B"/>
    <w:rsid w:val="00A64BCE"/>
    <w:rsid w:val="00A655C2"/>
    <w:rsid w:val="00A657D4"/>
    <w:rsid w:val="00A65FA9"/>
    <w:rsid w:val="00A6725E"/>
    <w:rsid w:val="00A7031E"/>
    <w:rsid w:val="00A70A05"/>
    <w:rsid w:val="00A7130B"/>
    <w:rsid w:val="00A728B1"/>
    <w:rsid w:val="00A74239"/>
    <w:rsid w:val="00A74590"/>
    <w:rsid w:val="00A763DE"/>
    <w:rsid w:val="00A76A15"/>
    <w:rsid w:val="00A77453"/>
    <w:rsid w:val="00A803D6"/>
    <w:rsid w:val="00A80DC5"/>
    <w:rsid w:val="00A81282"/>
    <w:rsid w:val="00A825AB"/>
    <w:rsid w:val="00A8306F"/>
    <w:rsid w:val="00A84515"/>
    <w:rsid w:val="00A84E45"/>
    <w:rsid w:val="00A84F50"/>
    <w:rsid w:val="00A8553A"/>
    <w:rsid w:val="00A8624B"/>
    <w:rsid w:val="00A8713F"/>
    <w:rsid w:val="00A87384"/>
    <w:rsid w:val="00A87AF9"/>
    <w:rsid w:val="00A90193"/>
    <w:rsid w:val="00A90D0F"/>
    <w:rsid w:val="00A90FBD"/>
    <w:rsid w:val="00A91167"/>
    <w:rsid w:val="00A9171C"/>
    <w:rsid w:val="00A91779"/>
    <w:rsid w:val="00A91789"/>
    <w:rsid w:val="00A91E30"/>
    <w:rsid w:val="00A92FFD"/>
    <w:rsid w:val="00A934FD"/>
    <w:rsid w:val="00A95975"/>
    <w:rsid w:val="00A966F4"/>
    <w:rsid w:val="00A9708D"/>
    <w:rsid w:val="00A97848"/>
    <w:rsid w:val="00AA1A6F"/>
    <w:rsid w:val="00AA2C17"/>
    <w:rsid w:val="00AA382E"/>
    <w:rsid w:val="00AA4172"/>
    <w:rsid w:val="00AA4C70"/>
    <w:rsid w:val="00AA556C"/>
    <w:rsid w:val="00AA62CA"/>
    <w:rsid w:val="00AA7FE8"/>
    <w:rsid w:val="00AB041F"/>
    <w:rsid w:val="00AB0791"/>
    <w:rsid w:val="00AB1914"/>
    <w:rsid w:val="00AB367E"/>
    <w:rsid w:val="00AB3A2B"/>
    <w:rsid w:val="00AB3D26"/>
    <w:rsid w:val="00AB437A"/>
    <w:rsid w:val="00AB45CB"/>
    <w:rsid w:val="00AB4F3E"/>
    <w:rsid w:val="00AB5330"/>
    <w:rsid w:val="00AB697D"/>
    <w:rsid w:val="00AB6C24"/>
    <w:rsid w:val="00AB7747"/>
    <w:rsid w:val="00AC2532"/>
    <w:rsid w:val="00AC3745"/>
    <w:rsid w:val="00AC3F63"/>
    <w:rsid w:val="00AC547B"/>
    <w:rsid w:val="00AC6D6B"/>
    <w:rsid w:val="00AC7C4B"/>
    <w:rsid w:val="00AD1507"/>
    <w:rsid w:val="00AD2982"/>
    <w:rsid w:val="00AD51AA"/>
    <w:rsid w:val="00AD5A70"/>
    <w:rsid w:val="00AD66CE"/>
    <w:rsid w:val="00AD738B"/>
    <w:rsid w:val="00AD7630"/>
    <w:rsid w:val="00AD7891"/>
    <w:rsid w:val="00AE126A"/>
    <w:rsid w:val="00AE1568"/>
    <w:rsid w:val="00AE1BF4"/>
    <w:rsid w:val="00AE285B"/>
    <w:rsid w:val="00AE3F48"/>
    <w:rsid w:val="00AE5D97"/>
    <w:rsid w:val="00AE6647"/>
    <w:rsid w:val="00AE6794"/>
    <w:rsid w:val="00AF0EF4"/>
    <w:rsid w:val="00AF48C1"/>
    <w:rsid w:val="00AF4D6B"/>
    <w:rsid w:val="00AF52D1"/>
    <w:rsid w:val="00AF5463"/>
    <w:rsid w:val="00AF5D58"/>
    <w:rsid w:val="00AF75C3"/>
    <w:rsid w:val="00AF7658"/>
    <w:rsid w:val="00AF789A"/>
    <w:rsid w:val="00B00648"/>
    <w:rsid w:val="00B009D6"/>
    <w:rsid w:val="00B00BD6"/>
    <w:rsid w:val="00B01110"/>
    <w:rsid w:val="00B02262"/>
    <w:rsid w:val="00B029D4"/>
    <w:rsid w:val="00B03129"/>
    <w:rsid w:val="00B03659"/>
    <w:rsid w:val="00B03CEC"/>
    <w:rsid w:val="00B04412"/>
    <w:rsid w:val="00B06E28"/>
    <w:rsid w:val="00B07655"/>
    <w:rsid w:val="00B10249"/>
    <w:rsid w:val="00B104D9"/>
    <w:rsid w:val="00B108B5"/>
    <w:rsid w:val="00B1209F"/>
    <w:rsid w:val="00B12AD0"/>
    <w:rsid w:val="00B12C69"/>
    <w:rsid w:val="00B13324"/>
    <w:rsid w:val="00B1358A"/>
    <w:rsid w:val="00B13EBD"/>
    <w:rsid w:val="00B16112"/>
    <w:rsid w:val="00B16E87"/>
    <w:rsid w:val="00B21AA8"/>
    <w:rsid w:val="00B21E44"/>
    <w:rsid w:val="00B22454"/>
    <w:rsid w:val="00B22651"/>
    <w:rsid w:val="00B22C2C"/>
    <w:rsid w:val="00B23F20"/>
    <w:rsid w:val="00B247BA"/>
    <w:rsid w:val="00B24B83"/>
    <w:rsid w:val="00B24F30"/>
    <w:rsid w:val="00B25ED5"/>
    <w:rsid w:val="00B2666E"/>
    <w:rsid w:val="00B30CCA"/>
    <w:rsid w:val="00B31ABF"/>
    <w:rsid w:val="00B31E8B"/>
    <w:rsid w:val="00B32A09"/>
    <w:rsid w:val="00B335AE"/>
    <w:rsid w:val="00B3411F"/>
    <w:rsid w:val="00B34430"/>
    <w:rsid w:val="00B35475"/>
    <w:rsid w:val="00B37CE1"/>
    <w:rsid w:val="00B37E58"/>
    <w:rsid w:val="00B40090"/>
    <w:rsid w:val="00B40903"/>
    <w:rsid w:val="00B40ACF"/>
    <w:rsid w:val="00B40DC6"/>
    <w:rsid w:val="00B42103"/>
    <w:rsid w:val="00B4237B"/>
    <w:rsid w:val="00B42442"/>
    <w:rsid w:val="00B43B75"/>
    <w:rsid w:val="00B44277"/>
    <w:rsid w:val="00B442D6"/>
    <w:rsid w:val="00B44314"/>
    <w:rsid w:val="00B46A04"/>
    <w:rsid w:val="00B46BAA"/>
    <w:rsid w:val="00B46CD1"/>
    <w:rsid w:val="00B5037C"/>
    <w:rsid w:val="00B50B5F"/>
    <w:rsid w:val="00B51366"/>
    <w:rsid w:val="00B515BD"/>
    <w:rsid w:val="00B516D0"/>
    <w:rsid w:val="00B51998"/>
    <w:rsid w:val="00B52690"/>
    <w:rsid w:val="00B52DE7"/>
    <w:rsid w:val="00B53D8A"/>
    <w:rsid w:val="00B54128"/>
    <w:rsid w:val="00B54AD0"/>
    <w:rsid w:val="00B54BC8"/>
    <w:rsid w:val="00B54C5F"/>
    <w:rsid w:val="00B55346"/>
    <w:rsid w:val="00B55510"/>
    <w:rsid w:val="00B55826"/>
    <w:rsid w:val="00B5609F"/>
    <w:rsid w:val="00B57147"/>
    <w:rsid w:val="00B57FD2"/>
    <w:rsid w:val="00B60426"/>
    <w:rsid w:val="00B60D65"/>
    <w:rsid w:val="00B60F55"/>
    <w:rsid w:val="00B61FA9"/>
    <w:rsid w:val="00B622DD"/>
    <w:rsid w:val="00B626E1"/>
    <w:rsid w:val="00B62B7B"/>
    <w:rsid w:val="00B63522"/>
    <w:rsid w:val="00B637C6"/>
    <w:rsid w:val="00B646D1"/>
    <w:rsid w:val="00B64AA6"/>
    <w:rsid w:val="00B65BDD"/>
    <w:rsid w:val="00B6705C"/>
    <w:rsid w:val="00B67859"/>
    <w:rsid w:val="00B67F75"/>
    <w:rsid w:val="00B70591"/>
    <w:rsid w:val="00B72643"/>
    <w:rsid w:val="00B736F1"/>
    <w:rsid w:val="00B73887"/>
    <w:rsid w:val="00B73AC9"/>
    <w:rsid w:val="00B74B9B"/>
    <w:rsid w:val="00B74CC0"/>
    <w:rsid w:val="00B750CC"/>
    <w:rsid w:val="00B7666B"/>
    <w:rsid w:val="00B76F1D"/>
    <w:rsid w:val="00B8081A"/>
    <w:rsid w:val="00B81DC4"/>
    <w:rsid w:val="00B83229"/>
    <w:rsid w:val="00B84D1F"/>
    <w:rsid w:val="00B84E91"/>
    <w:rsid w:val="00B860BD"/>
    <w:rsid w:val="00B867D4"/>
    <w:rsid w:val="00B86E8C"/>
    <w:rsid w:val="00B90474"/>
    <w:rsid w:val="00B90BE8"/>
    <w:rsid w:val="00B90D76"/>
    <w:rsid w:val="00B90D89"/>
    <w:rsid w:val="00B91FC8"/>
    <w:rsid w:val="00B920DA"/>
    <w:rsid w:val="00B92421"/>
    <w:rsid w:val="00B92A19"/>
    <w:rsid w:val="00B93DE4"/>
    <w:rsid w:val="00B942A6"/>
    <w:rsid w:val="00B94822"/>
    <w:rsid w:val="00B9544C"/>
    <w:rsid w:val="00B9545B"/>
    <w:rsid w:val="00B96049"/>
    <w:rsid w:val="00B96B23"/>
    <w:rsid w:val="00BA04B3"/>
    <w:rsid w:val="00BA228A"/>
    <w:rsid w:val="00BA28AD"/>
    <w:rsid w:val="00BA29E9"/>
    <w:rsid w:val="00BA2CD5"/>
    <w:rsid w:val="00BA3E46"/>
    <w:rsid w:val="00BA5989"/>
    <w:rsid w:val="00BA607E"/>
    <w:rsid w:val="00BA6762"/>
    <w:rsid w:val="00BB1E41"/>
    <w:rsid w:val="00BB34DC"/>
    <w:rsid w:val="00BB3618"/>
    <w:rsid w:val="00BB3A7D"/>
    <w:rsid w:val="00BB3B26"/>
    <w:rsid w:val="00BB3D77"/>
    <w:rsid w:val="00BB512F"/>
    <w:rsid w:val="00BB7E24"/>
    <w:rsid w:val="00BC0C9E"/>
    <w:rsid w:val="00BC2994"/>
    <w:rsid w:val="00BC32DC"/>
    <w:rsid w:val="00BC3684"/>
    <w:rsid w:val="00BC4C94"/>
    <w:rsid w:val="00BC57FA"/>
    <w:rsid w:val="00BC59A0"/>
    <w:rsid w:val="00BC601D"/>
    <w:rsid w:val="00BC612B"/>
    <w:rsid w:val="00BC6711"/>
    <w:rsid w:val="00BC7C24"/>
    <w:rsid w:val="00BD02F5"/>
    <w:rsid w:val="00BD0580"/>
    <w:rsid w:val="00BD0FAB"/>
    <w:rsid w:val="00BD1B51"/>
    <w:rsid w:val="00BD2238"/>
    <w:rsid w:val="00BD2896"/>
    <w:rsid w:val="00BD2E37"/>
    <w:rsid w:val="00BD3B79"/>
    <w:rsid w:val="00BD47F6"/>
    <w:rsid w:val="00BD4FE1"/>
    <w:rsid w:val="00BD5D5A"/>
    <w:rsid w:val="00BE0C3F"/>
    <w:rsid w:val="00BE1217"/>
    <w:rsid w:val="00BE12FE"/>
    <w:rsid w:val="00BE13AC"/>
    <w:rsid w:val="00BE181C"/>
    <w:rsid w:val="00BE28E0"/>
    <w:rsid w:val="00BE312D"/>
    <w:rsid w:val="00BE3FCA"/>
    <w:rsid w:val="00BE423C"/>
    <w:rsid w:val="00BE4DEC"/>
    <w:rsid w:val="00BE53D8"/>
    <w:rsid w:val="00BE64E8"/>
    <w:rsid w:val="00BE6881"/>
    <w:rsid w:val="00BE6FD6"/>
    <w:rsid w:val="00BE75DF"/>
    <w:rsid w:val="00BE7987"/>
    <w:rsid w:val="00BE7AB0"/>
    <w:rsid w:val="00BF166D"/>
    <w:rsid w:val="00BF1BB3"/>
    <w:rsid w:val="00BF35FF"/>
    <w:rsid w:val="00BF50BB"/>
    <w:rsid w:val="00BF54CF"/>
    <w:rsid w:val="00BF5936"/>
    <w:rsid w:val="00BF6AEE"/>
    <w:rsid w:val="00BF7056"/>
    <w:rsid w:val="00BF749F"/>
    <w:rsid w:val="00C0013E"/>
    <w:rsid w:val="00C00B56"/>
    <w:rsid w:val="00C00C63"/>
    <w:rsid w:val="00C0134F"/>
    <w:rsid w:val="00C0253B"/>
    <w:rsid w:val="00C02A04"/>
    <w:rsid w:val="00C044CC"/>
    <w:rsid w:val="00C04A3F"/>
    <w:rsid w:val="00C05719"/>
    <w:rsid w:val="00C05AFC"/>
    <w:rsid w:val="00C07C46"/>
    <w:rsid w:val="00C101EF"/>
    <w:rsid w:val="00C10578"/>
    <w:rsid w:val="00C10C9E"/>
    <w:rsid w:val="00C10E52"/>
    <w:rsid w:val="00C11495"/>
    <w:rsid w:val="00C119BB"/>
    <w:rsid w:val="00C1230C"/>
    <w:rsid w:val="00C135E5"/>
    <w:rsid w:val="00C14F2D"/>
    <w:rsid w:val="00C15920"/>
    <w:rsid w:val="00C15DBF"/>
    <w:rsid w:val="00C17D62"/>
    <w:rsid w:val="00C17EF9"/>
    <w:rsid w:val="00C20495"/>
    <w:rsid w:val="00C20814"/>
    <w:rsid w:val="00C21FDC"/>
    <w:rsid w:val="00C2269E"/>
    <w:rsid w:val="00C22CE9"/>
    <w:rsid w:val="00C24AD6"/>
    <w:rsid w:val="00C24EE7"/>
    <w:rsid w:val="00C2544D"/>
    <w:rsid w:val="00C2596A"/>
    <w:rsid w:val="00C25B98"/>
    <w:rsid w:val="00C265B1"/>
    <w:rsid w:val="00C271BE"/>
    <w:rsid w:val="00C27425"/>
    <w:rsid w:val="00C27705"/>
    <w:rsid w:val="00C27832"/>
    <w:rsid w:val="00C2784B"/>
    <w:rsid w:val="00C27D06"/>
    <w:rsid w:val="00C30CCE"/>
    <w:rsid w:val="00C32065"/>
    <w:rsid w:val="00C328FE"/>
    <w:rsid w:val="00C33A05"/>
    <w:rsid w:val="00C34269"/>
    <w:rsid w:val="00C350D4"/>
    <w:rsid w:val="00C359D0"/>
    <w:rsid w:val="00C3626B"/>
    <w:rsid w:val="00C3656F"/>
    <w:rsid w:val="00C37267"/>
    <w:rsid w:val="00C375FA"/>
    <w:rsid w:val="00C37639"/>
    <w:rsid w:val="00C37F88"/>
    <w:rsid w:val="00C402E3"/>
    <w:rsid w:val="00C40B94"/>
    <w:rsid w:val="00C41A2A"/>
    <w:rsid w:val="00C42500"/>
    <w:rsid w:val="00C425F4"/>
    <w:rsid w:val="00C43F23"/>
    <w:rsid w:val="00C4409D"/>
    <w:rsid w:val="00C449AE"/>
    <w:rsid w:val="00C44D78"/>
    <w:rsid w:val="00C455BE"/>
    <w:rsid w:val="00C46290"/>
    <w:rsid w:val="00C4729C"/>
    <w:rsid w:val="00C47363"/>
    <w:rsid w:val="00C50B43"/>
    <w:rsid w:val="00C50DA0"/>
    <w:rsid w:val="00C51E5F"/>
    <w:rsid w:val="00C5248F"/>
    <w:rsid w:val="00C53EAF"/>
    <w:rsid w:val="00C542CF"/>
    <w:rsid w:val="00C55621"/>
    <w:rsid w:val="00C57BDC"/>
    <w:rsid w:val="00C60444"/>
    <w:rsid w:val="00C60480"/>
    <w:rsid w:val="00C6090A"/>
    <w:rsid w:val="00C61E4B"/>
    <w:rsid w:val="00C6252C"/>
    <w:rsid w:val="00C62881"/>
    <w:rsid w:val="00C62E3A"/>
    <w:rsid w:val="00C63564"/>
    <w:rsid w:val="00C64110"/>
    <w:rsid w:val="00C643CB"/>
    <w:rsid w:val="00C64503"/>
    <w:rsid w:val="00C64A1F"/>
    <w:rsid w:val="00C64BFF"/>
    <w:rsid w:val="00C6656E"/>
    <w:rsid w:val="00C712A4"/>
    <w:rsid w:val="00C726B9"/>
    <w:rsid w:val="00C72D0E"/>
    <w:rsid w:val="00C73994"/>
    <w:rsid w:val="00C74382"/>
    <w:rsid w:val="00C744F1"/>
    <w:rsid w:val="00C75B69"/>
    <w:rsid w:val="00C763C9"/>
    <w:rsid w:val="00C764F4"/>
    <w:rsid w:val="00C76BAA"/>
    <w:rsid w:val="00C77260"/>
    <w:rsid w:val="00C80057"/>
    <w:rsid w:val="00C82C79"/>
    <w:rsid w:val="00C82D67"/>
    <w:rsid w:val="00C83C83"/>
    <w:rsid w:val="00C84216"/>
    <w:rsid w:val="00C84753"/>
    <w:rsid w:val="00C84A9C"/>
    <w:rsid w:val="00C85616"/>
    <w:rsid w:val="00C8594A"/>
    <w:rsid w:val="00C85B68"/>
    <w:rsid w:val="00C85BD3"/>
    <w:rsid w:val="00C85F0C"/>
    <w:rsid w:val="00C903FB"/>
    <w:rsid w:val="00C90C09"/>
    <w:rsid w:val="00C91611"/>
    <w:rsid w:val="00C91C98"/>
    <w:rsid w:val="00C91CBE"/>
    <w:rsid w:val="00C9368B"/>
    <w:rsid w:val="00C93F94"/>
    <w:rsid w:val="00C95815"/>
    <w:rsid w:val="00C958F7"/>
    <w:rsid w:val="00C95F36"/>
    <w:rsid w:val="00C974D8"/>
    <w:rsid w:val="00C9782E"/>
    <w:rsid w:val="00C979EA"/>
    <w:rsid w:val="00C97E69"/>
    <w:rsid w:val="00CA1635"/>
    <w:rsid w:val="00CA28AA"/>
    <w:rsid w:val="00CA2983"/>
    <w:rsid w:val="00CA3585"/>
    <w:rsid w:val="00CA38B8"/>
    <w:rsid w:val="00CA3ABD"/>
    <w:rsid w:val="00CA3D5A"/>
    <w:rsid w:val="00CA4316"/>
    <w:rsid w:val="00CA4C45"/>
    <w:rsid w:val="00CA4C7C"/>
    <w:rsid w:val="00CA651F"/>
    <w:rsid w:val="00CA7576"/>
    <w:rsid w:val="00CA7C00"/>
    <w:rsid w:val="00CB00B6"/>
    <w:rsid w:val="00CB0183"/>
    <w:rsid w:val="00CB0954"/>
    <w:rsid w:val="00CB191C"/>
    <w:rsid w:val="00CB1EA3"/>
    <w:rsid w:val="00CB2F66"/>
    <w:rsid w:val="00CB318B"/>
    <w:rsid w:val="00CB378A"/>
    <w:rsid w:val="00CB50CC"/>
    <w:rsid w:val="00CB552C"/>
    <w:rsid w:val="00CB5BBF"/>
    <w:rsid w:val="00CB649E"/>
    <w:rsid w:val="00CB69E4"/>
    <w:rsid w:val="00CB6A9E"/>
    <w:rsid w:val="00CB6CA3"/>
    <w:rsid w:val="00CC029D"/>
    <w:rsid w:val="00CC05E5"/>
    <w:rsid w:val="00CC0F83"/>
    <w:rsid w:val="00CC0F97"/>
    <w:rsid w:val="00CC1688"/>
    <w:rsid w:val="00CC3E06"/>
    <w:rsid w:val="00CC4427"/>
    <w:rsid w:val="00CC4A0C"/>
    <w:rsid w:val="00CC4DF7"/>
    <w:rsid w:val="00CC5346"/>
    <w:rsid w:val="00CC6045"/>
    <w:rsid w:val="00CC6181"/>
    <w:rsid w:val="00CC7C89"/>
    <w:rsid w:val="00CD010C"/>
    <w:rsid w:val="00CD1482"/>
    <w:rsid w:val="00CD22BB"/>
    <w:rsid w:val="00CD2BCD"/>
    <w:rsid w:val="00CD36AA"/>
    <w:rsid w:val="00CD3791"/>
    <w:rsid w:val="00CD416C"/>
    <w:rsid w:val="00CD457B"/>
    <w:rsid w:val="00CD4967"/>
    <w:rsid w:val="00CD5239"/>
    <w:rsid w:val="00CD5625"/>
    <w:rsid w:val="00CD65B0"/>
    <w:rsid w:val="00CD6665"/>
    <w:rsid w:val="00CD7360"/>
    <w:rsid w:val="00CD7B84"/>
    <w:rsid w:val="00CE02CD"/>
    <w:rsid w:val="00CE0992"/>
    <w:rsid w:val="00CE0A13"/>
    <w:rsid w:val="00CE10E9"/>
    <w:rsid w:val="00CE1267"/>
    <w:rsid w:val="00CE21B5"/>
    <w:rsid w:val="00CE370C"/>
    <w:rsid w:val="00CE4F8C"/>
    <w:rsid w:val="00CE502F"/>
    <w:rsid w:val="00CE517D"/>
    <w:rsid w:val="00CE56C5"/>
    <w:rsid w:val="00CE6321"/>
    <w:rsid w:val="00CE69F8"/>
    <w:rsid w:val="00CF074D"/>
    <w:rsid w:val="00CF0EFB"/>
    <w:rsid w:val="00CF1957"/>
    <w:rsid w:val="00CF19AB"/>
    <w:rsid w:val="00CF2149"/>
    <w:rsid w:val="00CF222B"/>
    <w:rsid w:val="00CF27D6"/>
    <w:rsid w:val="00CF3445"/>
    <w:rsid w:val="00CF3671"/>
    <w:rsid w:val="00CF3F5F"/>
    <w:rsid w:val="00CF44CD"/>
    <w:rsid w:val="00CF4AFA"/>
    <w:rsid w:val="00CF537B"/>
    <w:rsid w:val="00CF7FD8"/>
    <w:rsid w:val="00D0072E"/>
    <w:rsid w:val="00D0085D"/>
    <w:rsid w:val="00D02D54"/>
    <w:rsid w:val="00D05E6A"/>
    <w:rsid w:val="00D06711"/>
    <w:rsid w:val="00D06F62"/>
    <w:rsid w:val="00D07711"/>
    <w:rsid w:val="00D108B3"/>
    <w:rsid w:val="00D12379"/>
    <w:rsid w:val="00D12C65"/>
    <w:rsid w:val="00D12E98"/>
    <w:rsid w:val="00D13342"/>
    <w:rsid w:val="00D13571"/>
    <w:rsid w:val="00D13C9D"/>
    <w:rsid w:val="00D1468F"/>
    <w:rsid w:val="00D15727"/>
    <w:rsid w:val="00D16332"/>
    <w:rsid w:val="00D16335"/>
    <w:rsid w:val="00D17CAC"/>
    <w:rsid w:val="00D2008A"/>
    <w:rsid w:val="00D20EC3"/>
    <w:rsid w:val="00D216AB"/>
    <w:rsid w:val="00D22376"/>
    <w:rsid w:val="00D24010"/>
    <w:rsid w:val="00D24972"/>
    <w:rsid w:val="00D2515E"/>
    <w:rsid w:val="00D25BAA"/>
    <w:rsid w:val="00D25E56"/>
    <w:rsid w:val="00D26D28"/>
    <w:rsid w:val="00D2768F"/>
    <w:rsid w:val="00D278F2"/>
    <w:rsid w:val="00D27CEC"/>
    <w:rsid w:val="00D27D10"/>
    <w:rsid w:val="00D3078F"/>
    <w:rsid w:val="00D308ED"/>
    <w:rsid w:val="00D310B3"/>
    <w:rsid w:val="00D32C91"/>
    <w:rsid w:val="00D33B20"/>
    <w:rsid w:val="00D33DFD"/>
    <w:rsid w:val="00D409E0"/>
    <w:rsid w:val="00D40DE1"/>
    <w:rsid w:val="00D422B4"/>
    <w:rsid w:val="00D43A23"/>
    <w:rsid w:val="00D43F45"/>
    <w:rsid w:val="00D44638"/>
    <w:rsid w:val="00D44773"/>
    <w:rsid w:val="00D448A6"/>
    <w:rsid w:val="00D4734C"/>
    <w:rsid w:val="00D47A5F"/>
    <w:rsid w:val="00D5052D"/>
    <w:rsid w:val="00D5058B"/>
    <w:rsid w:val="00D5084E"/>
    <w:rsid w:val="00D510C0"/>
    <w:rsid w:val="00D513D6"/>
    <w:rsid w:val="00D51E7B"/>
    <w:rsid w:val="00D5376D"/>
    <w:rsid w:val="00D53C51"/>
    <w:rsid w:val="00D5563B"/>
    <w:rsid w:val="00D55C99"/>
    <w:rsid w:val="00D56178"/>
    <w:rsid w:val="00D569A7"/>
    <w:rsid w:val="00D56CF0"/>
    <w:rsid w:val="00D56F5C"/>
    <w:rsid w:val="00D570E8"/>
    <w:rsid w:val="00D57D9C"/>
    <w:rsid w:val="00D60504"/>
    <w:rsid w:val="00D605E7"/>
    <w:rsid w:val="00D6143B"/>
    <w:rsid w:val="00D61CFC"/>
    <w:rsid w:val="00D622E7"/>
    <w:rsid w:val="00D64725"/>
    <w:rsid w:val="00D64B6A"/>
    <w:rsid w:val="00D64D07"/>
    <w:rsid w:val="00D65F80"/>
    <w:rsid w:val="00D668B9"/>
    <w:rsid w:val="00D66A66"/>
    <w:rsid w:val="00D674C9"/>
    <w:rsid w:val="00D70192"/>
    <w:rsid w:val="00D704B1"/>
    <w:rsid w:val="00D70B63"/>
    <w:rsid w:val="00D7187C"/>
    <w:rsid w:val="00D71A2E"/>
    <w:rsid w:val="00D727CB"/>
    <w:rsid w:val="00D72B92"/>
    <w:rsid w:val="00D72ED4"/>
    <w:rsid w:val="00D739BA"/>
    <w:rsid w:val="00D73F61"/>
    <w:rsid w:val="00D7455A"/>
    <w:rsid w:val="00D74B1A"/>
    <w:rsid w:val="00D754C0"/>
    <w:rsid w:val="00D7664E"/>
    <w:rsid w:val="00D77304"/>
    <w:rsid w:val="00D776A2"/>
    <w:rsid w:val="00D801C4"/>
    <w:rsid w:val="00D8072A"/>
    <w:rsid w:val="00D80C36"/>
    <w:rsid w:val="00D81E0A"/>
    <w:rsid w:val="00D82A05"/>
    <w:rsid w:val="00D8391E"/>
    <w:rsid w:val="00D858B5"/>
    <w:rsid w:val="00D90205"/>
    <w:rsid w:val="00D90836"/>
    <w:rsid w:val="00D91089"/>
    <w:rsid w:val="00D91494"/>
    <w:rsid w:val="00D928B4"/>
    <w:rsid w:val="00D92B42"/>
    <w:rsid w:val="00D93099"/>
    <w:rsid w:val="00D9358A"/>
    <w:rsid w:val="00D93765"/>
    <w:rsid w:val="00D93962"/>
    <w:rsid w:val="00D94080"/>
    <w:rsid w:val="00D95248"/>
    <w:rsid w:val="00D957DA"/>
    <w:rsid w:val="00D95896"/>
    <w:rsid w:val="00D95CC6"/>
    <w:rsid w:val="00D962AF"/>
    <w:rsid w:val="00DA0E9A"/>
    <w:rsid w:val="00DA1888"/>
    <w:rsid w:val="00DA268B"/>
    <w:rsid w:val="00DA2DA3"/>
    <w:rsid w:val="00DA2FBA"/>
    <w:rsid w:val="00DA38FB"/>
    <w:rsid w:val="00DA4D84"/>
    <w:rsid w:val="00DA6615"/>
    <w:rsid w:val="00DA6A73"/>
    <w:rsid w:val="00DA6DE1"/>
    <w:rsid w:val="00DA76AE"/>
    <w:rsid w:val="00DA7AD6"/>
    <w:rsid w:val="00DB0831"/>
    <w:rsid w:val="00DB09D9"/>
    <w:rsid w:val="00DB142E"/>
    <w:rsid w:val="00DB181E"/>
    <w:rsid w:val="00DB1C7A"/>
    <w:rsid w:val="00DB1C91"/>
    <w:rsid w:val="00DB2561"/>
    <w:rsid w:val="00DB2983"/>
    <w:rsid w:val="00DB343D"/>
    <w:rsid w:val="00DB42E8"/>
    <w:rsid w:val="00DB477E"/>
    <w:rsid w:val="00DB48E3"/>
    <w:rsid w:val="00DB4DB7"/>
    <w:rsid w:val="00DB5579"/>
    <w:rsid w:val="00DB5CFE"/>
    <w:rsid w:val="00DB6511"/>
    <w:rsid w:val="00DB6A7E"/>
    <w:rsid w:val="00DB7EC2"/>
    <w:rsid w:val="00DC034C"/>
    <w:rsid w:val="00DC36F8"/>
    <w:rsid w:val="00DC4476"/>
    <w:rsid w:val="00DC4734"/>
    <w:rsid w:val="00DC5130"/>
    <w:rsid w:val="00DC5743"/>
    <w:rsid w:val="00DC599C"/>
    <w:rsid w:val="00DC72A6"/>
    <w:rsid w:val="00DC7DDC"/>
    <w:rsid w:val="00DD1E1C"/>
    <w:rsid w:val="00DD1E9C"/>
    <w:rsid w:val="00DD2113"/>
    <w:rsid w:val="00DD265E"/>
    <w:rsid w:val="00DD3872"/>
    <w:rsid w:val="00DD3FC1"/>
    <w:rsid w:val="00DD412C"/>
    <w:rsid w:val="00DD42D3"/>
    <w:rsid w:val="00DD4578"/>
    <w:rsid w:val="00DD4FCA"/>
    <w:rsid w:val="00DD684A"/>
    <w:rsid w:val="00DD6C8D"/>
    <w:rsid w:val="00DE01B2"/>
    <w:rsid w:val="00DE06FF"/>
    <w:rsid w:val="00DE0857"/>
    <w:rsid w:val="00DE194C"/>
    <w:rsid w:val="00DE22D4"/>
    <w:rsid w:val="00DE2954"/>
    <w:rsid w:val="00DE2BE9"/>
    <w:rsid w:val="00DE344C"/>
    <w:rsid w:val="00DE46C7"/>
    <w:rsid w:val="00DE510E"/>
    <w:rsid w:val="00DE755B"/>
    <w:rsid w:val="00DE7963"/>
    <w:rsid w:val="00DE7F0F"/>
    <w:rsid w:val="00DF1930"/>
    <w:rsid w:val="00DF309E"/>
    <w:rsid w:val="00DF3C6A"/>
    <w:rsid w:val="00DF41FC"/>
    <w:rsid w:val="00DF4259"/>
    <w:rsid w:val="00DF50B0"/>
    <w:rsid w:val="00DF514A"/>
    <w:rsid w:val="00DF5C7D"/>
    <w:rsid w:val="00DF673C"/>
    <w:rsid w:val="00DF6D5F"/>
    <w:rsid w:val="00DF73D2"/>
    <w:rsid w:val="00DF7817"/>
    <w:rsid w:val="00E00281"/>
    <w:rsid w:val="00E00558"/>
    <w:rsid w:val="00E0358D"/>
    <w:rsid w:val="00E045B3"/>
    <w:rsid w:val="00E048C8"/>
    <w:rsid w:val="00E04EF3"/>
    <w:rsid w:val="00E06327"/>
    <w:rsid w:val="00E072C0"/>
    <w:rsid w:val="00E0770D"/>
    <w:rsid w:val="00E10CA4"/>
    <w:rsid w:val="00E10F66"/>
    <w:rsid w:val="00E12DB4"/>
    <w:rsid w:val="00E12EB7"/>
    <w:rsid w:val="00E1384F"/>
    <w:rsid w:val="00E13CED"/>
    <w:rsid w:val="00E14621"/>
    <w:rsid w:val="00E150CF"/>
    <w:rsid w:val="00E1666D"/>
    <w:rsid w:val="00E16A91"/>
    <w:rsid w:val="00E16C23"/>
    <w:rsid w:val="00E17004"/>
    <w:rsid w:val="00E170E3"/>
    <w:rsid w:val="00E17235"/>
    <w:rsid w:val="00E17E5E"/>
    <w:rsid w:val="00E2064B"/>
    <w:rsid w:val="00E217BE"/>
    <w:rsid w:val="00E219CC"/>
    <w:rsid w:val="00E21E86"/>
    <w:rsid w:val="00E22245"/>
    <w:rsid w:val="00E244C3"/>
    <w:rsid w:val="00E24A64"/>
    <w:rsid w:val="00E24BC8"/>
    <w:rsid w:val="00E25239"/>
    <w:rsid w:val="00E2630A"/>
    <w:rsid w:val="00E2658E"/>
    <w:rsid w:val="00E265B1"/>
    <w:rsid w:val="00E275B0"/>
    <w:rsid w:val="00E27FE6"/>
    <w:rsid w:val="00E309D5"/>
    <w:rsid w:val="00E33EAA"/>
    <w:rsid w:val="00E34912"/>
    <w:rsid w:val="00E34E64"/>
    <w:rsid w:val="00E353B2"/>
    <w:rsid w:val="00E358F0"/>
    <w:rsid w:val="00E369FB"/>
    <w:rsid w:val="00E375B1"/>
    <w:rsid w:val="00E37ADC"/>
    <w:rsid w:val="00E406D4"/>
    <w:rsid w:val="00E412D0"/>
    <w:rsid w:val="00E42973"/>
    <w:rsid w:val="00E42A30"/>
    <w:rsid w:val="00E43B94"/>
    <w:rsid w:val="00E45637"/>
    <w:rsid w:val="00E458B7"/>
    <w:rsid w:val="00E465AC"/>
    <w:rsid w:val="00E468B9"/>
    <w:rsid w:val="00E46D62"/>
    <w:rsid w:val="00E47CDB"/>
    <w:rsid w:val="00E511F2"/>
    <w:rsid w:val="00E5459D"/>
    <w:rsid w:val="00E548BF"/>
    <w:rsid w:val="00E55467"/>
    <w:rsid w:val="00E55A71"/>
    <w:rsid w:val="00E566BC"/>
    <w:rsid w:val="00E56A4E"/>
    <w:rsid w:val="00E56F88"/>
    <w:rsid w:val="00E57B6A"/>
    <w:rsid w:val="00E57E62"/>
    <w:rsid w:val="00E60982"/>
    <w:rsid w:val="00E60C8D"/>
    <w:rsid w:val="00E6118A"/>
    <w:rsid w:val="00E614E2"/>
    <w:rsid w:val="00E6162F"/>
    <w:rsid w:val="00E62476"/>
    <w:rsid w:val="00E62C8D"/>
    <w:rsid w:val="00E6311B"/>
    <w:rsid w:val="00E631E8"/>
    <w:rsid w:val="00E63247"/>
    <w:rsid w:val="00E635C6"/>
    <w:rsid w:val="00E64571"/>
    <w:rsid w:val="00E65D0F"/>
    <w:rsid w:val="00E65D97"/>
    <w:rsid w:val="00E673BE"/>
    <w:rsid w:val="00E679E2"/>
    <w:rsid w:val="00E67EFD"/>
    <w:rsid w:val="00E702DC"/>
    <w:rsid w:val="00E71FFB"/>
    <w:rsid w:val="00E73138"/>
    <w:rsid w:val="00E741A6"/>
    <w:rsid w:val="00E74427"/>
    <w:rsid w:val="00E751F2"/>
    <w:rsid w:val="00E75DC1"/>
    <w:rsid w:val="00E76CCC"/>
    <w:rsid w:val="00E76D1D"/>
    <w:rsid w:val="00E80222"/>
    <w:rsid w:val="00E806F8"/>
    <w:rsid w:val="00E809EF"/>
    <w:rsid w:val="00E80C96"/>
    <w:rsid w:val="00E80FE0"/>
    <w:rsid w:val="00E81CD7"/>
    <w:rsid w:val="00E829C3"/>
    <w:rsid w:val="00E830BC"/>
    <w:rsid w:val="00E841DD"/>
    <w:rsid w:val="00E8606E"/>
    <w:rsid w:val="00E86788"/>
    <w:rsid w:val="00E86BA6"/>
    <w:rsid w:val="00E873D5"/>
    <w:rsid w:val="00E87752"/>
    <w:rsid w:val="00E8793B"/>
    <w:rsid w:val="00E87A37"/>
    <w:rsid w:val="00E90C21"/>
    <w:rsid w:val="00E90DB2"/>
    <w:rsid w:val="00E90EDE"/>
    <w:rsid w:val="00E90F81"/>
    <w:rsid w:val="00E91688"/>
    <w:rsid w:val="00E91A6D"/>
    <w:rsid w:val="00E91BF6"/>
    <w:rsid w:val="00E91C9D"/>
    <w:rsid w:val="00E92365"/>
    <w:rsid w:val="00E9242D"/>
    <w:rsid w:val="00E929C1"/>
    <w:rsid w:val="00E9302F"/>
    <w:rsid w:val="00E9419B"/>
    <w:rsid w:val="00E942CE"/>
    <w:rsid w:val="00E945EB"/>
    <w:rsid w:val="00E965E0"/>
    <w:rsid w:val="00E9770F"/>
    <w:rsid w:val="00E977CD"/>
    <w:rsid w:val="00EA0229"/>
    <w:rsid w:val="00EA051F"/>
    <w:rsid w:val="00EA20B5"/>
    <w:rsid w:val="00EA2FE7"/>
    <w:rsid w:val="00EA3925"/>
    <w:rsid w:val="00EA5336"/>
    <w:rsid w:val="00EA5E48"/>
    <w:rsid w:val="00EA6476"/>
    <w:rsid w:val="00EA7CD6"/>
    <w:rsid w:val="00EB041C"/>
    <w:rsid w:val="00EB0C91"/>
    <w:rsid w:val="00EB2037"/>
    <w:rsid w:val="00EB31D9"/>
    <w:rsid w:val="00EB4A30"/>
    <w:rsid w:val="00EB575A"/>
    <w:rsid w:val="00EB5A85"/>
    <w:rsid w:val="00EB5C2F"/>
    <w:rsid w:val="00EB621E"/>
    <w:rsid w:val="00EB6749"/>
    <w:rsid w:val="00EB7958"/>
    <w:rsid w:val="00EC031D"/>
    <w:rsid w:val="00EC0F10"/>
    <w:rsid w:val="00EC18EE"/>
    <w:rsid w:val="00EC1ABD"/>
    <w:rsid w:val="00EC1AD8"/>
    <w:rsid w:val="00EC1F6A"/>
    <w:rsid w:val="00EC217B"/>
    <w:rsid w:val="00EC2D60"/>
    <w:rsid w:val="00EC328C"/>
    <w:rsid w:val="00EC3852"/>
    <w:rsid w:val="00EC3BF6"/>
    <w:rsid w:val="00EC3CAA"/>
    <w:rsid w:val="00EC419B"/>
    <w:rsid w:val="00EC5874"/>
    <w:rsid w:val="00EC7C54"/>
    <w:rsid w:val="00EC7F4A"/>
    <w:rsid w:val="00ED0680"/>
    <w:rsid w:val="00ED1131"/>
    <w:rsid w:val="00ED192D"/>
    <w:rsid w:val="00ED2D7E"/>
    <w:rsid w:val="00ED30B4"/>
    <w:rsid w:val="00ED31F5"/>
    <w:rsid w:val="00ED47B9"/>
    <w:rsid w:val="00ED54F9"/>
    <w:rsid w:val="00ED6DE9"/>
    <w:rsid w:val="00ED70B6"/>
    <w:rsid w:val="00ED726E"/>
    <w:rsid w:val="00ED75AA"/>
    <w:rsid w:val="00EE1707"/>
    <w:rsid w:val="00EE1ECD"/>
    <w:rsid w:val="00EE2774"/>
    <w:rsid w:val="00EE2EB8"/>
    <w:rsid w:val="00EE3F60"/>
    <w:rsid w:val="00EE411F"/>
    <w:rsid w:val="00EE4E90"/>
    <w:rsid w:val="00EE677E"/>
    <w:rsid w:val="00EE70AA"/>
    <w:rsid w:val="00EF07E6"/>
    <w:rsid w:val="00EF1111"/>
    <w:rsid w:val="00EF21DA"/>
    <w:rsid w:val="00EF2759"/>
    <w:rsid w:val="00EF4006"/>
    <w:rsid w:val="00EF45EB"/>
    <w:rsid w:val="00EF5099"/>
    <w:rsid w:val="00EF5E33"/>
    <w:rsid w:val="00EF647E"/>
    <w:rsid w:val="00EF6CDB"/>
    <w:rsid w:val="00EF775C"/>
    <w:rsid w:val="00EF7DE1"/>
    <w:rsid w:val="00F00075"/>
    <w:rsid w:val="00F003E8"/>
    <w:rsid w:val="00F005B2"/>
    <w:rsid w:val="00F00C8F"/>
    <w:rsid w:val="00F00ED2"/>
    <w:rsid w:val="00F02C20"/>
    <w:rsid w:val="00F0334A"/>
    <w:rsid w:val="00F03571"/>
    <w:rsid w:val="00F0412A"/>
    <w:rsid w:val="00F05CDF"/>
    <w:rsid w:val="00F0630D"/>
    <w:rsid w:val="00F06533"/>
    <w:rsid w:val="00F06862"/>
    <w:rsid w:val="00F07822"/>
    <w:rsid w:val="00F10925"/>
    <w:rsid w:val="00F10AA8"/>
    <w:rsid w:val="00F13384"/>
    <w:rsid w:val="00F142B9"/>
    <w:rsid w:val="00F14DDB"/>
    <w:rsid w:val="00F1560A"/>
    <w:rsid w:val="00F15C95"/>
    <w:rsid w:val="00F161EF"/>
    <w:rsid w:val="00F20242"/>
    <w:rsid w:val="00F20615"/>
    <w:rsid w:val="00F22985"/>
    <w:rsid w:val="00F2392D"/>
    <w:rsid w:val="00F241AB"/>
    <w:rsid w:val="00F243E1"/>
    <w:rsid w:val="00F255A7"/>
    <w:rsid w:val="00F26269"/>
    <w:rsid w:val="00F267C5"/>
    <w:rsid w:val="00F30004"/>
    <w:rsid w:val="00F30984"/>
    <w:rsid w:val="00F31382"/>
    <w:rsid w:val="00F31D9F"/>
    <w:rsid w:val="00F324DF"/>
    <w:rsid w:val="00F342AB"/>
    <w:rsid w:val="00F35210"/>
    <w:rsid w:val="00F35829"/>
    <w:rsid w:val="00F35DA9"/>
    <w:rsid w:val="00F3613E"/>
    <w:rsid w:val="00F36339"/>
    <w:rsid w:val="00F36922"/>
    <w:rsid w:val="00F37093"/>
    <w:rsid w:val="00F37491"/>
    <w:rsid w:val="00F3759B"/>
    <w:rsid w:val="00F37A95"/>
    <w:rsid w:val="00F37E49"/>
    <w:rsid w:val="00F40556"/>
    <w:rsid w:val="00F40734"/>
    <w:rsid w:val="00F41B87"/>
    <w:rsid w:val="00F42612"/>
    <w:rsid w:val="00F42868"/>
    <w:rsid w:val="00F42AE6"/>
    <w:rsid w:val="00F42CAF"/>
    <w:rsid w:val="00F43971"/>
    <w:rsid w:val="00F441B6"/>
    <w:rsid w:val="00F45E84"/>
    <w:rsid w:val="00F465A7"/>
    <w:rsid w:val="00F466C0"/>
    <w:rsid w:val="00F47BCB"/>
    <w:rsid w:val="00F50A17"/>
    <w:rsid w:val="00F50B7C"/>
    <w:rsid w:val="00F50B90"/>
    <w:rsid w:val="00F5202D"/>
    <w:rsid w:val="00F52CF6"/>
    <w:rsid w:val="00F52D39"/>
    <w:rsid w:val="00F53B4F"/>
    <w:rsid w:val="00F53CF9"/>
    <w:rsid w:val="00F54496"/>
    <w:rsid w:val="00F544C0"/>
    <w:rsid w:val="00F54894"/>
    <w:rsid w:val="00F548DA"/>
    <w:rsid w:val="00F55C1A"/>
    <w:rsid w:val="00F55D09"/>
    <w:rsid w:val="00F5762A"/>
    <w:rsid w:val="00F57712"/>
    <w:rsid w:val="00F57D13"/>
    <w:rsid w:val="00F61097"/>
    <w:rsid w:val="00F65135"/>
    <w:rsid w:val="00F65898"/>
    <w:rsid w:val="00F70094"/>
    <w:rsid w:val="00F70795"/>
    <w:rsid w:val="00F739C4"/>
    <w:rsid w:val="00F73D0A"/>
    <w:rsid w:val="00F74345"/>
    <w:rsid w:val="00F7435D"/>
    <w:rsid w:val="00F74441"/>
    <w:rsid w:val="00F7463C"/>
    <w:rsid w:val="00F74FBD"/>
    <w:rsid w:val="00F75065"/>
    <w:rsid w:val="00F75C94"/>
    <w:rsid w:val="00F75EA3"/>
    <w:rsid w:val="00F76E78"/>
    <w:rsid w:val="00F76EF1"/>
    <w:rsid w:val="00F77601"/>
    <w:rsid w:val="00F77E70"/>
    <w:rsid w:val="00F77F30"/>
    <w:rsid w:val="00F805BF"/>
    <w:rsid w:val="00F80A48"/>
    <w:rsid w:val="00F824E7"/>
    <w:rsid w:val="00F82589"/>
    <w:rsid w:val="00F82B19"/>
    <w:rsid w:val="00F84B36"/>
    <w:rsid w:val="00F85ADB"/>
    <w:rsid w:val="00F9032C"/>
    <w:rsid w:val="00F90AA7"/>
    <w:rsid w:val="00F90C20"/>
    <w:rsid w:val="00F9212D"/>
    <w:rsid w:val="00F922D6"/>
    <w:rsid w:val="00F94902"/>
    <w:rsid w:val="00F950A8"/>
    <w:rsid w:val="00F955F7"/>
    <w:rsid w:val="00F95C10"/>
    <w:rsid w:val="00F963E9"/>
    <w:rsid w:val="00F970A0"/>
    <w:rsid w:val="00FA04C1"/>
    <w:rsid w:val="00FA0C80"/>
    <w:rsid w:val="00FA2E73"/>
    <w:rsid w:val="00FA301A"/>
    <w:rsid w:val="00FA406A"/>
    <w:rsid w:val="00FA51A7"/>
    <w:rsid w:val="00FA52C6"/>
    <w:rsid w:val="00FA57F0"/>
    <w:rsid w:val="00FA5CB6"/>
    <w:rsid w:val="00FA5FE2"/>
    <w:rsid w:val="00FA70D0"/>
    <w:rsid w:val="00FB0A1A"/>
    <w:rsid w:val="00FB3316"/>
    <w:rsid w:val="00FB4C2A"/>
    <w:rsid w:val="00FB52A6"/>
    <w:rsid w:val="00FB5461"/>
    <w:rsid w:val="00FB5C27"/>
    <w:rsid w:val="00FB6531"/>
    <w:rsid w:val="00FB6E16"/>
    <w:rsid w:val="00FB6FA4"/>
    <w:rsid w:val="00FC2D51"/>
    <w:rsid w:val="00FC3E69"/>
    <w:rsid w:val="00FC49C8"/>
    <w:rsid w:val="00FC62D3"/>
    <w:rsid w:val="00FC66AC"/>
    <w:rsid w:val="00FD000A"/>
    <w:rsid w:val="00FD18F4"/>
    <w:rsid w:val="00FD1CB0"/>
    <w:rsid w:val="00FD377A"/>
    <w:rsid w:val="00FD3A2E"/>
    <w:rsid w:val="00FD4309"/>
    <w:rsid w:val="00FD498D"/>
    <w:rsid w:val="00FD582F"/>
    <w:rsid w:val="00FD694E"/>
    <w:rsid w:val="00FD7040"/>
    <w:rsid w:val="00FD74B4"/>
    <w:rsid w:val="00FE0450"/>
    <w:rsid w:val="00FE24B5"/>
    <w:rsid w:val="00FE24E9"/>
    <w:rsid w:val="00FE4091"/>
    <w:rsid w:val="00FE54F2"/>
    <w:rsid w:val="00FE70A3"/>
    <w:rsid w:val="00FE7AEA"/>
    <w:rsid w:val="00FE7DFE"/>
    <w:rsid w:val="00FF194C"/>
    <w:rsid w:val="00FF2B9B"/>
    <w:rsid w:val="00FF3101"/>
    <w:rsid w:val="00FF387B"/>
    <w:rsid w:val="00FF4E09"/>
    <w:rsid w:val="00FF592E"/>
    <w:rsid w:val="00FF5CDE"/>
    <w:rsid w:val="00FF6A02"/>
    <w:rsid w:val="00FF6CE4"/>
    <w:rsid w:val="00FF6E7B"/>
    <w:rsid w:val="00FF6FCE"/>
    <w:rsid w:val="00FF7518"/>
    <w:rsid w:val="00FF7FD8"/>
    <w:rsid w:val="0112260E"/>
    <w:rsid w:val="01150FBC"/>
    <w:rsid w:val="01182082"/>
    <w:rsid w:val="011E3A39"/>
    <w:rsid w:val="012313A8"/>
    <w:rsid w:val="01255120"/>
    <w:rsid w:val="01265E18"/>
    <w:rsid w:val="01276727"/>
    <w:rsid w:val="01280FC4"/>
    <w:rsid w:val="012F41F1"/>
    <w:rsid w:val="01300FFB"/>
    <w:rsid w:val="013E4434"/>
    <w:rsid w:val="013F6AE2"/>
    <w:rsid w:val="014A4B87"/>
    <w:rsid w:val="015050D8"/>
    <w:rsid w:val="01541175"/>
    <w:rsid w:val="01565C22"/>
    <w:rsid w:val="01584420"/>
    <w:rsid w:val="01595311"/>
    <w:rsid w:val="015C2B0C"/>
    <w:rsid w:val="015E29D7"/>
    <w:rsid w:val="016C7941"/>
    <w:rsid w:val="016F4458"/>
    <w:rsid w:val="01700729"/>
    <w:rsid w:val="0177545F"/>
    <w:rsid w:val="017E0FE0"/>
    <w:rsid w:val="018247C9"/>
    <w:rsid w:val="0188182A"/>
    <w:rsid w:val="018C11BF"/>
    <w:rsid w:val="018C519F"/>
    <w:rsid w:val="018D56D4"/>
    <w:rsid w:val="019A23DF"/>
    <w:rsid w:val="01AB1AB9"/>
    <w:rsid w:val="01B67BEA"/>
    <w:rsid w:val="01B93D4B"/>
    <w:rsid w:val="01B9698F"/>
    <w:rsid w:val="01BB639F"/>
    <w:rsid w:val="01BD35AB"/>
    <w:rsid w:val="01CC63CD"/>
    <w:rsid w:val="01CE3465"/>
    <w:rsid w:val="01CF4AAE"/>
    <w:rsid w:val="01CF67D2"/>
    <w:rsid w:val="01D16CBA"/>
    <w:rsid w:val="01DA0108"/>
    <w:rsid w:val="01E0421E"/>
    <w:rsid w:val="01E13ABB"/>
    <w:rsid w:val="01E1703D"/>
    <w:rsid w:val="01E46815"/>
    <w:rsid w:val="01E55B74"/>
    <w:rsid w:val="01E63B8D"/>
    <w:rsid w:val="01E76FCE"/>
    <w:rsid w:val="01F736DE"/>
    <w:rsid w:val="01F86CD9"/>
    <w:rsid w:val="02032CDB"/>
    <w:rsid w:val="020A6B8F"/>
    <w:rsid w:val="0213077F"/>
    <w:rsid w:val="0213231E"/>
    <w:rsid w:val="02157C56"/>
    <w:rsid w:val="02217FDE"/>
    <w:rsid w:val="02237986"/>
    <w:rsid w:val="02262316"/>
    <w:rsid w:val="02274EC8"/>
    <w:rsid w:val="02300221"/>
    <w:rsid w:val="0235025E"/>
    <w:rsid w:val="023615AF"/>
    <w:rsid w:val="023A4BFB"/>
    <w:rsid w:val="023C5B2D"/>
    <w:rsid w:val="023F0464"/>
    <w:rsid w:val="02423A44"/>
    <w:rsid w:val="02427865"/>
    <w:rsid w:val="024C0DD3"/>
    <w:rsid w:val="025008C3"/>
    <w:rsid w:val="02522AFE"/>
    <w:rsid w:val="02532161"/>
    <w:rsid w:val="02586C81"/>
    <w:rsid w:val="025F517D"/>
    <w:rsid w:val="026B74AB"/>
    <w:rsid w:val="026C6D7F"/>
    <w:rsid w:val="02746284"/>
    <w:rsid w:val="027C5FAC"/>
    <w:rsid w:val="027D7F6C"/>
    <w:rsid w:val="028642E4"/>
    <w:rsid w:val="028E4F47"/>
    <w:rsid w:val="02900CBF"/>
    <w:rsid w:val="029170F2"/>
    <w:rsid w:val="029435DB"/>
    <w:rsid w:val="029A14C8"/>
    <w:rsid w:val="029C03DA"/>
    <w:rsid w:val="02A86F1C"/>
    <w:rsid w:val="02A9789A"/>
    <w:rsid w:val="02AF2A64"/>
    <w:rsid w:val="02BE4F87"/>
    <w:rsid w:val="02C4662B"/>
    <w:rsid w:val="02C65001"/>
    <w:rsid w:val="02CA35A6"/>
    <w:rsid w:val="02D84414"/>
    <w:rsid w:val="02DA5648"/>
    <w:rsid w:val="02DC5CB3"/>
    <w:rsid w:val="02EB1122"/>
    <w:rsid w:val="02EB5557"/>
    <w:rsid w:val="02ED1EFF"/>
    <w:rsid w:val="02F560FE"/>
    <w:rsid w:val="02F81079"/>
    <w:rsid w:val="02F94AB6"/>
    <w:rsid w:val="02FB7DC2"/>
    <w:rsid w:val="03002801"/>
    <w:rsid w:val="0301396B"/>
    <w:rsid w:val="0308512A"/>
    <w:rsid w:val="030B000A"/>
    <w:rsid w:val="030D0562"/>
    <w:rsid w:val="030E3201"/>
    <w:rsid w:val="030E3394"/>
    <w:rsid w:val="030F3942"/>
    <w:rsid w:val="03165668"/>
    <w:rsid w:val="031775E2"/>
    <w:rsid w:val="031F2A5E"/>
    <w:rsid w:val="03262EC2"/>
    <w:rsid w:val="032C1B31"/>
    <w:rsid w:val="032D4C09"/>
    <w:rsid w:val="032E087B"/>
    <w:rsid w:val="0334133B"/>
    <w:rsid w:val="033C19C6"/>
    <w:rsid w:val="033E4249"/>
    <w:rsid w:val="033F7FFB"/>
    <w:rsid w:val="03425C39"/>
    <w:rsid w:val="03472318"/>
    <w:rsid w:val="034774B6"/>
    <w:rsid w:val="034A3564"/>
    <w:rsid w:val="034C72DC"/>
    <w:rsid w:val="034F1968"/>
    <w:rsid w:val="034F5CCA"/>
    <w:rsid w:val="0350174C"/>
    <w:rsid w:val="03525F75"/>
    <w:rsid w:val="03602D84"/>
    <w:rsid w:val="0362522B"/>
    <w:rsid w:val="036B3AD2"/>
    <w:rsid w:val="036F3880"/>
    <w:rsid w:val="03745A63"/>
    <w:rsid w:val="0386205B"/>
    <w:rsid w:val="03922815"/>
    <w:rsid w:val="03951303"/>
    <w:rsid w:val="03991CAB"/>
    <w:rsid w:val="03A10CAA"/>
    <w:rsid w:val="03A27A8B"/>
    <w:rsid w:val="03A657E2"/>
    <w:rsid w:val="03B029CE"/>
    <w:rsid w:val="03B67B13"/>
    <w:rsid w:val="03B92498"/>
    <w:rsid w:val="03BE2317"/>
    <w:rsid w:val="03C50E3C"/>
    <w:rsid w:val="03C95F2B"/>
    <w:rsid w:val="03CA5C6D"/>
    <w:rsid w:val="03CE5F43"/>
    <w:rsid w:val="03D0432E"/>
    <w:rsid w:val="03D1158F"/>
    <w:rsid w:val="03D26B72"/>
    <w:rsid w:val="03D66BA6"/>
    <w:rsid w:val="03E176DA"/>
    <w:rsid w:val="03E2625A"/>
    <w:rsid w:val="03E80687"/>
    <w:rsid w:val="03F457BE"/>
    <w:rsid w:val="03FF434E"/>
    <w:rsid w:val="03FF60FC"/>
    <w:rsid w:val="04003C23"/>
    <w:rsid w:val="04027DB1"/>
    <w:rsid w:val="04071455"/>
    <w:rsid w:val="04090C89"/>
    <w:rsid w:val="040C7E96"/>
    <w:rsid w:val="040F64E9"/>
    <w:rsid w:val="0421106D"/>
    <w:rsid w:val="04263D56"/>
    <w:rsid w:val="04272F31"/>
    <w:rsid w:val="042862C2"/>
    <w:rsid w:val="0431549E"/>
    <w:rsid w:val="04365896"/>
    <w:rsid w:val="043C435F"/>
    <w:rsid w:val="043D1DEA"/>
    <w:rsid w:val="04410295"/>
    <w:rsid w:val="04433A7C"/>
    <w:rsid w:val="044B0A36"/>
    <w:rsid w:val="045301F6"/>
    <w:rsid w:val="04561A95"/>
    <w:rsid w:val="04567CE7"/>
    <w:rsid w:val="04575F38"/>
    <w:rsid w:val="045A1585"/>
    <w:rsid w:val="046B4273"/>
    <w:rsid w:val="04712B5B"/>
    <w:rsid w:val="047A39D5"/>
    <w:rsid w:val="047C599F"/>
    <w:rsid w:val="047F5F7E"/>
    <w:rsid w:val="048135D8"/>
    <w:rsid w:val="04974650"/>
    <w:rsid w:val="049A47FA"/>
    <w:rsid w:val="049C7DEF"/>
    <w:rsid w:val="049D16DA"/>
    <w:rsid w:val="049D6FEC"/>
    <w:rsid w:val="04A07069"/>
    <w:rsid w:val="04A10F62"/>
    <w:rsid w:val="04A41872"/>
    <w:rsid w:val="04AA55A2"/>
    <w:rsid w:val="04B7113E"/>
    <w:rsid w:val="04BD7DCF"/>
    <w:rsid w:val="04C410F4"/>
    <w:rsid w:val="04C44C50"/>
    <w:rsid w:val="04D72BD5"/>
    <w:rsid w:val="04D752CD"/>
    <w:rsid w:val="04E725CA"/>
    <w:rsid w:val="04E801B8"/>
    <w:rsid w:val="04E857B3"/>
    <w:rsid w:val="04EB7B6E"/>
    <w:rsid w:val="04F05A45"/>
    <w:rsid w:val="04F1037F"/>
    <w:rsid w:val="04F1226D"/>
    <w:rsid w:val="04F33787"/>
    <w:rsid w:val="04FC263C"/>
    <w:rsid w:val="04FD31EC"/>
    <w:rsid w:val="05040EA8"/>
    <w:rsid w:val="050B287F"/>
    <w:rsid w:val="05137986"/>
    <w:rsid w:val="05184B8C"/>
    <w:rsid w:val="051B1D6A"/>
    <w:rsid w:val="0523432A"/>
    <w:rsid w:val="052965E8"/>
    <w:rsid w:val="052A7109"/>
    <w:rsid w:val="052E0EAF"/>
    <w:rsid w:val="053115AB"/>
    <w:rsid w:val="05324640"/>
    <w:rsid w:val="05377E8C"/>
    <w:rsid w:val="053C0C8A"/>
    <w:rsid w:val="054110A5"/>
    <w:rsid w:val="05440407"/>
    <w:rsid w:val="054647EB"/>
    <w:rsid w:val="05472E3A"/>
    <w:rsid w:val="05481060"/>
    <w:rsid w:val="054A39C1"/>
    <w:rsid w:val="054C356A"/>
    <w:rsid w:val="0559183C"/>
    <w:rsid w:val="055C30DB"/>
    <w:rsid w:val="055C6357"/>
    <w:rsid w:val="056321A1"/>
    <w:rsid w:val="05664F00"/>
    <w:rsid w:val="0568276B"/>
    <w:rsid w:val="056A5AED"/>
    <w:rsid w:val="056B197B"/>
    <w:rsid w:val="0573740F"/>
    <w:rsid w:val="05742AC8"/>
    <w:rsid w:val="05777F14"/>
    <w:rsid w:val="05861CA1"/>
    <w:rsid w:val="05877CE9"/>
    <w:rsid w:val="05883CAF"/>
    <w:rsid w:val="058E1943"/>
    <w:rsid w:val="05A33451"/>
    <w:rsid w:val="05B100A7"/>
    <w:rsid w:val="05B4603B"/>
    <w:rsid w:val="05B77E39"/>
    <w:rsid w:val="05BB520E"/>
    <w:rsid w:val="05BD7354"/>
    <w:rsid w:val="05C333E1"/>
    <w:rsid w:val="05C75093"/>
    <w:rsid w:val="05CD7846"/>
    <w:rsid w:val="05D16298"/>
    <w:rsid w:val="05D62E8D"/>
    <w:rsid w:val="05E11DE6"/>
    <w:rsid w:val="05E224F4"/>
    <w:rsid w:val="05E2541F"/>
    <w:rsid w:val="05E472C5"/>
    <w:rsid w:val="05E95D09"/>
    <w:rsid w:val="05EB7935"/>
    <w:rsid w:val="05ED43CB"/>
    <w:rsid w:val="05EE467B"/>
    <w:rsid w:val="05FA0650"/>
    <w:rsid w:val="0605425D"/>
    <w:rsid w:val="06077831"/>
    <w:rsid w:val="06110369"/>
    <w:rsid w:val="061E4834"/>
    <w:rsid w:val="061F1CFA"/>
    <w:rsid w:val="06224324"/>
    <w:rsid w:val="06296616"/>
    <w:rsid w:val="06304C93"/>
    <w:rsid w:val="06352F05"/>
    <w:rsid w:val="063A7370"/>
    <w:rsid w:val="063E7D85"/>
    <w:rsid w:val="0640213B"/>
    <w:rsid w:val="06422A77"/>
    <w:rsid w:val="06441EA1"/>
    <w:rsid w:val="064A5A9D"/>
    <w:rsid w:val="064C0931"/>
    <w:rsid w:val="064E3DBB"/>
    <w:rsid w:val="06581AF4"/>
    <w:rsid w:val="065F10D4"/>
    <w:rsid w:val="06606F4B"/>
    <w:rsid w:val="066C4167"/>
    <w:rsid w:val="0673692E"/>
    <w:rsid w:val="067853C1"/>
    <w:rsid w:val="06841983"/>
    <w:rsid w:val="06870A7B"/>
    <w:rsid w:val="068735E7"/>
    <w:rsid w:val="06930D7E"/>
    <w:rsid w:val="069856C4"/>
    <w:rsid w:val="06A116ED"/>
    <w:rsid w:val="06AB42F1"/>
    <w:rsid w:val="06AF2E40"/>
    <w:rsid w:val="06B233C8"/>
    <w:rsid w:val="06B50CF4"/>
    <w:rsid w:val="06B655E3"/>
    <w:rsid w:val="06BD3EF3"/>
    <w:rsid w:val="06BF4514"/>
    <w:rsid w:val="06C00787"/>
    <w:rsid w:val="06C158EB"/>
    <w:rsid w:val="06C23411"/>
    <w:rsid w:val="06C44619"/>
    <w:rsid w:val="06C67278"/>
    <w:rsid w:val="06CD3F1A"/>
    <w:rsid w:val="06D2012F"/>
    <w:rsid w:val="06D63F89"/>
    <w:rsid w:val="06D9375B"/>
    <w:rsid w:val="06E15416"/>
    <w:rsid w:val="06E25862"/>
    <w:rsid w:val="06ED0A44"/>
    <w:rsid w:val="06FE50C2"/>
    <w:rsid w:val="0701732C"/>
    <w:rsid w:val="070875E0"/>
    <w:rsid w:val="07145A92"/>
    <w:rsid w:val="07150F11"/>
    <w:rsid w:val="07177C01"/>
    <w:rsid w:val="072440CC"/>
    <w:rsid w:val="0727020E"/>
    <w:rsid w:val="07283BBC"/>
    <w:rsid w:val="07293586"/>
    <w:rsid w:val="07295285"/>
    <w:rsid w:val="072F7F6B"/>
    <w:rsid w:val="07320597"/>
    <w:rsid w:val="0733404E"/>
    <w:rsid w:val="073A7112"/>
    <w:rsid w:val="073A744C"/>
    <w:rsid w:val="074107DA"/>
    <w:rsid w:val="07422B81"/>
    <w:rsid w:val="0745733E"/>
    <w:rsid w:val="074A598A"/>
    <w:rsid w:val="074E26DC"/>
    <w:rsid w:val="075B3CDC"/>
    <w:rsid w:val="075E313A"/>
    <w:rsid w:val="07624CEB"/>
    <w:rsid w:val="076444C8"/>
    <w:rsid w:val="07657F8D"/>
    <w:rsid w:val="076C320F"/>
    <w:rsid w:val="076E1337"/>
    <w:rsid w:val="07702FD7"/>
    <w:rsid w:val="077614EF"/>
    <w:rsid w:val="07770C56"/>
    <w:rsid w:val="077F1302"/>
    <w:rsid w:val="079059C0"/>
    <w:rsid w:val="07923FC7"/>
    <w:rsid w:val="07926422"/>
    <w:rsid w:val="079C7CF4"/>
    <w:rsid w:val="07A20810"/>
    <w:rsid w:val="07B2792A"/>
    <w:rsid w:val="07B92A66"/>
    <w:rsid w:val="07BA2D37"/>
    <w:rsid w:val="07BC2556"/>
    <w:rsid w:val="07BE1E2B"/>
    <w:rsid w:val="07BE57A5"/>
    <w:rsid w:val="07BF120C"/>
    <w:rsid w:val="07C76B1D"/>
    <w:rsid w:val="07CA04D7"/>
    <w:rsid w:val="07CF5DE6"/>
    <w:rsid w:val="07D07E0B"/>
    <w:rsid w:val="07D1444C"/>
    <w:rsid w:val="07D33DD5"/>
    <w:rsid w:val="07D35F4B"/>
    <w:rsid w:val="07D7015E"/>
    <w:rsid w:val="07DE427B"/>
    <w:rsid w:val="07E16F02"/>
    <w:rsid w:val="07E8634C"/>
    <w:rsid w:val="07E94EC9"/>
    <w:rsid w:val="07EE5081"/>
    <w:rsid w:val="07F13FAE"/>
    <w:rsid w:val="07F67DEC"/>
    <w:rsid w:val="07F86E1A"/>
    <w:rsid w:val="07F92E63"/>
    <w:rsid w:val="07FB156F"/>
    <w:rsid w:val="07FB6BDB"/>
    <w:rsid w:val="08045EF0"/>
    <w:rsid w:val="08067DD7"/>
    <w:rsid w:val="080D2DF0"/>
    <w:rsid w:val="08154140"/>
    <w:rsid w:val="0820558E"/>
    <w:rsid w:val="08303709"/>
    <w:rsid w:val="08320BD9"/>
    <w:rsid w:val="08365E65"/>
    <w:rsid w:val="083831ED"/>
    <w:rsid w:val="084542FA"/>
    <w:rsid w:val="084C38DA"/>
    <w:rsid w:val="084E7652"/>
    <w:rsid w:val="084F4F9C"/>
    <w:rsid w:val="085207C5"/>
    <w:rsid w:val="08580675"/>
    <w:rsid w:val="0859290B"/>
    <w:rsid w:val="085A5FF7"/>
    <w:rsid w:val="085D6C95"/>
    <w:rsid w:val="085F3279"/>
    <w:rsid w:val="086230FE"/>
    <w:rsid w:val="086E3D7C"/>
    <w:rsid w:val="0870008F"/>
    <w:rsid w:val="08747E30"/>
    <w:rsid w:val="0877764E"/>
    <w:rsid w:val="0880036D"/>
    <w:rsid w:val="088E2AAB"/>
    <w:rsid w:val="088E4AF8"/>
    <w:rsid w:val="08934E00"/>
    <w:rsid w:val="08967A37"/>
    <w:rsid w:val="08993337"/>
    <w:rsid w:val="0899684F"/>
    <w:rsid w:val="08A33D84"/>
    <w:rsid w:val="08A76097"/>
    <w:rsid w:val="08A96637"/>
    <w:rsid w:val="08B06DDF"/>
    <w:rsid w:val="08B125BC"/>
    <w:rsid w:val="08B27741"/>
    <w:rsid w:val="08B3303D"/>
    <w:rsid w:val="08BE38A3"/>
    <w:rsid w:val="08C47915"/>
    <w:rsid w:val="08C763F9"/>
    <w:rsid w:val="08C92209"/>
    <w:rsid w:val="08CE1E5E"/>
    <w:rsid w:val="08D552E3"/>
    <w:rsid w:val="08D636C0"/>
    <w:rsid w:val="08DB1EE7"/>
    <w:rsid w:val="08E56B67"/>
    <w:rsid w:val="08E7522D"/>
    <w:rsid w:val="08E87224"/>
    <w:rsid w:val="08F15A6E"/>
    <w:rsid w:val="08FF257B"/>
    <w:rsid w:val="090D304E"/>
    <w:rsid w:val="09160BDF"/>
    <w:rsid w:val="09177B8D"/>
    <w:rsid w:val="091E5DB6"/>
    <w:rsid w:val="0922052F"/>
    <w:rsid w:val="092217DD"/>
    <w:rsid w:val="0928231C"/>
    <w:rsid w:val="092D370C"/>
    <w:rsid w:val="093A7294"/>
    <w:rsid w:val="09440A55"/>
    <w:rsid w:val="09442803"/>
    <w:rsid w:val="0948037C"/>
    <w:rsid w:val="09483036"/>
    <w:rsid w:val="094C0D6C"/>
    <w:rsid w:val="0958005D"/>
    <w:rsid w:val="09581E0B"/>
    <w:rsid w:val="095C2F75"/>
    <w:rsid w:val="096472DA"/>
    <w:rsid w:val="09677513"/>
    <w:rsid w:val="09682C0D"/>
    <w:rsid w:val="096C3E9A"/>
    <w:rsid w:val="096C444A"/>
    <w:rsid w:val="097332C3"/>
    <w:rsid w:val="097E2434"/>
    <w:rsid w:val="097E7AC3"/>
    <w:rsid w:val="09906637"/>
    <w:rsid w:val="099159BD"/>
    <w:rsid w:val="0992356F"/>
    <w:rsid w:val="099D0A2F"/>
    <w:rsid w:val="099D5A8C"/>
    <w:rsid w:val="09A300B6"/>
    <w:rsid w:val="09A57231"/>
    <w:rsid w:val="09A80026"/>
    <w:rsid w:val="09B263BB"/>
    <w:rsid w:val="09B35ABF"/>
    <w:rsid w:val="09B76890"/>
    <w:rsid w:val="09B84932"/>
    <w:rsid w:val="09C536EF"/>
    <w:rsid w:val="09C94AB7"/>
    <w:rsid w:val="09CC4C1C"/>
    <w:rsid w:val="09D41DD9"/>
    <w:rsid w:val="09D90C71"/>
    <w:rsid w:val="09E67E6D"/>
    <w:rsid w:val="09E9342F"/>
    <w:rsid w:val="09ED2377"/>
    <w:rsid w:val="09ED2E9B"/>
    <w:rsid w:val="09ED4C49"/>
    <w:rsid w:val="09EF0CD9"/>
    <w:rsid w:val="09EF2087"/>
    <w:rsid w:val="09F17A9E"/>
    <w:rsid w:val="09F2225F"/>
    <w:rsid w:val="09F232D0"/>
    <w:rsid w:val="09F75AC8"/>
    <w:rsid w:val="09FC30DE"/>
    <w:rsid w:val="0A014251"/>
    <w:rsid w:val="0A053D70"/>
    <w:rsid w:val="0A0A30D1"/>
    <w:rsid w:val="0A0B1F22"/>
    <w:rsid w:val="0A0C16AE"/>
    <w:rsid w:val="0A0C3321"/>
    <w:rsid w:val="0A0D06FB"/>
    <w:rsid w:val="0A0F1188"/>
    <w:rsid w:val="0A106F4E"/>
    <w:rsid w:val="0A127419"/>
    <w:rsid w:val="0A144AE5"/>
    <w:rsid w:val="0A181BBB"/>
    <w:rsid w:val="0A1B7A08"/>
    <w:rsid w:val="0A1D58F7"/>
    <w:rsid w:val="0A2141C3"/>
    <w:rsid w:val="0A236DF1"/>
    <w:rsid w:val="0A335A07"/>
    <w:rsid w:val="0A3930AA"/>
    <w:rsid w:val="0A3C4B5A"/>
    <w:rsid w:val="0A424F95"/>
    <w:rsid w:val="0A4958A2"/>
    <w:rsid w:val="0A506725"/>
    <w:rsid w:val="0A527505"/>
    <w:rsid w:val="0A575EAA"/>
    <w:rsid w:val="0A5F777C"/>
    <w:rsid w:val="0A686C86"/>
    <w:rsid w:val="0A696756"/>
    <w:rsid w:val="0A6A48F1"/>
    <w:rsid w:val="0A6F38B0"/>
    <w:rsid w:val="0A740EC6"/>
    <w:rsid w:val="0A782765"/>
    <w:rsid w:val="0A885B17"/>
    <w:rsid w:val="0A8B1E2E"/>
    <w:rsid w:val="0A8C7FBE"/>
    <w:rsid w:val="0A8D161B"/>
    <w:rsid w:val="0A91560B"/>
    <w:rsid w:val="0A951569"/>
    <w:rsid w:val="0A9A6B7F"/>
    <w:rsid w:val="0AA253AA"/>
    <w:rsid w:val="0AA572D2"/>
    <w:rsid w:val="0AAA322B"/>
    <w:rsid w:val="0AAB251E"/>
    <w:rsid w:val="0AAB3F05"/>
    <w:rsid w:val="0AAD1AAF"/>
    <w:rsid w:val="0AAE43D8"/>
    <w:rsid w:val="0AB35673"/>
    <w:rsid w:val="0AB520EE"/>
    <w:rsid w:val="0ABD461B"/>
    <w:rsid w:val="0AC43BFC"/>
    <w:rsid w:val="0ACF303E"/>
    <w:rsid w:val="0AD22DAF"/>
    <w:rsid w:val="0AD727CC"/>
    <w:rsid w:val="0ADF7625"/>
    <w:rsid w:val="0AE0655C"/>
    <w:rsid w:val="0AE242F7"/>
    <w:rsid w:val="0AE719D1"/>
    <w:rsid w:val="0AEF2E16"/>
    <w:rsid w:val="0AEF5CE1"/>
    <w:rsid w:val="0AF11E08"/>
    <w:rsid w:val="0AFC0F51"/>
    <w:rsid w:val="0AFE4681"/>
    <w:rsid w:val="0B005E66"/>
    <w:rsid w:val="0B077F8D"/>
    <w:rsid w:val="0B097861"/>
    <w:rsid w:val="0B1960D2"/>
    <w:rsid w:val="0B1D155E"/>
    <w:rsid w:val="0B21405C"/>
    <w:rsid w:val="0B285AAF"/>
    <w:rsid w:val="0B36335F"/>
    <w:rsid w:val="0B4007F2"/>
    <w:rsid w:val="0B461C32"/>
    <w:rsid w:val="0B4B50DE"/>
    <w:rsid w:val="0B4D6A88"/>
    <w:rsid w:val="0B524819"/>
    <w:rsid w:val="0B554854"/>
    <w:rsid w:val="0B601E35"/>
    <w:rsid w:val="0B60330F"/>
    <w:rsid w:val="0B6161A3"/>
    <w:rsid w:val="0B657D2D"/>
    <w:rsid w:val="0B6C1943"/>
    <w:rsid w:val="0B7078E0"/>
    <w:rsid w:val="0B711663"/>
    <w:rsid w:val="0B7A075E"/>
    <w:rsid w:val="0B807E43"/>
    <w:rsid w:val="0B98355D"/>
    <w:rsid w:val="0B9E51B2"/>
    <w:rsid w:val="0B9F4778"/>
    <w:rsid w:val="0BA058B2"/>
    <w:rsid w:val="0BA75F46"/>
    <w:rsid w:val="0BB54C00"/>
    <w:rsid w:val="0BB772BD"/>
    <w:rsid w:val="0BB91287"/>
    <w:rsid w:val="0BC25989"/>
    <w:rsid w:val="0BC41332"/>
    <w:rsid w:val="0BCB4B16"/>
    <w:rsid w:val="0BCD05E2"/>
    <w:rsid w:val="0BCD1D8D"/>
    <w:rsid w:val="0BD078D7"/>
    <w:rsid w:val="0BD25790"/>
    <w:rsid w:val="0BD27BF6"/>
    <w:rsid w:val="0BD738DB"/>
    <w:rsid w:val="0BD76F23"/>
    <w:rsid w:val="0BD90A79"/>
    <w:rsid w:val="0BDB744F"/>
    <w:rsid w:val="0BE5233E"/>
    <w:rsid w:val="0BF40511"/>
    <w:rsid w:val="0BF64C49"/>
    <w:rsid w:val="0BF71DAF"/>
    <w:rsid w:val="0BF81A10"/>
    <w:rsid w:val="0BFE793C"/>
    <w:rsid w:val="0C015B39"/>
    <w:rsid w:val="0C092FBA"/>
    <w:rsid w:val="0C0B585A"/>
    <w:rsid w:val="0C0C0662"/>
    <w:rsid w:val="0C156C8C"/>
    <w:rsid w:val="0C254EB2"/>
    <w:rsid w:val="0C275E39"/>
    <w:rsid w:val="0C3B1839"/>
    <w:rsid w:val="0C3C2689"/>
    <w:rsid w:val="0C3F1207"/>
    <w:rsid w:val="0C4D2F7E"/>
    <w:rsid w:val="0C4F00F6"/>
    <w:rsid w:val="0C582E93"/>
    <w:rsid w:val="0C5963DE"/>
    <w:rsid w:val="0C5965C6"/>
    <w:rsid w:val="0C5B0590"/>
    <w:rsid w:val="0C641CAF"/>
    <w:rsid w:val="0C65250C"/>
    <w:rsid w:val="0C6A432F"/>
    <w:rsid w:val="0C6C454B"/>
    <w:rsid w:val="0C6D62BE"/>
    <w:rsid w:val="0C7A7CDC"/>
    <w:rsid w:val="0C7D725F"/>
    <w:rsid w:val="0C8216B1"/>
    <w:rsid w:val="0C827EC2"/>
    <w:rsid w:val="0C8510A7"/>
    <w:rsid w:val="0C8B3CE8"/>
    <w:rsid w:val="0C8E44C1"/>
    <w:rsid w:val="0CA06999"/>
    <w:rsid w:val="0CAD10B5"/>
    <w:rsid w:val="0CB06C55"/>
    <w:rsid w:val="0CB638AD"/>
    <w:rsid w:val="0CB63A18"/>
    <w:rsid w:val="0CB87790"/>
    <w:rsid w:val="0CC204CD"/>
    <w:rsid w:val="0CC90BFB"/>
    <w:rsid w:val="0CC9159A"/>
    <w:rsid w:val="0CCD4520"/>
    <w:rsid w:val="0CCF0636"/>
    <w:rsid w:val="0CD10852"/>
    <w:rsid w:val="0CDB217C"/>
    <w:rsid w:val="0CE32C80"/>
    <w:rsid w:val="0CE63747"/>
    <w:rsid w:val="0CE73BD2"/>
    <w:rsid w:val="0CE75980"/>
    <w:rsid w:val="0CEA31D6"/>
    <w:rsid w:val="0CF06F2D"/>
    <w:rsid w:val="0CF218AD"/>
    <w:rsid w:val="0CF871EF"/>
    <w:rsid w:val="0CFA3FA1"/>
    <w:rsid w:val="0D061A92"/>
    <w:rsid w:val="0D10185B"/>
    <w:rsid w:val="0D1076FA"/>
    <w:rsid w:val="0D1D053A"/>
    <w:rsid w:val="0D1E36E8"/>
    <w:rsid w:val="0D2113D7"/>
    <w:rsid w:val="0D2238F2"/>
    <w:rsid w:val="0D232C17"/>
    <w:rsid w:val="0D295F98"/>
    <w:rsid w:val="0D2A7BBD"/>
    <w:rsid w:val="0D3240EF"/>
    <w:rsid w:val="0D375C96"/>
    <w:rsid w:val="0D496206"/>
    <w:rsid w:val="0D555C4D"/>
    <w:rsid w:val="0D5D5CE9"/>
    <w:rsid w:val="0D613984"/>
    <w:rsid w:val="0D623828"/>
    <w:rsid w:val="0D6C40D7"/>
    <w:rsid w:val="0D6D52FF"/>
    <w:rsid w:val="0D6D59C4"/>
    <w:rsid w:val="0D6E42F3"/>
    <w:rsid w:val="0D70743E"/>
    <w:rsid w:val="0D7126E6"/>
    <w:rsid w:val="0D761062"/>
    <w:rsid w:val="0D786095"/>
    <w:rsid w:val="0D7B234F"/>
    <w:rsid w:val="0D830DF3"/>
    <w:rsid w:val="0D932374"/>
    <w:rsid w:val="0DA30CA9"/>
    <w:rsid w:val="0DA675E9"/>
    <w:rsid w:val="0DAB1750"/>
    <w:rsid w:val="0DAE22BC"/>
    <w:rsid w:val="0DB21D9F"/>
    <w:rsid w:val="0DB37F58"/>
    <w:rsid w:val="0DB70C97"/>
    <w:rsid w:val="0DBA28B7"/>
    <w:rsid w:val="0DC0318D"/>
    <w:rsid w:val="0DC342AC"/>
    <w:rsid w:val="0DC5344A"/>
    <w:rsid w:val="0DC777E8"/>
    <w:rsid w:val="0DCB34F3"/>
    <w:rsid w:val="0DD063BB"/>
    <w:rsid w:val="0DE3083D"/>
    <w:rsid w:val="0DEC2BE4"/>
    <w:rsid w:val="0DED344E"/>
    <w:rsid w:val="0DED6BB6"/>
    <w:rsid w:val="0DEE2764"/>
    <w:rsid w:val="0DF04D08"/>
    <w:rsid w:val="0DF25BF0"/>
    <w:rsid w:val="0DF50366"/>
    <w:rsid w:val="0DF81DB2"/>
    <w:rsid w:val="0DFE5202"/>
    <w:rsid w:val="0E034A3B"/>
    <w:rsid w:val="0E045D0D"/>
    <w:rsid w:val="0E0A6F6E"/>
    <w:rsid w:val="0E110D06"/>
    <w:rsid w:val="0E1A314B"/>
    <w:rsid w:val="0E233E16"/>
    <w:rsid w:val="0E250EF6"/>
    <w:rsid w:val="0E252E13"/>
    <w:rsid w:val="0E261694"/>
    <w:rsid w:val="0E296AA9"/>
    <w:rsid w:val="0E3177FA"/>
    <w:rsid w:val="0E356811"/>
    <w:rsid w:val="0E3B7CD2"/>
    <w:rsid w:val="0E3C4F50"/>
    <w:rsid w:val="0E402C90"/>
    <w:rsid w:val="0E43752E"/>
    <w:rsid w:val="0E447D03"/>
    <w:rsid w:val="0E45592D"/>
    <w:rsid w:val="0E4E060E"/>
    <w:rsid w:val="0E546208"/>
    <w:rsid w:val="0E5635D2"/>
    <w:rsid w:val="0E63052E"/>
    <w:rsid w:val="0E6B54C5"/>
    <w:rsid w:val="0E707FFA"/>
    <w:rsid w:val="0E71409B"/>
    <w:rsid w:val="0E745939"/>
    <w:rsid w:val="0E7632C1"/>
    <w:rsid w:val="0E785FEF"/>
    <w:rsid w:val="0E7E0B34"/>
    <w:rsid w:val="0E7F15F7"/>
    <w:rsid w:val="0E862A55"/>
    <w:rsid w:val="0E8745DA"/>
    <w:rsid w:val="0E883192"/>
    <w:rsid w:val="0E8B4CA8"/>
    <w:rsid w:val="0E8C5986"/>
    <w:rsid w:val="0E956899"/>
    <w:rsid w:val="0E9953A0"/>
    <w:rsid w:val="0E9A13DA"/>
    <w:rsid w:val="0E9B4C74"/>
    <w:rsid w:val="0E9F032E"/>
    <w:rsid w:val="0EAC6E81"/>
    <w:rsid w:val="0EB01AD3"/>
    <w:rsid w:val="0EBB38BF"/>
    <w:rsid w:val="0EBE6BB4"/>
    <w:rsid w:val="0EC453E3"/>
    <w:rsid w:val="0ECD752D"/>
    <w:rsid w:val="0ED00D17"/>
    <w:rsid w:val="0ED02426"/>
    <w:rsid w:val="0EE04D7C"/>
    <w:rsid w:val="0EE40B4D"/>
    <w:rsid w:val="0EEE43F6"/>
    <w:rsid w:val="0EF32130"/>
    <w:rsid w:val="0EF83E66"/>
    <w:rsid w:val="0F022F45"/>
    <w:rsid w:val="0F03043A"/>
    <w:rsid w:val="0F05678A"/>
    <w:rsid w:val="0F0D781C"/>
    <w:rsid w:val="0F114E02"/>
    <w:rsid w:val="0F130CAE"/>
    <w:rsid w:val="0F135152"/>
    <w:rsid w:val="0F136F00"/>
    <w:rsid w:val="0F13775A"/>
    <w:rsid w:val="0F1F541B"/>
    <w:rsid w:val="0F256F00"/>
    <w:rsid w:val="0F3330FE"/>
    <w:rsid w:val="0F39379B"/>
    <w:rsid w:val="0F3F2991"/>
    <w:rsid w:val="0F456642"/>
    <w:rsid w:val="0F486B00"/>
    <w:rsid w:val="0F4A650C"/>
    <w:rsid w:val="0F501453"/>
    <w:rsid w:val="0F5F0397"/>
    <w:rsid w:val="0F7A2ADB"/>
    <w:rsid w:val="0F7E1A6E"/>
    <w:rsid w:val="0F824086"/>
    <w:rsid w:val="0F841BAC"/>
    <w:rsid w:val="0F87169C"/>
    <w:rsid w:val="0F9A112B"/>
    <w:rsid w:val="0F9B0CCA"/>
    <w:rsid w:val="0F9B7E67"/>
    <w:rsid w:val="0F9E66AF"/>
    <w:rsid w:val="0F9F0794"/>
    <w:rsid w:val="0FA83AEC"/>
    <w:rsid w:val="0FAC4C5F"/>
    <w:rsid w:val="0FB14243"/>
    <w:rsid w:val="0FC777DD"/>
    <w:rsid w:val="0FCE72CB"/>
    <w:rsid w:val="0FD3286C"/>
    <w:rsid w:val="0FD518CB"/>
    <w:rsid w:val="0FD720C4"/>
    <w:rsid w:val="0FD72557"/>
    <w:rsid w:val="0FD7617F"/>
    <w:rsid w:val="0FDA0292"/>
    <w:rsid w:val="0FDB3E6E"/>
    <w:rsid w:val="0FE20680"/>
    <w:rsid w:val="0FEB5635"/>
    <w:rsid w:val="0FEC4A43"/>
    <w:rsid w:val="0FEE34C9"/>
    <w:rsid w:val="0FF63F56"/>
    <w:rsid w:val="0FF663EC"/>
    <w:rsid w:val="0FFF3A91"/>
    <w:rsid w:val="1001327D"/>
    <w:rsid w:val="100625C1"/>
    <w:rsid w:val="100D7DF3"/>
    <w:rsid w:val="101826F6"/>
    <w:rsid w:val="10192E52"/>
    <w:rsid w:val="101E6447"/>
    <w:rsid w:val="1025513D"/>
    <w:rsid w:val="10267D0D"/>
    <w:rsid w:val="102E4821"/>
    <w:rsid w:val="10316FCE"/>
    <w:rsid w:val="103F6075"/>
    <w:rsid w:val="10433815"/>
    <w:rsid w:val="1045133B"/>
    <w:rsid w:val="104F3F68"/>
    <w:rsid w:val="10533A57"/>
    <w:rsid w:val="105932D3"/>
    <w:rsid w:val="105B0B5E"/>
    <w:rsid w:val="106B285C"/>
    <w:rsid w:val="106C2EC6"/>
    <w:rsid w:val="106D2F64"/>
    <w:rsid w:val="10743B82"/>
    <w:rsid w:val="107A7801"/>
    <w:rsid w:val="107C2883"/>
    <w:rsid w:val="10811614"/>
    <w:rsid w:val="10853E06"/>
    <w:rsid w:val="10896C84"/>
    <w:rsid w:val="10945E1E"/>
    <w:rsid w:val="109C18A1"/>
    <w:rsid w:val="10A0437F"/>
    <w:rsid w:val="10A1053B"/>
    <w:rsid w:val="10A24F2F"/>
    <w:rsid w:val="10AF4A06"/>
    <w:rsid w:val="10B63710"/>
    <w:rsid w:val="10C1205F"/>
    <w:rsid w:val="10C81F6C"/>
    <w:rsid w:val="10CF267A"/>
    <w:rsid w:val="10DB1C9F"/>
    <w:rsid w:val="10DB4545"/>
    <w:rsid w:val="10E20F9C"/>
    <w:rsid w:val="10E41C1D"/>
    <w:rsid w:val="10E65D49"/>
    <w:rsid w:val="10E90FAA"/>
    <w:rsid w:val="10E943BC"/>
    <w:rsid w:val="10ED2414"/>
    <w:rsid w:val="11001706"/>
    <w:rsid w:val="11007F2F"/>
    <w:rsid w:val="11025149"/>
    <w:rsid w:val="1104589B"/>
    <w:rsid w:val="111156C1"/>
    <w:rsid w:val="11146F5F"/>
    <w:rsid w:val="11162B20"/>
    <w:rsid w:val="111B3FDB"/>
    <w:rsid w:val="111C2F7A"/>
    <w:rsid w:val="111D0CB9"/>
    <w:rsid w:val="111E42E8"/>
    <w:rsid w:val="1120019C"/>
    <w:rsid w:val="1124023D"/>
    <w:rsid w:val="11257B64"/>
    <w:rsid w:val="113013DE"/>
    <w:rsid w:val="114105DB"/>
    <w:rsid w:val="114E421F"/>
    <w:rsid w:val="115B08C1"/>
    <w:rsid w:val="115B0DDE"/>
    <w:rsid w:val="116036F8"/>
    <w:rsid w:val="11606839"/>
    <w:rsid w:val="11610D40"/>
    <w:rsid w:val="11640B49"/>
    <w:rsid w:val="116F1037"/>
    <w:rsid w:val="11717F0E"/>
    <w:rsid w:val="117506AB"/>
    <w:rsid w:val="117D4B05"/>
    <w:rsid w:val="118063A3"/>
    <w:rsid w:val="118216CE"/>
    <w:rsid w:val="118836DD"/>
    <w:rsid w:val="118E286E"/>
    <w:rsid w:val="1191284C"/>
    <w:rsid w:val="11971C65"/>
    <w:rsid w:val="11980E6F"/>
    <w:rsid w:val="11A31CC1"/>
    <w:rsid w:val="11A60712"/>
    <w:rsid w:val="11A7392F"/>
    <w:rsid w:val="11AB6BE6"/>
    <w:rsid w:val="11B3555E"/>
    <w:rsid w:val="11B440C1"/>
    <w:rsid w:val="11BB73DB"/>
    <w:rsid w:val="11BE3B13"/>
    <w:rsid w:val="11C32061"/>
    <w:rsid w:val="11E404C7"/>
    <w:rsid w:val="11E86C83"/>
    <w:rsid w:val="11EB5F12"/>
    <w:rsid w:val="11EC52EB"/>
    <w:rsid w:val="11ED2659"/>
    <w:rsid w:val="11EF1A6B"/>
    <w:rsid w:val="11F7366D"/>
    <w:rsid w:val="11FA11EF"/>
    <w:rsid w:val="11FC011F"/>
    <w:rsid w:val="121027DF"/>
    <w:rsid w:val="12107F7D"/>
    <w:rsid w:val="12150935"/>
    <w:rsid w:val="121955E8"/>
    <w:rsid w:val="121A2353"/>
    <w:rsid w:val="121D18E2"/>
    <w:rsid w:val="1220603B"/>
    <w:rsid w:val="122338FE"/>
    <w:rsid w:val="122B06C2"/>
    <w:rsid w:val="12320AD3"/>
    <w:rsid w:val="12342927"/>
    <w:rsid w:val="123F4A3D"/>
    <w:rsid w:val="12415B32"/>
    <w:rsid w:val="12451B34"/>
    <w:rsid w:val="124675EC"/>
    <w:rsid w:val="12472571"/>
    <w:rsid w:val="12493721"/>
    <w:rsid w:val="124D01B3"/>
    <w:rsid w:val="124D097B"/>
    <w:rsid w:val="124E5E9C"/>
    <w:rsid w:val="12554FEE"/>
    <w:rsid w:val="12587584"/>
    <w:rsid w:val="125E66E4"/>
    <w:rsid w:val="125F26EC"/>
    <w:rsid w:val="12622168"/>
    <w:rsid w:val="12657D54"/>
    <w:rsid w:val="126D2DCB"/>
    <w:rsid w:val="127203E1"/>
    <w:rsid w:val="12723F3D"/>
    <w:rsid w:val="127573A5"/>
    <w:rsid w:val="127F4AE1"/>
    <w:rsid w:val="12867C09"/>
    <w:rsid w:val="128F6E7E"/>
    <w:rsid w:val="129A3494"/>
    <w:rsid w:val="129B37B2"/>
    <w:rsid w:val="129B48CD"/>
    <w:rsid w:val="12A17A2D"/>
    <w:rsid w:val="12A26CE6"/>
    <w:rsid w:val="12AB1103"/>
    <w:rsid w:val="12B0375A"/>
    <w:rsid w:val="12B32FC9"/>
    <w:rsid w:val="12B3683D"/>
    <w:rsid w:val="12B86353"/>
    <w:rsid w:val="12B966BA"/>
    <w:rsid w:val="12D400B5"/>
    <w:rsid w:val="12D54C71"/>
    <w:rsid w:val="12DA5295"/>
    <w:rsid w:val="12E36BCD"/>
    <w:rsid w:val="12E52B0D"/>
    <w:rsid w:val="12E92A1F"/>
    <w:rsid w:val="12F13BE8"/>
    <w:rsid w:val="12F454AC"/>
    <w:rsid w:val="12F476C6"/>
    <w:rsid w:val="12F70EC2"/>
    <w:rsid w:val="13031039"/>
    <w:rsid w:val="13061369"/>
    <w:rsid w:val="130F3E82"/>
    <w:rsid w:val="13141499"/>
    <w:rsid w:val="13174AE5"/>
    <w:rsid w:val="131F168A"/>
    <w:rsid w:val="13226149"/>
    <w:rsid w:val="1323348A"/>
    <w:rsid w:val="1336124D"/>
    <w:rsid w:val="133A037F"/>
    <w:rsid w:val="13446973"/>
    <w:rsid w:val="13455443"/>
    <w:rsid w:val="134D66D7"/>
    <w:rsid w:val="13540B45"/>
    <w:rsid w:val="13541895"/>
    <w:rsid w:val="13563131"/>
    <w:rsid w:val="1356560D"/>
    <w:rsid w:val="13581385"/>
    <w:rsid w:val="13582B5C"/>
    <w:rsid w:val="135A2FEF"/>
    <w:rsid w:val="135C3EAF"/>
    <w:rsid w:val="135E0EF9"/>
    <w:rsid w:val="13603FB9"/>
    <w:rsid w:val="13622204"/>
    <w:rsid w:val="13693592"/>
    <w:rsid w:val="136E731D"/>
    <w:rsid w:val="1376197F"/>
    <w:rsid w:val="13770171"/>
    <w:rsid w:val="13780733"/>
    <w:rsid w:val="1379754E"/>
    <w:rsid w:val="138144D8"/>
    <w:rsid w:val="13871C6A"/>
    <w:rsid w:val="1394093D"/>
    <w:rsid w:val="13951726"/>
    <w:rsid w:val="139B01CF"/>
    <w:rsid w:val="139C09BE"/>
    <w:rsid w:val="139C7216"/>
    <w:rsid w:val="13A23AB2"/>
    <w:rsid w:val="13A46C87"/>
    <w:rsid w:val="13AB1525"/>
    <w:rsid w:val="13AF49DC"/>
    <w:rsid w:val="13B36D63"/>
    <w:rsid w:val="13B80076"/>
    <w:rsid w:val="13BA480D"/>
    <w:rsid w:val="13BC11A3"/>
    <w:rsid w:val="13C36D0C"/>
    <w:rsid w:val="13C55E53"/>
    <w:rsid w:val="13C609E5"/>
    <w:rsid w:val="13C717AE"/>
    <w:rsid w:val="13CC37B1"/>
    <w:rsid w:val="13CF716E"/>
    <w:rsid w:val="13D468AE"/>
    <w:rsid w:val="13D47188"/>
    <w:rsid w:val="13D52D39"/>
    <w:rsid w:val="13D6541C"/>
    <w:rsid w:val="13D82635"/>
    <w:rsid w:val="13DD6237"/>
    <w:rsid w:val="13E042B3"/>
    <w:rsid w:val="13E11700"/>
    <w:rsid w:val="13E42C19"/>
    <w:rsid w:val="13EC3207"/>
    <w:rsid w:val="13EF0447"/>
    <w:rsid w:val="13EF0A46"/>
    <w:rsid w:val="13F65E3E"/>
    <w:rsid w:val="14016FB4"/>
    <w:rsid w:val="14040803"/>
    <w:rsid w:val="1407523B"/>
    <w:rsid w:val="14080BE4"/>
    <w:rsid w:val="14123EC9"/>
    <w:rsid w:val="141554C8"/>
    <w:rsid w:val="141F6B7B"/>
    <w:rsid w:val="14265783"/>
    <w:rsid w:val="14270F2F"/>
    <w:rsid w:val="142B6140"/>
    <w:rsid w:val="142C1A6F"/>
    <w:rsid w:val="142C636E"/>
    <w:rsid w:val="14332E49"/>
    <w:rsid w:val="14396509"/>
    <w:rsid w:val="14414A38"/>
    <w:rsid w:val="1447165C"/>
    <w:rsid w:val="14483422"/>
    <w:rsid w:val="144C1AAE"/>
    <w:rsid w:val="144C1B10"/>
    <w:rsid w:val="145014C0"/>
    <w:rsid w:val="14515DD5"/>
    <w:rsid w:val="14575AE1"/>
    <w:rsid w:val="14587B1B"/>
    <w:rsid w:val="145E5160"/>
    <w:rsid w:val="14644C1B"/>
    <w:rsid w:val="14691BCE"/>
    <w:rsid w:val="1469430D"/>
    <w:rsid w:val="146A257C"/>
    <w:rsid w:val="146B17ED"/>
    <w:rsid w:val="146E06D8"/>
    <w:rsid w:val="14717F13"/>
    <w:rsid w:val="14793A31"/>
    <w:rsid w:val="147F6DE6"/>
    <w:rsid w:val="148062B4"/>
    <w:rsid w:val="1482798F"/>
    <w:rsid w:val="14874B64"/>
    <w:rsid w:val="148937C0"/>
    <w:rsid w:val="148A0171"/>
    <w:rsid w:val="149077DD"/>
    <w:rsid w:val="14975EDD"/>
    <w:rsid w:val="149A0A5D"/>
    <w:rsid w:val="149C52BE"/>
    <w:rsid w:val="149C646C"/>
    <w:rsid w:val="149D324B"/>
    <w:rsid w:val="14AD7386"/>
    <w:rsid w:val="14B52807"/>
    <w:rsid w:val="14BB7926"/>
    <w:rsid w:val="14BD4720"/>
    <w:rsid w:val="14BF53B0"/>
    <w:rsid w:val="14C30B5D"/>
    <w:rsid w:val="14C64A14"/>
    <w:rsid w:val="14C72408"/>
    <w:rsid w:val="14C830F1"/>
    <w:rsid w:val="14CB46D0"/>
    <w:rsid w:val="14CD7B51"/>
    <w:rsid w:val="14CE5524"/>
    <w:rsid w:val="14D03112"/>
    <w:rsid w:val="14D12308"/>
    <w:rsid w:val="14D709D0"/>
    <w:rsid w:val="14D961C2"/>
    <w:rsid w:val="14DB7D39"/>
    <w:rsid w:val="14E50770"/>
    <w:rsid w:val="14E76E65"/>
    <w:rsid w:val="14E87064"/>
    <w:rsid w:val="14ED2F8C"/>
    <w:rsid w:val="14F065A2"/>
    <w:rsid w:val="14FF750C"/>
    <w:rsid w:val="150100EE"/>
    <w:rsid w:val="150A4C2B"/>
    <w:rsid w:val="151439D2"/>
    <w:rsid w:val="151D4E72"/>
    <w:rsid w:val="15216B79"/>
    <w:rsid w:val="152865F4"/>
    <w:rsid w:val="15290618"/>
    <w:rsid w:val="152A768C"/>
    <w:rsid w:val="152B2158"/>
    <w:rsid w:val="152B2931"/>
    <w:rsid w:val="152D05F0"/>
    <w:rsid w:val="152E1585"/>
    <w:rsid w:val="1539282D"/>
    <w:rsid w:val="153C20F7"/>
    <w:rsid w:val="15457AD1"/>
    <w:rsid w:val="15463097"/>
    <w:rsid w:val="154719EF"/>
    <w:rsid w:val="154E0D06"/>
    <w:rsid w:val="15541D0D"/>
    <w:rsid w:val="15597637"/>
    <w:rsid w:val="155B2E63"/>
    <w:rsid w:val="15621403"/>
    <w:rsid w:val="15634011"/>
    <w:rsid w:val="15663029"/>
    <w:rsid w:val="156C1313"/>
    <w:rsid w:val="157961AD"/>
    <w:rsid w:val="15826B8D"/>
    <w:rsid w:val="15841E04"/>
    <w:rsid w:val="15853F88"/>
    <w:rsid w:val="158F0FFF"/>
    <w:rsid w:val="1590456D"/>
    <w:rsid w:val="15970A02"/>
    <w:rsid w:val="159A3FB5"/>
    <w:rsid w:val="159D5E60"/>
    <w:rsid w:val="15AB7E33"/>
    <w:rsid w:val="15B13B2F"/>
    <w:rsid w:val="15C03212"/>
    <w:rsid w:val="15D63A77"/>
    <w:rsid w:val="15D942D4"/>
    <w:rsid w:val="15DC51AB"/>
    <w:rsid w:val="15E04D02"/>
    <w:rsid w:val="15E218A0"/>
    <w:rsid w:val="15E27F56"/>
    <w:rsid w:val="15E4717D"/>
    <w:rsid w:val="15E82A45"/>
    <w:rsid w:val="15EA028F"/>
    <w:rsid w:val="15F07F9B"/>
    <w:rsid w:val="15F14492"/>
    <w:rsid w:val="15FA10D7"/>
    <w:rsid w:val="16002B5B"/>
    <w:rsid w:val="16061E3C"/>
    <w:rsid w:val="16070FFC"/>
    <w:rsid w:val="16072432"/>
    <w:rsid w:val="160C28FB"/>
    <w:rsid w:val="16132BB6"/>
    <w:rsid w:val="161B0A70"/>
    <w:rsid w:val="161B508B"/>
    <w:rsid w:val="162163A6"/>
    <w:rsid w:val="162875BD"/>
    <w:rsid w:val="162D25A8"/>
    <w:rsid w:val="162E461F"/>
    <w:rsid w:val="16322361"/>
    <w:rsid w:val="163226C7"/>
    <w:rsid w:val="1639678E"/>
    <w:rsid w:val="163B5A35"/>
    <w:rsid w:val="163C3CBD"/>
    <w:rsid w:val="16445BF1"/>
    <w:rsid w:val="16491459"/>
    <w:rsid w:val="164D0F49"/>
    <w:rsid w:val="16561A1F"/>
    <w:rsid w:val="1658169C"/>
    <w:rsid w:val="165842A7"/>
    <w:rsid w:val="165A7F25"/>
    <w:rsid w:val="165F6D03"/>
    <w:rsid w:val="166221AA"/>
    <w:rsid w:val="16697EFD"/>
    <w:rsid w:val="167602DD"/>
    <w:rsid w:val="16775464"/>
    <w:rsid w:val="16783AEC"/>
    <w:rsid w:val="16787695"/>
    <w:rsid w:val="167C35DD"/>
    <w:rsid w:val="167C6355"/>
    <w:rsid w:val="1681613A"/>
    <w:rsid w:val="16867FDE"/>
    <w:rsid w:val="168836DE"/>
    <w:rsid w:val="168C6DE9"/>
    <w:rsid w:val="169052DA"/>
    <w:rsid w:val="16A805F7"/>
    <w:rsid w:val="16A82CF3"/>
    <w:rsid w:val="16B326DC"/>
    <w:rsid w:val="16B81DF7"/>
    <w:rsid w:val="16B931D8"/>
    <w:rsid w:val="16BC4C41"/>
    <w:rsid w:val="16C154C2"/>
    <w:rsid w:val="16C9302F"/>
    <w:rsid w:val="16C95C37"/>
    <w:rsid w:val="16D7526C"/>
    <w:rsid w:val="16D83A1E"/>
    <w:rsid w:val="16DA0303"/>
    <w:rsid w:val="16E009F7"/>
    <w:rsid w:val="16E333A9"/>
    <w:rsid w:val="16E82A20"/>
    <w:rsid w:val="16E83291"/>
    <w:rsid w:val="16EA1DF2"/>
    <w:rsid w:val="16EB0762"/>
    <w:rsid w:val="16ED16CC"/>
    <w:rsid w:val="16F45869"/>
    <w:rsid w:val="16F5513D"/>
    <w:rsid w:val="16F71C71"/>
    <w:rsid w:val="16F87E6B"/>
    <w:rsid w:val="16FC471C"/>
    <w:rsid w:val="16FC471D"/>
    <w:rsid w:val="1700420E"/>
    <w:rsid w:val="170716FF"/>
    <w:rsid w:val="170A508C"/>
    <w:rsid w:val="170B5E7F"/>
    <w:rsid w:val="170C193C"/>
    <w:rsid w:val="170E794B"/>
    <w:rsid w:val="170F26A3"/>
    <w:rsid w:val="17163A31"/>
    <w:rsid w:val="171676FD"/>
    <w:rsid w:val="171940D6"/>
    <w:rsid w:val="17202FDB"/>
    <w:rsid w:val="172062D8"/>
    <w:rsid w:val="172A128B"/>
    <w:rsid w:val="172C6F4E"/>
    <w:rsid w:val="173277A0"/>
    <w:rsid w:val="17335F35"/>
    <w:rsid w:val="173410B0"/>
    <w:rsid w:val="17375756"/>
    <w:rsid w:val="173F3A57"/>
    <w:rsid w:val="17417AEF"/>
    <w:rsid w:val="1744663C"/>
    <w:rsid w:val="174B2FAF"/>
    <w:rsid w:val="174E307B"/>
    <w:rsid w:val="1750113F"/>
    <w:rsid w:val="1751484A"/>
    <w:rsid w:val="17546308"/>
    <w:rsid w:val="175803C1"/>
    <w:rsid w:val="175D1D47"/>
    <w:rsid w:val="1764287E"/>
    <w:rsid w:val="176A55C4"/>
    <w:rsid w:val="176B7CC8"/>
    <w:rsid w:val="177302E0"/>
    <w:rsid w:val="17735226"/>
    <w:rsid w:val="17736244"/>
    <w:rsid w:val="17762C98"/>
    <w:rsid w:val="177E4D4D"/>
    <w:rsid w:val="1782440C"/>
    <w:rsid w:val="178A0DB0"/>
    <w:rsid w:val="178A4E43"/>
    <w:rsid w:val="17954A80"/>
    <w:rsid w:val="179764D7"/>
    <w:rsid w:val="179C43FE"/>
    <w:rsid w:val="17A0154D"/>
    <w:rsid w:val="17A954A9"/>
    <w:rsid w:val="17B02876"/>
    <w:rsid w:val="17B54E42"/>
    <w:rsid w:val="17C2601A"/>
    <w:rsid w:val="17C66A1B"/>
    <w:rsid w:val="17D44C30"/>
    <w:rsid w:val="17DB4333"/>
    <w:rsid w:val="17E05DED"/>
    <w:rsid w:val="17E53404"/>
    <w:rsid w:val="17E83FA5"/>
    <w:rsid w:val="17F12408"/>
    <w:rsid w:val="17F13308"/>
    <w:rsid w:val="17F13345"/>
    <w:rsid w:val="17F92A0B"/>
    <w:rsid w:val="1800023D"/>
    <w:rsid w:val="180B1483"/>
    <w:rsid w:val="180F6C87"/>
    <w:rsid w:val="18130C2E"/>
    <w:rsid w:val="18167A61"/>
    <w:rsid w:val="181D0DEF"/>
    <w:rsid w:val="181F6915"/>
    <w:rsid w:val="18250728"/>
    <w:rsid w:val="182B52BA"/>
    <w:rsid w:val="183A4F2E"/>
    <w:rsid w:val="183B1059"/>
    <w:rsid w:val="183F74FD"/>
    <w:rsid w:val="18441ED8"/>
    <w:rsid w:val="184A69E7"/>
    <w:rsid w:val="18552337"/>
    <w:rsid w:val="18563E0C"/>
    <w:rsid w:val="18564418"/>
    <w:rsid w:val="185D15D8"/>
    <w:rsid w:val="18624860"/>
    <w:rsid w:val="18655410"/>
    <w:rsid w:val="18656CA2"/>
    <w:rsid w:val="186B2D02"/>
    <w:rsid w:val="18734B6E"/>
    <w:rsid w:val="18755700"/>
    <w:rsid w:val="1876405C"/>
    <w:rsid w:val="187C63DB"/>
    <w:rsid w:val="1885527E"/>
    <w:rsid w:val="188744BB"/>
    <w:rsid w:val="1888126F"/>
    <w:rsid w:val="188C5676"/>
    <w:rsid w:val="188C5881"/>
    <w:rsid w:val="188E6E54"/>
    <w:rsid w:val="189211A5"/>
    <w:rsid w:val="189270E7"/>
    <w:rsid w:val="189A2440"/>
    <w:rsid w:val="189E3CDE"/>
    <w:rsid w:val="18A547DE"/>
    <w:rsid w:val="18A8690B"/>
    <w:rsid w:val="18A95603"/>
    <w:rsid w:val="18B3705E"/>
    <w:rsid w:val="18B847B0"/>
    <w:rsid w:val="18C63B5B"/>
    <w:rsid w:val="18C82B09"/>
    <w:rsid w:val="18C9062F"/>
    <w:rsid w:val="18CB25F9"/>
    <w:rsid w:val="18CE20EA"/>
    <w:rsid w:val="18D41AA7"/>
    <w:rsid w:val="18D55226"/>
    <w:rsid w:val="18D8187C"/>
    <w:rsid w:val="18DE232D"/>
    <w:rsid w:val="18E018E0"/>
    <w:rsid w:val="18E13C18"/>
    <w:rsid w:val="18ED1361"/>
    <w:rsid w:val="18F0758D"/>
    <w:rsid w:val="18FA2EDF"/>
    <w:rsid w:val="190C0588"/>
    <w:rsid w:val="191530E4"/>
    <w:rsid w:val="1917583F"/>
    <w:rsid w:val="19180148"/>
    <w:rsid w:val="191B4493"/>
    <w:rsid w:val="191C1EF0"/>
    <w:rsid w:val="191D3027"/>
    <w:rsid w:val="191E7DCD"/>
    <w:rsid w:val="192D23E6"/>
    <w:rsid w:val="19324A1A"/>
    <w:rsid w:val="19355CC5"/>
    <w:rsid w:val="1937176C"/>
    <w:rsid w:val="193D4BC5"/>
    <w:rsid w:val="19403AC5"/>
    <w:rsid w:val="19445525"/>
    <w:rsid w:val="1945545A"/>
    <w:rsid w:val="194B783A"/>
    <w:rsid w:val="194F3E6E"/>
    <w:rsid w:val="19514439"/>
    <w:rsid w:val="195C34D0"/>
    <w:rsid w:val="195C5947"/>
    <w:rsid w:val="195E017D"/>
    <w:rsid w:val="196071E6"/>
    <w:rsid w:val="19632DE7"/>
    <w:rsid w:val="19682711"/>
    <w:rsid w:val="19684767"/>
    <w:rsid w:val="196D36B1"/>
    <w:rsid w:val="197467ED"/>
    <w:rsid w:val="197612BA"/>
    <w:rsid w:val="19772C2F"/>
    <w:rsid w:val="197B7B7C"/>
    <w:rsid w:val="198231A7"/>
    <w:rsid w:val="19833610"/>
    <w:rsid w:val="19841DA3"/>
    <w:rsid w:val="19842DB0"/>
    <w:rsid w:val="1989650C"/>
    <w:rsid w:val="198A7D81"/>
    <w:rsid w:val="19906125"/>
    <w:rsid w:val="1991739F"/>
    <w:rsid w:val="19923117"/>
    <w:rsid w:val="199B5C64"/>
    <w:rsid w:val="199B6470"/>
    <w:rsid w:val="199D5B02"/>
    <w:rsid w:val="199E386A"/>
    <w:rsid w:val="19A075E2"/>
    <w:rsid w:val="19AC5F87"/>
    <w:rsid w:val="19B002E9"/>
    <w:rsid w:val="19B01022"/>
    <w:rsid w:val="19B72B7E"/>
    <w:rsid w:val="19BD0B82"/>
    <w:rsid w:val="19C012CD"/>
    <w:rsid w:val="19C127B5"/>
    <w:rsid w:val="19C3210F"/>
    <w:rsid w:val="19C623F1"/>
    <w:rsid w:val="19CD149D"/>
    <w:rsid w:val="19D21766"/>
    <w:rsid w:val="19D80260"/>
    <w:rsid w:val="19D84329"/>
    <w:rsid w:val="19DC3053"/>
    <w:rsid w:val="19E82421"/>
    <w:rsid w:val="19F217A9"/>
    <w:rsid w:val="19F27E04"/>
    <w:rsid w:val="19F36F5A"/>
    <w:rsid w:val="19F45B80"/>
    <w:rsid w:val="19FB1A66"/>
    <w:rsid w:val="1A032B0E"/>
    <w:rsid w:val="1A0776F1"/>
    <w:rsid w:val="1A093300"/>
    <w:rsid w:val="1A0C111B"/>
    <w:rsid w:val="1A0F438B"/>
    <w:rsid w:val="1A102675"/>
    <w:rsid w:val="1A1179A3"/>
    <w:rsid w:val="1A1C66C0"/>
    <w:rsid w:val="1A1F0E4F"/>
    <w:rsid w:val="1A226249"/>
    <w:rsid w:val="1A257076"/>
    <w:rsid w:val="1A27385F"/>
    <w:rsid w:val="1A3146DE"/>
    <w:rsid w:val="1A324B66"/>
    <w:rsid w:val="1A35573E"/>
    <w:rsid w:val="1A3B62CB"/>
    <w:rsid w:val="1A3B71FC"/>
    <w:rsid w:val="1A4117C3"/>
    <w:rsid w:val="1A42393B"/>
    <w:rsid w:val="1A472154"/>
    <w:rsid w:val="1A515A27"/>
    <w:rsid w:val="1A582EC7"/>
    <w:rsid w:val="1A6B5635"/>
    <w:rsid w:val="1A6C3968"/>
    <w:rsid w:val="1A6F2CAC"/>
    <w:rsid w:val="1A726487"/>
    <w:rsid w:val="1A7F3292"/>
    <w:rsid w:val="1A846823"/>
    <w:rsid w:val="1A87377D"/>
    <w:rsid w:val="1A89276C"/>
    <w:rsid w:val="1A8C5DB8"/>
    <w:rsid w:val="1A8D1764"/>
    <w:rsid w:val="1A921ABF"/>
    <w:rsid w:val="1A981EAA"/>
    <w:rsid w:val="1A98475D"/>
    <w:rsid w:val="1A9B0BE4"/>
    <w:rsid w:val="1A9E57F3"/>
    <w:rsid w:val="1AA1328C"/>
    <w:rsid w:val="1AA665DB"/>
    <w:rsid w:val="1AA90718"/>
    <w:rsid w:val="1AAB4490"/>
    <w:rsid w:val="1AB27F44"/>
    <w:rsid w:val="1ABB1E38"/>
    <w:rsid w:val="1ACB6924"/>
    <w:rsid w:val="1AD25EC1"/>
    <w:rsid w:val="1AD339E7"/>
    <w:rsid w:val="1AD65E32"/>
    <w:rsid w:val="1ADC0AEE"/>
    <w:rsid w:val="1ADC7BCF"/>
    <w:rsid w:val="1AE25525"/>
    <w:rsid w:val="1AE26FDC"/>
    <w:rsid w:val="1AE60018"/>
    <w:rsid w:val="1AE6371B"/>
    <w:rsid w:val="1AEA02E0"/>
    <w:rsid w:val="1AFA0771"/>
    <w:rsid w:val="1AFA39E4"/>
    <w:rsid w:val="1AFF1B4B"/>
    <w:rsid w:val="1B046F80"/>
    <w:rsid w:val="1B047081"/>
    <w:rsid w:val="1B0B4F2F"/>
    <w:rsid w:val="1B1069E9"/>
    <w:rsid w:val="1B171BC9"/>
    <w:rsid w:val="1B1F49AA"/>
    <w:rsid w:val="1B2129A5"/>
    <w:rsid w:val="1B27693F"/>
    <w:rsid w:val="1B2E0C1E"/>
    <w:rsid w:val="1B2F371F"/>
    <w:rsid w:val="1B3267B5"/>
    <w:rsid w:val="1B3442CE"/>
    <w:rsid w:val="1B3F54E8"/>
    <w:rsid w:val="1B40068A"/>
    <w:rsid w:val="1B46065D"/>
    <w:rsid w:val="1B4B367E"/>
    <w:rsid w:val="1B4D63F7"/>
    <w:rsid w:val="1B5C4050"/>
    <w:rsid w:val="1B5D16F0"/>
    <w:rsid w:val="1B5D46BC"/>
    <w:rsid w:val="1B6034CD"/>
    <w:rsid w:val="1B62780F"/>
    <w:rsid w:val="1B632FBD"/>
    <w:rsid w:val="1B687309"/>
    <w:rsid w:val="1B6F3710"/>
    <w:rsid w:val="1B711414"/>
    <w:rsid w:val="1B712F8D"/>
    <w:rsid w:val="1B7444D0"/>
    <w:rsid w:val="1B746A2E"/>
    <w:rsid w:val="1B7821EB"/>
    <w:rsid w:val="1B803B6F"/>
    <w:rsid w:val="1B8865FB"/>
    <w:rsid w:val="1B8B0F00"/>
    <w:rsid w:val="1B914D06"/>
    <w:rsid w:val="1B925357"/>
    <w:rsid w:val="1B9356A1"/>
    <w:rsid w:val="1B972C14"/>
    <w:rsid w:val="1B9B5DF2"/>
    <w:rsid w:val="1BA04299"/>
    <w:rsid w:val="1BA2087E"/>
    <w:rsid w:val="1BA27942"/>
    <w:rsid w:val="1BAE5EA1"/>
    <w:rsid w:val="1BB479C4"/>
    <w:rsid w:val="1BB750B7"/>
    <w:rsid w:val="1BBA5C21"/>
    <w:rsid w:val="1BBD5C5E"/>
    <w:rsid w:val="1BBE1FA1"/>
    <w:rsid w:val="1BC021BE"/>
    <w:rsid w:val="1BC11A92"/>
    <w:rsid w:val="1BC25DC8"/>
    <w:rsid w:val="1BC50DCD"/>
    <w:rsid w:val="1BC62466"/>
    <w:rsid w:val="1BCA251D"/>
    <w:rsid w:val="1BCF7543"/>
    <w:rsid w:val="1BD160C3"/>
    <w:rsid w:val="1BDB2D17"/>
    <w:rsid w:val="1BDE1729"/>
    <w:rsid w:val="1BDE43F2"/>
    <w:rsid w:val="1BE37C5A"/>
    <w:rsid w:val="1BE834C2"/>
    <w:rsid w:val="1BF814EF"/>
    <w:rsid w:val="1C093B64"/>
    <w:rsid w:val="1C0C5403"/>
    <w:rsid w:val="1C1303A5"/>
    <w:rsid w:val="1C13053F"/>
    <w:rsid w:val="1C161DDD"/>
    <w:rsid w:val="1C162F81"/>
    <w:rsid w:val="1C1E6EE4"/>
    <w:rsid w:val="1C2C65CA"/>
    <w:rsid w:val="1C3343F0"/>
    <w:rsid w:val="1C35049D"/>
    <w:rsid w:val="1C3704EC"/>
    <w:rsid w:val="1C3816B3"/>
    <w:rsid w:val="1C405671"/>
    <w:rsid w:val="1C444B9D"/>
    <w:rsid w:val="1C4B6836"/>
    <w:rsid w:val="1C4F2417"/>
    <w:rsid w:val="1C4F4AAF"/>
    <w:rsid w:val="1C524A91"/>
    <w:rsid w:val="1C5D57D8"/>
    <w:rsid w:val="1C5E481D"/>
    <w:rsid w:val="1C5E7925"/>
    <w:rsid w:val="1C5F3784"/>
    <w:rsid w:val="1C6E7E6B"/>
    <w:rsid w:val="1C7174F8"/>
    <w:rsid w:val="1C7711CA"/>
    <w:rsid w:val="1C793BAA"/>
    <w:rsid w:val="1C852A5A"/>
    <w:rsid w:val="1C87077B"/>
    <w:rsid w:val="1C887FC8"/>
    <w:rsid w:val="1C9113C8"/>
    <w:rsid w:val="1C9571A6"/>
    <w:rsid w:val="1CA308F2"/>
    <w:rsid w:val="1CA644E8"/>
    <w:rsid w:val="1CAA08ED"/>
    <w:rsid w:val="1CAE64BA"/>
    <w:rsid w:val="1CB6536F"/>
    <w:rsid w:val="1CB87339"/>
    <w:rsid w:val="1CBA09BB"/>
    <w:rsid w:val="1CBF0E2D"/>
    <w:rsid w:val="1CC15A71"/>
    <w:rsid w:val="1CC659C3"/>
    <w:rsid w:val="1CCC3FF0"/>
    <w:rsid w:val="1CD04789"/>
    <w:rsid w:val="1CD2683A"/>
    <w:rsid w:val="1CE4012E"/>
    <w:rsid w:val="1CEB25FC"/>
    <w:rsid w:val="1CEB6DC6"/>
    <w:rsid w:val="1CED6FE2"/>
    <w:rsid w:val="1CF27E50"/>
    <w:rsid w:val="1CF540E9"/>
    <w:rsid w:val="1CFC00B5"/>
    <w:rsid w:val="1CFE0377"/>
    <w:rsid w:val="1CFF41BB"/>
    <w:rsid w:val="1CFF6581"/>
    <w:rsid w:val="1D012A8E"/>
    <w:rsid w:val="1D0165EA"/>
    <w:rsid w:val="1D1502E7"/>
    <w:rsid w:val="1D171DB0"/>
    <w:rsid w:val="1D1850BD"/>
    <w:rsid w:val="1D1A7BEF"/>
    <w:rsid w:val="1D201BDB"/>
    <w:rsid w:val="1D2631E0"/>
    <w:rsid w:val="1D2873F5"/>
    <w:rsid w:val="1D2A0CD2"/>
    <w:rsid w:val="1D2A1750"/>
    <w:rsid w:val="1D2E1D1B"/>
    <w:rsid w:val="1D2E600F"/>
    <w:rsid w:val="1D304CF3"/>
    <w:rsid w:val="1D3544E5"/>
    <w:rsid w:val="1D384EF4"/>
    <w:rsid w:val="1D3D2A2B"/>
    <w:rsid w:val="1D3D7CDC"/>
    <w:rsid w:val="1D476FDC"/>
    <w:rsid w:val="1D4A4881"/>
    <w:rsid w:val="1D4C05AE"/>
    <w:rsid w:val="1D5422A5"/>
    <w:rsid w:val="1D5A219E"/>
    <w:rsid w:val="1D5B3862"/>
    <w:rsid w:val="1D5C0A31"/>
    <w:rsid w:val="1D5D7A1E"/>
    <w:rsid w:val="1D5E0195"/>
    <w:rsid w:val="1D5F6196"/>
    <w:rsid w:val="1D611EA6"/>
    <w:rsid w:val="1D6132A5"/>
    <w:rsid w:val="1D61352C"/>
    <w:rsid w:val="1D6620E2"/>
    <w:rsid w:val="1D6C7708"/>
    <w:rsid w:val="1D6D402B"/>
    <w:rsid w:val="1D6D7456"/>
    <w:rsid w:val="1D735096"/>
    <w:rsid w:val="1D74694E"/>
    <w:rsid w:val="1D836045"/>
    <w:rsid w:val="1D8A2920"/>
    <w:rsid w:val="1D8E56D5"/>
    <w:rsid w:val="1D92745B"/>
    <w:rsid w:val="1D934A7E"/>
    <w:rsid w:val="1D970CFC"/>
    <w:rsid w:val="1D9B40C9"/>
    <w:rsid w:val="1DA1114C"/>
    <w:rsid w:val="1DA67191"/>
    <w:rsid w:val="1DA804F9"/>
    <w:rsid w:val="1DAC5C6B"/>
    <w:rsid w:val="1DB01EC0"/>
    <w:rsid w:val="1DB5386D"/>
    <w:rsid w:val="1DB7314C"/>
    <w:rsid w:val="1DB85A18"/>
    <w:rsid w:val="1DB96180"/>
    <w:rsid w:val="1DC07CF2"/>
    <w:rsid w:val="1DC11E44"/>
    <w:rsid w:val="1DC17C1C"/>
    <w:rsid w:val="1DC224DA"/>
    <w:rsid w:val="1DC23DA4"/>
    <w:rsid w:val="1DC4742B"/>
    <w:rsid w:val="1DCD2970"/>
    <w:rsid w:val="1DCF16F0"/>
    <w:rsid w:val="1DD2410D"/>
    <w:rsid w:val="1DD4487C"/>
    <w:rsid w:val="1DDD6D40"/>
    <w:rsid w:val="1DE44516"/>
    <w:rsid w:val="1DE51267"/>
    <w:rsid w:val="1DE859FC"/>
    <w:rsid w:val="1DEE6E0B"/>
    <w:rsid w:val="1DF0628B"/>
    <w:rsid w:val="1DF60944"/>
    <w:rsid w:val="1DF60F05"/>
    <w:rsid w:val="1DFA398C"/>
    <w:rsid w:val="1DFB1246"/>
    <w:rsid w:val="1E0A5972"/>
    <w:rsid w:val="1E131C70"/>
    <w:rsid w:val="1E206F43"/>
    <w:rsid w:val="1E2D518A"/>
    <w:rsid w:val="1E366767"/>
    <w:rsid w:val="1E3A7F9A"/>
    <w:rsid w:val="1E3B270A"/>
    <w:rsid w:val="1E4948D9"/>
    <w:rsid w:val="1E4F2725"/>
    <w:rsid w:val="1E57048B"/>
    <w:rsid w:val="1E594656"/>
    <w:rsid w:val="1E5B61CE"/>
    <w:rsid w:val="1E5D10BC"/>
    <w:rsid w:val="1E622012"/>
    <w:rsid w:val="1E6D7AC0"/>
    <w:rsid w:val="1E712C12"/>
    <w:rsid w:val="1E760203"/>
    <w:rsid w:val="1E7777B5"/>
    <w:rsid w:val="1E782FA7"/>
    <w:rsid w:val="1E7858F7"/>
    <w:rsid w:val="1E79572E"/>
    <w:rsid w:val="1E7A43DA"/>
    <w:rsid w:val="1E7B6870"/>
    <w:rsid w:val="1E7E71C7"/>
    <w:rsid w:val="1E85648E"/>
    <w:rsid w:val="1E944D3E"/>
    <w:rsid w:val="1E9962A1"/>
    <w:rsid w:val="1E9B481C"/>
    <w:rsid w:val="1E9F608F"/>
    <w:rsid w:val="1EA41923"/>
    <w:rsid w:val="1EAA2CB1"/>
    <w:rsid w:val="1EAB4D27"/>
    <w:rsid w:val="1EB21319"/>
    <w:rsid w:val="1EB277FE"/>
    <w:rsid w:val="1EB8717C"/>
    <w:rsid w:val="1EB90788"/>
    <w:rsid w:val="1EBC0108"/>
    <w:rsid w:val="1EBF35C9"/>
    <w:rsid w:val="1EC21DA9"/>
    <w:rsid w:val="1EC72988"/>
    <w:rsid w:val="1ECA1AC0"/>
    <w:rsid w:val="1ED146E2"/>
    <w:rsid w:val="1ED16490"/>
    <w:rsid w:val="1ED33FB6"/>
    <w:rsid w:val="1ED63AA6"/>
    <w:rsid w:val="1EDA7BE5"/>
    <w:rsid w:val="1EDF0A94"/>
    <w:rsid w:val="1EDF295B"/>
    <w:rsid w:val="1EE537BF"/>
    <w:rsid w:val="1EE81056"/>
    <w:rsid w:val="1EE8307F"/>
    <w:rsid w:val="1EEB6155"/>
    <w:rsid w:val="1EEB7551"/>
    <w:rsid w:val="1EEE4320"/>
    <w:rsid w:val="1EF84529"/>
    <w:rsid w:val="1EFC39D9"/>
    <w:rsid w:val="1EFD715E"/>
    <w:rsid w:val="1F04153F"/>
    <w:rsid w:val="1F085703"/>
    <w:rsid w:val="1F0D4FAD"/>
    <w:rsid w:val="1F0F0D80"/>
    <w:rsid w:val="1F135E5E"/>
    <w:rsid w:val="1F1A3993"/>
    <w:rsid w:val="1F255C7F"/>
    <w:rsid w:val="1F29781F"/>
    <w:rsid w:val="1F2A7ABA"/>
    <w:rsid w:val="1F3709E9"/>
    <w:rsid w:val="1F3F33F9"/>
    <w:rsid w:val="1F3F45D2"/>
    <w:rsid w:val="1F3F7A8A"/>
    <w:rsid w:val="1F4201E6"/>
    <w:rsid w:val="1F497B37"/>
    <w:rsid w:val="1F4B613F"/>
    <w:rsid w:val="1F540635"/>
    <w:rsid w:val="1F544E1B"/>
    <w:rsid w:val="1F5464CB"/>
    <w:rsid w:val="1F6851EC"/>
    <w:rsid w:val="1F7019B7"/>
    <w:rsid w:val="1F740FB1"/>
    <w:rsid w:val="1F7532BF"/>
    <w:rsid w:val="1F765A92"/>
    <w:rsid w:val="1F7F7DF7"/>
    <w:rsid w:val="1F917D29"/>
    <w:rsid w:val="1F971633"/>
    <w:rsid w:val="1F9C084C"/>
    <w:rsid w:val="1FA80B80"/>
    <w:rsid w:val="1FAF2B42"/>
    <w:rsid w:val="1FAF67D1"/>
    <w:rsid w:val="1FB40752"/>
    <w:rsid w:val="1FBE050F"/>
    <w:rsid w:val="1FBE0616"/>
    <w:rsid w:val="1FCB6535"/>
    <w:rsid w:val="1FCE18D8"/>
    <w:rsid w:val="1FD47933"/>
    <w:rsid w:val="1FD55B0C"/>
    <w:rsid w:val="1FDE0580"/>
    <w:rsid w:val="1FE7539E"/>
    <w:rsid w:val="1FE8532F"/>
    <w:rsid w:val="1FF561AE"/>
    <w:rsid w:val="1FFE0886"/>
    <w:rsid w:val="1FFE5062"/>
    <w:rsid w:val="20013BC4"/>
    <w:rsid w:val="20085EE1"/>
    <w:rsid w:val="200A2CD7"/>
    <w:rsid w:val="201C6CF7"/>
    <w:rsid w:val="201F3DE1"/>
    <w:rsid w:val="20201BBF"/>
    <w:rsid w:val="202165A2"/>
    <w:rsid w:val="202A5E57"/>
    <w:rsid w:val="202B222A"/>
    <w:rsid w:val="202B58C5"/>
    <w:rsid w:val="202C6073"/>
    <w:rsid w:val="203A202E"/>
    <w:rsid w:val="203E1903"/>
    <w:rsid w:val="203E4193"/>
    <w:rsid w:val="203F7FB7"/>
    <w:rsid w:val="20405575"/>
    <w:rsid w:val="20475A70"/>
    <w:rsid w:val="204C4020"/>
    <w:rsid w:val="20510792"/>
    <w:rsid w:val="205E0274"/>
    <w:rsid w:val="205E3617"/>
    <w:rsid w:val="206A579E"/>
    <w:rsid w:val="206C2A90"/>
    <w:rsid w:val="206E043A"/>
    <w:rsid w:val="20717F2A"/>
    <w:rsid w:val="20745325"/>
    <w:rsid w:val="20757347"/>
    <w:rsid w:val="20775A83"/>
    <w:rsid w:val="20803FF0"/>
    <w:rsid w:val="20840E15"/>
    <w:rsid w:val="20880DD0"/>
    <w:rsid w:val="20886514"/>
    <w:rsid w:val="20963CB8"/>
    <w:rsid w:val="20983709"/>
    <w:rsid w:val="20A22F6A"/>
    <w:rsid w:val="20A2660D"/>
    <w:rsid w:val="20A26E40"/>
    <w:rsid w:val="20A35C0A"/>
    <w:rsid w:val="20A573A9"/>
    <w:rsid w:val="20A811C4"/>
    <w:rsid w:val="20B07FB6"/>
    <w:rsid w:val="20B7497A"/>
    <w:rsid w:val="20BF110E"/>
    <w:rsid w:val="20C52024"/>
    <w:rsid w:val="20C53DD2"/>
    <w:rsid w:val="20D86237"/>
    <w:rsid w:val="20DC15ED"/>
    <w:rsid w:val="20E94862"/>
    <w:rsid w:val="20EB37E6"/>
    <w:rsid w:val="20EF5109"/>
    <w:rsid w:val="20F032DC"/>
    <w:rsid w:val="20F41A1B"/>
    <w:rsid w:val="20F430FD"/>
    <w:rsid w:val="210C1A01"/>
    <w:rsid w:val="210C7C53"/>
    <w:rsid w:val="21137DC0"/>
    <w:rsid w:val="21144E48"/>
    <w:rsid w:val="211D0C39"/>
    <w:rsid w:val="212354AE"/>
    <w:rsid w:val="212375AA"/>
    <w:rsid w:val="21260D15"/>
    <w:rsid w:val="21283C63"/>
    <w:rsid w:val="212E5BE1"/>
    <w:rsid w:val="212E5E1B"/>
    <w:rsid w:val="212E7BC9"/>
    <w:rsid w:val="2130745B"/>
    <w:rsid w:val="21351E25"/>
    <w:rsid w:val="213B74B1"/>
    <w:rsid w:val="21460DDF"/>
    <w:rsid w:val="214B2529"/>
    <w:rsid w:val="214C1681"/>
    <w:rsid w:val="21510021"/>
    <w:rsid w:val="2156186B"/>
    <w:rsid w:val="21577120"/>
    <w:rsid w:val="21583C6E"/>
    <w:rsid w:val="215A2310"/>
    <w:rsid w:val="215F4462"/>
    <w:rsid w:val="215F65F0"/>
    <w:rsid w:val="21607070"/>
    <w:rsid w:val="21637C34"/>
    <w:rsid w:val="21663060"/>
    <w:rsid w:val="216A5BBF"/>
    <w:rsid w:val="21703D3E"/>
    <w:rsid w:val="21726ED7"/>
    <w:rsid w:val="217557F8"/>
    <w:rsid w:val="21777187"/>
    <w:rsid w:val="217A696B"/>
    <w:rsid w:val="217B1617"/>
    <w:rsid w:val="217B58C0"/>
    <w:rsid w:val="218C2345"/>
    <w:rsid w:val="2195067B"/>
    <w:rsid w:val="21975A51"/>
    <w:rsid w:val="2197751D"/>
    <w:rsid w:val="21986DDF"/>
    <w:rsid w:val="219D2F5E"/>
    <w:rsid w:val="21AB4C07"/>
    <w:rsid w:val="21AF0D0A"/>
    <w:rsid w:val="21B87EDC"/>
    <w:rsid w:val="21BF3935"/>
    <w:rsid w:val="21C05A1B"/>
    <w:rsid w:val="21D948CB"/>
    <w:rsid w:val="21DE318A"/>
    <w:rsid w:val="21E62513"/>
    <w:rsid w:val="21EA1D42"/>
    <w:rsid w:val="21EA6A0D"/>
    <w:rsid w:val="21EC7BC9"/>
    <w:rsid w:val="21EF5B80"/>
    <w:rsid w:val="21EF7359"/>
    <w:rsid w:val="21F2242D"/>
    <w:rsid w:val="21FD6859"/>
    <w:rsid w:val="21FD70E5"/>
    <w:rsid w:val="22045743"/>
    <w:rsid w:val="220578B6"/>
    <w:rsid w:val="22087AAA"/>
    <w:rsid w:val="22116816"/>
    <w:rsid w:val="22144050"/>
    <w:rsid w:val="221D66FC"/>
    <w:rsid w:val="221E441F"/>
    <w:rsid w:val="22237002"/>
    <w:rsid w:val="22253EDB"/>
    <w:rsid w:val="22274254"/>
    <w:rsid w:val="222B6B08"/>
    <w:rsid w:val="222D1A33"/>
    <w:rsid w:val="22384FDA"/>
    <w:rsid w:val="223A383C"/>
    <w:rsid w:val="223A5078"/>
    <w:rsid w:val="223B07F0"/>
    <w:rsid w:val="22444CD9"/>
    <w:rsid w:val="22481BBD"/>
    <w:rsid w:val="224A19E9"/>
    <w:rsid w:val="224D0523"/>
    <w:rsid w:val="224E2864"/>
    <w:rsid w:val="225418B2"/>
    <w:rsid w:val="22576990"/>
    <w:rsid w:val="225A4BDB"/>
    <w:rsid w:val="226513C9"/>
    <w:rsid w:val="226715E5"/>
    <w:rsid w:val="22682C67"/>
    <w:rsid w:val="226A324E"/>
    <w:rsid w:val="226C09A9"/>
    <w:rsid w:val="227308A6"/>
    <w:rsid w:val="22772D02"/>
    <w:rsid w:val="22787AC9"/>
    <w:rsid w:val="22794F3B"/>
    <w:rsid w:val="227C10EE"/>
    <w:rsid w:val="227C4964"/>
    <w:rsid w:val="227D46DD"/>
    <w:rsid w:val="227E06DD"/>
    <w:rsid w:val="22851A6B"/>
    <w:rsid w:val="228A333A"/>
    <w:rsid w:val="228D3006"/>
    <w:rsid w:val="229323DA"/>
    <w:rsid w:val="22950825"/>
    <w:rsid w:val="22965A26"/>
    <w:rsid w:val="229C3719"/>
    <w:rsid w:val="229C4EAB"/>
    <w:rsid w:val="229F2785"/>
    <w:rsid w:val="22A53E75"/>
    <w:rsid w:val="22B04F14"/>
    <w:rsid w:val="22BA0246"/>
    <w:rsid w:val="22BB7746"/>
    <w:rsid w:val="22BD1BDC"/>
    <w:rsid w:val="22BD7457"/>
    <w:rsid w:val="22D16A5E"/>
    <w:rsid w:val="22D54CC4"/>
    <w:rsid w:val="22DD5403"/>
    <w:rsid w:val="22DD5577"/>
    <w:rsid w:val="22DF561F"/>
    <w:rsid w:val="22E96F67"/>
    <w:rsid w:val="22EC3898"/>
    <w:rsid w:val="22F31EE0"/>
    <w:rsid w:val="22F93931"/>
    <w:rsid w:val="22FE0E57"/>
    <w:rsid w:val="22FE2E67"/>
    <w:rsid w:val="23040025"/>
    <w:rsid w:val="230872CF"/>
    <w:rsid w:val="230C13CF"/>
    <w:rsid w:val="230E439E"/>
    <w:rsid w:val="2318468D"/>
    <w:rsid w:val="231861DA"/>
    <w:rsid w:val="231F5A1C"/>
    <w:rsid w:val="2329086F"/>
    <w:rsid w:val="23294AEC"/>
    <w:rsid w:val="2329689A"/>
    <w:rsid w:val="232E2103"/>
    <w:rsid w:val="233173DB"/>
    <w:rsid w:val="23376A8B"/>
    <w:rsid w:val="23384174"/>
    <w:rsid w:val="23386ADD"/>
    <w:rsid w:val="233A41AA"/>
    <w:rsid w:val="23403BE4"/>
    <w:rsid w:val="234449AA"/>
    <w:rsid w:val="234E06C8"/>
    <w:rsid w:val="234E7405"/>
    <w:rsid w:val="23571659"/>
    <w:rsid w:val="235C6301"/>
    <w:rsid w:val="235E420C"/>
    <w:rsid w:val="235E6ED3"/>
    <w:rsid w:val="23627C05"/>
    <w:rsid w:val="23632DB3"/>
    <w:rsid w:val="2368011E"/>
    <w:rsid w:val="236B2A0F"/>
    <w:rsid w:val="236B729F"/>
    <w:rsid w:val="2375388E"/>
    <w:rsid w:val="237F64BA"/>
    <w:rsid w:val="23801162"/>
    <w:rsid w:val="23841D23"/>
    <w:rsid w:val="238442C9"/>
    <w:rsid w:val="238772DA"/>
    <w:rsid w:val="23882A75"/>
    <w:rsid w:val="23983A20"/>
    <w:rsid w:val="239C5A38"/>
    <w:rsid w:val="23A41C28"/>
    <w:rsid w:val="23AB5501"/>
    <w:rsid w:val="23AF678B"/>
    <w:rsid w:val="23B426E0"/>
    <w:rsid w:val="23C40BF8"/>
    <w:rsid w:val="23C465C3"/>
    <w:rsid w:val="23C64714"/>
    <w:rsid w:val="23C84EF4"/>
    <w:rsid w:val="23D507D0"/>
    <w:rsid w:val="23D55EEE"/>
    <w:rsid w:val="23D762F6"/>
    <w:rsid w:val="23D9610A"/>
    <w:rsid w:val="23E004EA"/>
    <w:rsid w:val="23E32F6D"/>
    <w:rsid w:val="23F01166"/>
    <w:rsid w:val="23F52C20"/>
    <w:rsid w:val="23F77636"/>
    <w:rsid w:val="241871C0"/>
    <w:rsid w:val="241A50E5"/>
    <w:rsid w:val="241F316D"/>
    <w:rsid w:val="24251D8F"/>
    <w:rsid w:val="24284DA4"/>
    <w:rsid w:val="24341D04"/>
    <w:rsid w:val="24350677"/>
    <w:rsid w:val="24376D95"/>
    <w:rsid w:val="243A6885"/>
    <w:rsid w:val="243F0252"/>
    <w:rsid w:val="2440632A"/>
    <w:rsid w:val="24466FD8"/>
    <w:rsid w:val="24482536"/>
    <w:rsid w:val="244A78CF"/>
    <w:rsid w:val="244C1E8C"/>
    <w:rsid w:val="2452229A"/>
    <w:rsid w:val="24541FC8"/>
    <w:rsid w:val="24545B99"/>
    <w:rsid w:val="245C4A4D"/>
    <w:rsid w:val="245F75ED"/>
    <w:rsid w:val="2463402E"/>
    <w:rsid w:val="24665820"/>
    <w:rsid w:val="24727DCD"/>
    <w:rsid w:val="247A4DA5"/>
    <w:rsid w:val="247C5868"/>
    <w:rsid w:val="247D50F0"/>
    <w:rsid w:val="247E43DB"/>
    <w:rsid w:val="247E6020"/>
    <w:rsid w:val="24857B00"/>
    <w:rsid w:val="248719D0"/>
    <w:rsid w:val="248A4045"/>
    <w:rsid w:val="248E5C78"/>
    <w:rsid w:val="24910197"/>
    <w:rsid w:val="249917FE"/>
    <w:rsid w:val="249A5D7B"/>
    <w:rsid w:val="249F1C65"/>
    <w:rsid w:val="249F27F3"/>
    <w:rsid w:val="24A31DB8"/>
    <w:rsid w:val="24A863B5"/>
    <w:rsid w:val="24B65A1A"/>
    <w:rsid w:val="24BF5D4F"/>
    <w:rsid w:val="24C22061"/>
    <w:rsid w:val="24C86C40"/>
    <w:rsid w:val="24C94CDE"/>
    <w:rsid w:val="24CA19B7"/>
    <w:rsid w:val="24CE56C6"/>
    <w:rsid w:val="24D46F53"/>
    <w:rsid w:val="24DB287F"/>
    <w:rsid w:val="24DF34A0"/>
    <w:rsid w:val="24E07880"/>
    <w:rsid w:val="24E43E58"/>
    <w:rsid w:val="24F353B2"/>
    <w:rsid w:val="24F658C7"/>
    <w:rsid w:val="24F70AC3"/>
    <w:rsid w:val="24F904EE"/>
    <w:rsid w:val="24F9229C"/>
    <w:rsid w:val="25093337"/>
    <w:rsid w:val="25095901"/>
    <w:rsid w:val="250B79CD"/>
    <w:rsid w:val="250D5B61"/>
    <w:rsid w:val="251C0656"/>
    <w:rsid w:val="251E2D32"/>
    <w:rsid w:val="2525540C"/>
    <w:rsid w:val="252A68FA"/>
    <w:rsid w:val="252D53FE"/>
    <w:rsid w:val="25315EDA"/>
    <w:rsid w:val="25331C52"/>
    <w:rsid w:val="2535022D"/>
    <w:rsid w:val="253820A1"/>
    <w:rsid w:val="253A0354"/>
    <w:rsid w:val="253A64A2"/>
    <w:rsid w:val="253E4350"/>
    <w:rsid w:val="25423177"/>
    <w:rsid w:val="25423C43"/>
    <w:rsid w:val="25441B63"/>
    <w:rsid w:val="255321BF"/>
    <w:rsid w:val="25537BFE"/>
    <w:rsid w:val="25574C2A"/>
    <w:rsid w:val="25591261"/>
    <w:rsid w:val="255D282B"/>
    <w:rsid w:val="256242E5"/>
    <w:rsid w:val="2571227F"/>
    <w:rsid w:val="257408A0"/>
    <w:rsid w:val="25750C7C"/>
    <w:rsid w:val="257B3BBF"/>
    <w:rsid w:val="258423A8"/>
    <w:rsid w:val="25861231"/>
    <w:rsid w:val="25872A6A"/>
    <w:rsid w:val="25916E05"/>
    <w:rsid w:val="259455FA"/>
    <w:rsid w:val="25962387"/>
    <w:rsid w:val="259F1096"/>
    <w:rsid w:val="25A91F14"/>
    <w:rsid w:val="25AA665A"/>
    <w:rsid w:val="25AE0043"/>
    <w:rsid w:val="25B22036"/>
    <w:rsid w:val="25B22547"/>
    <w:rsid w:val="25B85CB3"/>
    <w:rsid w:val="25BC39F6"/>
    <w:rsid w:val="25CF541E"/>
    <w:rsid w:val="25D0124F"/>
    <w:rsid w:val="25D75396"/>
    <w:rsid w:val="25DC2758"/>
    <w:rsid w:val="25E56182"/>
    <w:rsid w:val="25E72643"/>
    <w:rsid w:val="25EC06BC"/>
    <w:rsid w:val="25EC2D81"/>
    <w:rsid w:val="25F27417"/>
    <w:rsid w:val="25FA3437"/>
    <w:rsid w:val="25FF7D86"/>
    <w:rsid w:val="26061572"/>
    <w:rsid w:val="26063737"/>
    <w:rsid w:val="26080C1C"/>
    <w:rsid w:val="260B2AF2"/>
    <w:rsid w:val="261B1343"/>
    <w:rsid w:val="262015C2"/>
    <w:rsid w:val="26263D45"/>
    <w:rsid w:val="2626787B"/>
    <w:rsid w:val="26272732"/>
    <w:rsid w:val="2630673E"/>
    <w:rsid w:val="26355556"/>
    <w:rsid w:val="26381B79"/>
    <w:rsid w:val="263A0660"/>
    <w:rsid w:val="26426804"/>
    <w:rsid w:val="264528BD"/>
    <w:rsid w:val="26492DAF"/>
    <w:rsid w:val="264A47B9"/>
    <w:rsid w:val="2653795C"/>
    <w:rsid w:val="26586DB0"/>
    <w:rsid w:val="265F24C5"/>
    <w:rsid w:val="2665408D"/>
    <w:rsid w:val="267210BB"/>
    <w:rsid w:val="26773FB5"/>
    <w:rsid w:val="26783AFC"/>
    <w:rsid w:val="267F5A7E"/>
    <w:rsid w:val="26804A23"/>
    <w:rsid w:val="26822CBC"/>
    <w:rsid w:val="26855060"/>
    <w:rsid w:val="26970397"/>
    <w:rsid w:val="269855AF"/>
    <w:rsid w:val="269859C4"/>
    <w:rsid w:val="269E30FB"/>
    <w:rsid w:val="26A81FC9"/>
    <w:rsid w:val="26A85D28"/>
    <w:rsid w:val="26A90987"/>
    <w:rsid w:val="26AE0B8A"/>
    <w:rsid w:val="26B267A0"/>
    <w:rsid w:val="26B43C76"/>
    <w:rsid w:val="26BA05DD"/>
    <w:rsid w:val="26BB1EFF"/>
    <w:rsid w:val="26BC2559"/>
    <w:rsid w:val="26BE379D"/>
    <w:rsid w:val="26C051A7"/>
    <w:rsid w:val="26C0626A"/>
    <w:rsid w:val="26C157CB"/>
    <w:rsid w:val="26CC1AA3"/>
    <w:rsid w:val="26CE24D5"/>
    <w:rsid w:val="26CF3546"/>
    <w:rsid w:val="26D11723"/>
    <w:rsid w:val="26D1256F"/>
    <w:rsid w:val="26D574BF"/>
    <w:rsid w:val="26E31027"/>
    <w:rsid w:val="26E36D60"/>
    <w:rsid w:val="26ED7BDF"/>
    <w:rsid w:val="26F1465A"/>
    <w:rsid w:val="26F47326"/>
    <w:rsid w:val="26F653EA"/>
    <w:rsid w:val="26FA6954"/>
    <w:rsid w:val="26FB4140"/>
    <w:rsid w:val="26FC34F1"/>
    <w:rsid w:val="26FC789F"/>
    <w:rsid w:val="27007912"/>
    <w:rsid w:val="270100AB"/>
    <w:rsid w:val="270143C5"/>
    <w:rsid w:val="2704140D"/>
    <w:rsid w:val="2709697A"/>
    <w:rsid w:val="271E0F55"/>
    <w:rsid w:val="271E334C"/>
    <w:rsid w:val="273632BA"/>
    <w:rsid w:val="273F1587"/>
    <w:rsid w:val="27417E48"/>
    <w:rsid w:val="27445DD9"/>
    <w:rsid w:val="274E6AFA"/>
    <w:rsid w:val="27542883"/>
    <w:rsid w:val="27584189"/>
    <w:rsid w:val="27596A6D"/>
    <w:rsid w:val="275C3A79"/>
    <w:rsid w:val="27651D3D"/>
    <w:rsid w:val="27666A45"/>
    <w:rsid w:val="2769677E"/>
    <w:rsid w:val="27713F09"/>
    <w:rsid w:val="277420AE"/>
    <w:rsid w:val="278C564A"/>
    <w:rsid w:val="279813A9"/>
    <w:rsid w:val="279B19EE"/>
    <w:rsid w:val="27A04C51"/>
    <w:rsid w:val="27A177BB"/>
    <w:rsid w:val="27B36709"/>
    <w:rsid w:val="27C0068B"/>
    <w:rsid w:val="27C05429"/>
    <w:rsid w:val="27C671FD"/>
    <w:rsid w:val="27CE33D3"/>
    <w:rsid w:val="27D15DD1"/>
    <w:rsid w:val="27DA426F"/>
    <w:rsid w:val="27DC037F"/>
    <w:rsid w:val="27DF39CB"/>
    <w:rsid w:val="27E8031D"/>
    <w:rsid w:val="27EA4DD4"/>
    <w:rsid w:val="27F0147E"/>
    <w:rsid w:val="27F51441"/>
    <w:rsid w:val="27F751B9"/>
    <w:rsid w:val="27F93BB1"/>
    <w:rsid w:val="27FC632B"/>
    <w:rsid w:val="27FF128A"/>
    <w:rsid w:val="28017DE6"/>
    <w:rsid w:val="28050D6C"/>
    <w:rsid w:val="28060AB1"/>
    <w:rsid w:val="28161896"/>
    <w:rsid w:val="28215D92"/>
    <w:rsid w:val="282353D6"/>
    <w:rsid w:val="282C6FB7"/>
    <w:rsid w:val="282E6701"/>
    <w:rsid w:val="28300A51"/>
    <w:rsid w:val="28305FD5"/>
    <w:rsid w:val="28306644"/>
    <w:rsid w:val="283627A2"/>
    <w:rsid w:val="28373807"/>
    <w:rsid w:val="283A6E54"/>
    <w:rsid w:val="283A7CD3"/>
    <w:rsid w:val="283C0173"/>
    <w:rsid w:val="28435E08"/>
    <w:rsid w:val="28451182"/>
    <w:rsid w:val="284B2E0F"/>
    <w:rsid w:val="284E28FF"/>
    <w:rsid w:val="28564ED7"/>
    <w:rsid w:val="28571B52"/>
    <w:rsid w:val="2859255E"/>
    <w:rsid w:val="2859377E"/>
    <w:rsid w:val="285F4B0C"/>
    <w:rsid w:val="28620679"/>
    <w:rsid w:val="28632B55"/>
    <w:rsid w:val="286363AA"/>
    <w:rsid w:val="28682C2D"/>
    <w:rsid w:val="28686379"/>
    <w:rsid w:val="286F11F3"/>
    <w:rsid w:val="287433DB"/>
    <w:rsid w:val="28777BF4"/>
    <w:rsid w:val="287C5C18"/>
    <w:rsid w:val="288527C5"/>
    <w:rsid w:val="2886739F"/>
    <w:rsid w:val="288809F3"/>
    <w:rsid w:val="288B7655"/>
    <w:rsid w:val="288F5BEC"/>
    <w:rsid w:val="289106F0"/>
    <w:rsid w:val="289D026B"/>
    <w:rsid w:val="289F315B"/>
    <w:rsid w:val="289F35C9"/>
    <w:rsid w:val="28A76295"/>
    <w:rsid w:val="28A95D87"/>
    <w:rsid w:val="28AD5878"/>
    <w:rsid w:val="28AF339E"/>
    <w:rsid w:val="28B374B2"/>
    <w:rsid w:val="28B5472C"/>
    <w:rsid w:val="28B7362B"/>
    <w:rsid w:val="28BB0E63"/>
    <w:rsid w:val="28BB6FED"/>
    <w:rsid w:val="28BC3D0D"/>
    <w:rsid w:val="28C123BF"/>
    <w:rsid w:val="28C34536"/>
    <w:rsid w:val="28C71F47"/>
    <w:rsid w:val="28CA3EC0"/>
    <w:rsid w:val="28CC7C23"/>
    <w:rsid w:val="28D42E04"/>
    <w:rsid w:val="28D52E58"/>
    <w:rsid w:val="28D62AD9"/>
    <w:rsid w:val="28D723FD"/>
    <w:rsid w:val="28D87B0A"/>
    <w:rsid w:val="28DC0F56"/>
    <w:rsid w:val="28DE6D64"/>
    <w:rsid w:val="28E2156E"/>
    <w:rsid w:val="28E62B38"/>
    <w:rsid w:val="28E7673C"/>
    <w:rsid w:val="28E867B2"/>
    <w:rsid w:val="28EA6ACC"/>
    <w:rsid w:val="28EC2844"/>
    <w:rsid w:val="28ED1358"/>
    <w:rsid w:val="28F23A68"/>
    <w:rsid w:val="28F71F9E"/>
    <w:rsid w:val="28FA2489"/>
    <w:rsid w:val="28FD67FF"/>
    <w:rsid w:val="28FE2577"/>
    <w:rsid w:val="2903193C"/>
    <w:rsid w:val="29032C29"/>
    <w:rsid w:val="290731DA"/>
    <w:rsid w:val="291231E6"/>
    <w:rsid w:val="29194CBB"/>
    <w:rsid w:val="291B489A"/>
    <w:rsid w:val="29206EB8"/>
    <w:rsid w:val="294A5D14"/>
    <w:rsid w:val="294D4B9E"/>
    <w:rsid w:val="2950250B"/>
    <w:rsid w:val="29514455"/>
    <w:rsid w:val="29534691"/>
    <w:rsid w:val="295B6DE6"/>
    <w:rsid w:val="29606D8E"/>
    <w:rsid w:val="29634188"/>
    <w:rsid w:val="29654A46"/>
    <w:rsid w:val="296A3769"/>
    <w:rsid w:val="296C64BE"/>
    <w:rsid w:val="2979403C"/>
    <w:rsid w:val="297D2915"/>
    <w:rsid w:val="297D6F92"/>
    <w:rsid w:val="298438D2"/>
    <w:rsid w:val="2988785B"/>
    <w:rsid w:val="298C11A2"/>
    <w:rsid w:val="298D7E11"/>
    <w:rsid w:val="298F4F7D"/>
    <w:rsid w:val="29944FDC"/>
    <w:rsid w:val="299512D6"/>
    <w:rsid w:val="29953C12"/>
    <w:rsid w:val="299B5324"/>
    <w:rsid w:val="29A547A1"/>
    <w:rsid w:val="29A718A0"/>
    <w:rsid w:val="29AC3D81"/>
    <w:rsid w:val="29AD6E4C"/>
    <w:rsid w:val="29B11213"/>
    <w:rsid w:val="29B474FC"/>
    <w:rsid w:val="29B570DA"/>
    <w:rsid w:val="29B71177"/>
    <w:rsid w:val="29BF5E32"/>
    <w:rsid w:val="29C72969"/>
    <w:rsid w:val="29CC4423"/>
    <w:rsid w:val="29D137E8"/>
    <w:rsid w:val="29D25BB7"/>
    <w:rsid w:val="29E11DFB"/>
    <w:rsid w:val="29E22995"/>
    <w:rsid w:val="29E325E0"/>
    <w:rsid w:val="29E93A08"/>
    <w:rsid w:val="29E96D83"/>
    <w:rsid w:val="29EB48A9"/>
    <w:rsid w:val="29EB6ECC"/>
    <w:rsid w:val="29EE6148"/>
    <w:rsid w:val="29F0340A"/>
    <w:rsid w:val="29FD4CA6"/>
    <w:rsid w:val="2A005952"/>
    <w:rsid w:val="2A0C2A72"/>
    <w:rsid w:val="2A1841BD"/>
    <w:rsid w:val="2A210C17"/>
    <w:rsid w:val="2A215AE4"/>
    <w:rsid w:val="2A231A63"/>
    <w:rsid w:val="2A233F27"/>
    <w:rsid w:val="2A2B2EF8"/>
    <w:rsid w:val="2A2B4CE0"/>
    <w:rsid w:val="2A2D4AC9"/>
    <w:rsid w:val="2A307036"/>
    <w:rsid w:val="2A38161F"/>
    <w:rsid w:val="2A3A70A5"/>
    <w:rsid w:val="2A4052C0"/>
    <w:rsid w:val="2A451696"/>
    <w:rsid w:val="2A452503"/>
    <w:rsid w:val="2A471ED4"/>
    <w:rsid w:val="2A491472"/>
    <w:rsid w:val="2A4C14D9"/>
    <w:rsid w:val="2A522B7B"/>
    <w:rsid w:val="2A53244F"/>
    <w:rsid w:val="2A5341FD"/>
    <w:rsid w:val="2A5B175C"/>
    <w:rsid w:val="2A5B17CA"/>
    <w:rsid w:val="2A5C1303"/>
    <w:rsid w:val="2A5F4D9F"/>
    <w:rsid w:val="2A5F7045"/>
    <w:rsid w:val="2A614B6C"/>
    <w:rsid w:val="2A6401B8"/>
    <w:rsid w:val="2A7D5523"/>
    <w:rsid w:val="2A801EE6"/>
    <w:rsid w:val="2A8502C9"/>
    <w:rsid w:val="2A8940C2"/>
    <w:rsid w:val="2A8B7E3A"/>
    <w:rsid w:val="2A8E3487"/>
    <w:rsid w:val="2A903218"/>
    <w:rsid w:val="2A906605"/>
    <w:rsid w:val="2A906970"/>
    <w:rsid w:val="2A9557F1"/>
    <w:rsid w:val="2A957550"/>
    <w:rsid w:val="2AA0795F"/>
    <w:rsid w:val="2AA93A13"/>
    <w:rsid w:val="2AAD41CF"/>
    <w:rsid w:val="2AB13DC5"/>
    <w:rsid w:val="2AB633CB"/>
    <w:rsid w:val="2AB70765"/>
    <w:rsid w:val="2AB81D59"/>
    <w:rsid w:val="2AB90ACF"/>
    <w:rsid w:val="2ABB7AAD"/>
    <w:rsid w:val="2AC31382"/>
    <w:rsid w:val="2AC4309E"/>
    <w:rsid w:val="2AC670C5"/>
    <w:rsid w:val="2AC97B46"/>
    <w:rsid w:val="2AD3325D"/>
    <w:rsid w:val="2AD76BDC"/>
    <w:rsid w:val="2ADA1827"/>
    <w:rsid w:val="2ADE0977"/>
    <w:rsid w:val="2AE00BD3"/>
    <w:rsid w:val="2AF11DF7"/>
    <w:rsid w:val="2AF169A2"/>
    <w:rsid w:val="2AF6375B"/>
    <w:rsid w:val="2B00095F"/>
    <w:rsid w:val="2B0270CB"/>
    <w:rsid w:val="2B086B03"/>
    <w:rsid w:val="2B1011A8"/>
    <w:rsid w:val="2B177920"/>
    <w:rsid w:val="2B2172C4"/>
    <w:rsid w:val="2B24320D"/>
    <w:rsid w:val="2B27280E"/>
    <w:rsid w:val="2B2C33CC"/>
    <w:rsid w:val="2B3109E2"/>
    <w:rsid w:val="2B3B6866"/>
    <w:rsid w:val="2B3F1D11"/>
    <w:rsid w:val="2B406E77"/>
    <w:rsid w:val="2B490D5D"/>
    <w:rsid w:val="2B4C616E"/>
    <w:rsid w:val="2B560448"/>
    <w:rsid w:val="2B574314"/>
    <w:rsid w:val="2B5C1E7F"/>
    <w:rsid w:val="2B6D2B0A"/>
    <w:rsid w:val="2B70277A"/>
    <w:rsid w:val="2B744E1B"/>
    <w:rsid w:val="2B794137"/>
    <w:rsid w:val="2B7F276E"/>
    <w:rsid w:val="2B870602"/>
    <w:rsid w:val="2B8F0504"/>
    <w:rsid w:val="2B9176D3"/>
    <w:rsid w:val="2B951FD2"/>
    <w:rsid w:val="2B952158"/>
    <w:rsid w:val="2B99044A"/>
    <w:rsid w:val="2B995A8F"/>
    <w:rsid w:val="2B9A4462"/>
    <w:rsid w:val="2BA53075"/>
    <w:rsid w:val="2BA936A8"/>
    <w:rsid w:val="2BAA304D"/>
    <w:rsid w:val="2BAC62BA"/>
    <w:rsid w:val="2BAE7A42"/>
    <w:rsid w:val="2BB313F7"/>
    <w:rsid w:val="2BB67139"/>
    <w:rsid w:val="2BB95DFB"/>
    <w:rsid w:val="2BC453B2"/>
    <w:rsid w:val="2BC74EA2"/>
    <w:rsid w:val="2BCB7870"/>
    <w:rsid w:val="2BCE4ECE"/>
    <w:rsid w:val="2BD575BF"/>
    <w:rsid w:val="2BDB03C5"/>
    <w:rsid w:val="2BDD72B8"/>
    <w:rsid w:val="2BF437BD"/>
    <w:rsid w:val="2C06574E"/>
    <w:rsid w:val="2C0A4001"/>
    <w:rsid w:val="2C1068BF"/>
    <w:rsid w:val="2C117B60"/>
    <w:rsid w:val="2C125B8B"/>
    <w:rsid w:val="2C14381D"/>
    <w:rsid w:val="2C1520B2"/>
    <w:rsid w:val="2C181CF2"/>
    <w:rsid w:val="2C1B25CE"/>
    <w:rsid w:val="2C21096C"/>
    <w:rsid w:val="2C2422F5"/>
    <w:rsid w:val="2C265C55"/>
    <w:rsid w:val="2C2823E0"/>
    <w:rsid w:val="2C2B5392"/>
    <w:rsid w:val="2C2D61F2"/>
    <w:rsid w:val="2C2D7EEF"/>
    <w:rsid w:val="2C315A5A"/>
    <w:rsid w:val="2C387B4E"/>
    <w:rsid w:val="2C3A1B18"/>
    <w:rsid w:val="2C4E1120"/>
    <w:rsid w:val="2C4E1C4D"/>
    <w:rsid w:val="2C57495C"/>
    <w:rsid w:val="2C5F07C2"/>
    <w:rsid w:val="2C6739A6"/>
    <w:rsid w:val="2C734269"/>
    <w:rsid w:val="2C7E7C57"/>
    <w:rsid w:val="2C81107A"/>
    <w:rsid w:val="2C835FAF"/>
    <w:rsid w:val="2C842D93"/>
    <w:rsid w:val="2C844B41"/>
    <w:rsid w:val="2C8903AA"/>
    <w:rsid w:val="2C8A7FB4"/>
    <w:rsid w:val="2C933B12"/>
    <w:rsid w:val="2C941F11"/>
    <w:rsid w:val="2C98683F"/>
    <w:rsid w:val="2C994651"/>
    <w:rsid w:val="2C9A0556"/>
    <w:rsid w:val="2C9C632F"/>
    <w:rsid w:val="2CA82087"/>
    <w:rsid w:val="2CAB0320"/>
    <w:rsid w:val="2CAB35CB"/>
    <w:rsid w:val="2CB549C4"/>
    <w:rsid w:val="2CB74F17"/>
    <w:rsid w:val="2CBF17E0"/>
    <w:rsid w:val="2CC21F41"/>
    <w:rsid w:val="2CC6099B"/>
    <w:rsid w:val="2CC80B4D"/>
    <w:rsid w:val="2CC85E20"/>
    <w:rsid w:val="2CCB451E"/>
    <w:rsid w:val="2CCF0A99"/>
    <w:rsid w:val="2CDE43FB"/>
    <w:rsid w:val="2CED3AC1"/>
    <w:rsid w:val="2CEE3A9F"/>
    <w:rsid w:val="2CF25F4F"/>
    <w:rsid w:val="2CF33A75"/>
    <w:rsid w:val="2CF41CC7"/>
    <w:rsid w:val="2CF5183B"/>
    <w:rsid w:val="2CF75D91"/>
    <w:rsid w:val="2CFB1697"/>
    <w:rsid w:val="2CFF2F9E"/>
    <w:rsid w:val="2D01287E"/>
    <w:rsid w:val="2D054CF5"/>
    <w:rsid w:val="2D077128"/>
    <w:rsid w:val="2D085772"/>
    <w:rsid w:val="2D0B7011"/>
    <w:rsid w:val="2D0E41EC"/>
    <w:rsid w:val="2D1474EF"/>
    <w:rsid w:val="2D1810A4"/>
    <w:rsid w:val="2D19405F"/>
    <w:rsid w:val="2D1D3EC0"/>
    <w:rsid w:val="2D1D7C30"/>
    <w:rsid w:val="2D263E4A"/>
    <w:rsid w:val="2D266753"/>
    <w:rsid w:val="2D34272E"/>
    <w:rsid w:val="2D3463BD"/>
    <w:rsid w:val="2D3B1093"/>
    <w:rsid w:val="2D3E1194"/>
    <w:rsid w:val="2D3E21B4"/>
    <w:rsid w:val="2D426ED6"/>
    <w:rsid w:val="2D482013"/>
    <w:rsid w:val="2D5064EF"/>
    <w:rsid w:val="2D6627BC"/>
    <w:rsid w:val="2D671D4E"/>
    <w:rsid w:val="2D6800FD"/>
    <w:rsid w:val="2D6B7AAF"/>
    <w:rsid w:val="2D6D7CCB"/>
    <w:rsid w:val="2D704844"/>
    <w:rsid w:val="2D705CEC"/>
    <w:rsid w:val="2D742EB2"/>
    <w:rsid w:val="2D7A231E"/>
    <w:rsid w:val="2D7B79BB"/>
    <w:rsid w:val="2D8138BD"/>
    <w:rsid w:val="2D820F9A"/>
    <w:rsid w:val="2D832D10"/>
    <w:rsid w:val="2D87488A"/>
    <w:rsid w:val="2D8C55E4"/>
    <w:rsid w:val="2D931E91"/>
    <w:rsid w:val="2D960388"/>
    <w:rsid w:val="2D990AC0"/>
    <w:rsid w:val="2D9B5FED"/>
    <w:rsid w:val="2D9E56F5"/>
    <w:rsid w:val="2DA416FC"/>
    <w:rsid w:val="2DA60AE7"/>
    <w:rsid w:val="2DB75BA1"/>
    <w:rsid w:val="2DBF063F"/>
    <w:rsid w:val="2DBF655A"/>
    <w:rsid w:val="2DC25921"/>
    <w:rsid w:val="2DC45B3D"/>
    <w:rsid w:val="2DC64219"/>
    <w:rsid w:val="2DC84F02"/>
    <w:rsid w:val="2DC86CB0"/>
    <w:rsid w:val="2DD24E04"/>
    <w:rsid w:val="2DD90EBD"/>
    <w:rsid w:val="2DDD4A82"/>
    <w:rsid w:val="2DDF2977"/>
    <w:rsid w:val="2DE807FF"/>
    <w:rsid w:val="2DF33D2D"/>
    <w:rsid w:val="2DFB0AF6"/>
    <w:rsid w:val="2DFB57BD"/>
    <w:rsid w:val="2E003CC6"/>
    <w:rsid w:val="2E0048B7"/>
    <w:rsid w:val="2E093A9D"/>
    <w:rsid w:val="2E0B376C"/>
    <w:rsid w:val="2E1208BA"/>
    <w:rsid w:val="2E1848FC"/>
    <w:rsid w:val="2E1D524D"/>
    <w:rsid w:val="2E214760"/>
    <w:rsid w:val="2E2C38FD"/>
    <w:rsid w:val="2E300A4E"/>
    <w:rsid w:val="2E301A53"/>
    <w:rsid w:val="2E304F81"/>
    <w:rsid w:val="2E3128ED"/>
    <w:rsid w:val="2E340AB4"/>
    <w:rsid w:val="2E3600BD"/>
    <w:rsid w:val="2E3730C7"/>
    <w:rsid w:val="2E3D7DC8"/>
    <w:rsid w:val="2E4173B9"/>
    <w:rsid w:val="2E443131"/>
    <w:rsid w:val="2E47051C"/>
    <w:rsid w:val="2E4722CA"/>
    <w:rsid w:val="2E50321B"/>
    <w:rsid w:val="2E556795"/>
    <w:rsid w:val="2E5C048D"/>
    <w:rsid w:val="2E5C3448"/>
    <w:rsid w:val="2E5D7CAE"/>
    <w:rsid w:val="2E617F36"/>
    <w:rsid w:val="2E642E7C"/>
    <w:rsid w:val="2E6469D8"/>
    <w:rsid w:val="2E667F96"/>
    <w:rsid w:val="2E7777D4"/>
    <w:rsid w:val="2E8226AB"/>
    <w:rsid w:val="2E837429"/>
    <w:rsid w:val="2E853986"/>
    <w:rsid w:val="2E8670D6"/>
    <w:rsid w:val="2E905A1F"/>
    <w:rsid w:val="2E9603A1"/>
    <w:rsid w:val="2E97716D"/>
    <w:rsid w:val="2EA4771D"/>
    <w:rsid w:val="2EA63495"/>
    <w:rsid w:val="2EAD3BB2"/>
    <w:rsid w:val="2EAD613A"/>
    <w:rsid w:val="2EAF7625"/>
    <w:rsid w:val="2EB4085F"/>
    <w:rsid w:val="2EB64C1A"/>
    <w:rsid w:val="2EB94D2C"/>
    <w:rsid w:val="2EBD433B"/>
    <w:rsid w:val="2EBF6305"/>
    <w:rsid w:val="2EC71804"/>
    <w:rsid w:val="2ED02E31"/>
    <w:rsid w:val="2ED31DB0"/>
    <w:rsid w:val="2ED41B30"/>
    <w:rsid w:val="2EE3011E"/>
    <w:rsid w:val="2EE40C25"/>
    <w:rsid w:val="2EEB534C"/>
    <w:rsid w:val="2EEB70FA"/>
    <w:rsid w:val="2EF064BE"/>
    <w:rsid w:val="2EFB1BA3"/>
    <w:rsid w:val="2EFB68E1"/>
    <w:rsid w:val="2EFE7AB8"/>
    <w:rsid w:val="2EFF0A70"/>
    <w:rsid w:val="2F0355A2"/>
    <w:rsid w:val="2F057A56"/>
    <w:rsid w:val="2F0D52C2"/>
    <w:rsid w:val="2F1266F0"/>
    <w:rsid w:val="2F16365B"/>
    <w:rsid w:val="2F177EEF"/>
    <w:rsid w:val="2F1A4047"/>
    <w:rsid w:val="2F1E7813"/>
    <w:rsid w:val="2F21482B"/>
    <w:rsid w:val="2F223936"/>
    <w:rsid w:val="2F25260C"/>
    <w:rsid w:val="2F31547F"/>
    <w:rsid w:val="2F365F19"/>
    <w:rsid w:val="2F397BCF"/>
    <w:rsid w:val="2F421715"/>
    <w:rsid w:val="2F4458F3"/>
    <w:rsid w:val="2F4A6302"/>
    <w:rsid w:val="2F557506"/>
    <w:rsid w:val="2F566C69"/>
    <w:rsid w:val="2F5702EB"/>
    <w:rsid w:val="2F580E93"/>
    <w:rsid w:val="2F5B427F"/>
    <w:rsid w:val="2F5E452A"/>
    <w:rsid w:val="2F5E64B9"/>
    <w:rsid w:val="2F641857"/>
    <w:rsid w:val="2F6649D2"/>
    <w:rsid w:val="2F68074A"/>
    <w:rsid w:val="2F6A2714"/>
    <w:rsid w:val="2F6A7F3B"/>
    <w:rsid w:val="2F6C561D"/>
    <w:rsid w:val="2F6F4538"/>
    <w:rsid w:val="2F7470EF"/>
    <w:rsid w:val="2F76493F"/>
    <w:rsid w:val="2F7964B4"/>
    <w:rsid w:val="2F7F6748"/>
    <w:rsid w:val="2F80115E"/>
    <w:rsid w:val="2F832C79"/>
    <w:rsid w:val="2F83322E"/>
    <w:rsid w:val="2F8B55BD"/>
    <w:rsid w:val="2F8D1F5F"/>
    <w:rsid w:val="2F96372B"/>
    <w:rsid w:val="2FA23C5C"/>
    <w:rsid w:val="2FA75913"/>
    <w:rsid w:val="2FA84FEB"/>
    <w:rsid w:val="2FA85068"/>
    <w:rsid w:val="2FAF2188"/>
    <w:rsid w:val="2FB148A2"/>
    <w:rsid w:val="2FB90FA6"/>
    <w:rsid w:val="2FBF4562"/>
    <w:rsid w:val="2FC53494"/>
    <w:rsid w:val="2FC552B5"/>
    <w:rsid w:val="2FC56B26"/>
    <w:rsid w:val="2FC71915"/>
    <w:rsid w:val="2FD62EA7"/>
    <w:rsid w:val="2FD762F0"/>
    <w:rsid w:val="2FDB53C0"/>
    <w:rsid w:val="2FDC3CD7"/>
    <w:rsid w:val="2FEC137B"/>
    <w:rsid w:val="2FEF2D58"/>
    <w:rsid w:val="2FEF42BB"/>
    <w:rsid w:val="2FEF6776"/>
    <w:rsid w:val="2FF82E75"/>
    <w:rsid w:val="2FFD70E5"/>
    <w:rsid w:val="2FFE210B"/>
    <w:rsid w:val="300264A9"/>
    <w:rsid w:val="300E53ED"/>
    <w:rsid w:val="300F0BC6"/>
    <w:rsid w:val="301419CC"/>
    <w:rsid w:val="30153174"/>
    <w:rsid w:val="301A027B"/>
    <w:rsid w:val="30285376"/>
    <w:rsid w:val="302C1778"/>
    <w:rsid w:val="302D442C"/>
    <w:rsid w:val="3032474D"/>
    <w:rsid w:val="30332B06"/>
    <w:rsid w:val="30344E19"/>
    <w:rsid w:val="30372844"/>
    <w:rsid w:val="303A6CD6"/>
    <w:rsid w:val="303D2CB3"/>
    <w:rsid w:val="30444D13"/>
    <w:rsid w:val="30485C2A"/>
    <w:rsid w:val="30564367"/>
    <w:rsid w:val="30580BC9"/>
    <w:rsid w:val="305B02AF"/>
    <w:rsid w:val="305B3E0B"/>
    <w:rsid w:val="305C0E59"/>
    <w:rsid w:val="306520F7"/>
    <w:rsid w:val="30652870"/>
    <w:rsid w:val="306C6172"/>
    <w:rsid w:val="306C7DC6"/>
    <w:rsid w:val="307B783A"/>
    <w:rsid w:val="307D3CFA"/>
    <w:rsid w:val="307D6477"/>
    <w:rsid w:val="307F40C5"/>
    <w:rsid w:val="308329AB"/>
    <w:rsid w:val="30842CA6"/>
    <w:rsid w:val="30907A0B"/>
    <w:rsid w:val="309A00A0"/>
    <w:rsid w:val="309A486E"/>
    <w:rsid w:val="309B1A7E"/>
    <w:rsid w:val="309C30A1"/>
    <w:rsid w:val="309D2417"/>
    <w:rsid w:val="30A1669D"/>
    <w:rsid w:val="30AE03DF"/>
    <w:rsid w:val="30AF3115"/>
    <w:rsid w:val="30B04157"/>
    <w:rsid w:val="30B31E99"/>
    <w:rsid w:val="30BD7AF4"/>
    <w:rsid w:val="30D22E31"/>
    <w:rsid w:val="30D47336"/>
    <w:rsid w:val="30DD194C"/>
    <w:rsid w:val="30DD6DA8"/>
    <w:rsid w:val="30E3377C"/>
    <w:rsid w:val="30E905FF"/>
    <w:rsid w:val="311331DF"/>
    <w:rsid w:val="31151CC5"/>
    <w:rsid w:val="311D42F8"/>
    <w:rsid w:val="311E2ED7"/>
    <w:rsid w:val="312153E3"/>
    <w:rsid w:val="312811AB"/>
    <w:rsid w:val="312B72B8"/>
    <w:rsid w:val="312C3C16"/>
    <w:rsid w:val="31374878"/>
    <w:rsid w:val="313B11E4"/>
    <w:rsid w:val="314168A4"/>
    <w:rsid w:val="31427D5C"/>
    <w:rsid w:val="31496FD0"/>
    <w:rsid w:val="314E1280"/>
    <w:rsid w:val="31517D9B"/>
    <w:rsid w:val="3153201B"/>
    <w:rsid w:val="3157295D"/>
    <w:rsid w:val="315A1577"/>
    <w:rsid w:val="315C449C"/>
    <w:rsid w:val="31643DB8"/>
    <w:rsid w:val="31687BF3"/>
    <w:rsid w:val="316B2774"/>
    <w:rsid w:val="316E51E8"/>
    <w:rsid w:val="31732E43"/>
    <w:rsid w:val="317F0437"/>
    <w:rsid w:val="318668F8"/>
    <w:rsid w:val="318820C5"/>
    <w:rsid w:val="3194077E"/>
    <w:rsid w:val="3197562A"/>
    <w:rsid w:val="31990F88"/>
    <w:rsid w:val="31A17546"/>
    <w:rsid w:val="31B82709"/>
    <w:rsid w:val="31B860F4"/>
    <w:rsid w:val="31BE4BB6"/>
    <w:rsid w:val="31C40256"/>
    <w:rsid w:val="31C44B44"/>
    <w:rsid w:val="31C559E0"/>
    <w:rsid w:val="31D40319"/>
    <w:rsid w:val="31D44DD6"/>
    <w:rsid w:val="31D52114"/>
    <w:rsid w:val="31D61287"/>
    <w:rsid w:val="31DE78E0"/>
    <w:rsid w:val="31E367AE"/>
    <w:rsid w:val="31EA7E07"/>
    <w:rsid w:val="31EF5153"/>
    <w:rsid w:val="31FB3AF8"/>
    <w:rsid w:val="31FF433D"/>
    <w:rsid w:val="32004C6A"/>
    <w:rsid w:val="320D1E6A"/>
    <w:rsid w:val="320D55D9"/>
    <w:rsid w:val="32103FEE"/>
    <w:rsid w:val="32110C25"/>
    <w:rsid w:val="32165ECD"/>
    <w:rsid w:val="32220B96"/>
    <w:rsid w:val="32283703"/>
    <w:rsid w:val="3228730E"/>
    <w:rsid w:val="32291B35"/>
    <w:rsid w:val="32292413"/>
    <w:rsid w:val="322D311C"/>
    <w:rsid w:val="32335037"/>
    <w:rsid w:val="32345168"/>
    <w:rsid w:val="32400B34"/>
    <w:rsid w:val="324C1127"/>
    <w:rsid w:val="32511EC6"/>
    <w:rsid w:val="32523D09"/>
    <w:rsid w:val="32536C84"/>
    <w:rsid w:val="32562ADC"/>
    <w:rsid w:val="3256418B"/>
    <w:rsid w:val="325D0D62"/>
    <w:rsid w:val="325E4D88"/>
    <w:rsid w:val="32615E2D"/>
    <w:rsid w:val="3265717D"/>
    <w:rsid w:val="32690E7C"/>
    <w:rsid w:val="32716D72"/>
    <w:rsid w:val="32774C0F"/>
    <w:rsid w:val="3277795C"/>
    <w:rsid w:val="327E6B27"/>
    <w:rsid w:val="328660F1"/>
    <w:rsid w:val="328D3C1D"/>
    <w:rsid w:val="32981347"/>
    <w:rsid w:val="32991F88"/>
    <w:rsid w:val="329B0E37"/>
    <w:rsid w:val="329D4FCB"/>
    <w:rsid w:val="329E6876"/>
    <w:rsid w:val="32A215BA"/>
    <w:rsid w:val="32A30443"/>
    <w:rsid w:val="32A666EB"/>
    <w:rsid w:val="32AC4DAA"/>
    <w:rsid w:val="32AE018E"/>
    <w:rsid w:val="32B13FBF"/>
    <w:rsid w:val="32B15BB4"/>
    <w:rsid w:val="32B16CB0"/>
    <w:rsid w:val="32B20CFB"/>
    <w:rsid w:val="32B86B37"/>
    <w:rsid w:val="32BE5388"/>
    <w:rsid w:val="32BF2D77"/>
    <w:rsid w:val="32BF61D9"/>
    <w:rsid w:val="32C0264B"/>
    <w:rsid w:val="32C23187"/>
    <w:rsid w:val="32C515DD"/>
    <w:rsid w:val="32CA1020"/>
    <w:rsid w:val="32CB5278"/>
    <w:rsid w:val="32CE65DD"/>
    <w:rsid w:val="32D305D1"/>
    <w:rsid w:val="32D51416"/>
    <w:rsid w:val="32D53B6E"/>
    <w:rsid w:val="32D63E0F"/>
    <w:rsid w:val="32D85BE7"/>
    <w:rsid w:val="32DB3804"/>
    <w:rsid w:val="32DD144F"/>
    <w:rsid w:val="32DF7820"/>
    <w:rsid w:val="32E318D6"/>
    <w:rsid w:val="32E52036"/>
    <w:rsid w:val="32F04CDF"/>
    <w:rsid w:val="32F6606D"/>
    <w:rsid w:val="33040E3C"/>
    <w:rsid w:val="33041E01"/>
    <w:rsid w:val="3307609B"/>
    <w:rsid w:val="331B30DB"/>
    <w:rsid w:val="331B7113"/>
    <w:rsid w:val="331C5AD4"/>
    <w:rsid w:val="331D5C07"/>
    <w:rsid w:val="33207EAE"/>
    <w:rsid w:val="33266952"/>
    <w:rsid w:val="332C27B3"/>
    <w:rsid w:val="3333491D"/>
    <w:rsid w:val="333506C3"/>
    <w:rsid w:val="333933AF"/>
    <w:rsid w:val="333A23FE"/>
    <w:rsid w:val="333C661F"/>
    <w:rsid w:val="333F17C2"/>
    <w:rsid w:val="33412A03"/>
    <w:rsid w:val="33437504"/>
    <w:rsid w:val="334C4761"/>
    <w:rsid w:val="334D23DF"/>
    <w:rsid w:val="334F474F"/>
    <w:rsid w:val="334F4FCE"/>
    <w:rsid w:val="33572FB0"/>
    <w:rsid w:val="335B1E0C"/>
    <w:rsid w:val="3361798A"/>
    <w:rsid w:val="33621E78"/>
    <w:rsid w:val="33632B2C"/>
    <w:rsid w:val="33680D62"/>
    <w:rsid w:val="337C2A16"/>
    <w:rsid w:val="337C7F6E"/>
    <w:rsid w:val="337D37CE"/>
    <w:rsid w:val="33844284"/>
    <w:rsid w:val="33850120"/>
    <w:rsid w:val="338673F1"/>
    <w:rsid w:val="33891512"/>
    <w:rsid w:val="338D4C06"/>
    <w:rsid w:val="3391591B"/>
    <w:rsid w:val="3392223A"/>
    <w:rsid w:val="339B725D"/>
    <w:rsid w:val="339F22F3"/>
    <w:rsid w:val="33A06705"/>
    <w:rsid w:val="33A14DD6"/>
    <w:rsid w:val="33A274D3"/>
    <w:rsid w:val="33A45364"/>
    <w:rsid w:val="33A566B2"/>
    <w:rsid w:val="33AC2E3C"/>
    <w:rsid w:val="33B3683F"/>
    <w:rsid w:val="33B74CB8"/>
    <w:rsid w:val="33B91574"/>
    <w:rsid w:val="33C030AD"/>
    <w:rsid w:val="33C47F89"/>
    <w:rsid w:val="33C92201"/>
    <w:rsid w:val="33C950A0"/>
    <w:rsid w:val="33CB7921"/>
    <w:rsid w:val="33D4015C"/>
    <w:rsid w:val="33D83A71"/>
    <w:rsid w:val="33D934D4"/>
    <w:rsid w:val="33E00939"/>
    <w:rsid w:val="33E131C3"/>
    <w:rsid w:val="33E800AC"/>
    <w:rsid w:val="33F407FF"/>
    <w:rsid w:val="33F961F4"/>
    <w:rsid w:val="33FB6716"/>
    <w:rsid w:val="33FE2F6A"/>
    <w:rsid w:val="34012F1B"/>
    <w:rsid w:val="34093FE5"/>
    <w:rsid w:val="340D21B3"/>
    <w:rsid w:val="340D7B12"/>
    <w:rsid w:val="340F0E13"/>
    <w:rsid w:val="34116CDC"/>
    <w:rsid w:val="34156109"/>
    <w:rsid w:val="34192013"/>
    <w:rsid w:val="341E085E"/>
    <w:rsid w:val="3422264F"/>
    <w:rsid w:val="34230805"/>
    <w:rsid w:val="34236CF7"/>
    <w:rsid w:val="34266B36"/>
    <w:rsid w:val="342B3450"/>
    <w:rsid w:val="3431496E"/>
    <w:rsid w:val="343B6F1E"/>
    <w:rsid w:val="343C3F54"/>
    <w:rsid w:val="343C4D7E"/>
    <w:rsid w:val="343D4DD8"/>
    <w:rsid w:val="343F6F72"/>
    <w:rsid w:val="344031CF"/>
    <w:rsid w:val="3445291D"/>
    <w:rsid w:val="344A6670"/>
    <w:rsid w:val="34531E99"/>
    <w:rsid w:val="34556069"/>
    <w:rsid w:val="34590991"/>
    <w:rsid w:val="3463451E"/>
    <w:rsid w:val="34674497"/>
    <w:rsid w:val="3468097B"/>
    <w:rsid w:val="346A6D13"/>
    <w:rsid w:val="346F4329"/>
    <w:rsid w:val="34704F47"/>
    <w:rsid w:val="34750606"/>
    <w:rsid w:val="347B1C4F"/>
    <w:rsid w:val="348419C3"/>
    <w:rsid w:val="348C0A37"/>
    <w:rsid w:val="34963664"/>
    <w:rsid w:val="34966969"/>
    <w:rsid w:val="34A246FE"/>
    <w:rsid w:val="34B603F5"/>
    <w:rsid w:val="34B60572"/>
    <w:rsid w:val="34B7420B"/>
    <w:rsid w:val="34BC29BF"/>
    <w:rsid w:val="34C46423"/>
    <w:rsid w:val="34C907A9"/>
    <w:rsid w:val="34D21614"/>
    <w:rsid w:val="34D56E35"/>
    <w:rsid w:val="34D80120"/>
    <w:rsid w:val="34DD74E5"/>
    <w:rsid w:val="34E42E6C"/>
    <w:rsid w:val="34EE16F2"/>
    <w:rsid w:val="34EE524E"/>
    <w:rsid w:val="34F84F10"/>
    <w:rsid w:val="34F9206F"/>
    <w:rsid w:val="34FB1C30"/>
    <w:rsid w:val="34FC23ED"/>
    <w:rsid w:val="35001DAD"/>
    <w:rsid w:val="35085916"/>
    <w:rsid w:val="351C0FB6"/>
    <w:rsid w:val="3538296D"/>
    <w:rsid w:val="353F5AA9"/>
    <w:rsid w:val="354632DC"/>
    <w:rsid w:val="35472954"/>
    <w:rsid w:val="35477CDA"/>
    <w:rsid w:val="354820AE"/>
    <w:rsid w:val="3549472B"/>
    <w:rsid w:val="354A2ECE"/>
    <w:rsid w:val="354D3F47"/>
    <w:rsid w:val="355359F9"/>
    <w:rsid w:val="35537ED6"/>
    <w:rsid w:val="35576B32"/>
    <w:rsid w:val="35604085"/>
    <w:rsid w:val="356313D2"/>
    <w:rsid w:val="35672CB1"/>
    <w:rsid w:val="356C4D49"/>
    <w:rsid w:val="356D278F"/>
    <w:rsid w:val="356E45E1"/>
    <w:rsid w:val="357219FD"/>
    <w:rsid w:val="35747E49"/>
    <w:rsid w:val="358160C2"/>
    <w:rsid w:val="358D47C4"/>
    <w:rsid w:val="358E3F55"/>
    <w:rsid w:val="359B4DD0"/>
    <w:rsid w:val="359F479A"/>
    <w:rsid w:val="35A129CD"/>
    <w:rsid w:val="35B77D36"/>
    <w:rsid w:val="35B9031C"/>
    <w:rsid w:val="35BB0858"/>
    <w:rsid w:val="35BD2BA5"/>
    <w:rsid w:val="35BF2DB7"/>
    <w:rsid w:val="35D33213"/>
    <w:rsid w:val="35D703D8"/>
    <w:rsid w:val="35D853B6"/>
    <w:rsid w:val="35E328D9"/>
    <w:rsid w:val="35E35587"/>
    <w:rsid w:val="35E5705E"/>
    <w:rsid w:val="35E608A3"/>
    <w:rsid w:val="35E62060"/>
    <w:rsid w:val="35EB5C31"/>
    <w:rsid w:val="35F06562"/>
    <w:rsid w:val="35F12A5A"/>
    <w:rsid w:val="35FE3BB6"/>
    <w:rsid w:val="3600401B"/>
    <w:rsid w:val="36015455"/>
    <w:rsid w:val="36034D29"/>
    <w:rsid w:val="36074A7F"/>
    <w:rsid w:val="360D041B"/>
    <w:rsid w:val="360D204B"/>
    <w:rsid w:val="3610358B"/>
    <w:rsid w:val="361853E7"/>
    <w:rsid w:val="36191205"/>
    <w:rsid w:val="361B40BD"/>
    <w:rsid w:val="361E6007"/>
    <w:rsid w:val="3622753F"/>
    <w:rsid w:val="36271972"/>
    <w:rsid w:val="3628478F"/>
    <w:rsid w:val="362A49AB"/>
    <w:rsid w:val="36324E67"/>
    <w:rsid w:val="3636489C"/>
    <w:rsid w:val="363936F0"/>
    <w:rsid w:val="363D706D"/>
    <w:rsid w:val="36405CD6"/>
    <w:rsid w:val="364517E5"/>
    <w:rsid w:val="36467C39"/>
    <w:rsid w:val="365949B7"/>
    <w:rsid w:val="36622BA6"/>
    <w:rsid w:val="366405CD"/>
    <w:rsid w:val="366B28CE"/>
    <w:rsid w:val="366F23BE"/>
    <w:rsid w:val="3679148F"/>
    <w:rsid w:val="367C2A41"/>
    <w:rsid w:val="367E039B"/>
    <w:rsid w:val="36812448"/>
    <w:rsid w:val="3681709A"/>
    <w:rsid w:val="36853990"/>
    <w:rsid w:val="36877708"/>
    <w:rsid w:val="368B2257"/>
    <w:rsid w:val="36923549"/>
    <w:rsid w:val="369A5D50"/>
    <w:rsid w:val="369B31B3"/>
    <w:rsid w:val="369F0C58"/>
    <w:rsid w:val="36A03ACB"/>
    <w:rsid w:val="36A21DAF"/>
    <w:rsid w:val="36A24542"/>
    <w:rsid w:val="36A527D6"/>
    <w:rsid w:val="36AB15DA"/>
    <w:rsid w:val="36AB433D"/>
    <w:rsid w:val="36AD4394"/>
    <w:rsid w:val="36B0375E"/>
    <w:rsid w:val="36B23761"/>
    <w:rsid w:val="36B255DE"/>
    <w:rsid w:val="36B50684"/>
    <w:rsid w:val="36B75FBF"/>
    <w:rsid w:val="36BE2CB6"/>
    <w:rsid w:val="36C54E86"/>
    <w:rsid w:val="36C570A1"/>
    <w:rsid w:val="36D05553"/>
    <w:rsid w:val="36D372AA"/>
    <w:rsid w:val="36DE7D72"/>
    <w:rsid w:val="36DF5796"/>
    <w:rsid w:val="36EE72DD"/>
    <w:rsid w:val="36EF003D"/>
    <w:rsid w:val="36EF304C"/>
    <w:rsid w:val="36FB3D06"/>
    <w:rsid w:val="36FB4891"/>
    <w:rsid w:val="37015D26"/>
    <w:rsid w:val="37092EE1"/>
    <w:rsid w:val="370F1ECD"/>
    <w:rsid w:val="37102B1E"/>
    <w:rsid w:val="371134BE"/>
    <w:rsid w:val="37164F30"/>
    <w:rsid w:val="3722580F"/>
    <w:rsid w:val="37257CF9"/>
    <w:rsid w:val="372C047E"/>
    <w:rsid w:val="3730572B"/>
    <w:rsid w:val="37324A70"/>
    <w:rsid w:val="373349B6"/>
    <w:rsid w:val="3738185D"/>
    <w:rsid w:val="37435E72"/>
    <w:rsid w:val="37461371"/>
    <w:rsid w:val="374640FF"/>
    <w:rsid w:val="374750E9"/>
    <w:rsid w:val="374C795C"/>
    <w:rsid w:val="37501B36"/>
    <w:rsid w:val="37575377"/>
    <w:rsid w:val="375D66BB"/>
    <w:rsid w:val="375F5B37"/>
    <w:rsid w:val="3769238C"/>
    <w:rsid w:val="376A52B7"/>
    <w:rsid w:val="37752A1D"/>
    <w:rsid w:val="377A4739"/>
    <w:rsid w:val="377D6D5D"/>
    <w:rsid w:val="377F4064"/>
    <w:rsid w:val="378754CF"/>
    <w:rsid w:val="378F697A"/>
    <w:rsid w:val="37956584"/>
    <w:rsid w:val="3797763A"/>
    <w:rsid w:val="37991DE9"/>
    <w:rsid w:val="37A242C7"/>
    <w:rsid w:val="37A82ED1"/>
    <w:rsid w:val="37AF7CE1"/>
    <w:rsid w:val="37B54749"/>
    <w:rsid w:val="37BF7375"/>
    <w:rsid w:val="37DA013F"/>
    <w:rsid w:val="37DC2A11"/>
    <w:rsid w:val="37EB70FE"/>
    <w:rsid w:val="37EF4262"/>
    <w:rsid w:val="37FB0F26"/>
    <w:rsid w:val="37FB5E8C"/>
    <w:rsid w:val="3801173C"/>
    <w:rsid w:val="3802727D"/>
    <w:rsid w:val="38045791"/>
    <w:rsid w:val="380B629F"/>
    <w:rsid w:val="380D736F"/>
    <w:rsid w:val="38114E78"/>
    <w:rsid w:val="38151709"/>
    <w:rsid w:val="3817281D"/>
    <w:rsid w:val="38191168"/>
    <w:rsid w:val="381B4C3D"/>
    <w:rsid w:val="381E4EFC"/>
    <w:rsid w:val="38220ABD"/>
    <w:rsid w:val="382613CE"/>
    <w:rsid w:val="38284F1B"/>
    <w:rsid w:val="38290FD0"/>
    <w:rsid w:val="38310156"/>
    <w:rsid w:val="383438BF"/>
    <w:rsid w:val="383A6212"/>
    <w:rsid w:val="383A69FC"/>
    <w:rsid w:val="383B2EA0"/>
    <w:rsid w:val="383C4522"/>
    <w:rsid w:val="3846274D"/>
    <w:rsid w:val="384D4981"/>
    <w:rsid w:val="385009BF"/>
    <w:rsid w:val="38513B12"/>
    <w:rsid w:val="385A2F48"/>
    <w:rsid w:val="385B084D"/>
    <w:rsid w:val="386448A0"/>
    <w:rsid w:val="38695A9A"/>
    <w:rsid w:val="386D2FFF"/>
    <w:rsid w:val="386F0E1D"/>
    <w:rsid w:val="38713208"/>
    <w:rsid w:val="38741F0E"/>
    <w:rsid w:val="387B01EB"/>
    <w:rsid w:val="387D2221"/>
    <w:rsid w:val="3882622C"/>
    <w:rsid w:val="3885735E"/>
    <w:rsid w:val="38877E93"/>
    <w:rsid w:val="38950F49"/>
    <w:rsid w:val="38985F62"/>
    <w:rsid w:val="38A64043"/>
    <w:rsid w:val="38A75D68"/>
    <w:rsid w:val="38A93AFE"/>
    <w:rsid w:val="38BB0292"/>
    <w:rsid w:val="38BE13DB"/>
    <w:rsid w:val="38C24549"/>
    <w:rsid w:val="38D17360"/>
    <w:rsid w:val="38D8447E"/>
    <w:rsid w:val="38DA6BA0"/>
    <w:rsid w:val="38E057F5"/>
    <w:rsid w:val="38E726E0"/>
    <w:rsid w:val="38E97010"/>
    <w:rsid w:val="38F07FD0"/>
    <w:rsid w:val="38F113CD"/>
    <w:rsid w:val="38F12CD3"/>
    <w:rsid w:val="38F94775"/>
    <w:rsid w:val="38F9706E"/>
    <w:rsid w:val="38FC0159"/>
    <w:rsid w:val="38FD0F0A"/>
    <w:rsid w:val="39032ED8"/>
    <w:rsid w:val="39033292"/>
    <w:rsid w:val="39040DCD"/>
    <w:rsid w:val="390656F6"/>
    <w:rsid w:val="390A4620"/>
    <w:rsid w:val="390F3EEB"/>
    <w:rsid w:val="39117182"/>
    <w:rsid w:val="3915547D"/>
    <w:rsid w:val="39162AF2"/>
    <w:rsid w:val="391D1A9E"/>
    <w:rsid w:val="392971ED"/>
    <w:rsid w:val="39356E2C"/>
    <w:rsid w:val="3939733A"/>
    <w:rsid w:val="393C623C"/>
    <w:rsid w:val="394D502F"/>
    <w:rsid w:val="395A0489"/>
    <w:rsid w:val="395B203F"/>
    <w:rsid w:val="395B4EB5"/>
    <w:rsid w:val="395F3352"/>
    <w:rsid w:val="396B7E9C"/>
    <w:rsid w:val="397523E2"/>
    <w:rsid w:val="39785AA3"/>
    <w:rsid w:val="3978706C"/>
    <w:rsid w:val="39831EF7"/>
    <w:rsid w:val="398C25DB"/>
    <w:rsid w:val="39954A8F"/>
    <w:rsid w:val="399864EF"/>
    <w:rsid w:val="399E3BFA"/>
    <w:rsid w:val="39A27777"/>
    <w:rsid w:val="39A41422"/>
    <w:rsid w:val="39B32F0A"/>
    <w:rsid w:val="39B80827"/>
    <w:rsid w:val="39B859FA"/>
    <w:rsid w:val="39C173D5"/>
    <w:rsid w:val="39D23691"/>
    <w:rsid w:val="39D84976"/>
    <w:rsid w:val="39E269ED"/>
    <w:rsid w:val="39E430C3"/>
    <w:rsid w:val="39E52131"/>
    <w:rsid w:val="39E64BE0"/>
    <w:rsid w:val="39E6514D"/>
    <w:rsid w:val="39E71C6D"/>
    <w:rsid w:val="39E82BB3"/>
    <w:rsid w:val="39E92295"/>
    <w:rsid w:val="39FB490A"/>
    <w:rsid w:val="39FB64D4"/>
    <w:rsid w:val="39FD2C87"/>
    <w:rsid w:val="39FE3167"/>
    <w:rsid w:val="3A02706B"/>
    <w:rsid w:val="3A0472C2"/>
    <w:rsid w:val="3A053765"/>
    <w:rsid w:val="3A0945C8"/>
    <w:rsid w:val="3A0948D8"/>
    <w:rsid w:val="3A0B4AF4"/>
    <w:rsid w:val="3A0D3DE7"/>
    <w:rsid w:val="3A1328D3"/>
    <w:rsid w:val="3A1404DE"/>
    <w:rsid w:val="3A15327D"/>
    <w:rsid w:val="3A1D1E45"/>
    <w:rsid w:val="3A230039"/>
    <w:rsid w:val="3A2B1BF1"/>
    <w:rsid w:val="3A325A68"/>
    <w:rsid w:val="3A3421DF"/>
    <w:rsid w:val="3A3421E4"/>
    <w:rsid w:val="3A3700AC"/>
    <w:rsid w:val="3A3B5C0C"/>
    <w:rsid w:val="3A3F02FA"/>
    <w:rsid w:val="3A43428E"/>
    <w:rsid w:val="3A437DEA"/>
    <w:rsid w:val="3A4F49E1"/>
    <w:rsid w:val="3A541FF7"/>
    <w:rsid w:val="3A567566"/>
    <w:rsid w:val="3A581090"/>
    <w:rsid w:val="3A593E20"/>
    <w:rsid w:val="3A647D60"/>
    <w:rsid w:val="3A713589"/>
    <w:rsid w:val="3A733216"/>
    <w:rsid w:val="3A7B2468"/>
    <w:rsid w:val="3A7D4F0D"/>
    <w:rsid w:val="3A7E7074"/>
    <w:rsid w:val="3A8173EB"/>
    <w:rsid w:val="3A846E52"/>
    <w:rsid w:val="3A8521B0"/>
    <w:rsid w:val="3A8A3C6B"/>
    <w:rsid w:val="3A8B535F"/>
    <w:rsid w:val="3A8D72B7"/>
    <w:rsid w:val="3A8F4D23"/>
    <w:rsid w:val="3A9B5E78"/>
    <w:rsid w:val="3A9B6F38"/>
    <w:rsid w:val="3A9E7428"/>
    <w:rsid w:val="3A9F29C7"/>
    <w:rsid w:val="3AA60379"/>
    <w:rsid w:val="3AA90B3E"/>
    <w:rsid w:val="3AB8733A"/>
    <w:rsid w:val="3ABA176B"/>
    <w:rsid w:val="3ABD7817"/>
    <w:rsid w:val="3AC11F76"/>
    <w:rsid w:val="3AC71633"/>
    <w:rsid w:val="3AD604B2"/>
    <w:rsid w:val="3AD64EB2"/>
    <w:rsid w:val="3ADC3789"/>
    <w:rsid w:val="3ADF7211"/>
    <w:rsid w:val="3AE27603"/>
    <w:rsid w:val="3AEE274E"/>
    <w:rsid w:val="3AF05526"/>
    <w:rsid w:val="3AF532D7"/>
    <w:rsid w:val="3AFC6D4F"/>
    <w:rsid w:val="3AFD5285"/>
    <w:rsid w:val="3B001078"/>
    <w:rsid w:val="3B014AEA"/>
    <w:rsid w:val="3B0466E7"/>
    <w:rsid w:val="3B053544"/>
    <w:rsid w:val="3B060FF8"/>
    <w:rsid w:val="3B07350D"/>
    <w:rsid w:val="3B0865B9"/>
    <w:rsid w:val="3B0C1302"/>
    <w:rsid w:val="3B0C4535"/>
    <w:rsid w:val="3B163750"/>
    <w:rsid w:val="3B1675C1"/>
    <w:rsid w:val="3B197282"/>
    <w:rsid w:val="3B241890"/>
    <w:rsid w:val="3B2B16CF"/>
    <w:rsid w:val="3B2E0A9A"/>
    <w:rsid w:val="3B312338"/>
    <w:rsid w:val="3B3123E6"/>
    <w:rsid w:val="3B33308C"/>
    <w:rsid w:val="3B334302"/>
    <w:rsid w:val="3B3375D3"/>
    <w:rsid w:val="3B346ED3"/>
    <w:rsid w:val="3B3763D1"/>
    <w:rsid w:val="3B3B5513"/>
    <w:rsid w:val="3B3E65E9"/>
    <w:rsid w:val="3B424545"/>
    <w:rsid w:val="3B453171"/>
    <w:rsid w:val="3B4C2043"/>
    <w:rsid w:val="3B507F5B"/>
    <w:rsid w:val="3B53436C"/>
    <w:rsid w:val="3B547128"/>
    <w:rsid w:val="3B567FF1"/>
    <w:rsid w:val="3B5A716F"/>
    <w:rsid w:val="3B606CE6"/>
    <w:rsid w:val="3B641EAF"/>
    <w:rsid w:val="3B6975C6"/>
    <w:rsid w:val="3B6C511E"/>
    <w:rsid w:val="3B707490"/>
    <w:rsid w:val="3B751487"/>
    <w:rsid w:val="3B7B35B3"/>
    <w:rsid w:val="3B7F6FAE"/>
    <w:rsid w:val="3B835500"/>
    <w:rsid w:val="3B880D71"/>
    <w:rsid w:val="3B883DCD"/>
    <w:rsid w:val="3B896AF2"/>
    <w:rsid w:val="3B8C6869"/>
    <w:rsid w:val="3B8C756F"/>
    <w:rsid w:val="3B8E778B"/>
    <w:rsid w:val="3B8F1CF1"/>
    <w:rsid w:val="3B9024F6"/>
    <w:rsid w:val="3B924F66"/>
    <w:rsid w:val="3B9D21EE"/>
    <w:rsid w:val="3B9D5E5A"/>
    <w:rsid w:val="3BA1126C"/>
    <w:rsid w:val="3BA96797"/>
    <w:rsid w:val="3BB22FB9"/>
    <w:rsid w:val="3BB5381E"/>
    <w:rsid w:val="3BB56393"/>
    <w:rsid w:val="3BB939DB"/>
    <w:rsid w:val="3BC66F24"/>
    <w:rsid w:val="3BC767F9"/>
    <w:rsid w:val="3BCD02B3"/>
    <w:rsid w:val="3BCE2D45"/>
    <w:rsid w:val="3BCE7B87"/>
    <w:rsid w:val="3BD94D0D"/>
    <w:rsid w:val="3BE64ED1"/>
    <w:rsid w:val="3BE73F09"/>
    <w:rsid w:val="3BE850ED"/>
    <w:rsid w:val="3BEB5CD2"/>
    <w:rsid w:val="3BED7CF7"/>
    <w:rsid w:val="3BF73C30"/>
    <w:rsid w:val="3BF910A8"/>
    <w:rsid w:val="3BFD0F87"/>
    <w:rsid w:val="3C07722D"/>
    <w:rsid w:val="3C0C6013"/>
    <w:rsid w:val="3C0F79EE"/>
    <w:rsid w:val="3C132823"/>
    <w:rsid w:val="3C144D27"/>
    <w:rsid w:val="3C150950"/>
    <w:rsid w:val="3C157564"/>
    <w:rsid w:val="3C1C7614"/>
    <w:rsid w:val="3C207FBA"/>
    <w:rsid w:val="3C21308F"/>
    <w:rsid w:val="3C24440F"/>
    <w:rsid w:val="3C353EF9"/>
    <w:rsid w:val="3C37630F"/>
    <w:rsid w:val="3C3B4F10"/>
    <w:rsid w:val="3C3D0A7D"/>
    <w:rsid w:val="3C3E6331"/>
    <w:rsid w:val="3C4637AF"/>
    <w:rsid w:val="3C4E2AE4"/>
    <w:rsid w:val="3C57193C"/>
    <w:rsid w:val="3C5D2EF1"/>
    <w:rsid w:val="3C5E0F0B"/>
    <w:rsid w:val="3C60441C"/>
    <w:rsid w:val="3C6A5841"/>
    <w:rsid w:val="3C6D1A07"/>
    <w:rsid w:val="3C6D2FA9"/>
    <w:rsid w:val="3C6F3118"/>
    <w:rsid w:val="3C752616"/>
    <w:rsid w:val="3C765960"/>
    <w:rsid w:val="3C792EBA"/>
    <w:rsid w:val="3C7F46DC"/>
    <w:rsid w:val="3C8166C4"/>
    <w:rsid w:val="3C861340"/>
    <w:rsid w:val="3C8B7826"/>
    <w:rsid w:val="3C8D7277"/>
    <w:rsid w:val="3C8D77AD"/>
    <w:rsid w:val="3C9E39FD"/>
    <w:rsid w:val="3CA31014"/>
    <w:rsid w:val="3CA857AB"/>
    <w:rsid w:val="3CAB7EC8"/>
    <w:rsid w:val="3CB217EF"/>
    <w:rsid w:val="3CC176EC"/>
    <w:rsid w:val="3CC361C1"/>
    <w:rsid w:val="3CC72F54"/>
    <w:rsid w:val="3CC86C19"/>
    <w:rsid w:val="3CCF7814"/>
    <w:rsid w:val="3CD967E3"/>
    <w:rsid w:val="3CDA245A"/>
    <w:rsid w:val="3CDD415E"/>
    <w:rsid w:val="3CE07B72"/>
    <w:rsid w:val="3CE60B18"/>
    <w:rsid w:val="3CEC01D6"/>
    <w:rsid w:val="3CEE0A37"/>
    <w:rsid w:val="3CFC485D"/>
    <w:rsid w:val="3CFD6976"/>
    <w:rsid w:val="3D023F8C"/>
    <w:rsid w:val="3D025E4E"/>
    <w:rsid w:val="3D026642"/>
    <w:rsid w:val="3D03502F"/>
    <w:rsid w:val="3D0E21D7"/>
    <w:rsid w:val="3D0E3C0E"/>
    <w:rsid w:val="3D0F43F2"/>
    <w:rsid w:val="3D1B7817"/>
    <w:rsid w:val="3D1F0CF4"/>
    <w:rsid w:val="3D210DFB"/>
    <w:rsid w:val="3D2607B9"/>
    <w:rsid w:val="3D313838"/>
    <w:rsid w:val="3D31661F"/>
    <w:rsid w:val="3D3362E9"/>
    <w:rsid w:val="3D3538EA"/>
    <w:rsid w:val="3D404AB5"/>
    <w:rsid w:val="3D434194"/>
    <w:rsid w:val="3D4A2CE7"/>
    <w:rsid w:val="3D5103C7"/>
    <w:rsid w:val="3D5211FC"/>
    <w:rsid w:val="3D5537AB"/>
    <w:rsid w:val="3D5A21BA"/>
    <w:rsid w:val="3D6030A9"/>
    <w:rsid w:val="3D664B30"/>
    <w:rsid w:val="3D7D2C62"/>
    <w:rsid w:val="3D7F09DB"/>
    <w:rsid w:val="3D7F17CF"/>
    <w:rsid w:val="3D805265"/>
    <w:rsid w:val="3D827A6D"/>
    <w:rsid w:val="3D84262F"/>
    <w:rsid w:val="3D864BBD"/>
    <w:rsid w:val="3D8C11EC"/>
    <w:rsid w:val="3D8E6F22"/>
    <w:rsid w:val="3D984B53"/>
    <w:rsid w:val="3D9B32CE"/>
    <w:rsid w:val="3DA6700D"/>
    <w:rsid w:val="3DA70690"/>
    <w:rsid w:val="3DA94408"/>
    <w:rsid w:val="3DAB4624"/>
    <w:rsid w:val="3DAD746C"/>
    <w:rsid w:val="3DAD792D"/>
    <w:rsid w:val="3DB652AD"/>
    <w:rsid w:val="3DBA4867"/>
    <w:rsid w:val="3DBB413B"/>
    <w:rsid w:val="3DC24ABB"/>
    <w:rsid w:val="3DCB6A74"/>
    <w:rsid w:val="3DD6529A"/>
    <w:rsid w:val="3DDD2303"/>
    <w:rsid w:val="3DDF6FF5"/>
    <w:rsid w:val="3DE2219A"/>
    <w:rsid w:val="3DE25546"/>
    <w:rsid w:val="3DF33321"/>
    <w:rsid w:val="3DF477A2"/>
    <w:rsid w:val="3DF66D78"/>
    <w:rsid w:val="3DF90C8B"/>
    <w:rsid w:val="3DFF3653"/>
    <w:rsid w:val="3E012496"/>
    <w:rsid w:val="3E0954EB"/>
    <w:rsid w:val="3E0B0C1F"/>
    <w:rsid w:val="3E0B118C"/>
    <w:rsid w:val="3E1063F5"/>
    <w:rsid w:val="3E147B57"/>
    <w:rsid w:val="3E1C1B56"/>
    <w:rsid w:val="3E23065E"/>
    <w:rsid w:val="3E2406E9"/>
    <w:rsid w:val="3E244898"/>
    <w:rsid w:val="3E2B12C1"/>
    <w:rsid w:val="3E36702A"/>
    <w:rsid w:val="3E374F41"/>
    <w:rsid w:val="3E3C34CE"/>
    <w:rsid w:val="3E3E7246"/>
    <w:rsid w:val="3E481E73"/>
    <w:rsid w:val="3E4E0F9F"/>
    <w:rsid w:val="3E5325C6"/>
    <w:rsid w:val="3E5D44C2"/>
    <w:rsid w:val="3E5D6293"/>
    <w:rsid w:val="3E6008ED"/>
    <w:rsid w:val="3E601CAF"/>
    <w:rsid w:val="3E622809"/>
    <w:rsid w:val="3E6447D3"/>
    <w:rsid w:val="3E6B790F"/>
    <w:rsid w:val="3E6C60CF"/>
    <w:rsid w:val="3E725B47"/>
    <w:rsid w:val="3E742F84"/>
    <w:rsid w:val="3E795AD6"/>
    <w:rsid w:val="3E7C76F3"/>
    <w:rsid w:val="3E832EAB"/>
    <w:rsid w:val="3E8713A0"/>
    <w:rsid w:val="3E880B8C"/>
    <w:rsid w:val="3E8944CD"/>
    <w:rsid w:val="3E8C581D"/>
    <w:rsid w:val="3E8E2894"/>
    <w:rsid w:val="3E904226"/>
    <w:rsid w:val="3EA82911"/>
    <w:rsid w:val="3EAF3CA0"/>
    <w:rsid w:val="3EB02CBF"/>
    <w:rsid w:val="3EB0332D"/>
    <w:rsid w:val="3EB06416"/>
    <w:rsid w:val="3EB42AFF"/>
    <w:rsid w:val="3EBB4798"/>
    <w:rsid w:val="3EBC460F"/>
    <w:rsid w:val="3ECD05CA"/>
    <w:rsid w:val="3ECD5A9B"/>
    <w:rsid w:val="3ECE726A"/>
    <w:rsid w:val="3ECF728A"/>
    <w:rsid w:val="3ED41958"/>
    <w:rsid w:val="3EDB4A95"/>
    <w:rsid w:val="3EDC00C4"/>
    <w:rsid w:val="3EE325E3"/>
    <w:rsid w:val="3EE4424E"/>
    <w:rsid w:val="3EE86768"/>
    <w:rsid w:val="3EED2A1A"/>
    <w:rsid w:val="3EED47C8"/>
    <w:rsid w:val="3EFB057C"/>
    <w:rsid w:val="3EFC0F39"/>
    <w:rsid w:val="3EFE0783"/>
    <w:rsid w:val="3EFF58D0"/>
    <w:rsid w:val="3F00274D"/>
    <w:rsid w:val="3F012993"/>
    <w:rsid w:val="3F0423B6"/>
    <w:rsid w:val="3F0A1D95"/>
    <w:rsid w:val="3F0A4915"/>
    <w:rsid w:val="3F0C2EF9"/>
    <w:rsid w:val="3F110565"/>
    <w:rsid w:val="3F152C42"/>
    <w:rsid w:val="3F1A3586"/>
    <w:rsid w:val="3F1E1B9B"/>
    <w:rsid w:val="3F20748E"/>
    <w:rsid w:val="3F2B7989"/>
    <w:rsid w:val="3F2C52F0"/>
    <w:rsid w:val="3F317DB2"/>
    <w:rsid w:val="3F337D0A"/>
    <w:rsid w:val="3F3F4BD7"/>
    <w:rsid w:val="3F442767"/>
    <w:rsid w:val="3F495AB8"/>
    <w:rsid w:val="3F4F1745"/>
    <w:rsid w:val="3F4F6A8B"/>
    <w:rsid w:val="3F5115CA"/>
    <w:rsid w:val="3F581F5C"/>
    <w:rsid w:val="3F5B5BD6"/>
    <w:rsid w:val="3F6103C4"/>
    <w:rsid w:val="3F660E74"/>
    <w:rsid w:val="3F695DAA"/>
    <w:rsid w:val="3F6C491E"/>
    <w:rsid w:val="3F7055F6"/>
    <w:rsid w:val="3F773543"/>
    <w:rsid w:val="3F781B1E"/>
    <w:rsid w:val="3F8B50C9"/>
    <w:rsid w:val="3F8C213F"/>
    <w:rsid w:val="3F8F2F33"/>
    <w:rsid w:val="3F902E6B"/>
    <w:rsid w:val="3FA3252F"/>
    <w:rsid w:val="3FB0678D"/>
    <w:rsid w:val="3FB47094"/>
    <w:rsid w:val="3FC144D3"/>
    <w:rsid w:val="3FC47791"/>
    <w:rsid w:val="3FC74EE8"/>
    <w:rsid w:val="3FC83F43"/>
    <w:rsid w:val="3FCB5180"/>
    <w:rsid w:val="3FD8305E"/>
    <w:rsid w:val="3FE75787"/>
    <w:rsid w:val="3FEB53B1"/>
    <w:rsid w:val="3FEF1062"/>
    <w:rsid w:val="3FF00BFD"/>
    <w:rsid w:val="3FF31546"/>
    <w:rsid w:val="3FF40AA7"/>
    <w:rsid w:val="3FF67C66"/>
    <w:rsid w:val="3FF71A57"/>
    <w:rsid w:val="3FF83B2F"/>
    <w:rsid w:val="3FF878C8"/>
    <w:rsid w:val="3FFC0795"/>
    <w:rsid w:val="40001A84"/>
    <w:rsid w:val="400220B7"/>
    <w:rsid w:val="40035C1A"/>
    <w:rsid w:val="40114B15"/>
    <w:rsid w:val="401228C1"/>
    <w:rsid w:val="4017321E"/>
    <w:rsid w:val="402266F3"/>
    <w:rsid w:val="402751CA"/>
    <w:rsid w:val="40317037"/>
    <w:rsid w:val="40414DCB"/>
    <w:rsid w:val="40420B44"/>
    <w:rsid w:val="40480C65"/>
    <w:rsid w:val="40491ED2"/>
    <w:rsid w:val="404B1DD5"/>
    <w:rsid w:val="404B5C4A"/>
    <w:rsid w:val="404C37C2"/>
    <w:rsid w:val="40520D87"/>
    <w:rsid w:val="40556AC9"/>
    <w:rsid w:val="40563498"/>
    <w:rsid w:val="405859E4"/>
    <w:rsid w:val="405A40DF"/>
    <w:rsid w:val="406204C1"/>
    <w:rsid w:val="40677683"/>
    <w:rsid w:val="406C6164"/>
    <w:rsid w:val="407609E3"/>
    <w:rsid w:val="407A6407"/>
    <w:rsid w:val="407C1DBD"/>
    <w:rsid w:val="407C22A8"/>
    <w:rsid w:val="408142C9"/>
    <w:rsid w:val="408178BE"/>
    <w:rsid w:val="408353E4"/>
    <w:rsid w:val="408508ED"/>
    <w:rsid w:val="408810DD"/>
    <w:rsid w:val="408829FA"/>
    <w:rsid w:val="408A281A"/>
    <w:rsid w:val="409A0F62"/>
    <w:rsid w:val="40AA5A49"/>
    <w:rsid w:val="40B22BB3"/>
    <w:rsid w:val="40B62D8F"/>
    <w:rsid w:val="40C33A32"/>
    <w:rsid w:val="40C749CA"/>
    <w:rsid w:val="40CB6D8B"/>
    <w:rsid w:val="40D7128C"/>
    <w:rsid w:val="40DB0B03"/>
    <w:rsid w:val="40DC45EC"/>
    <w:rsid w:val="40DD4E89"/>
    <w:rsid w:val="40E62697"/>
    <w:rsid w:val="40F87DD2"/>
    <w:rsid w:val="40F92602"/>
    <w:rsid w:val="41046C0F"/>
    <w:rsid w:val="4105229D"/>
    <w:rsid w:val="41083023"/>
    <w:rsid w:val="41090DC4"/>
    <w:rsid w:val="410A1D77"/>
    <w:rsid w:val="410C24A3"/>
    <w:rsid w:val="410E6735"/>
    <w:rsid w:val="41101EA0"/>
    <w:rsid w:val="41111BA1"/>
    <w:rsid w:val="411E5C8C"/>
    <w:rsid w:val="411F48C5"/>
    <w:rsid w:val="412169AB"/>
    <w:rsid w:val="41220915"/>
    <w:rsid w:val="412722D6"/>
    <w:rsid w:val="412D25B4"/>
    <w:rsid w:val="413D1A37"/>
    <w:rsid w:val="414268B6"/>
    <w:rsid w:val="41483F38"/>
    <w:rsid w:val="41494219"/>
    <w:rsid w:val="414A4233"/>
    <w:rsid w:val="414A7CB0"/>
    <w:rsid w:val="415428DD"/>
    <w:rsid w:val="41561D0A"/>
    <w:rsid w:val="41593247"/>
    <w:rsid w:val="415A0CB2"/>
    <w:rsid w:val="415C2492"/>
    <w:rsid w:val="415F1273"/>
    <w:rsid w:val="41686388"/>
    <w:rsid w:val="417116E0"/>
    <w:rsid w:val="4173527B"/>
    <w:rsid w:val="41744D2D"/>
    <w:rsid w:val="41764859"/>
    <w:rsid w:val="417D37E3"/>
    <w:rsid w:val="417E0917"/>
    <w:rsid w:val="41840737"/>
    <w:rsid w:val="41883C14"/>
    <w:rsid w:val="418C6345"/>
    <w:rsid w:val="419017EC"/>
    <w:rsid w:val="41905600"/>
    <w:rsid w:val="41944C3C"/>
    <w:rsid w:val="419A3192"/>
    <w:rsid w:val="41A02E11"/>
    <w:rsid w:val="41A82022"/>
    <w:rsid w:val="41B35408"/>
    <w:rsid w:val="41B40210"/>
    <w:rsid w:val="41B6413A"/>
    <w:rsid w:val="41BE24F6"/>
    <w:rsid w:val="41C17BF0"/>
    <w:rsid w:val="41C337B8"/>
    <w:rsid w:val="41C50584"/>
    <w:rsid w:val="41C82A40"/>
    <w:rsid w:val="41D1738D"/>
    <w:rsid w:val="41D55F5E"/>
    <w:rsid w:val="41D853C4"/>
    <w:rsid w:val="41DB4DAC"/>
    <w:rsid w:val="41DE3057"/>
    <w:rsid w:val="41E126CA"/>
    <w:rsid w:val="41E25D84"/>
    <w:rsid w:val="41E53E7C"/>
    <w:rsid w:val="41F67E38"/>
    <w:rsid w:val="41FA423B"/>
    <w:rsid w:val="42001778"/>
    <w:rsid w:val="42007CA5"/>
    <w:rsid w:val="420339DD"/>
    <w:rsid w:val="4214206C"/>
    <w:rsid w:val="42260051"/>
    <w:rsid w:val="42277153"/>
    <w:rsid w:val="422C6F48"/>
    <w:rsid w:val="422E5823"/>
    <w:rsid w:val="42357EFA"/>
    <w:rsid w:val="42394DE0"/>
    <w:rsid w:val="423A3BCC"/>
    <w:rsid w:val="423A7BDF"/>
    <w:rsid w:val="424010B3"/>
    <w:rsid w:val="424776A8"/>
    <w:rsid w:val="424B2B75"/>
    <w:rsid w:val="424C32C5"/>
    <w:rsid w:val="42521B70"/>
    <w:rsid w:val="42576B28"/>
    <w:rsid w:val="425F0751"/>
    <w:rsid w:val="42616E2E"/>
    <w:rsid w:val="42640ACD"/>
    <w:rsid w:val="4265759A"/>
    <w:rsid w:val="4268663B"/>
    <w:rsid w:val="426B213F"/>
    <w:rsid w:val="426B4020"/>
    <w:rsid w:val="426E5C20"/>
    <w:rsid w:val="4274070D"/>
    <w:rsid w:val="42756A64"/>
    <w:rsid w:val="42762416"/>
    <w:rsid w:val="42762698"/>
    <w:rsid w:val="42781894"/>
    <w:rsid w:val="4278198B"/>
    <w:rsid w:val="42782DBF"/>
    <w:rsid w:val="427E7337"/>
    <w:rsid w:val="428158E7"/>
    <w:rsid w:val="42862EC1"/>
    <w:rsid w:val="42876637"/>
    <w:rsid w:val="42925DB2"/>
    <w:rsid w:val="42927B60"/>
    <w:rsid w:val="429F1FE7"/>
    <w:rsid w:val="42A80A21"/>
    <w:rsid w:val="42A93DB9"/>
    <w:rsid w:val="42AD6896"/>
    <w:rsid w:val="42B07FE6"/>
    <w:rsid w:val="42B76D04"/>
    <w:rsid w:val="42BB1CBE"/>
    <w:rsid w:val="42BE0955"/>
    <w:rsid w:val="42C9546A"/>
    <w:rsid w:val="42CB674C"/>
    <w:rsid w:val="42CF3D60"/>
    <w:rsid w:val="42D0554D"/>
    <w:rsid w:val="42D07B46"/>
    <w:rsid w:val="42D31F27"/>
    <w:rsid w:val="42D55C9F"/>
    <w:rsid w:val="42DF6B1E"/>
    <w:rsid w:val="42E3660E"/>
    <w:rsid w:val="42E55FA1"/>
    <w:rsid w:val="42F06635"/>
    <w:rsid w:val="42FB3A6B"/>
    <w:rsid w:val="430B7913"/>
    <w:rsid w:val="430D5439"/>
    <w:rsid w:val="43102381"/>
    <w:rsid w:val="43153B62"/>
    <w:rsid w:val="43153B72"/>
    <w:rsid w:val="43171E14"/>
    <w:rsid w:val="431F3CB9"/>
    <w:rsid w:val="4321416B"/>
    <w:rsid w:val="4322748F"/>
    <w:rsid w:val="432579FC"/>
    <w:rsid w:val="432804C5"/>
    <w:rsid w:val="432E6391"/>
    <w:rsid w:val="43382D49"/>
    <w:rsid w:val="433A6FE6"/>
    <w:rsid w:val="433E28D6"/>
    <w:rsid w:val="43421586"/>
    <w:rsid w:val="434768E5"/>
    <w:rsid w:val="43505326"/>
    <w:rsid w:val="4350713C"/>
    <w:rsid w:val="4355573F"/>
    <w:rsid w:val="43585B1E"/>
    <w:rsid w:val="435B7AB5"/>
    <w:rsid w:val="435E3603"/>
    <w:rsid w:val="435F738C"/>
    <w:rsid w:val="4362778A"/>
    <w:rsid w:val="436511FC"/>
    <w:rsid w:val="43652B30"/>
    <w:rsid w:val="43653F07"/>
    <w:rsid w:val="436653E0"/>
    <w:rsid w:val="43792ACE"/>
    <w:rsid w:val="438035B0"/>
    <w:rsid w:val="43850301"/>
    <w:rsid w:val="43876F4B"/>
    <w:rsid w:val="43897C12"/>
    <w:rsid w:val="438F7125"/>
    <w:rsid w:val="43915FE4"/>
    <w:rsid w:val="43943464"/>
    <w:rsid w:val="439E0787"/>
    <w:rsid w:val="43A044FF"/>
    <w:rsid w:val="43A50841"/>
    <w:rsid w:val="43A85162"/>
    <w:rsid w:val="43AA2C88"/>
    <w:rsid w:val="43BC0B13"/>
    <w:rsid w:val="43BD049E"/>
    <w:rsid w:val="43BE6733"/>
    <w:rsid w:val="43C14AF0"/>
    <w:rsid w:val="43C875B2"/>
    <w:rsid w:val="43C94B4A"/>
    <w:rsid w:val="43D321DE"/>
    <w:rsid w:val="43D324CC"/>
    <w:rsid w:val="43D441A9"/>
    <w:rsid w:val="43DE482C"/>
    <w:rsid w:val="43E209D2"/>
    <w:rsid w:val="43E61B99"/>
    <w:rsid w:val="43EA35C6"/>
    <w:rsid w:val="43EE1913"/>
    <w:rsid w:val="43F907ED"/>
    <w:rsid w:val="43FA43CD"/>
    <w:rsid w:val="43FF34CF"/>
    <w:rsid w:val="44004F9E"/>
    <w:rsid w:val="44016C88"/>
    <w:rsid w:val="44056C51"/>
    <w:rsid w:val="440A0D29"/>
    <w:rsid w:val="440D7037"/>
    <w:rsid w:val="440E44BC"/>
    <w:rsid w:val="441905A0"/>
    <w:rsid w:val="441B06FF"/>
    <w:rsid w:val="441F73E2"/>
    <w:rsid w:val="442F4178"/>
    <w:rsid w:val="442F62DC"/>
    <w:rsid w:val="44361E7A"/>
    <w:rsid w:val="444F48EA"/>
    <w:rsid w:val="44507CD3"/>
    <w:rsid w:val="4452116B"/>
    <w:rsid w:val="44580936"/>
    <w:rsid w:val="445B0426"/>
    <w:rsid w:val="445C1C1A"/>
    <w:rsid w:val="445C33DC"/>
    <w:rsid w:val="445C50DD"/>
    <w:rsid w:val="445F4E53"/>
    <w:rsid w:val="44681ED2"/>
    <w:rsid w:val="446A2417"/>
    <w:rsid w:val="446D628B"/>
    <w:rsid w:val="446E1303"/>
    <w:rsid w:val="446E1F07"/>
    <w:rsid w:val="446E5977"/>
    <w:rsid w:val="44732DDB"/>
    <w:rsid w:val="44765C84"/>
    <w:rsid w:val="44794A18"/>
    <w:rsid w:val="447E4739"/>
    <w:rsid w:val="447E6702"/>
    <w:rsid w:val="44880BFC"/>
    <w:rsid w:val="448B0D0B"/>
    <w:rsid w:val="448E716D"/>
    <w:rsid w:val="449C2E98"/>
    <w:rsid w:val="44A41DCD"/>
    <w:rsid w:val="44A469DD"/>
    <w:rsid w:val="44AE5038"/>
    <w:rsid w:val="44B91731"/>
    <w:rsid w:val="44BD5564"/>
    <w:rsid w:val="44BF09B5"/>
    <w:rsid w:val="44C4421D"/>
    <w:rsid w:val="44C921AC"/>
    <w:rsid w:val="44CD14E0"/>
    <w:rsid w:val="44D36C8E"/>
    <w:rsid w:val="44D40DA9"/>
    <w:rsid w:val="44D83825"/>
    <w:rsid w:val="44D9656D"/>
    <w:rsid w:val="44DE3AE5"/>
    <w:rsid w:val="44DF55E4"/>
    <w:rsid w:val="44E52FB6"/>
    <w:rsid w:val="44EA4054"/>
    <w:rsid w:val="44ED50F3"/>
    <w:rsid w:val="44F93AD3"/>
    <w:rsid w:val="44F93EC7"/>
    <w:rsid w:val="45024A5C"/>
    <w:rsid w:val="45057104"/>
    <w:rsid w:val="450665E4"/>
    <w:rsid w:val="450C0C02"/>
    <w:rsid w:val="45100A3C"/>
    <w:rsid w:val="45193891"/>
    <w:rsid w:val="451E0232"/>
    <w:rsid w:val="451F3201"/>
    <w:rsid w:val="45214101"/>
    <w:rsid w:val="452375AA"/>
    <w:rsid w:val="4526178B"/>
    <w:rsid w:val="452B7DF8"/>
    <w:rsid w:val="452E042D"/>
    <w:rsid w:val="453B307A"/>
    <w:rsid w:val="453C714F"/>
    <w:rsid w:val="45402335"/>
    <w:rsid w:val="45424528"/>
    <w:rsid w:val="45506DA5"/>
    <w:rsid w:val="455455A1"/>
    <w:rsid w:val="456B28EB"/>
    <w:rsid w:val="457F11CB"/>
    <w:rsid w:val="45844B7E"/>
    <w:rsid w:val="458946E9"/>
    <w:rsid w:val="45894C40"/>
    <w:rsid w:val="45A876D2"/>
    <w:rsid w:val="45B9452D"/>
    <w:rsid w:val="45B94BBF"/>
    <w:rsid w:val="45C56141"/>
    <w:rsid w:val="45CC5137"/>
    <w:rsid w:val="45D635C4"/>
    <w:rsid w:val="45E158CD"/>
    <w:rsid w:val="45E16709"/>
    <w:rsid w:val="45E52077"/>
    <w:rsid w:val="45E7393F"/>
    <w:rsid w:val="45EC3A2B"/>
    <w:rsid w:val="45ED4AF7"/>
    <w:rsid w:val="45F1109D"/>
    <w:rsid w:val="45F33F34"/>
    <w:rsid w:val="45F446E7"/>
    <w:rsid w:val="46036BD0"/>
    <w:rsid w:val="460479E0"/>
    <w:rsid w:val="46050649"/>
    <w:rsid w:val="46055B2C"/>
    <w:rsid w:val="4605689B"/>
    <w:rsid w:val="4606078C"/>
    <w:rsid w:val="460B36AF"/>
    <w:rsid w:val="460F5A9E"/>
    <w:rsid w:val="46132380"/>
    <w:rsid w:val="461A1112"/>
    <w:rsid w:val="461C12C7"/>
    <w:rsid w:val="461D7D1A"/>
    <w:rsid w:val="46252A99"/>
    <w:rsid w:val="46262F44"/>
    <w:rsid w:val="46276812"/>
    <w:rsid w:val="462D5704"/>
    <w:rsid w:val="462E5DF2"/>
    <w:rsid w:val="46324EB8"/>
    <w:rsid w:val="46365251"/>
    <w:rsid w:val="46381E9D"/>
    <w:rsid w:val="463F5014"/>
    <w:rsid w:val="4642104C"/>
    <w:rsid w:val="46423F8C"/>
    <w:rsid w:val="4647582A"/>
    <w:rsid w:val="46487AF6"/>
    <w:rsid w:val="4654337F"/>
    <w:rsid w:val="46583B68"/>
    <w:rsid w:val="4659553C"/>
    <w:rsid w:val="46597393"/>
    <w:rsid w:val="46620827"/>
    <w:rsid w:val="46737C9E"/>
    <w:rsid w:val="467704B6"/>
    <w:rsid w:val="468439A5"/>
    <w:rsid w:val="468C2994"/>
    <w:rsid w:val="468D6EA3"/>
    <w:rsid w:val="468E6647"/>
    <w:rsid w:val="4690117F"/>
    <w:rsid w:val="469031C6"/>
    <w:rsid w:val="46916CBB"/>
    <w:rsid w:val="469214B4"/>
    <w:rsid w:val="46933C70"/>
    <w:rsid w:val="46A17EF1"/>
    <w:rsid w:val="46AC31BB"/>
    <w:rsid w:val="46AF437E"/>
    <w:rsid w:val="46B02CAB"/>
    <w:rsid w:val="46B12D46"/>
    <w:rsid w:val="46B33089"/>
    <w:rsid w:val="46BB068E"/>
    <w:rsid w:val="46BC33FE"/>
    <w:rsid w:val="46C167F6"/>
    <w:rsid w:val="46C2478C"/>
    <w:rsid w:val="46C805A5"/>
    <w:rsid w:val="46C90453"/>
    <w:rsid w:val="46D7531D"/>
    <w:rsid w:val="46D75C54"/>
    <w:rsid w:val="46D85D5E"/>
    <w:rsid w:val="46D955A7"/>
    <w:rsid w:val="46D97270"/>
    <w:rsid w:val="46E26BDC"/>
    <w:rsid w:val="46E54919"/>
    <w:rsid w:val="46E8775B"/>
    <w:rsid w:val="46EE5581"/>
    <w:rsid w:val="46EF6C88"/>
    <w:rsid w:val="46F0426D"/>
    <w:rsid w:val="46F17B81"/>
    <w:rsid w:val="46F438EE"/>
    <w:rsid w:val="46F86B38"/>
    <w:rsid w:val="46FC23AB"/>
    <w:rsid w:val="46FD3BB8"/>
    <w:rsid w:val="470363A5"/>
    <w:rsid w:val="470A21ED"/>
    <w:rsid w:val="47133957"/>
    <w:rsid w:val="47172FCE"/>
    <w:rsid w:val="471A7B60"/>
    <w:rsid w:val="4724367A"/>
    <w:rsid w:val="47276FF4"/>
    <w:rsid w:val="472E3BD0"/>
    <w:rsid w:val="47322CB8"/>
    <w:rsid w:val="47357547"/>
    <w:rsid w:val="473D3E13"/>
    <w:rsid w:val="473E6D68"/>
    <w:rsid w:val="47463379"/>
    <w:rsid w:val="47543636"/>
    <w:rsid w:val="475631A3"/>
    <w:rsid w:val="47571088"/>
    <w:rsid w:val="47577BDB"/>
    <w:rsid w:val="475872EC"/>
    <w:rsid w:val="475A1A4B"/>
    <w:rsid w:val="47613FA5"/>
    <w:rsid w:val="47631ACB"/>
    <w:rsid w:val="47672ACD"/>
    <w:rsid w:val="47697BED"/>
    <w:rsid w:val="477048A8"/>
    <w:rsid w:val="477053C3"/>
    <w:rsid w:val="47721635"/>
    <w:rsid w:val="47777325"/>
    <w:rsid w:val="4779329E"/>
    <w:rsid w:val="477C68EF"/>
    <w:rsid w:val="477F442B"/>
    <w:rsid w:val="47844F48"/>
    <w:rsid w:val="4784626B"/>
    <w:rsid w:val="479003E6"/>
    <w:rsid w:val="479279F2"/>
    <w:rsid w:val="479315A0"/>
    <w:rsid w:val="47983637"/>
    <w:rsid w:val="479B60D9"/>
    <w:rsid w:val="47A04F7D"/>
    <w:rsid w:val="47A07E0C"/>
    <w:rsid w:val="47A125F4"/>
    <w:rsid w:val="47A539DB"/>
    <w:rsid w:val="47A70D06"/>
    <w:rsid w:val="47A74030"/>
    <w:rsid w:val="47AA5D2E"/>
    <w:rsid w:val="47AB580C"/>
    <w:rsid w:val="47B07A54"/>
    <w:rsid w:val="47BC3A5C"/>
    <w:rsid w:val="47BF518F"/>
    <w:rsid w:val="47C766AA"/>
    <w:rsid w:val="47D22DBB"/>
    <w:rsid w:val="47DD1E95"/>
    <w:rsid w:val="47E14CCD"/>
    <w:rsid w:val="47E30E47"/>
    <w:rsid w:val="47E32C53"/>
    <w:rsid w:val="47E56984"/>
    <w:rsid w:val="47E93562"/>
    <w:rsid w:val="47EA5D49"/>
    <w:rsid w:val="47EB38BD"/>
    <w:rsid w:val="47F405C3"/>
    <w:rsid w:val="47F9333B"/>
    <w:rsid w:val="47FA3C2D"/>
    <w:rsid w:val="48022E0B"/>
    <w:rsid w:val="480A66F6"/>
    <w:rsid w:val="48102525"/>
    <w:rsid w:val="481155F9"/>
    <w:rsid w:val="481A0953"/>
    <w:rsid w:val="481B0915"/>
    <w:rsid w:val="481C7F8C"/>
    <w:rsid w:val="48230890"/>
    <w:rsid w:val="482E37ED"/>
    <w:rsid w:val="4832149E"/>
    <w:rsid w:val="48390A7E"/>
    <w:rsid w:val="483A59A4"/>
    <w:rsid w:val="483B0411"/>
    <w:rsid w:val="48403BBB"/>
    <w:rsid w:val="4840501A"/>
    <w:rsid w:val="48427933"/>
    <w:rsid w:val="48496F13"/>
    <w:rsid w:val="48520356"/>
    <w:rsid w:val="48592ECE"/>
    <w:rsid w:val="485B09F4"/>
    <w:rsid w:val="48624549"/>
    <w:rsid w:val="486559BD"/>
    <w:rsid w:val="48680EFD"/>
    <w:rsid w:val="486948F5"/>
    <w:rsid w:val="4870272E"/>
    <w:rsid w:val="48710FFA"/>
    <w:rsid w:val="48733F90"/>
    <w:rsid w:val="48780120"/>
    <w:rsid w:val="487E46E3"/>
    <w:rsid w:val="487F65D4"/>
    <w:rsid w:val="48843EE4"/>
    <w:rsid w:val="488C32A4"/>
    <w:rsid w:val="48967594"/>
    <w:rsid w:val="489839F7"/>
    <w:rsid w:val="489B7376"/>
    <w:rsid w:val="489C4043"/>
    <w:rsid w:val="489D100D"/>
    <w:rsid w:val="489D624E"/>
    <w:rsid w:val="489F2E14"/>
    <w:rsid w:val="48A405ED"/>
    <w:rsid w:val="48A837B8"/>
    <w:rsid w:val="48AB0F68"/>
    <w:rsid w:val="48AB17A4"/>
    <w:rsid w:val="48AD6834"/>
    <w:rsid w:val="48AE32C7"/>
    <w:rsid w:val="48B50006"/>
    <w:rsid w:val="48B80D00"/>
    <w:rsid w:val="48BC2943"/>
    <w:rsid w:val="48BE0390"/>
    <w:rsid w:val="48C354B0"/>
    <w:rsid w:val="48C6640B"/>
    <w:rsid w:val="48E318BE"/>
    <w:rsid w:val="48E7672C"/>
    <w:rsid w:val="48EA4EC4"/>
    <w:rsid w:val="48EC5AF0"/>
    <w:rsid w:val="48F52BF7"/>
    <w:rsid w:val="48FA1E65"/>
    <w:rsid w:val="48FA69C6"/>
    <w:rsid w:val="48FB5D34"/>
    <w:rsid w:val="49012E7D"/>
    <w:rsid w:val="49035633"/>
    <w:rsid w:val="49055402"/>
    <w:rsid w:val="490760F4"/>
    <w:rsid w:val="49095D09"/>
    <w:rsid w:val="49107A31"/>
    <w:rsid w:val="4913307D"/>
    <w:rsid w:val="491B2E2F"/>
    <w:rsid w:val="4924362C"/>
    <w:rsid w:val="492A6A70"/>
    <w:rsid w:val="492A7F26"/>
    <w:rsid w:val="492B3132"/>
    <w:rsid w:val="492F46CE"/>
    <w:rsid w:val="49314FC8"/>
    <w:rsid w:val="49344A6B"/>
    <w:rsid w:val="493F3E72"/>
    <w:rsid w:val="4945000D"/>
    <w:rsid w:val="49472DD2"/>
    <w:rsid w:val="494866C1"/>
    <w:rsid w:val="494A055F"/>
    <w:rsid w:val="494B4C59"/>
    <w:rsid w:val="496578F3"/>
    <w:rsid w:val="49663AF5"/>
    <w:rsid w:val="496720CD"/>
    <w:rsid w:val="49682E1B"/>
    <w:rsid w:val="49683352"/>
    <w:rsid w:val="49691641"/>
    <w:rsid w:val="496C133A"/>
    <w:rsid w:val="496D6C31"/>
    <w:rsid w:val="497A3F01"/>
    <w:rsid w:val="497B3EDD"/>
    <w:rsid w:val="497F7C31"/>
    <w:rsid w:val="49803B01"/>
    <w:rsid w:val="498113B2"/>
    <w:rsid w:val="498114BF"/>
    <w:rsid w:val="4981232E"/>
    <w:rsid w:val="49925196"/>
    <w:rsid w:val="49994222"/>
    <w:rsid w:val="499C0636"/>
    <w:rsid w:val="49B538AE"/>
    <w:rsid w:val="49BB5BEF"/>
    <w:rsid w:val="49BC43D8"/>
    <w:rsid w:val="49BE6241"/>
    <w:rsid w:val="49C03312"/>
    <w:rsid w:val="49CD4660"/>
    <w:rsid w:val="49CE1619"/>
    <w:rsid w:val="49D716A2"/>
    <w:rsid w:val="49D846E4"/>
    <w:rsid w:val="49DA33E3"/>
    <w:rsid w:val="49DC7715"/>
    <w:rsid w:val="49E00994"/>
    <w:rsid w:val="49E03122"/>
    <w:rsid w:val="49E76EAA"/>
    <w:rsid w:val="49E8450A"/>
    <w:rsid w:val="49EA0010"/>
    <w:rsid w:val="49ED6398"/>
    <w:rsid w:val="49F047D7"/>
    <w:rsid w:val="49F31D63"/>
    <w:rsid w:val="49FF32B1"/>
    <w:rsid w:val="4A023139"/>
    <w:rsid w:val="4A034609"/>
    <w:rsid w:val="4A051C6D"/>
    <w:rsid w:val="4A0742B7"/>
    <w:rsid w:val="4A0B4D00"/>
    <w:rsid w:val="4A0B7CA4"/>
    <w:rsid w:val="4A0D6C96"/>
    <w:rsid w:val="4A123413"/>
    <w:rsid w:val="4A1A5CC5"/>
    <w:rsid w:val="4A1C4009"/>
    <w:rsid w:val="4A1C5EEA"/>
    <w:rsid w:val="4A2201DB"/>
    <w:rsid w:val="4A271FBA"/>
    <w:rsid w:val="4A2C089A"/>
    <w:rsid w:val="4A3F051B"/>
    <w:rsid w:val="4A415536"/>
    <w:rsid w:val="4A4246E4"/>
    <w:rsid w:val="4A4831FA"/>
    <w:rsid w:val="4A484DC1"/>
    <w:rsid w:val="4A5E4053"/>
    <w:rsid w:val="4A5F08E6"/>
    <w:rsid w:val="4A6534B0"/>
    <w:rsid w:val="4A6C4CDC"/>
    <w:rsid w:val="4A7054C8"/>
    <w:rsid w:val="4A7349D2"/>
    <w:rsid w:val="4A7B4F0C"/>
    <w:rsid w:val="4A7B576F"/>
    <w:rsid w:val="4A832D63"/>
    <w:rsid w:val="4A897A9B"/>
    <w:rsid w:val="4A8B4010"/>
    <w:rsid w:val="4A913697"/>
    <w:rsid w:val="4A95570B"/>
    <w:rsid w:val="4A9747C5"/>
    <w:rsid w:val="4A99457A"/>
    <w:rsid w:val="4A9B361F"/>
    <w:rsid w:val="4A9D58C0"/>
    <w:rsid w:val="4AA110F3"/>
    <w:rsid w:val="4AB00C2C"/>
    <w:rsid w:val="4AB16FF2"/>
    <w:rsid w:val="4AB32D6A"/>
    <w:rsid w:val="4AB34B18"/>
    <w:rsid w:val="4AB477F1"/>
    <w:rsid w:val="4AB97C54"/>
    <w:rsid w:val="4ABB577A"/>
    <w:rsid w:val="4AC05FB3"/>
    <w:rsid w:val="4AC274DE"/>
    <w:rsid w:val="4AC8357D"/>
    <w:rsid w:val="4AC97CB6"/>
    <w:rsid w:val="4AD55B10"/>
    <w:rsid w:val="4ADB2A5B"/>
    <w:rsid w:val="4ADC566F"/>
    <w:rsid w:val="4AE11C07"/>
    <w:rsid w:val="4AE32A8C"/>
    <w:rsid w:val="4AEC039D"/>
    <w:rsid w:val="4AEE3DA2"/>
    <w:rsid w:val="4AEE5B50"/>
    <w:rsid w:val="4AF06AC2"/>
    <w:rsid w:val="4AFA05B9"/>
    <w:rsid w:val="4AFB1B32"/>
    <w:rsid w:val="4AFD5D93"/>
    <w:rsid w:val="4B004D95"/>
    <w:rsid w:val="4B090BDC"/>
    <w:rsid w:val="4B13435E"/>
    <w:rsid w:val="4B1A4844"/>
    <w:rsid w:val="4B1D6435"/>
    <w:rsid w:val="4B294B8B"/>
    <w:rsid w:val="4B2C48CA"/>
    <w:rsid w:val="4B2E0642"/>
    <w:rsid w:val="4B3F30E6"/>
    <w:rsid w:val="4B447E66"/>
    <w:rsid w:val="4B451CD2"/>
    <w:rsid w:val="4B452680"/>
    <w:rsid w:val="4B4614E8"/>
    <w:rsid w:val="4B49547C"/>
    <w:rsid w:val="4B4E4840"/>
    <w:rsid w:val="4B5D6D56"/>
    <w:rsid w:val="4B6127C6"/>
    <w:rsid w:val="4B633A95"/>
    <w:rsid w:val="4B685902"/>
    <w:rsid w:val="4B6C16B2"/>
    <w:rsid w:val="4B726B3B"/>
    <w:rsid w:val="4B7428D9"/>
    <w:rsid w:val="4B802C86"/>
    <w:rsid w:val="4B810772"/>
    <w:rsid w:val="4B87346A"/>
    <w:rsid w:val="4B93510C"/>
    <w:rsid w:val="4B971D44"/>
    <w:rsid w:val="4B9D2E2B"/>
    <w:rsid w:val="4B9F32EE"/>
    <w:rsid w:val="4BA97CC9"/>
    <w:rsid w:val="4BB072A9"/>
    <w:rsid w:val="4BB723E6"/>
    <w:rsid w:val="4BBA0128"/>
    <w:rsid w:val="4BC31C63"/>
    <w:rsid w:val="4BCE14DD"/>
    <w:rsid w:val="4BCF19B0"/>
    <w:rsid w:val="4BD15F9C"/>
    <w:rsid w:val="4BD44162"/>
    <w:rsid w:val="4BD60F7A"/>
    <w:rsid w:val="4BD85CB4"/>
    <w:rsid w:val="4BDD4118"/>
    <w:rsid w:val="4BE03C96"/>
    <w:rsid w:val="4BEA538E"/>
    <w:rsid w:val="4BF20D7F"/>
    <w:rsid w:val="4BF861AB"/>
    <w:rsid w:val="4BFD348E"/>
    <w:rsid w:val="4C08079B"/>
    <w:rsid w:val="4C0A6625"/>
    <w:rsid w:val="4C1B2975"/>
    <w:rsid w:val="4C1E2465"/>
    <w:rsid w:val="4C29243B"/>
    <w:rsid w:val="4C2A0C1E"/>
    <w:rsid w:val="4C3104AE"/>
    <w:rsid w:val="4C3838CE"/>
    <w:rsid w:val="4C453E95"/>
    <w:rsid w:val="4C456352"/>
    <w:rsid w:val="4C460E93"/>
    <w:rsid w:val="4C481290"/>
    <w:rsid w:val="4C4A0649"/>
    <w:rsid w:val="4C4C5D2C"/>
    <w:rsid w:val="4C547D8D"/>
    <w:rsid w:val="4C5639AD"/>
    <w:rsid w:val="4C646DEF"/>
    <w:rsid w:val="4C742EFD"/>
    <w:rsid w:val="4C7C2A81"/>
    <w:rsid w:val="4C8853A7"/>
    <w:rsid w:val="4C8D6012"/>
    <w:rsid w:val="4C906482"/>
    <w:rsid w:val="4C980553"/>
    <w:rsid w:val="4C983DA7"/>
    <w:rsid w:val="4C9C4CEE"/>
    <w:rsid w:val="4C9D5A7F"/>
    <w:rsid w:val="4CAA6271"/>
    <w:rsid w:val="4CAF57B3"/>
    <w:rsid w:val="4CB75244"/>
    <w:rsid w:val="4CB97AB1"/>
    <w:rsid w:val="4CBC6DF6"/>
    <w:rsid w:val="4CBF078F"/>
    <w:rsid w:val="4CC300AD"/>
    <w:rsid w:val="4CC4300C"/>
    <w:rsid w:val="4CD07C03"/>
    <w:rsid w:val="4CD86AB8"/>
    <w:rsid w:val="4CDA19A5"/>
    <w:rsid w:val="4CDB0356"/>
    <w:rsid w:val="4CE20586"/>
    <w:rsid w:val="4CE470D3"/>
    <w:rsid w:val="4CE85E72"/>
    <w:rsid w:val="4CEA7856"/>
    <w:rsid w:val="4CF47669"/>
    <w:rsid w:val="4CF82CB6"/>
    <w:rsid w:val="4CF91735"/>
    <w:rsid w:val="4D07054C"/>
    <w:rsid w:val="4D090A1F"/>
    <w:rsid w:val="4D094E7C"/>
    <w:rsid w:val="4D0F7FFF"/>
    <w:rsid w:val="4D130A4B"/>
    <w:rsid w:val="4D15332F"/>
    <w:rsid w:val="4D1972EC"/>
    <w:rsid w:val="4D285D41"/>
    <w:rsid w:val="4D31566B"/>
    <w:rsid w:val="4D3E7C2E"/>
    <w:rsid w:val="4D43147B"/>
    <w:rsid w:val="4D461C73"/>
    <w:rsid w:val="4D471547"/>
    <w:rsid w:val="4D4B3F31"/>
    <w:rsid w:val="4D5171F7"/>
    <w:rsid w:val="4D6060D2"/>
    <w:rsid w:val="4D66616C"/>
    <w:rsid w:val="4D7237A9"/>
    <w:rsid w:val="4D73058E"/>
    <w:rsid w:val="4D784BC0"/>
    <w:rsid w:val="4D7A0C3E"/>
    <w:rsid w:val="4D7C5F38"/>
    <w:rsid w:val="4D820F05"/>
    <w:rsid w:val="4D8367CC"/>
    <w:rsid w:val="4D8A1FAD"/>
    <w:rsid w:val="4D8A3A5B"/>
    <w:rsid w:val="4D8E53C8"/>
    <w:rsid w:val="4D922DC1"/>
    <w:rsid w:val="4D9440C7"/>
    <w:rsid w:val="4D9E26DE"/>
    <w:rsid w:val="4D9F6545"/>
    <w:rsid w:val="4DA035D7"/>
    <w:rsid w:val="4DA24C89"/>
    <w:rsid w:val="4DA66369"/>
    <w:rsid w:val="4DA82A14"/>
    <w:rsid w:val="4DAD1CF2"/>
    <w:rsid w:val="4DAE227C"/>
    <w:rsid w:val="4DBF2F3C"/>
    <w:rsid w:val="4DC07E35"/>
    <w:rsid w:val="4DC82688"/>
    <w:rsid w:val="4DCA6573"/>
    <w:rsid w:val="4DD43CB5"/>
    <w:rsid w:val="4DD50B92"/>
    <w:rsid w:val="4DD53E6F"/>
    <w:rsid w:val="4DD70FE8"/>
    <w:rsid w:val="4DDA283D"/>
    <w:rsid w:val="4DE4148C"/>
    <w:rsid w:val="4DEA116A"/>
    <w:rsid w:val="4DEC4FB0"/>
    <w:rsid w:val="4DF831B6"/>
    <w:rsid w:val="4DF96CE5"/>
    <w:rsid w:val="4E013DEC"/>
    <w:rsid w:val="4E055EA9"/>
    <w:rsid w:val="4E075D8A"/>
    <w:rsid w:val="4E0F2127"/>
    <w:rsid w:val="4E154102"/>
    <w:rsid w:val="4E182707"/>
    <w:rsid w:val="4E190CEF"/>
    <w:rsid w:val="4E206D6A"/>
    <w:rsid w:val="4E2625BB"/>
    <w:rsid w:val="4E282C42"/>
    <w:rsid w:val="4E337CD0"/>
    <w:rsid w:val="4E3A1030"/>
    <w:rsid w:val="4E3A10AC"/>
    <w:rsid w:val="4E3D0970"/>
    <w:rsid w:val="4E42194E"/>
    <w:rsid w:val="4E485B09"/>
    <w:rsid w:val="4E577EB0"/>
    <w:rsid w:val="4E6226D7"/>
    <w:rsid w:val="4E6525CD"/>
    <w:rsid w:val="4E655F9F"/>
    <w:rsid w:val="4E6B6980"/>
    <w:rsid w:val="4E704ACE"/>
    <w:rsid w:val="4E777DC5"/>
    <w:rsid w:val="4E7B141E"/>
    <w:rsid w:val="4E803FA3"/>
    <w:rsid w:val="4E811908"/>
    <w:rsid w:val="4E8A2033"/>
    <w:rsid w:val="4E8B3FA5"/>
    <w:rsid w:val="4E950035"/>
    <w:rsid w:val="4E951201"/>
    <w:rsid w:val="4E960144"/>
    <w:rsid w:val="4E992A19"/>
    <w:rsid w:val="4E9B7B0B"/>
    <w:rsid w:val="4E9C7189"/>
    <w:rsid w:val="4E9D1D67"/>
    <w:rsid w:val="4EA6024A"/>
    <w:rsid w:val="4EA64116"/>
    <w:rsid w:val="4EAF2599"/>
    <w:rsid w:val="4EBA4DBE"/>
    <w:rsid w:val="4EBD5F65"/>
    <w:rsid w:val="4EC25003"/>
    <w:rsid w:val="4EC279CD"/>
    <w:rsid w:val="4EC31B43"/>
    <w:rsid w:val="4ED12621"/>
    <w:rsid w:val="4ED55896"/>
    <w:rsid w:val="4EDB1B34"/>
    <w:rsid w:val="4EE16FC5"/>
    <w:rsid w:val="4EE265B1"/>
    <w:rsid w:val="4EE97F10"/>
    <w:rsid w:val="4EEE25C2"/>
    <w:rsid w:val="4EEF48FA"/>
    <w:rsid w:val="4EF27155"/>
    <w:rsid w:val="4EF61477"/>
    <w:rsid w:val="4EF70D4B"/>
    <w:rsid w:val="4EFA331A"/>
    <w:rsid w:val="4EFF6EFC"/>
    <w:rsid w:val="4F0022F6"/>
    <w:rsid w:val="4F0A0A7E"/>
    <w:rsid w:val="4F0A0BC2"/>
    <w:rsid w:val="4F0A4205"/>
    <w:rsid w:val="4F176BB8"/>
    <w:rsid w:val="4F184E11"/>
    <w:rsid w:val="4F25591D"/>
    <w:rsid w:val="4F2565BA"/>
    <w:rsid w:val="4F291B70"/>
    <w:rsid w:val="4F2935FA"/>
    <w:rsid w:val="4F294496"/>
    <w:rsid w:val="4F2D738B"/>
    <w:rsid w:val="4F2F6737"/>
    <w:rsid w:val="4F3473CA"/>
    <w:rsid w:val="4F3700F2"/>
    <w:rsid w:val="4F3B6EBC"/>
    <w:rsid w:val="4F3C3269"/>
    <w:rsid w:val="4F401683"/>
    <w:rsid w:val="4F483E30"/>
    <w:rsid w:val="4F4F0B87"/>
    <w:rsid w:val="4F59248F"/>
    <w:rsid w:val="4F5F701C"/>
    <w:rsid w:val="4F601782"/>
    <w:rsid w:val="4F6208BA"/>
    <w:rsid w:val="4F6603AB"/>
    <w:rsid w:val="4F6A77A6"/>
    <w:rsid w:val="4F6D58FA"/>
    <w:rsid w:val="4F7043B1"/>
    <w:rsid w:val="4F753D96"/>
    <w:rsid w:val="4F784129"/>
    <w:rsid w:val="4F7960C8"/>
    <w:rsid w:val="4F7B673F"/>
    <w:rsid w:val="4F7F0F85"/>
    <w:rsid w:val="4F7F7E27"/>
    <w:rsid w:val="4F856B91"/>
    <w:rsid w:val="4F9111A0"/>
    <w:rsid w:val="4F95157A"/>
    <w:rsid w:val="4FA25F1E"/>
    <w:rsid w:val="4FA47125"/>
    <w:rsid w:val="4FA930E5"/>
    <w:rsid w:val="4FAA5202"/>
    <w:rsid w:val="4FAB1C7D"/>
    <w:rsid w:val="4FAB2261"/>
    <w:rsid w:val="4FB50575"/>
    <w:rsid w:val="4FB52B5C"/>
    <w:rsid w:val="4FB86A79"/>
    <w:rsid w:val="4FBA6631"/>
    <w:rsid w:val="4FBC1917"/>
    <w:rsid w:val="4FC13833"/>
    <w:rsid w:val="4FC62A8C"/>
    <w:rsid w:val="4FC82E13"/>
    <w:rsid w:val="4FCB6460"/>
    <w:rsid w:val="4FCD1F4C"/>
    <w:rsid w:val="4FD51C85"/>
    <w:rsid w:val="4FD72C4B"/>
    <w:rsid w:val="4FE20F0D"/>
    <w:rsid w:val="4FE27B01"/>
    <w:rsid w:val="4FE622AB"/>
    <w:rsid w:val="4FEF395D"/>
    <w:rsid w:val="4FF85C38"/>
    <w:rsid w:val="4FF97471"/>
    <w:rsid w:val="4FFD05E3"/>
    <w:rsid w:val="50021018"/>
    <w:rsid w:val="50047BC4"/>
    <w:rsid w:val="50141FA4"/>
    <w:rsid w:val="50257D52"/>
    <w:rsid w:val="50332FE7"/>
    <w:rsid w:val="50351032"/>
    <w:rsid w:val="5036546E"/>
    <w:rsid w:val="50377E76"/>
    <w:rsid w:val="504216F2"/>
    <w:rsid w:val="50493FA9"/>
    <w:rsid w:val="504E36AE"/>
    <w:rsid w:val="504F7091"/>
    <w:rsid w:val="50504C4B"/>
    <w:rsid w:val="50513F88"/>
    <w:rsid w:val="50544E45"/>
    <w:rsid w:val="505510B8"/>
    <w:rsid w:val="505742F0"/>
    <w:rsid w:val="50583918"/>
    <w:rsid w:val="506420D8"/>
    <w:rsid w:val="506612ED"/>
    <w:rsid w:val="506703B4"/>
    <w:rsid w:val="506A2136"/>
    <w:rsid w:val="506B15BF"/>
    <w:rsid w:val="506D39BB"/>
    <w:rsid w:val="506E4AAC"/>
    <w:rsid w:val="507A6945"/>
    <w:rsid w:val="507E110E"/>
    <w:rsid w:val="508477ED"/>
    <w:rsid w:val="5085411F"/>
    <w:rsid w:val="50856C04"/>
    <w:rsid w:val="508B7077"/>
    <w:rsid w:val="508D7BB9"/>
    <w:rsid w:val="50935CB3"/>
    <w:rsid w:val="509A45AD"/>
    <w:rsid w:val="509C6E7C"/>
    <w:rsid w:val="50A13EAD"/>
    <w:rsid w:val="50A373DC"/>
    <w:rsid w:val="50A70C7B"/>
    <w:rsid w:val="50AA20F8"/>
    <w:rsid w:val="50AA4708"/>
    <w:rsid w:val="50BA5633"/>
    <w:rsid w:val="50BC224C"/>
    <w:rsid w:val="50C01D3C"/>
    <w:rsid w:val="50C13896"/>
    <w:rsid w:val="50C17863"/>
    <w:rsid w:val="50C51101"/>
    <w:rsid w:val="50C70516"/>
    <w:rsid w:val="50CC67D7"/>
    <w:rsid w:val="50CF43D4"/>
    <w:rsid w:val="50D136DA"/>
    <w:rsid w:val="50D457E8"/>
    <w:rsid w:val="50D52C43"/>
    <w:rsid w:val="50DC325D"/>
    <w:rsid w:val="50E0582E"/>
    <w:rsid w:val="50E3687E"/>
    <w:rsid w:val="50E610DB"/>
    <w:rsid w:val="50ED4319"/>
    <w:rsid w:val="50EE2560"/>
    <w:rsid w:val="50F46775"/>
    <w:rsid w:val="50F8353E"/>
    <w:rsid w:val="50FC089B"/>
    <w:rsid w:val="510437F6"/>
    <w:rsid w:val="51077F8B"/>
    <w:rsid w:val="510A027A"/>
    <w:rsid w:val="510F6FF5"/>
    <w:rsid w:val="511300BE"/>
    <w:rsid w:val="51134562"/>
    <w:rsid w:val="511505F7"/>
    <w:rsid w:val="511A57CC"/>
    <w:rsid w:val="5121170A"/>
    <w:rsid w:val="512223B3"/>
    <w:rsid w:val="5124250D"/>
    <w:rsid w:val="5129616D"/>
    <w:rsid w:val="512C1792"/>
    <w:rsid w:val="512E31B6"/>
    <w:rsid w:val="513039DE"/>
    <w:rsid w:val="51305ABD"/>
    <w:rsid w:val="51413EBC"/>
    <w:rsid w:val="514404C9"/>
    <w:rsid w:val="514C537E"/>
    <w:rsid w:val="514F45D1"/>
    <w:rsid w:val="51514AF5"/>
    <w:rsid w:val="5153194F"/>
    <w:rsid w:val="51555072"/>
    <w:rsid w:val="515A169C"/>
    <w:rsid w:val="515B2CDC"/>
    <w:rsid w:val="5160700A"/>
    <w:rsid w:val="51610889"/>
    <w:rsid w:val="5162104E"/>
    <w:rsid w:val="5167040A"/>
    <w:rsid w:val="51681EE8"/>
    <w:rsid w:val="516D04DB"/>
    <w:rsid w:val="517871E0"/>
    <w:rsid w:val="517A013D"/>
    <w:rsid w:val="51823496"/>
    <w:rsid w:val="5184022F"/>
    <w:rsid w:val="51840AF6"/>
    <w:rsid w:val="51845A20"/>
    <w:rsid w:val="51894824"/>
    <w:rsid w:val="518C3096"/>
    <w:rsid w:val="518C60C3"/>
    <w:rsid w:val="51940FB7"/>
    <w:rsid w:val="51970C54"/>
    <w:rsid w:val="51990B70"/>
    <w:rsid w:val="519A6211"/>
    <w:rsid w:val="51A258E6"/>
    <w:rsid w:val="51A31D73"/>
    <w:rsid w:val="51A4340C"/>
    <w:rsid w:val="51AA07A8"/>
    <w:rsid w:val="51B00003"/>
    <w:rsid w:val="51B07E50"/>
    <w:rsid w:val="51B32268"/>
    <w:rsid w:val="51CA7516"/>
    <w:rsid w:val="51CD0CD6"/>
    <w:rsid w:val="51CD421C"/>
    <w:rsid w:val="51CD4C37"/>
    <w:rsid w:val="51D572D0"/>
    <w:rsid w:val="51E44F80"/>
    <w:rsid w:val="52015DDD"/>
    <w:rsid w:val="520C19CB"/>
    <w:rsid w:val="520D1904"/>
    <w:rsid w:val="520D7D5B"/>
    <w:rsid w:val="521C62EE"/>
    <w:rsid w:val="52430026"/>
    <w:rsid w:val="524928D6"/>
    <w:rsid w:val="525215EB"/>
    <w:rsid w:val="52546D7D"/>
    <w:rsid w:val="525C60A7"/>
    <w:rsid w:val="52623928"/>
    <w:rsid w:val="52636E23"/>
    <w:rsid w:val="52735500"/>
    <w:rsid w:val="528869F4"/>
    <w:rsid w:val="528A0854"/>
    <w:rsid w:val="529671F9"/>
    <w:rsid w:val="52A13BC2"/>
    <w:rsid w:val="52A342AB"/>
    <w:rsid w:val="52A402B6"/>
    <w:rsid w:val="52A62DB4"/>
    <w:rsid w:val="52A67A69"/>
    <w:rsid w:val="52B05A78"/>
    <w:rsid w:val="52B067CB"/>
    <w:rsid w:val="52B21B59"/>
    <w:rsid w:val="52B31E41"/>
    <w:rsid w:val="52BB3E06"/>
    <w:rsid w:val="52C510FD"/>
    <w:rsid w:val="52CE32BB"/>
    <w:rsid w:val="52D1491B"/>
    <w:rsid w:val="52D40DD0"/>
    <w:rsid w:val="52D41ACF"/>
    <w:rsid w:val="52D622BD"/>
    <w:rsid w:val="52D65847"/>
    <w:rsid w:val="52DD4E28"/>
    <w:rsid w:val="52DE666C"/>
    <w:rsid w:val="52E34420"/>
    <w:rsid w:val="52E55A8A"/>
    <w:rsid w:val="52EB6E30"/>
    <w:rsid w:val="52EC55E6"/>
    <w:rsid w:val="52F15371"/>
    <w:rsid w:val="52F62268"/>
    <w:rsid w:val="52F7756C"/>
    <w:rsid w:val="52F84C50"/>
    <w:rsid w:val="52F86C5E"/>
    <w:rsid w:val="52F944F2"/>
    <w:rsid w:val="52FB4C31"/>
    <w:rsid w:val="52FE3721"/>
    <w:rsid w:val="53055E88"/>
    <w:rsid w:val="53081779"/>
    <w:rsid w:val="5317289B"/>
    <w:rsid w:val="531D273D"/>
    <w:rsid w:val="532659DB"/>
    <w:rsid w:val="53277E51"/>
    <w:rsid w:val="532D11DF"/>
    <w:rsid w:val="532F1CE1"/>
    <w:rsid w:val="53334A48"/>
    <w:rsid w:val="5334412E"/>
    <w:rsid w:val="5335027A"/>
    <w:rsid w:val="5335355A"/>
    <w:rsid w:val="53360094"/>
    <w:rsid w:val="533973B6"/>
    <w:rsid w:val="534C79D0"/>
    <w:rsid w:val="534F29A3"/>
    <w:rsid w:val="53507D63"/>
    <w:rsid w:val="53511372"/>
    <w:rsid w:val="53587266"/>
    <w:rsid w:val="535911CF"/>
    <w:rsid w:val="536146EF"/>
    <w:rsid w:val="536324F7"/>
    <w:rsid w:val="53653B19"/>
    <w:rsid w:val="536F0699"/>
    <w:rsid w:val="536F3D49"/>
    <w:rsid w:val="53755060"/>
    <w:rsid w:val="5376484C"/>
    <w:rsid w:val="537B1F4B"/>
    <w:rsid w:val="537B5A9D"/>
    <w:rsid w:val="53803A05"/>
    <w:rsid w:val="53811746"/>
    <w:rsid w:val="538423B8"/>
    <w:rsid w:val="5386493E"/>
    <w:rsid w:val="53890B0C"/>
    <w:rsid w:val="538B4B01"/>
    <w:rsid w:val="538E6C0E"/>
    <w:rsid w:val="53906C34"/>
    <w:rsid w:val="53914A10"/>
    <w:rsid w:val="53935897"/>
    <w:rsid w:val="539C44D8"/>
    <w:rsid w:val="539E1326"/>
    <w:rsid w:val="53A039CC"/>
    <w:rsid w:val="53A1505A"/>
    <w:rsid w:val="53A21BCD"/>
    <w:rsid w:val="53A61FCB"/>
    <w:rsid w:val="53AD16FA"/>
    <w:rsid w:val="53B57C85"/>
    <w:rsid w:val="53B91E33"/>
    <w:rsid w:val="53BA6F17"/>
    <w:rsid w:val="53BC6DDA"/>
    <w:rsid w:val="53C438F2"/>
    <w:rsid w:val="53C75190"/>
    <w:rsid w:val="53D05412"/>
    <w:rsid w:val="53D611E4"/>
    <w:rsid w:val="53D736CF"/>
    <w:rsid w:val="53DC1DE1"/>
    <w:rsid w:val="53E10647"/>
    <w:rsid w:val="53E2646E"/>
    <w:rsid w:val="53E8426D"/>
    <w:rsid w:val="53F21AAF"/>
    <w:rsid w:val="54063E08"/>
    <w:rsid w:val="54095DDA"/>
    <w:rsid w:val="540B32CF"/>
    <w:rsid w:val="54110D79"/>
    <w:rsid w:val="542A70F1"/>
    <w:rsid w:val="543437E8"/>
    <w:rsid w:val="543547EF"/>
    <w:rsid w:val="544203EE"/>
    <w:rsid w:val="544206CC"/>
    <w:rsid w:val="54457F37"/>
    <w:rsid w:val="544A6FD5"/>
    <w:rsid w:val="544C04D7"/>
    <w:rsid w:val="544F63F0"/>
    <w:rsid w:val="5454615E"/>
    <w:rsid w:val="54571E42"/>
    <w:rsid w:val="54635C0C"/>
    <w:rsid w:val="546E6754"/>
    <w:rsid w:val="546E7D01"/>
    <w:rsid w:val="54727708"/>
    <w:rsid w:val="547277F2"/>
    <w:rsid w:val="5474356A"/>
    <w:rsid w:val="5479292E"/>
    <w:rsid w:val="547937E5"/>
    <w:rsid w:val="547A66A6"/>
    <w:rsid w:val="547E5560"/>
    <w:rsid w:val="5496461E"/>
    <w:rsid w:val="549C3AEA"/>
    <w:rsid w:val="549C5143"/>
    <w:rsid w:val="549E0983"/>
    <w:rsid w:val="54A728EC"/>
    <w:rsid w:val="54B13485"/>
    <w:rsid w:val="54B36020"/>
    <w:rsid w:val="54B419E2"/>
    <w:rsid w:val="54B8049A"/>
    <w:rsid w:val="54BB710F"/>
    <w:rsid w:val="54BE5046"/>
    <w:rsid w:val="54BE7E99"/>
    <w:rsid w:val="54C143CB"/>
    <w:rsid w:val="54C158B6"/>
    <w:rsid w:val="54CA5D59"/>
    <w:rsid w:val="54CE3DB7"/>
    <w:rsid w:val="54D23DEC"/>
    <w:rsid w:val="54D359CF"/>
    <w:rsid w:val="54D37EC8"/>
    <w:rsid w:val="54D712FD"/>
    <w:rsid w:val="54D74270"/>
    <w:rsid w:val="54D77655"/>
    <w:rsid w:val="54DA795A"/>
    <w:rsid w:val="54DC0908"/>
    <w:rsid w:val="54E16B8A"/>
    <w:rsid w:val="54E56EE6"/>
    <w:rsid w:val="54E57007"/>
    <w:rsid w:val="54EA4D17"/>
    <w:rsid w:val="54ED3E54"/>
    <w:rsid w:val="54F63F7F"/>
    <w:rsid w:val="54F85530"/>
    <w:rsid w:val="54FE1AF1"/>
    <w:rsid w:val="55085A60"/>
    <w:rsid w:val="550A5367"/>
    <w:rsid w:val="550C77D8"/>
    <w:rsid w:val="55102B67"/>
    <w:rsid w:val="55102BFE"/>
    <w:rsid w:val="55111B71"/>
    <w:rsid w:val="551407F4"/>
    <w:rsid w:val="55153560"/>
    <w:rsid w:val="55156330"/>
    <w:rsid w:val="55197C6D"/>
    <w:rsid w:val="551D27CA"/>
    <w:rsid w:val="551E5284"/>
    <w:rsid w:val="5520551A"/>
    <w:rsid w:val="55244032"/>
    <w:rsid w:val="552644B6"/>
    <w:rsid w:val="55314FB7"/>
    <w:rsid w:val="5535433B"/>
    <w:rsid w:val="5540169E"/>
    <w:rsid w:val="55421158"/>
    <w:rsid w:val="5551316E"/>
    <w:rsid w:val="55630EE8"/>
    <w:rsid w:val="55667911"/>
    <w:rsid w:val="55714340"/>
    <w:rsid w:val="557227A3"/>
    <w:rsid w:val="55731E30"/>
    <w:rsid w:val="55771F9A"/>
    <w:rsid w:val="55785977"/>
    <w:rsid w:val="557E7D66"/>
    <w:rsid w:val="5583498B"/>
    <w:rsid w:val="5588094F"/>
    <w:rsid w:val="558945AD"/>
    <w:rsid w:val="559453AA"/>
    <w:rsid w:val="559B174B"/>
    <w:rsid w:val="559B2D78"/>
    <w:rsid w:val="559E442E"/>
    <w:rsid w:val="559F4616"/>
    <w:rsid w:val="55A52421"/>
    <w:rsid w:val="55AE28AF"/>
    <w:rsid w:val="55AF73CB"/>
    <w:rsid w:val="55B32406"/>
    <w:rsid w:val="55B654BC"/>
    <w:rsid w:val="55BE547F"/>
    <w:rsid w:val="55BE5C07"/>
    <w:rsid w:val="55C05FE5"/>
    <w:rsid w:val="55C220B3"/>
    <w:rsid w:val="55C5283B"/>
    <w:rsid w:val="55CE0CF4"/>
    <w:rsid w:val="55CF51D0"/>
    <w:rsid w:val="55D55E82"/>
    <w:rsid w:val="55DB62C2"/>
    <w:rsid w:val="55DB7A20"/>
    <w:rsid w:val="55E015AF"/>
    <w:rsid w:val="55E148A5"/>
    <w:rsid w:val="55E41A26"/>
    <w:rsid w:val="55E71B19"/>
    <w:rsid w:val="55EF5D8A"/>
    <w:rsid w:val="55F32938"/>
    <w:rsid w:val="55F36710"/>
    <w:rsid w:val="560B5B9C"/>
    <w:rsid w:val="561072C2"/>
    <w:rsid w:val="56124B3D"/>
    <w:rsid w:val="56163D9C"/>
    <w:rsid w:val="56196D4F"/>
    <w:rsid w:val="561A3C9D"/>
    <w:rsid w:val="561C0DD1"/>
    <w:rsid w:val="5620369E"/>
    <w:rsid w:val="562D2F7D"/>
    <w:rsid w:val="562E599A"/>
    <w:rsid w:val="56301712"/>
    <w:rsid w:val="56334D5F"/>
    <w:rsid w:val="56335C50"/>
    <w:rsid w:val="56350AD7"/>
    <w:rsid w:val="563D38FF"/>
    <w:rsid w:val="56410F79"/>
    <w:rsid w:val="56422ED9"/>
    <w:rsid w:val="56505911"/>
    <w:rsid w:val="565808BA"/>
    <w:rsid w:val="56593EBA"/>
    <w:rsid w:val="56665134"/>
    <w:rsid w:val="56682C5A"/>
    <w:rsid w:val="566A7475"/>
    <w:rsid w:val="56705FB3"/>
    <w:rsid w:val="567F61F6"/>
    <w:rsid w:val="568832FC"/>
    <w:rsid w:val="5689497F"/>
    <w:rsid w:val="56941BE9"/>
    <w:rsid w:val="56941CA1"/>
    <w:rsid w:val="56951575"/>
    <w:rsid w:val="56960A68"/>
    <w:rsid w:val="569D5512"/>
    <w:rsid w:val="56A620DD"/>
    <w:rsid w:val="56A91B52"/>
    <w:rsid w:val="56AC5D6E"/>
    <w:rsid w:val="56AE2FA7"/>
    <w:rsid w:val="56AF5F68"/>
    <w:rsid w:val="56B20379"/>
    <w:rsid w:val="56B22A9C"/>
    <w:rsid w:val="56B45E9F"/>
    <w:rsid w:val="56BA722E"/>
    <w:rsid w:val="56C02A96"/>
    <w:rsid w:val="56C31A5C"/>
    <w:rsid w:val="56C360E3"/>
    <w:rsid w:val="56D43EA1"/>
    <w:rsid w:val="56D45079"/>
    <w:rsid w:val="56D55E16"/>
    <w:rsid w:val="56D7512A"/>
    <w:rsid w:val="56DF6C95"/>
    <w:rsid w:val="56E147A5"/>
    <w:rsid w:val="56E41E6F"/>
    <w:rsid w:val="56E7500A"/>
    <w:rsid w:val="56ED13B1"/>
    <w:rsid w:val="56F40992"/>
    <w:rsid w:val="56F6587B"/>
    <w:rsid w:val="56F86467"/>
    <w:rsid w:val="57006ED3"/>
    <w:rsid w:val="57093296"/>
    <w:rsid w:val="570C3648"/>
    <w:rsid w:val="570F4708"/>
    <w:rsid w:val="57110854"/>
    <w:rsid w:val="571132F2"/>
    <w:rsid w:val="57146014"/>
    <w:rsid w:val="571E520A"/>
    <w:rsid w:val="57276CAE"/>
    <w:rsid w:val="572823EA"/>
    <w:rsid w:val="572A4DAB"/>
    <w:rsid w:val="572B3C88"/>
    <w:rsid w:val="57374DEE"/>
    <w:rsid w:val="57407733"/>
    <w:rsid w:val="574A2D84"/>
    <w:rsid w:val="574C73DC"/>
    <w:rsid w:val="575230E7"/>
    <w:rsid w:val="57547B88"/>
    <w:rsid w:val="57554B6F"/>
    <w:rsid w:val="575651A9"/>
    <w:rsid w:val="57573725"/>
    <w:rsid w:val="5760405D"/>
    <w:rsid w:val="576068A6"/>
    <w:rsid w:val="5765719A"/>
    <w:rsid w:val="576A47B0"/>
    <w:rsid w:val="576C7F10"/>
    <w:rsid w:val="577029DC"/>
    <w:rsid w:val="57750269"/>
    <w:rsid w:val="577E64AD"/>
    <w:rsid w:val="57811AFA"/>
    <w:rsid w:val="57826B5A"/>
    <w:rsid w:val="57833AC4"/>
    <w:rsid w:val="5785098C"/>
    <w:rsid w:val="5795020A"/>
    <w:rsid w:val="57956154"/>
    <w:rsid w:val="5796012A"/>
    <w:rsid w:val="579E08FE"/>
    <w:rsid w:val="57AA0E9A"/>
    <w:rsid w:val="57AE419E"/>
    <w:rsid w:val="57B26EE1"/>
    <w:rsid w:val="57B36789"/>
    <w:rsid w:val="57B61D79"/>
    <w:rsid w:val="57B72A76"/>
    <w:rsid w:val="57B838B0"/>
    <w:rsid w:val="57B870BE"/>
    <w:rsid w:val="57B93192"/>
    <w:rsid w:val="57BE0BB0"/>
    <w:rsid w:val="57CA2D95"/>
    <w:rsid w:val="57CE0D41"/>
    <w:rsid w:val="57D52571"/>
    <w:rsid w:val="57D71BDC"/>
    <w:rsid w:val="57DB3900"/>
    <w:rsid w:val="57E11827"/>
    <w:rsid w:val="57E26A3C"/>
    <w:rsid w:val="57E4765A"/>
    <w:rsid w:val="57F3395A"/>
    <w:rsid w:val="57FA1FD8"/>
    <w:rsid w:val="57FD047D"/>
    <w:rsid w:val="580B1D65"/>
    <w:rsid w:val="580D4001"/>
    <w:rsid w:val="580F1E1A"/>
    <w:rsid w:val="580F1EE5"/>
    <w:rsid w:val="58140A88"/>
    <w:rsid w:val="581531C2"/>
    <w:rsid w:val="58154F71"/>
    <w:rsid w:val="581955BE"/>
    <w:rsid w:val="581E0826"/>
    <w:rsid w:val="581F5D9E"/>
    <w:rsid w:val="582A3292"/>
    <w:rsid w:val="582D0CE3"/>
    <w:rsid w:val="583001D7"/>
    <w:rsid w:val="58317A38"/>
    <w:rsid w:val="58365D8B"/>
    <w:rsid w:val="583A23D4"/>
    <w:rsid w:val="583F4657"/>
    <w:rsid w:val="58402623"/>
    <w:rsid w:val="58472E98"/>
    <w:rsid w:val="58475D73"/>
    <w:rsid w:val="584C75FC"/>
    <w:rsid w:val="584D65AC"/>
    <w:rsid w:val="585124FD"/>
    <w:rsid w:val="58512F0A"/>
    <w:rsid w:val="58534C23"/>
    <w:rsid w:val="585C5545"/>
    <w:rsid w:val="586449FB"/>
    <w:rsid w:val="586C030E"/>
    <w:rsid w:val="586E207E"/>
    <w:rsid w:val="586E291D"/>
    <w:rsid w:val="586F2E8E"/>
    <w:rsid w:val="587671E2"/>
    <w:rsid w:val="587D5597"/>
    <w:rsid w:val="58823D7B"/>
    <w:rsid w:val="58957F50"/>
    <w:rsid w:val="58A446E1"/>
    <w:rsid w:val="58A600B4"/>
    <w:rsid w:val="58AA6ECC"/>
    <w:rsid w:val="58AB32D2"/>
    <w:rsid w:val="58AB5543"/>
    <w:rsid w:val="58B06B3A"/>
    <w:rsid w:val="58B242AB"/>
    <w:rsid w:val="58B93872"/>
    <w:rsid w:val="58BB4989"/>
    <w:rsid w:val="58C03282"/>
    <w:rsid w:val="58C05858"/>
    <w:rsid w:val="58C8718C"/>
    <w:rsid w:val="58C87EEA"/>
    <w:rsid w:val="58CD4FF7"/>
    <w:rsid w:val="58EA367A"/>
    <w:rsid w:val="58EC6049"/>
    <w:rsid w:val="58F46A27"/>
    <w:rsid w:val="58F60F06"/>
    <w:rsid w:val="58F62EEC"/>
    <w:rsid w:val="58F66C1B"/>
    <w:rsid w:val="58FD5B85"/>
    <w:rsid w:val="59011144"/>
    <w:rsid w:val="59080893"/>
    <w:rsid w:val="591460EE"/>
    <w:rsid w:val="59150D93"/>
    <w:rsid w:val="591B7B12"/>
    <w:rsid w:val="591E0305"/>
    <w:rsid w:val="591E4A75"/>
    <w:rsid w:val="5926302C"/>
    <w:rsid w:val="59265BF7"/>
    <w:rsid w:val="592A1A5D"/>
    <w:rsid w:val="592D0272"/>
    <w:rsid w:val="592F3F03"/>
    <w:rsid w:val="59301A29"/>
    <w:rsid w:val="59330FC9"/>
    <w:rsid w:val="59351195"/>
    <w:rsid w:val="593C3F2A"/>
    <w:rsid w:val="5952374E"/>
    <w:rsid w:val="59590F80"/>
    <w:rsid w:val="595F4C29"/>
    <w:rsid w:val="59602ECA"/>
    <w:rsid w:val="596854D9"/>
    <w:rsid w:val="596B5FD0"/>
    <w:rsid w:val="597C3460"/>
    <w:rsid w:val="597C6552"/>
    <w:rsid w:val="597E770A"/>
    <w:rsid w:val="598853C1"/>
    <w:rsid w:val="598A0426"/>
    <w:rsid w:val="598A2EE8"/>
    <w:rsid w:val="59925C25"/>
    <w:rsid w:val="59941FB8"/>
    <w:rsid w:val="59975605"/>
    <w:rsid w:val="599B0128"/>
    <w:rsid w:val="599B2F91"/>
    <w:rsid w:val="59A167FF"/>
    <w:rsid w:val="59A55F73"/>
    <w:rsid w:val="59A71241"/>
    <w:rsid w:val="59B07FC5"/>
    <w:rsid w:val="59C12681"/>
    <w:rsid w:val="59C2034F"/>
    <w:rsid w:val="59C305D2"/>
    <w:rsid w:val="59C822A8"/>
    <w:rsid w:val="59C97EB4"/>
    <w:rsid w:val="59CC52AE"/>
    <w:rsid w:val="59D16D68"/>
    <w:rsid w:val="59D40C2F"/>
    <w:rsid w:val="59D46719"/>
    <w:rsid w:val="59D87848"/>
    <w:rsid w:val="59E17E3F"/>
    <w:rsid w:val="59E31034"/>
    <w:rsid w:val="59E84769"/>
    <w:rsid w:val="59EB356C"/>
    <w:rsid w:val="59ED13FB"/>
    <w:rsid w:val="59F06BA6"/>
    <w:rsid w:val="59F14D15"/>
    <w:rsid w:val="59FC01B8"/>
    <w:rsid w:val="5A0256C2"/>
    <w:rsid w:val="5A0327D5"/>
    <w:rsid w:val="5A054C64"/>
    <w:rsid w:val="5A0A227A"/>
    <w:rsid w:val="5A0A5FA1"/>
    <w:rsid w:val="5A0F7891"/>
    <w:rsid w:val="5A1319AA"/>
    <w:rsid w:val="5A19426B"/>
    <w:rsid w:val="5A270B09"/>
    <w:rsid w:val="5A2F1813"/>
    <w:rsid w:val="5A3410A5"/>
    <w:rsid w:val="5A3910C8"/>
    <w:rsid w:val="5A3C73B0"/>
    <w:rsid w:val="5A3C747D"/>
    <w:rsid w:val="5A3F1F24"/>
    <w:rsid w:val="5A4366E1"/>
    <w:rsid w:val="5A44578C"/>
    <w:rsid w:val="5A451051"/>
    <w:rsid w:val="5A455061"/>
    <w:rsid w:val="5A461504"/>
    <w:rsid w:val="5A4D7E0F"/>
    <w:rsid w:val="5A4F0EF0"/>
    <w:rsid w:val="5A5148F5"/>
    <w:rsid w:val="5A576F72"/>
    <w:rsid w:val="5A5E6071"/>
    <w:rsid w:val="5A621BF8"/>
    <w:rsid w:val="5A690D4F"/>
    <w:rsid w:val="5A753EEB"/>
    <w:rsid w:val="5A754FD7"/>
    <w:rsid w:val="5A771FC6"/>
    <w:rsid w:val="5A774F27"/>
    <w:rsid w:val="5A8C4E13"/>
    <w:rsid w:val="5A9474DA"/>
    <w:rsid w:val="5A951603"/>
    <w:rsid w:val="5A966453"/>
    <w:rsid w:val="5A981634"/>
    <w:rsid w:val="5A9D6C4B"/>
    <w:rsid w:val="5A9F20DC"/>
    <w:rsid w:val="5A9F4E2E"/>
    <w:rsid w:val="5AA57024"/>
    <w:rsid w:val="5AAC4EC8"/>
    <w:rsid w:val="5AAD1584"/>
    <w:rsid w:val="5AB521E6"/>
    <w:rsid w:val="5AB677FF"/>
    <w:rsid w:val="5AB93103"/>
    <w:rsid w:val="5ABE2233"/>
    <w:rsid w:val="5AC32166"/>
    <w:rsid w:val="5AC37F68"/>
    <w:rsid w:val="5ACB37B8"/>
    <w:rsid w:val="5ACC28B0"/>
    <w:rsid w:val="5AD15510"/>
    <w:rsid w:val="5AD26771"/>
    <w:rsid w:val="5AD4008B"/>
    <w:rsid w:val="5AD42D52"/>
    <w:rsid w:val="5ADA0346"/>
    <w:rsid w:val="5ADC71B2"/>
    <w:rsid w:val="5ADE49AA"/>
    <w:rsid w:val="5AE82811"/>
    <w:rsid w:val="5AEA2F79"/>
    <w:rsid w:val="5AF076C2"/>
    <w:rsid w:val="5AF35146"/>
    <w:rsid w:val="5AFA72D3"/>
    <w:rsid w:val="5AFE1DDF"/>
    <w:rsid w:val="5B036CE1"/>
    <w:rsid w:val="5B0A1831"/>
    <w:rsid w:val="5B0C05BA"/>
    <w:rsid w:val="5B0D12B8"/>
    <w:rsid w:val="5B13781C"/>
    <w:rsid w:val="5B1C04B7"/>
    <w:rsid w:val="5B1E33EE"/>
    <w:rsid w:val="5B1F16DA"/>
    <w:rsid w:val="5B265D66"/>
    <w:rsid w:val="5B276D18"/>
    <w:rsid w:val="5B2A20FF"/>
    <w:rsid w:val="5B324FAC"/>
    <w:rsid w:val="5B353327"/>
    <w:rsid w:val="5B363A71"/>
    <w:rsid w:val="5B3742F7"/>
    <w:rsid w:val="5B3752F1"/>
    <w:rsid w:val="5B394BC5"/>
    <w:rsid w:val="5B445318"/>
    <w:rsid w:val="5B4601FB"/>
    <w:rsid w:val="5B4703C5"/>
    <w:rsid w:val="5B4C328C"/>
    <w:rsid w:val="5B4F263B"/>
    <w:rsid w:val="5B525C87"/>
    <w:rsid w:val="5B5864BA"/>
    <w:rsid w:val="5B5F44EB"/>
    <w:rsid w:val="5B5F5784"/>
    <w:rsid w:val="5B6A41DA"/>
    <w:rsid w:val="5B754300"/>
    <w:rsid w:val="5B77537A"/>
    <w:rsid w:val="5B7A37F8"/>
    <w:rsid w:val="5B832F21"/>
    <w:rsid w:val="5B8769FC"/>
    <w:rsid w:val="5B8A7FC1"/>
    <w:rsid w:val="5B920779"/>
    <w:rsid w:val="5B925B27"/>
    <w:rsid w:val="5B953DC6"/>
    <w:rsid w:val="5B9C1D10"/>
    <w:rsid w:val="5B9C3FF3"/>
    <w:rsid w:val="5B9E609B"/>
    <w:rsid w:val="5BA20E32"/>
    <w:rsid w:val="5BA57FAB"/>
    <w:rsid w:val="5BA95BFE"/>
    <w:rsid w:val="5BAA5AC3"/>
    <w:rsid w:val="5BAE32A6"/>
    <w:rsid w:val="5BAE59D9"/>
    <w:rsid w:val="5BB047D9"/>
    <w:rsid w:val="5BB64468"/>
    <w:rsid w:val="5BB97AB4"/>
    <w:rsid w:val="5BBA55DA"/>
    <w:rsid w:val="5BBB10BC"/>
    <w:rsid w:val="5BBF70B2"/>
    <w:rsid w:val="5BC52333"/>
    <w:rsid w:val="5BC76675"/>
    <w:rsid w:val="5BCA27AC"/>
    <w:rsid w:val="5BCB671A"/>
    <w:rsid w:val="5BD4669C"/>
    <w:rsid w:val="5BD653F4"/>
    <w:rsid w:val="5BDF5D95"/>
    <w:rsid w:val="5BE2525D"/>
    <w:rsid w:val="5BE30CA9"/>
    <w:rsid w:val="5BE345E9"/>
    <w:rsid w:val="5BE63F7E"/>
    <w:rsid w:val="5BEC0D3B"/>
    <w:rsid w:val="5BED0BE1"/>
    <w:rsid w:val="5BF3746A"/>
    <w:rsid w:val="5BF4056C"/>
    <w:rsid w:val="5BFB3FFB"/>
    <w:rsid w:val="5C02145B"/>
    <w:rsid w:val="5C085C87"/>
    <w:rsid w:val="5C114DFD"/>
    <w:rsid w:val="5C205294"/>
    <w:rsid w:val="5C24356F"/>
    <w:rsid w:val="5C29252F"/>
    <w:rsid w:val="5C2A4100"/>
    <w:rsid w:val="5C2A6F3F"/>
    <w:rsid w:val="5C2D0C63"/>
    <w:rsid w:val="5C300741"/>
    <w:rsid w:val="5C317D44"/>
    <w:rsid w:val="5C423F96"/>
    <w:rsid w:val="5C43679E"/>
    <w:rsid w:val="5C452ED0"/>
    <w:rsid w:val="5C4E7C0A"/>
    <w:rsid w:val="5C4F1F8A"/>
    <w:rsid w:val="5C5505B0"/>
    <w:rsid w:val="5C5872CD"/>
    <w:rsid w:val="5C5A0B5E"/>
    <w:rsid w:val="5C5E07A8"/>
    <w:rsid w:val="5C677510"/>
    <w:rsid w:val="5C757E7F"/>
    <w:rsid w:val="5C761E49"/>
    <w:rsid w:val="5C7834E7"/>
    <w:rsid w:val="5C7F487A"/>
    <w:rsid w:val="5C82434A"/>
    <w:rsid w:val="5C853870"/>
    <w:rsid w:val="5C8554DC"/>
    <w:rsid w:val="5C86338D"/>
    <w:rsid w:val="5C8C11FF"/>
    <w:rsid w:val="5C8E664A"/>
    <w:rsid w:val="5C96417D"/>
    <w:rsid w:val="5C987A6F"/>
    <w:rsid w:val="5CA725C9"/>
    <w:rsid w:val="5CA80AB0"/>
    <w:rsid w:val="5CA95D7B"/>
    <w:rsid w:val="5CB637AE"/>
    <w:rsid w:val="5CC21B4D"/>
    <w:rsid w:val="5CC50242"/>
    <w:rsid w:val="5CCE1188"/>
    <w:rsid w:val="5CD16102"/>
    <w:rsid w:val="5CDB3A5A"/>
    <w:rsid w:val="5CDD77D2"/>
    <w:rsid w:val="5CDF354A"/>
    <w:rsid w:val="5CE059E4"/>
    <w:rsid w:val="5CEA0831"/>
    <w:rsid w:val="5CEA11DE"/>
    <w:rsid w:val="5CEA7B62"/>
    <w:rsid w:val="5CEB6393"/>
    <w:rsid w:val="5CEE0FFE"/>
    <w:rsid w:val="5CF21856"/>
    <w:rsid w:val="5CF27722"/>
    <w:rsid w:val="5CF94104"/>
    <w:rsid w:val="5CFA4828"/>
    <w:rsid w:val="5CFF1E3E"/>
    <w:rsid w:val="5D0141A1"/>
    <w:rsid w:val="5D0645A7"/>
    <w:rsid w:val="5D0B0038"/>
    <w:rsid w:val="5D107BA8"/>
    <w:rsid w:val="5D110251"/>
    <w:rsid w:val="5D144D82"/>
    <w:rsid w:val="5D1D5A35"/>
    <w:rsid w:val="5D245401"/>
    <w:rsid w:val="5D26561D"/>
    <w:rsid w:val="5D292A17"/>
    <w:rsid w:val="5D2C2A87"/>
    <w:rsid w:val="5D2D075A"/>
    <w:rsid w:val="5D2D4A16"/>
    <w:rsid w:val="5D2D69AC"/>
    <w:rsid w:val="5D38611C"/>
    <w:rsid w:val="5D3E6409"/>
    <w:rsid w:val="5D4C420E"/>
    <w:rsid w:val="5D4E06D0"/>
    <w:rsid w:val="5D4F4213"/>
    <w:rsid w:val="5D552DD9"/>
    <w:rsid w:val="5D5A3B96"/>
    <w:rsid w:val="5D5E0913"/>
    <w:rsid w:val="5D691457"/>
    <w:rsid w:val="5D69550A"/>
    <w:rsid w:val="5D6B1AC4"/>
    <w:rsid w:val="5D6B57BA"/>
    <w:rsid w:val="5D704AEA"/>
    <w:rsid w:val="5D754940"/>
    <w:rsid w:val="5D772D59"/>
    <w:rsid w:val="5D79574D"/>
    <w:rsid w:val="5D8303B1"/>
    <w:rsid w:val="5D854451"/>
    <w:rsid w:val="5D881E34"/>
    <w:rsid w:val="5D8C0AF3"/>
    <w:rsid w:val="5D8D3B94"/>
    <w:rsid w:val="5DA040F9"/>
    <w:rsid w:val="5DB02581"/>
    <w:rsid w:val="5DB055F5"/>
    <w:rsid w:val="5DB062C3"/>
    <w:rsid w:val="5DB5001B"/>
    <w:rsid w:val="5DC32E6C"/>
    <w:rsid w:val="5DCB1435"/>
    <w:rsid w:val="5DCD085B"/>
    <w:rsid w:val="5DD14A40"/>
    <w:rsid w:val="5DD63DA9"/>
    <w:rsid w:val="5DE057CC"/>
    <w:rsid w:val="5DE66B5A"/>
    <w:rsid w:val="5DE91920"/>
    <w:rsid w:val="5DE9531D"/>
    <w:rsid w:val="5DED7EE9"/>
    <w:rsid w:val="5DF279D1"/>
    <w:rsid w:val="5DF54998"/>
    <w:rsid w:val="5DF87A0F"/>
    <w:rsid w:val="5DF94746"/>
    <w:rsid w:val="5DFE3EA4"/>
    <w:rsid w:val="5E020344"/>
    <w:rsid w:val="5E0306BC"/>
    <w:rsid w:val="5E0D2339"/>
    <w:rsid w:val="5E0E5B04"/>
    <w:rsid w:val="5E104167"/>
    <w:rsid w:val="5E2107AB"/>
    <w:rsid w:val="5E227B93"/>
    <w:rsid w:val="5E2C4F55"/>
    <w:rsid w:val="5E317DD6"/>
    <w:rsid w:val="5E3A7472"/>
    <w:rsid w:val="5E3D043F"/>
    <w:rsid w:val="5E3F6694"/>
    <w:rsid w:val="5E423273"/>
    <w:rsid w:val="5E451AD3"/>
    <w:rsid w:val="5E466005"/>
    <w:rsid w:val="5E5F7F5A"/>
    <w:rsid w:val="5E68756F"/>
    <w:rsid w:val="5E746526"/>
    <w:rsid w:val="5E79177D"/>
    <w:rsid w:val="5E824AD5"/>
    <w:rsid w:val="5E861996"/>
    <w:rsid w:val="5E8720EC"/>
    <w:rsid w:val="5E8729C1"/>
    <w:rsid w:val="5E9568B6"/>
    <w:rsid w:val="5E9C0DF5"/>
    <w:rsid w:val="5EA457F3"/>
    <w:rsid w:val="5EA94C21"/>
    <w:rsid w:val="5EB033F0"/>
    <w:rsid w:val="5EB13B81"/>
    <w:rsid w:val="5EB3053F"/>
    <w:rsid w:val="5EB55E83"/>
    <w:rsid w:val="5EB72A3D"/>
    <w:rsid w:val="5EBC4392"/>
    <w:rsid w:val="5EC1728D"/>
    <w:rsid w:val="5ECB1964"/>
    <w:rsid w:val="5EE035AA"/>
    <w:rsid w:val="5EE34CCF"/>
    <w:rsid w:val="5EE43FBB"/>
    <w:rsid w:val="5EE746CF"/>
    <w:rsid w:val="5EE914AC"/>
    <w:rsid w:val="5EF254F8"/>
    <w:rsid w:val="5EF33755"/>
    <w:rsid w:val="5EF75053"/>
    <w:rsid w:val="5EFA678E"/>
    <w:rsid w:val="5F0059FA"/>
    <w:rsid w:val="5F0529D6"/>
    <w:rsid w:val="5F074075"/>
    <w:rsid w:val="5F0B315C"/>
    <w:rsid w:val="5F0C1864"/>
    <w:rsid w:val="5F0C2377"/>
    <w:rsid w:val="5F133FCC"/>
    <w:rsid w:val="5F18352D"/>
    <w:rsid w:val="5F1868F1"/>
    <w:rsid w:val="5F1A2B43"/>
    <w:rsid w:val="5F1A4B12"/>
    <w:rsid w:val="5F1E35A6"/>
    <w:rsid w:val="5F242059"/>
    <w:rsid w:val="5F256CDA"/>
    <w:rsid w:val="5F2662A9"/>
    <w:rsid w:val="5F2831BB"/>
    <w:rsid w:val="5F291ACA"/>
    <w:rsid w:val="5F294469"/>
    <w:rsid w:val="5F2F7495"/>
    <w:rsid w:val="5F311884"/>
    <w:rsid w:val="5F3267FB"/>
    <w:rsid w:val="5F34481E"/>
    <w:rsid w:val="5F46169F"/>
    <w:rsid w:val="5F463A03"/>
    <w:rsid w:val="5F470631"/>
    <w:rsid w:val="5F487ACD"/>
    <w:rsid w:val="5F497450"/>
    <w:rsid w:val="5F4B136B"/>
    <w:rsid w:val="5F676534"/>
    <w:rsid w:val="5F750196"/>
    <w:rsid w:val="5F750C91"/>
    <w:rsid w:val="5F7658E4"/>
    <w:rsid w:val="5F7674A3"/>
    <w:rsid w:val="5F7844B4"/>
    <w:rsid w:val="5F7A22A7"/>
    <w:rsid w:val="5F7C7776"/>
    <w:rsid w:val="5F7D6C03"/>
    <w:rsid w:val="5F7D704B"/>
    <w:rsid w:val="5F7F63A8"/>
    <w:rsid w:val="5F97063F"/>
    <w:rsid w:val="5F995C49"/>
    <w:rsid w:val="5F9F6D66"/>
    <w:rsid w:val="5FA82319"/>
    <w:rsid w:val="5FA91901"/>
    <w:rsid w:val="5FAF1E59"/>
    <w:rsid w:val="5FB837BB"/>
    <w:rsid w:val="5FBC3CF1"/>
    <w:rsid w:val="5FBC7B73"/>
    <w:rsid w:val="5FBE1B3D"/>
    <w:rsid w:val="5FBE7D8F"/>
    <w:rsid w:val="5FC13443"/>
    <w:rsid w:val="5FC8476A"/>
    <w:rsid w:val="5FD261C6"/>
    <w:rsid w:val="5FDC10EA"/>
    <w:rsid w:val="5FEA2B00"/>
    <w:rsid w:val="5FEF7F48"/>
    <w:rsid w:val="5FF06D78"/>
    <w:rsid w:val="60081892"/>
    <w:rsid w:val="600B4656"/>
    <w:rsid w:val="600B5506"/>
    <w:rsid w:val="600C3506"/>
    <w:rsid w:val="60140891"/>
    <w:rsid w:val="601A1D00"/>
    <w:rsid w:val="601B6F8F"/>
    <w:rsid w:val="601E4B51"/>
    <w:rsid w:val="60206E6F"/>
    <w:rsid w:val="6023524B"/>
    <w:rsid w:val="60297EDA"/>
    <w:rsid w:val="602A5424"/>
    <w:rsid w:val="602E23EB"/>
    <w:rsid w:val="6032391E"/>
    <w:rsid w:val="60327E35"/>
    <w:rsid w:val="60346DD3"/>
    <w:rsid w:val="6037369D"/>
    <w:rsid w:val="603B4F3C"/>
    <w:rsid w:val="60402552"/>
    <w:rsid w:val="6041078B"/>
    <w:rsid w:val="605129B1"/>
    <w:rsid w:val="6051475F"/>
    <w:rsid w:val="605424A1"/>
    <w:rsid w:val="6058403C"/>
    <w:rsid w:val="605C4FAB"/>
    <w:rsid w:val="60634492"/>
    <w:rsid w:val="60713ACC"/>
    <w:rsid w:val="60713EB7"/>
    <w:rsid w:val="60730B79"/>
    <w:rsid w:val="60733182"/>
    <w:rsid w:val="607C0874"/>
    <w:rsid w:val="60821C5B"/>
    <w:rsid w:val="608458C8"/>
    <w:rsid w:val="60874625"/>
    <w:rsid w:val="60895B3D"/>
    <w:rsid w:val="608B3AD6"/>
    <w:rsid w:val="608E2907"/>
    <w:rsid w:val="60912DAE"/>
    <w:rsid w:val="609A5DEC"/>
    <w:rsid w:val="609C35B8"/>
    <w:rsid w:val="609E2532"/>
    <w:rsid w:val="60A056E7"/>
    <w:rsid w:val="60A94055"/>
    <w:rsid w:val="60A9459B"/>
    <w:rsid w:val="60B614A6"/>
    <w:rsid w:val="60B76B32"/>
    <w:rsid w:val="60BA182E"/>
    <w:rsid w:val="60BA43AD"/>
    <w:rsid w:val="60BF3DBF"/>
    <w:rsid w:val="60C57DF2"/>
    <w:rsid w:val="60C6179E"/>
    <w:rsid w:val="60CA4511"/>
    <w:rsid w:val="60CC797F"/>
    <w:rsid w:val="60CE46D1"/>
    <w:rsid w:val="60E07891"/>
    <w:rsid w:val="60E22D8B"/>
    <w:rsid w:val="60E56DC0"/>
    <w:rsid w:val="60EA5F82"/>
    <w:rsid w:val="60EB2663"/>
    <w:rsid w:val="60ED1D0D"/>
    <w:rsid w:val="60F03F78"/>
    <w:rsid w:val="60F31CBA"/>
    <w:rsid w:val="60F53CD0"/>
    <w:rsid w:val="60F70420"/>
    <w:rsid w:val="61016185"/>
    <w:rsid w:val="61061ACE"/>
    <w:rsid w:val="61076E2B"/>
    <w:rsid w:val="610F75B2"/>
    <w:rsid w:val="61105A79"/>
    <w:rsid w:val="6117102D"/>
    <w:rsid w:val="611A2B3C"/>
    <w:rsid w:val="611B30E3"/>
    <w:rsid w:val="613055CD"/>
    <w:rsid w:val="61381819"/>
    <w:rsid w:val="613B7F2A"/>
    <w:rsid w:val="613F50E6"/>
    <w:rsid w:val="6148266D"/>
    <w:rsid w:val="61497B2C"/>
    <w:rsid w:val="614B4A08"/>
    <w:rsid w:val="614C5BB8"/>
    <w:rsid w:val="61517149"/>
    <w:rsid w:val="6157390E"/>
    <w:rsid w:val="61583FFC"/>
    <w:rsid w:val="6159361B"/>
    <w:rsid w:val="615D0205"/>
    <w:rsid w:val="615F4C5A"/>
    <w:rsid w:val="617050B9"/>
    <w:rsid w:val="617348FE"/>
    <w:rsid w:val="61774699"/>
    <w:rsid w:val="61782EFD"/>
    <w:rsid w:val="61783E23"/>
    <w:rsid w:val="6181336C"/>
    <w:rsid w:val="618149CB"/>
    <w:rsid w:val="6184384F"/>
    <w:rsid w:val="6185784F"/>
    <w:rsid w:val="61857B1F"/>
    <w:rsid w:val="618964CE"/>
    <w:rsid w:val="618E337E"/>
    <w:rsid w:val="619243F8"/>
    <w:rsid w:val="61946DF3"/>
    <w:rsid w:val="61946FF9"/>
    <w:rsid w:val="619B4066"/>
    <w:rsid w:val="619E5DD6"/>
    <w:rsid w:val="61A20115"/>
    <w:rsid w:val="61A97D1C"/>
    <w:rsid w:val="61B054B5"/>
    <w:rsid w:val="61B741F8"/>
    <w:rsid w:val="61C05D80"/>
    <w:rsid w:val="61C05EA5"/>
    <w:rsid w:val="61C22685"/>
    <w:rsid w:val="61C6353E"/>
    <w:rsid w:val="61C73E92"/>
    <w:rsid w:val="61C80A51"/>
    <w:rsid w:val="61CC63E5"/>
    <w:rsid w:val="61D03DA9"/>
    <w:rsid w:val="61D16DDC"/>
    <w:rsid w:val="61D75138"/>
    <w:rsid w:val="61D81BC4"/>
    <w:rsid w:val="61DA6260"/>
    <w:rsid w:val="61DA69D6"/>
    <w:rsid w:val="61DC3E58"/>
    <w:rsid w:val="61DD5E8C"/>
    <w:rsid w:val="61E558F8"/>
    <w:rsid w:val="61EA65F2"/>
    <w:rsid w:val="61EA6C19"/>
    <w:rsid w:val="61EB3943"/>
    <w:rsid w:val="61EC5B23"/>
    <w:rsid w:val="61ED32E8"/>
    <w:rsid w:val="61F53AAE"/>
    <w:rsid w:val="61F86BC7"/>
    <w:rsid w:val="61FB63A0"/>
    <w:rsid w:val="62013F63"/>
    <w:rsid w:val="62025C8E"/>
    <w:rsid w:val="620579B7"/>
    <w:rsid w:val="6209346D"/>
    <w:rsid w:val="620D4240"/>
    <w:rsid w:val="620D5ECD"/>
    <w:rsid w:val="620F2088"/>
    <w:rsid w:val="621F4706"/>
    <w:rsid w:val="6223786F"/>
    <w:rsid w:val="622B7232"/>
    <w:rsid w:val="622F0AD0"/>
    <w:rsid w:val="62364782"/>
    <w:rsid w:val="6238054B"/>
    <w:rsid w:val="623D5B3C"/>
    <w:rsid w:val="623E04BD"/>
    <w:rsid w:val="623F0EEA"/>
    <w:rsid w:val="6243457B"/>
    <w:rsid w:val="62441F49"/>
    <w:rsid w:val="624A7B64"/>
    <w:rsid w:val="624C1AF7"/>
    <w:rsid w:val="62514EEA"/>
    <w:rsid w:val="62551E8D"/>
    <w:rsid w:val="6256605D"/>
    <w:rsid w:val="62586833"/>
    <w:rsid w:val="62590B5A"/>
    <w:rsid w:val="625B620F"/>
    <w:rsid w:val="6263077A"/>
    <w:rsid w:val="62634429"/>
    <w:rsid w:val="6267026A"/>
    <w:rsid w:val="626C5880"/>
    <w:rsid w:val="626F711E"/>
    <w:rsid w:val="62717D4E"/>
    <w:rsid w:val="62721160"/>
    <w:rsid w:val="6274073F"/>
    <w:rsid w:val="62740B7E"/>
    <w:rsid w:val="62745DC6"/>
    <w:rsid w:val="62791EFC"/>
    <w:rsid w:val="62796AD0"/>
    <w:rsid w:val="627A0CA1"/>
    <w:rsid w:val="62804C01"/>
    <w:rsid w:val="6287090C"/>
    <w:rsid w:val="62884634"/>
    <w:rsid w:val="62892901"/>
    <w:rsid w:val="628C6EF7"/>
    <w:rsid w:val="6294045D"/>
    <w:rsid w:val="629B0309"/>
    <w:rsid w:val="629B43B7"/>
    <w:rsid w:val="629C04FF"/>
    <w:rsid w:val="629D3BAE"/>
    <w:rsid w:val="62A871AE"/>
    <w:rsid w:val="62AA7899"/>
    <w:rsid w:val="62AC7B18"/>
    <w:rsid w:val="62AE14DF"/>
    <w:rsid w:val="62AE5E99"/>
    <w:rsid w:val="62AF7310"/>
    <w:rsid w:val="62B611F1"/>
    <w:rsid w:val="62B73F75"/>
    <w:rsid w:val="62BE39B2"/>
    <w:rsid w:val="62C3746A"/>
    <w:rsid w:val="62C83306"/>
    <w:rsid w:val="62CC7C07"/>
    <w:rsid w:val="62CE653B"/>
    <w:rsid w:val="62D04774"/>
    <w:rsid w:val="62D9763C"/>
    <w:rsid w:val="62DD4B1B"/>
    <w:rsid w:val="62E01DCA"/>
    <w:rsid w:val="62E55633"/>
    <w:rsid w:val="62EC3A3B"/>
    <w:rsid w:val="62F31C6D"/>
    <w:rsid w:val="62F579B8"/>
    <w:rsid w:val="62F86F35"/>
    <w:rsid w:val="62FA1DD5"/>
    <w:rsid w:val="62FE04A2"/>
    <w:rsid w:val="63040749"/>
    <w:rsid w:val="63057615"/>
    <w:rsid w:val="63065CD5"/>
    <w:rsid w:val="63065D81"/>
    <w:rsid w:val="631B3505"/>
    <w:rsid w:val="63247B05"/>
    <w:rsid w:val="63260125"/>
    <w:rsid w:val="632779F9"/>
    <w:rsid w:val="63306408"/>
    <w:rsid w:val="63310878"/>
    <w:rsid w:val="63350368"/>
    <w:rsid w:val="633A1937"/>
    <w:rsid w:val="633A79E1"/>
    <w:rsid w:val="633D3E03"/>
    <w:rsid w:val="633F4478"/>
    <w:rsid w:val="634279E6"/>
    <w:rsid w:val="63446930"/>
    <w:rsid w:val="634D6347"/>
    <w:rsid w:val="6351532E"/>
    <w:rsid w:val="635154EE"/>
    <w:rsid w:val="6355177B"/>
    <w:rsid w:val="635928F2"/>
    <w:rsid w:val="63594F23"/>
    <w:rsid w:val="635D65DE"/>
    <w:rsid w:val="63602DAB"/>
    <w:rsid w:val="63620862"/>
    <w:rsid w:val="63636F83"/>
    <w:rsid w:val="63692B13"/>
    <w:rsid w:val="636C7A30"/>
    <w:rsid w:val="63742C73"/>
    <w:rsid w:val="63745C5D"/>
    <w:rsid w:val="6380382F"/>
    <w:rsid w:val="63866961"/>
    <w:rsid w:val="638D64BD"/>
    <w:rsid w:val="63935574"/>
    <w:rsid w:val="639F501C"/>
    <w:rsid w:val="63A54559"/>
    <w:rsid w:val="63A66B70"/>
    <w:rsid w:val="63AD206C"/>
    <w:rsid w:val="63B07B55"/>
    <w:rsid w:val="63B20385"/>
    <w:rsid w:val="63BE52D1"/>
    <w:rsid w:val="63C122AD"/>
    <w:rsid w:val="63C416EC"/>
    <w:rsid w:val="63CB2A7A"/>
    <w:rsid w:val="63CB65D6"/>
    <w:rsid w:val="63D2786C"/>
    <w:rsid w:val="63D40BE9"/>
    <w:rsid w:val="63D706E6"/>
    <w:rsid w:val="63D856E2"/>
    <w:rsid w:val="63E0211F"/>
    <w:rsid w:val="63E919EA"/>
    <w:rsid w:val="63F45B19"/>
    <w:rsid w:val="63FC0E86"/>
    <w:rsid w:val="6400045A"/>
    <w:rsid w:val="64067F0D"/>
    <w:rsid w:val="640B5ADD"/>
    <w:rsid w:val="641E0DFC"/>
    <w:rsid w:val="641F3BF1"/>
    <w:rsid w:val="64200A2C"/>
    <w:rsid w:val="6420522D"/>
    <w:rsid w:val="64287B11"/>
    <w:rsid w:val="642A59F3"/>
    <w:rsid w:val="642D7D36"/>
    <w:rsid w:val="642E5841"/>
    <w:rsid w:val="64370110"/>
    <w:rsid w:val="643C1282"/>
    <w:rsid w:val="643D41F0"/>
    <w:rsid w:val="64412481"/>
    <w:rsid w:val="644249BF"/>
    <w:rsid w:val="64450858"/>
    <w:rsid w:val="644657D4"/>
    <w:rsid w:val="64504D2E"/>
    <w:rsid w:val="645357A4"/>
    <w:rsid w:val="645F3A8B"/>
    <w:rsid w:val="64672061"/>
    <w:rsid w:val="6470717E"/>
    <w:rsid w:val="647924D6"/>
    <w:rsid w:val="647E60DF"/>
    <w:rsid w:val="64836EB1"/>
    <w:rsid w:val="64870CA4"/>
    <w:rsid w:val="6487630B"/>
    <w:rsid w:val="64896EBA"/>
    <w:rsid w:val="648E06B4"/>
    <w:rsid w:val="64970BAF"/>
    <w:rsid w:val="64975011"/>
    <w:rsid w:val="649F1D2B"/>
    <w:rsid w:val="64A403C6"/>
    <w:rsid w:val="64A864E9"/>
    <w:rsid w:val="64A9323F"/>
    <w:rsid w:val="64B667BE"/>
    <w:rsid w:val="64C85D1C"/>
    <w:rsid w:val="64CB222D"/>
    <w:rsid w:val="64CB4A8C"/>
    <w:rsid w:val="64CD391E"/>
    <w:rsid w:val="64CE6EB2"/>
    <w:rsid w:val="64D124EF"/>
    <w:rsid w:val="64D96AFD"/>
    <w:rsid w:val="64E21E2A"/>
    <w:rsid w:val="64EA48D5"/>
    <w:rsid w:val="64EB6C5F"/>
    <w:rsid w:val="64EC5340"/>
    <w:rsid w:val="64EF69BE"/>
    <w:rsid w:val="64F41B5D"/>
    <w:rsid w:val="65091AAC"/>
    <w:rsid w:val="651115EA"/>
    <w:rsid w:val="65131229"/>
    <w:rsid w:val="651F1C15"/>
    <w:rsid w:val="651F272A"/>
    <w:rsid w:val="65240ABF"/>
    <w:rsid w:val="65242442"/>
    <w:rsid w:val="652A1026"/>
    <w:rsid w:val="65332248"/>
    <w:rsid w:val="65336F4D"/>
    <w:rsid w:val="65353A14"/>
    <w:rsid w:val="65373578"/>
    <w:rsid w:val="65386C6F"/>
    <w:rsid w:val="653E4B1A"/>
    <w:rsid w:val="65402FF4"/>
    <w:rsid w:val="65491EA9"/>
    <w:rsid w:val="654B373B"/>
    <w:rsid w:val="654C3FA0"/>
    <w:rsid w:val="654D7EE3"/>
    <w:rsid w:val="65530F79"/>
    <w:rsid w:val="65573B71"/>
    <w:rsid w:val="655907F8"/>
    <w:rsid w:val="655E3729"/>
    <w:rsid w:val="6562740E"/>
    <w:rsid w:val="657333CA"/>
    <w:rsid w:val="657B47F6"/>
    <w:rsid w:val="65827169"/>
    <w:rsid w:val="658D2FC2"/>
    <w:rsid w:val="65922A08"/>
    <w:rsid w:val="65996269"/>
    <w:rsid w:val="65A17F37"/>
    <w:rsid w:val="65A32D6A"/>
    <w:rsid w:val="65A57C7B"/>
    <w:rsid w:val="65AB5BB9"/>
    <w:rsid w:val="65AC394E"/>
    <w:rsid w:val="65B0017A"/>
    <w:rsid w:val="65B03CD6"/>
    <w:rsid w:val="65B6011E"/>
    <w:rsid w:val="65B65F5F"/>
    <w:rsid w:val="65B86F66"/>
    <w:rsid w:val="65BF4DFA"/>
    <w:rsid w:val="65C510A6"/>
    <w:rsid w:val="65CE5A07"/>
    <w:rsid w:val="65D96F71"/>
    <w:rsid w:val="65DC0F6F"/>
    <w:rsid w:val="65DC4ACB"/>
    <w:rsid w:val="65E039F5"/>
    <w:rsid w:val="65E33682"/>
    <w:rsid w:val="65E43F01"/>
    <w:rsid w:val="65ED5775"/>
    <w:rsid w:val="65FA55DF"/>
    <w:rsid w:val="65FD2C93"/>
    <w:rsid w:val="660373A9"/>
    <w:rsid w:val="6606663F"/>
    <w:rsid w:val="66067D3F"/>
    <w:rsid w:val="66081D64"/>
    <w:rsid w:val="66083CB4"/>
    <w:rsid w:val="660D1128"/>
    <w:rsid w:val="660E7EF1"/>
    <w:rsid w:val="6618264A"/>
    <w:rsid w:val="661E0277"/>
    <w:rsid w:val="661E1616"/>
    <w:rsid w:val="661F4DBA"/>
    <w:rsid w:val="66221C61"/>
    <w:rsid w:val="662621EA"/>
    <w:rsid w:val="66267C85"/>
    <w:rsid w:val="66271904"/>
    <w:rsid w:val="662841B4"/>
    <w:rsid w:val="66296E20"/>
    <w:rsid w:val="662A7440"/>
    <w:rsid w:val="6632701C"/>
    <w:rsid w:val="66342B59"/>
    <w:rsid w:val="66372649"/>
    <w:rsid w:val="663F4A14"/>
    <w:rsid w:val="66453BFB"/>
    <w:rsid w:val="6650077D"/>
    <w:rsid w:val="665A59E6"/>
    <w:rsid w:val="66690D80"/>
    <w:rsid w:val="66707909"/>
    <w:rsid w:val="66713D0F"/>
    <w:rsid w:val="667416D3"/>
    <w:rsid w:val="66846F11"/>
    <w:rsid w:val="668C2539"/>
    <w:rsid w:val="668F4233"/>
    <w:rsid w:val="669237E5"/>
    <w:rsid w:val="669316CD"/>
    <w:rsid w:val="669435F8"/>
    <w:rsid w:val="669533ED"/>
    <w:rsid w:val="66A55A78"/>
    <w:rsid w:val="66AB6D24"/>
    <w:rsid w:val="66AC7A28"/>
    <w:rsid w:val="66AD098B"/>
    <w:rsid w:val="66B21629"/>
    <w:rsid w:val="66B33DB2"/>
    <w:rsid w:val="66B45A48"/>
    <w:rsid w:val="66B8071D"/>
    <w:rsid w:val="66B91353"/>
    <w:rsid w:val="66BB0B84"/>
    <w:rsid w:val="66BB6DD6"/>
    <w:rsid w:val="66BE0674"/>
    <w:rsid w:val="66C03657"/>
    <w:rsid w:val="66C639F5"/>
    <w:rsid w:val="66CA58C9"/>
    <w:rsid w:val="66CB4B3E"/>
    <w:rsid w:val="66D4264D"/>
    <w:rsid w:val="66D47D44"/>
    <w:rsid w:val="66D642A2"/>
    <w:rsid w:val="66E16452"/>
    <w:rsid w:val="66E25E59"/>
    <w:rsid w:val="66E50674"/>
    <w:rsid w:val="66E56CB9"/>
    <w:rsid w:val="66ED3AD2"/>
    <w:rsid w:val="66F37C79"/>
    <w:rsid w:val="66F51235"/>
    <w:rsid w:val="66F8416D"/>
    <w:rsid w:val="66FB71D3"/>
    <w:rsid w:val="66FD119D"/>
    <w:rsid w:val="67035E97"/>
    <w:rsid w:val="67064D21"/>
    <w:rsid w:val="670C307C"/>
    <w:rsid w:val="67130D75"/>
    <w:rsid w:val="67144738"/>
    <w:rsid w:val="671604B0"/>
    <w:rsid w:val="67160637"/>
    <w:rsid w:val="6716400D"/>
    <w:rsid w:val="671B6563"/>
    <w:rsid w:val="67231BDF"/>
    <w:rsid w:val="67282D28"/>
    <w:rsid w:val="67286714"/>
    <w:rsid w:val="67304973"/>
    <w:rsid w:val="67334BBF"/>
    <w:rsid w:val="67342D7A"/>
    <w:rsid w:val="67346B89"/>
    <w:rsid w:val="67374D66"/>
    <w:rsid w:val="673F2C7A"/>
    <w:rsid w:val="6740552D"/>
    <w:rsid w:val="6744501E"/>
    <w:rsid w:val="67484E97"/>
    <w:rsid w:val="674C4C8A"/>
    <w:rsid w:val="67512886"/>
    <w:rsid w:val="6754662D"/>
    <w:rsid w:val="675809EE"/>
    <w:rsid w:val="67584625"/>
    <w:rsid w:val="6759571D"/>
    <w:rsid w:val="675C4333"/>
    <w:rsid w:val="676E5BF7"/>
    <w:rsid w:val="677259B6"/>
    <w:rsid w:val="67745842"/>
    <w:rsid w:val="677903DE"/>
    <w:rsid w:val="677B0314"/>
    <w:rsid w:val="677F6056"/>
    <w:rsid w:val="67801DCE"/>
    <w:rsid w:val="678415D2"/>
    <w:rsid w:val="67857443"/>
    <w:rsid w:val="678C42CF"/>
    <w:rsid w:val="678D4E72"/>
    <w:rsid w:val="679537D2"/>
    <w:rsid w:val="67991EBD"/>
    <w:rsid w:val="67A56AE6"/>
    <w:rsid w:val="67B0324A"/>
    <w:rsid w:val="67B30320"/>
    <w:rsid w:val="67B35CFF"/>
    <w:rsid w:val="67BC1058"/>
    <w:rsid w:val="67C2711F"/>
    <w:rsid w:val="67C73F45"/>
    <w:rsid w:val="67CA7779"/>
    <w:rsid w:val="67D21AD1"/>
    <w:rsid w:val="67D53EC8"/>
    <w:rsid w:val="67DF08A2"/>
    <w:rsid w:val="67E52A76"/>
    <w:rsid w:val="67E934CF"/>
    <w:rsid w:val="67EB6734"/>
    <w:rsid w:val="67F60F3E"/>
    <w:rsid w:val="67FA56DC"/>
    <w:rsid w:val="67FD056C"/>
    <w:rsid w:val="67FD08FB"/>
    <w:rsid w:val="67FF7197"/>
    <w:rsid w:val="68000819"/>
    <w:rsid w:val="68012F0F"/>
    <w:rsid w:val="6804655B"/>
    <w:rsid w:val="680C5410"/>
    <w:rsid w:val="680C6D7A"/>
    <w:rsid w:val="681211A7"/>
    <w:rsid w:val="6815303B"/>
    <w:rsid w:val="68174E4C"/>
    <w:rsid w:val="6819075E"/>
    <w:rsid w:val="681A3FD0"/>
    <w:rsid w:val="681E3F07"/>
    <w:rsid w:val="681F6961"/>
    <w:rsid w:val="68217FBC"/>
    <w:rsid w:val="68264723"/>
    <w:rsid w:val="68294213"/>
    <w:rsid w:val="682A3F5A"/>
    <w:rsid w:val="682E5386"/>
    <w:rsid w:val="683E7CBF"/>
    <w:rsid w:val="683F362E"/>
    <w:rsid w:val="68466771"/>
    <w:rsid w:val="68532600"/>
    <w:rsid w:val="685D03B3"/>
    <w:rsid w:val="68610A2F"/>
    <w:rsid w:val="686349CA"/>
    <w:rsid w:val="686402FA"/>
    <w:rsid w:val="68692097"/>
    <w:rsid w:val="68754EE3"/>
    <w:rsid w:val="68774F7F"/>
    <w:rsid w:val="687D2452"/>
    <w:rsid w:val="687F5BE1"/>
    <w:rsid w:val="68805514"/>
    <w:rsid w:val="68866F70"/>
    <w:rsid w:val="688A0AEE"/>
    <w:rsid w:val="68914A94"/>
    <w:rsid w:val="68951C23"/>
    <w:rsid w:val="689853F7"/>
    <w:rsid w:val="689B3313"/>
    <w:rsid w:val="68A65864"/>
    <w:rsid w:val="68A67951"/>
    <w:rsid w:val="68A714B2"/>
    <w:rsid w:val="68A80B9E"/>
    <w:rsid w:val="68AC73D8"/>
    <w:rsid w:val="68AF1A97"/>
    <w:rsid w:val="68AF296B"/>
    <w:rsid w:val="68B03FED"/>
    <w:rsid w:val="68B24209"/>
    <w:rsid w:val="68BB551C"/>
    <w:rsid w:val="68C659C4"/>
    <w:rsid w:val="68C8018B"/>
    <w:rsid w:val="68D318E1"/>
    <w:rsid w:val="68D407A5"/>
    <w:rsid w:val="68D75A1D"/>
    <w:rsid w:val="68DF378D"/>
    <w:rsid w:val="68E90FF6"/>
    <w:rsid w:val="68EF049E"/>
    <w:rsid w:val="68EF720B"/>
    <w:rsid w:val="68FC539F"/>
    <w:rsid w:val="690069D6"/>
    <w:rsid w:val="690507DD"/>
    <w:rsid w:val="690947B8"/>
    <w:rsid w:val="690A194F"/>
    <w:rsid w:val="690F6F65"/>
    <w:rsid w:val="69126A33"/>
    <w:rsid w:val="691656EB"/>
    <w:rsid w:val="69191CD5"/>
    <w:rsid w:val="6922721A"/>
    <w:rsid w:val="6923476C"/>
    <w:rsid w:val="69235461"/>
    <w:rsid w:val="6928040A"/>
    <w:rsid w:val="69327CD0"/>
    <w:rsid w:val="693370F8"/>
    <w:rsid w:val="69443CDD"/>
    <w:rsid w:val="69452672"/>
    <w:rsid w:val="69467A9B"/>
    <w:rsid w:val="6948614F"/>
    <w:rsid w:val="694E2071"/>
    <w:rsid w:val="694F6E79"/>
    <w:rsid w:val="6950187B"/>
    <w:rsid w:val="695A745B"/>
    <w:rsid w:val="695B03FD"/>
    <w:rsid w:val="69636229"/>
    <w:rsid w:val="69657A73"/>
    <w:rsid w:val="69675EB2"/>
    <w:rsid w:val="696C20C6"/>
    <w:rsid w:val="696C56EB"/>
    <w:rsid w:val="696E10BE"/>
    <w:rsid w:val="696E47F6"/>
    <w:rsid w:val="696F24F1"/>
    <w:rsid w:val="69715E72"/>
    <w:rsid w:val="69715F37"/>
    <w:rsid w:val="697A3B33"/>
    <w:rsid w:val="69851F0A"/>
    <w:rsid w:val="698A12AB"/>
    <w:rsid w:val="698A2A90"/>
    <w:rsid w:val="699512F3"/>
    <w:rsid w:val="699E2456"/>
    <w:rsid w:val="699E44A1"/>
    <w:rsid w:val="69A62664"/>
    <w:rsid w:val="69A74EF5"/>
    <w:rsid w:val="69A83029"/>
    <w:rsid w:val="69A929E9"/>
    <w:rsid w:val="69A94AF3"/>
    <w:rsid w:val="69AC0C58"/>
    <w:rsid w:val="69AF0EE7"/>
    <w:rsid w:val="69B0699A"/>
    <w:rsid w:val="69B304C4"/>
    <w:rsid w:val="69B3227C"/>
    <w:rsid w:val="69B377D1"/>
    <w:rsid w:val="69B660C9"/>
    <w:rsid w:val="69BF098B"/>
    <w:rsid w:val="69BF1EE3"/>
    <w:rsid w:val="69C064F4"/>
    <w:rsid w:val="69C16153"/>
    <w:rsid w:val="69CA0475"/>
    <w:rsid w:val="69CE5267"/>
    <w:rsid w:val="69E20B1E"/>
    <w:rsid w:val="69E2467A"/>
    <w:rsid w:val="69EA588B"/>
    <w:rsid w:val="69ED064F"/>
    <w:rsid w:val="69F23E12"/>
    <w:rsid w:val="69F331D1"/>
    <w:rsid w:val="69F42231"/>
    <w:rsid w:val="69FA19C4"/>
    <w:rsid w:val="69FD20D8"/>
    <w:rsid w:val="6A004944"/>
    <w:rsid w:val="6A06480C"/>
    <w:rsid w:val="6A127828"/>
    <w:rsid w:val="6A134DFD"/>
    <w:rsid w:val="6A136F29"/>
    <w:rsid w:val="6A1B2F8C"/>
    <w:rsid w:val="6A1C5DDE"/>
    <w:rsid w:val="6A1F3B09"/>
    <w:rsid w:val="6A1F767C"/>
    <w:rsid w:val="6A211646"/>
    <w:rsid w:val="6A3E4B3F"/>
    <w:rsid w:val="6A42336B"/>
    <w:rsid w:val="6A47644F"/>
    <w:rsid w:val="6A492F43"/>
    <w:rsid w:val="6A493FF3"/>
    <w:rsid w:val="6A49689E"/>
    <w:rsid w:val="6A4F34B4"/>
    <w:rsid w:val="6A54107E"/>
    <w:rsid w:val="6A582B8E"/>
    <w:rsid w:val="6A597B80"/>
    <w:rsid w:val="6A5E13D7"/>
    <w:rsid w:val="6A5F1F47"/>
    <w:rsid w:val="6A602D50"/>
    <w:rsid w:val="6A627569"/>
    <w:rsid w:val="6A637518"/>
    <w:rsid w:val="6A6634FD"/>
    <w:rsid w:val="6A6913D0"/>
    <w:rsid w:val="6A737F7E"/>
    <w:rsid w:val="6A7A0D56"/>
    <w:rsid w:val="6A916772"/>
    <w:rsid w:val="6A9242F2"/>
    <w:rsid w:val="6A9458F4"/>
    <w:rsid w:val="6A9615F1"/>
    <w:rsid w:val="6A982955"/>
    <w:rsid w:val="6AA02886"/>
    <w:rsid w:val="6AA160F0"/>
    <w:rsid w:val="6AA21323"/>
    <w:rsid w:val="6AB31755"/>
    <w:rsid w:val="6AB54B1C"/>
    <w:rsid w:val="6AB552DA"/>
    <w:rsid w:val="6ABE20FD"/>
    <w:rsid w:val="6AC527A6"/>
    <w:rsid w:val="6AC912AB"/>
    <w:rsid w:val="6AD20B92"/>
    <w:rsid w:val="6AD24676"/>
    <w:rsid w:val="6AD70AA3"/>
    <w:rsid w:val="6AD93CCF"/>
    <w:rsid w:val="6ADF395C"/>
    <w:rsid w:val="6AE6455F"/>
    <w:rsid w:val="6AE96577"/>
    <w:rsid w:val="6AF57566"/>
    <w:rsid w:val="6AF774F6"/>
    <w:rsid w:val="6AF8351F"/>
    <w:rsid w:val="6B064398"/>
    <w:rsid w:val="6B066078"/>
    <w:rsid w:val="6B0A032C"/>
    <w:rsid w:val="6B106144"/>
    <w:rsid w:val="6B15003B"/>
    <w:rsid w:val="6B19231D"/>
    <w:rsid w:val="6B1B6095"/>
    <w:rsid w:val="6B1C1E0E"/>
    <w:rsid w:val="6B294D8C"/>
    <w:rsid w:val="6B2C3BA4"/>
    <w:rsid w:val="6B301415"/>
    <w:rsid w:val="6B305CBA"/>
    <w:rsid w:val="6B322639"/>
    <w:rsid w:val="6B323A98"/>
    <w:rsid w:val="6B3851FC"/>
    <w:rsid w:val="6B3921D5"/>
    <w:rsid w:val="6B463C1C"/>
    <w:rsid w:val="6B490782"/>
    <w:rsid w:val="6B5202D9"/>
    <w:rsid w:val="6B6169BC"/>
    <w:rsid w:val="6B62463B"/>
    <w:rsid w:val="6B637F75"/>
    <w:rsid w:val="6B640C71"/>
    <w:rsid w:val="6B6D2669"/>
    <w:rsid w:val="6B732B6E"/>
    <w:rsid w:val="6B76151E"/>
    <w:rsid w:val="6B781455"/>
    <w:rsid w:val="6B78746A"/>
    <w:rsid w:val="6B7F3B1E"/>
    <w:rsid w:val="6B8A3CC9"/>
    <w:rsid w:val="6B8A54E1"/>
    <w:rsid w:val="6B8A6D77"/>
    <w:rsid w:val="6B910106"/>
    <w:rsid w:val="6B97387D"/>
    <w:rsid w:val="6BA47815"/>
    <w:rsid w:val="6BA63E2B"/>
    <w:rsid w:val="6BAC1B88"/>
    <w:rsid w:val="6BB439A6"/>
    <w:rsid w:val="6BB67B6C"/>
    <w:rsid w:val="6BC93D43"/>
    <w:rsid w:val="6BD7697C"/>
    <w:rsid w:val="6BDB3A77"/>
    <w:rsid w:val="6BDD1DB2"/>
    <w:rsid w:val="6BE02260"/>
    <w:rsid w:val="6BEC4B7D"/>
    <w:rsid w:val="6BED17F6"/>
    <w:rsid w:val="6BEE27C2"/>
    <w:rsid w:val="6BF123BD"/>
    <w:rsid w:val="6BF16DF6"/>
    <w:rsid w:val="6BF67E5B"/>
    <w:rsid w:val="6C0A7EB8"/>
    <w:rsid w:val="6C1242E2"/>
    <w:rsid w:val="6C223454"/>
    <w:rsid w:val="6C2706A3"/>
    <w:rsid w:val="6C313697"/>
    <w:rsid w:val="6C347A85"/>
    <w:rsid w:val="6C374D71"/>
    <w:rsid w:val="6C385B1D"/>
    <w:rsid w:val="6C4521A9"/>
    <w:rsid w:val="6C456B3E"/>
    <w:rsid w:val="6C45743E"/>
    <w:rsid w:val="6C471732"/>
    <w:rsid w:val="6C476122"/>
    <w:rsid w:val="6C4909E0"/>
    <w:rsid w:val="6C4A62E0"/>
    <w:rsid w:val="6C4D1173"/>
    <w:rsid w:val="6C4F79B7"/>
    <w:rsid w:val="6C515AE7"/>
    <w:rsid w:val="6C531EF0"/>
    <w:rsid w:val="6C636C38"/>
    <w:rsid w:val="6C6629FF"/>
    <w:rsid w:val="6C667F6F"/>
    <w:rsid w:val="6C6B4DFB"/>
    <w:rsid w:val="6C6E10F9"/>
    <w:rsid w:val="6C6F6D3E"/>
    <w:rsid w:val="6C7041BF"/>
    <w:rsid w:val="6C81017A"/>
    <w:rsid w:val="6C83693B"/>
    <w:rsid w:val="6C843423"/>
    <w:rsid w:val="6C846764"/>
    <w:rsid w:val="6C8B724B"/>
    <w:rsid w:val="6C8E1F12"/>
    <w:rsid w:val="6C901822"/>
    <w:rsid w:val="6C9027FF"/>
    <w:rsid w:val="6C924135"/>
    <w:rsid w:val="6C9C08F2"/>
    <w:rsid w:val="6CA05869"/>
    <w:rsid w:val="6CA81BAB"/>
    <w:rsid w:val="6CB12199"/>
    <w:rsid w:val="6CB73A10"/>
    <w:rsid w:val="6CBA2659"/>
    <w:rsid w:val="6CBA7B30"/>
    <w:rsid w:val="6CBB63FB"/>
    <w:rsid w:val="6CBC239D"/>
    <w:rsid w:val="6CBE13CE"/>
    <w:rsid w:val="6CBE55BE"/>
    <w:rsid w:val="6CC02373"/>
    <w:rsid w:val="6CC07342"/>
    <w:rsid w:val="6CC62031"/>
    <w:rsid w:val="6CCB3AEB"/>
    <w:rsid w:val="6CCC5B16"/>
    <w:rsid w:val="6CD05936"/>
    <w:rsid w:val="6CD11CF4"/>
    <w:rsid w:val="6CD52274"/>
    <w:rsid w:val="6CD63AE3"/>
    <w:rsid w:val="6CDB4A94"/>
    <w:rsid w:val="6CE16457"/>
    <w:rsid w:val="6CE90A9E"/>
    <w:rsid w:val="6CF80E04"/>
    <w:rsid w:val="6CF83039"/>
    <w:rsid w:val="6CF965C8"/>
    <w:rsid w:val="6CFE089A"/>
    <w:rsid w:val="6D0328C3"/>
    <w:rsid w:val="6D1B6127"/>
    <w:rsid w:val="6D1C4347"/>
    <w:rsid w:val="6D203E37"/>
    <w:rsid w:val="6D2226C2"/>
    <w:rsid w:val="6D23487C"/>
    <w:rsid w:val="6D27431E"/>
    <w:rsid w:val="6D280075"/>
    <w:rsid w:val="6D310C6E"/>
    <w:rsid w:val="6D3409BB"/>
    <w:rsid w:val="6D360C66"/>
    <w:rsid w:val="6D4A6CE0"/>
    <w:rsid w:val="6D592EA5"/>
    <w:rsid w:val="6D5A6ADE"/>
    <w:rsid w:val="6D5B17B0"/>
    <w:rsid w:val="6D5B4E6F"/>
    <w:rsid w:val="6D5C5209"/>
    <w:rsid w:val="6D6C63BC"/>
    <w:rsid w:val="6D6D3B23"/>
    <w:rsid w:val="6D711FE3"/>
    <w:rsid w:val="6D793547"/>
    <w:rsid w:val="6D7D64CF"/>
    <w:rsid w:val="6D8517D3"/>
    <w:rsid w:val="6D91715F"/>
    <w:rsid w:val="6D920165"/>
    <w:rsid w:val="6D9344DE"/>
    <w:rsid w:val="6D983849"/>
    <w:rsid w:val="6D9A32A6"/>
    <w:rsid w:val="6D9C0FE4"/>
    <w:rsid w:val="6DA22A9E"/>
    <w:rsid w:val="6DA415A9"/>
    <w:rsid w:val="6DA560EA"/>
    <w:rsid w:val="6DAD1516"/>
    <w:rsid w:val="6DB34098"/>
    <w:rsid w:val="6DB427D1"/>
    <w:rsid w:val="6DB545B6"/>
    <w:rsid w:val="6DB86FC0"/>
    <w:rsid w:val="6DC36570"/>
    <w:rsid w:val="6DCE4927"/>
    <w:rsid w:val="6DD412FA"/>
    <w:rsid w:val="6DDD07B9"/>
    <w:rsid w:val="6DDD6184"/>
    <w:rsid w:val="6DE121A9"/>
    <w:rsid w:val="6DEA7F70"/>
    <w:rsid w:val="6DEC4306"/>
    <w:rsid w:val="6DF02F8D"/>
    <w:rsid w:val="6DF453D7"/>
    <w:rsid w:val="6DF8373D"/>
    <w:rsid w:val="6DF8622D"/>
    <w:rsid w:val="6DFA3D7A"/>
    <w:rsid w:val="6E05302D"/>
    <w:rsid w:val="6E0D506E"/>
    <w:rsid w:val="6E1838B3"/>
    <w:rsid w:val="6E1F54EB"/>
    <w:rsid w:val="6E2162C4"/>
    <w:rsid w:val="6E287010"/>
    <w:rsid w:val="6E2963A9"/>
    <w:rsid w:val="6E336464"/>
    <w:rsid w:val="6E336E2C"/>
    <w:rsid w:val="6E3B2315"/>
    <w:rsid w:val="6E3D3551"/>
    <w:rsid w:val="6E3E7783"/>
    <w:rsid w:val="6E3F2B35"/>
    <w:rsid w:val="6E4375A0"/>
    <w:rsid w:val="6E4958D1"/>
    <w:rsid w:val="6E4C7D98"/>
    <w:rsid w:val="6E4E7181"/>
    <w:rsid w:val="6E514CED"/>
    <w:rsid w:val="6E552BB2"/>
    <w:rsid w:val="6E59286C"/>
    <w:rsid w:val="6E596550"/>
    <w:rsid w:val="6E5B4574"/>
    <w:rsid w:val="6E5B49FB"/>
    <w:rsid w:val="6E636C9C"/>
    <w:rsid w:val="6E65464A"/>
    <w:rsid w:val="6E6715F2"/>
    <w:rsid w:val="6E6B7058"/>
    <w:rsid w:val="6E712470"/>
    <w:rsid w:val="6E716558"/>
    <w:rsid w:val="6E747718"/>
    <w:rsid w:val="6E7738B3"/>
    <w:rsid w:val="6E79491A"/>
    <w:rsid w:val="6E8403F6"/>
    <w:rsid w:val="6E873A42"/>
    <w:rsid w:val="6E8757F0"/>
    <w:rsid w:val="6E9D0634"/>
    <w:rsid w:val="6E9F7FDD"/>
    <w:rsid w:val="6EA42846"/>
    <w:rsid w:val="6EA77C40"/>
    <w:rsid w:val="6EAB14DE"/>
    <w:rsid w:val="6EAE0ED5"/>
    <w:rsid w:val="6EB053D7"/>
    <w:rsid w:val="6EB20ABF"/>
    <w:rsid w:val="6EB505AF"/>
    <w:rsid w:val="6EB563D5"/>
    <w:rsid w:val="6EB64838"/>
    <w:rsid w:val="6EB74CDF"/>
    <w:rsid w:val="6EB800F6"/>
    <w:rsid w:val="6EB920E2"/>
    <w:rsid w:val="6EB92134"/>
    <w:rsid w:val="6EBB71B9"/>
    <w:rsid w:val="6EBD6EB4"/>
    <w:rsid w:val="6EC655E7"/>
    <w:rsid w:val="6EC86AD4"/>
    <w:rsid w:val="6EDA6267"/>
    <w:rsid w:val="6EDE51C7"/>
    <w:rsid w:val="6EDF562C"/>
    <w:rsid w:val="6EE15DCF"/>
    <w:rsid w:val="6EF530A1"/>
    <w:rsid w:val="6EF56EA5"/>
    <w:rsid w:val="6EF822FF"/>
    <w:rsid w:val="6F0E27EA"/>
    <w:rsid w:val="6F1E4E6F"/>
    <w:rsid w:val="6F225983"/>
    <w:rsid w:val="6F2572E9"/>
    <w:rsid w:val="6F2614AD"/>
    <w:rsid w:val="6F341ACA"/>
    <w:rsid w:val="6F412535"/>
    <w:rsid w:val="6F416322"/>
    <w:rsid w:val="6F434CEB"/>
    <w:rsid w:val="6F455EC5"/>
    <w:rsid w:val="6F4831D1"/>
    <w:rsid w:val="6F4C40F9"/>
    <w:rsid w:val="6F4E4B4A"/>
    <w:rsid w:val="6F567559"/>
    <w:rsid w:val="6F594A49"/>
    <w:rsid w:val="6F5A419B"/>
    <w:rsid w:val="6F6022D0"/>
    <w:rsid w:val="6F60676D"/>
    <w:rsid w:val="6F6707EE"/>
    <w:rsid w:val="6F693FB4"/>
    <w:rsid w:val="6F755470"/>
    <w:rsid w:val="6F795A80"/>
    <w:rsid w:val="6F7B35A7"/>
    <w:rsid w:val="6F8203E3"/>
    <w:rsid w:val="6F871F4B"/>
    <w:rsid w:val="6F896640"/>
    <w:rsid w:val="6F8D5FCA"/>
    <w:rsid w:val="6F8D6E36"/>
    <w:rsid w:val="6F8E18A3"/>
    <w:rsid w:val="6F8F0E00"/>
    <w:rsid w:val="6FA555EF"/>
    <w:rsid w:val="6FA61B1D"/>
    <w:rsid w:val="6FAC7C04"/>
    <w:rsid w:val="6FB12FE8"/>
    <w:rsid w:val="6FC5363F"/>
    <w:rsid w:val="6FD40A3A"/>
    <w:rsid w:val="6FD53DFE"/>
    <w:rsid w:val="6FF26BD4"/>
    <w:rsid w:val="6FF505A3"/>
    <w:rsid w:val="6FF628DE"/>
    <w:rsid w:val="6FFB39E9"/>
    <w:rsid w:val="6FFC5590"/>
    <w:rsid w:val="6FFC7A8E"/>
    <w:rsid w:val="6FFE30FA"/>
    <w:rsid w:val="6FFE3E9B"/>
    <w:rsid w:val="70005C6D"/>
    <w:rsid w:val="700063E2"/>
    <w:rsid w:val="7003534A"/>
    <w:rsid w:val="700D156F"/>
    <w:rsid w:val="700F0193"/>
    <w:rsid w:val="70100106"/>
    <w:rsid w:val="701029A4"/>
    <w:rsid w:val="701740D2"/>
    <w:rsid w:val="701A2DBF"/>
    <w:rsid w:val="701F03D6"/>
    <w:rsid w:val="702F7EED"/>
    <w:rsid w:val="70301DA3"/>
    <w:rsid w:val="703120E1"/>
    <w:rsid w:val="70382504"/>
    <w:rsid w:val="70450D71"/>
    <w:rsid w:val="704A0947"/>
    <w:rsid w:val="705160B5"/>
    <w:rsid w:val="7053092C"/>
    <w:rsid w:val="705323BE"/>
    <w:rsid w:val="70553DF8"/>
    <w:rsid w:val="705C2103"/>
    <w:rsid w:val="705D4A5A"/>
    <w:rsid w:val="70621377"/>
    <w:rsid w:val="70673343"/>
    <w:rsid w:val="70696811"/>
    <w:rsid w:val="706B361B"/>
    <w:rsid w:val="706B551A"/>
    <w:rsid w:val="706C0372"/>
    <w:rsid w:val="706D1DD0"/>
    <w:rsid w:val="70705B94"/>
    <w:rsid w:val="707272AA"/>
    <w:rsid w:val="70765B1C"/>
    <w:rsid w:val="707A385E"/>
    <w:rsid w:val="708010DE"/>
    <w:rsid w:val="70816F88"/>
    <w:rsid w:val="70832BAC"/>
    <w:rsid w:val="70856B87"/>
    <w:rsid w:val="708A167D"/>
    <w:rsid w:val="708F5C17"/>
    <w:rsid w:val="709B69B6"/>
    <w:rsid w:val="70A221ED"/>
    <w:rsid w:val="70A408DB"/>
    <w:rsid w:val="70A6512A"/>
    <w:rsid w:val="70A73F27"/>
    <w:rsid w:val="70AB0C12"/>
    <w:rsid w:val="70AB1BAF"/>
    <w:rsid w:val="70B008A6"/>
    <w:rsid w:val="70B21E5D"/>
    <w:rsid w:val="70B27FED"/>
    <w:rsid w:val="70B328CC"/>
    <w:rsid w:val="70B52AE8"/>
    <w:rsid w:val="70BE5BEA"/>
    <w:rsid w:val="70C51742"/>
    <w:rsid w:val="70C74CBB"/>
    <w:rsid w:val="70CA37DE"/>
    <w:rsid w:val="70CD69CD"/>
    <w:rsid w:val="70D17FED"/>
    <w:rsid w:val="70D36AE4"/>
    <w:rsid w:val="70D4373F"/>
    <w:rsid w:val="70D527EE"/>
    <w:rsid w:val="70DC3A08"/>
    <w:rsid w:val="70DD3DED"/>
    <w:rsid w:val="70DD5B9B"/>
    <w:rsid w:val="70DE203F"/>
    <w:rsid w:val="70E11C18"/>
    <w:rsid w:val="70E46F2A"/>
    <w:rsid w:val="70E54EF2"/>
    <w:rsid w:val="70F76C5D"/>
    <w:rsid w:val="70FA1B4A"/>
    <w:rsid w:val="70FA2039"/>
    <w:rsid w:val="71060DA2"/>
    <w:rsid w:val="71101485"/>
    <w:rsid w:val="71125808"/>
    <w:rsid w:val="711E068D"/>
    <w:rsid w:val="712437CA"/>
    <w:rsid w:val="71247C7F"/>
    <w:rsid w:val="71285068"/>
    <w:rsid w:val="712E4649"/>
    <w:rsid w:val="71306613"/>
    <w:rsid w:val="713779A1"/>
    <w:rsid w:val="71391929"/>
    <w:rsid w:val="713F6856"/>
    <w:rsid w:val="71482A8B"/>
    <w:rsid w:val="71502E36"/>
    <w:rsid w:val="715042DC"/>
    <w:rsid w:val="71521E8C"/>
    <w:rsid w:val="71573187"/>
    <w:rsid w:val="715B5300"/>
    <w:rsid w:val="715F0F0A"/>
    <w:rsid w:val="715F4BD7"/>
    <w:rsid w:val="71630796"/>
    <w:rsid w:val="71631EDD"/>
    <w:rsid w:val="716A57C3"/>
    <w:rsid w:val="716F0EE9"/>
    <w:rsid w:val="717179A6"/>
    <w:rsid w:val="71776440"/>
    <w:rsid w:val="71836687"/>
    <w:rsid w:val="71845085"/>
    <w:rsid w:val="71900E5F"/>
    <w:rsid w:val="71911262"/>
    <w:rsid w:val="7192513B"/>
    <w:rsid w:val="71946FC5"/>
    <w:rsid w:val="719A0786"/>
    <w:rsid w:val="71A57103"/>
    <w:rsid w:val="71A71BD7"/>
    <w:rsid w:val="71AF7537"/>
    <w:rsid w:val="71B0505E"/>
    <w:rsid w:val="71B27028"/>
    <w:rsid w:val="71BB707B"/>
    <w:rsid w:val="71BD6F35"/>
    <w:rsid w:val="71BE5B0A"/>
    <w:rsid w:val="71C33CC1"/>
    <w:rsid w:val="71C34D91"/>
    <w:rsid w:val="71C83131"/>
    <w:rsid w:val="71CD0AF2"/>
    <w:rsid w:val="71D27F8A"/>
    <w:rsid w:val="71D45E46"/>
    <w:rsid w:val="71D56571"/>
    <w:rsid w:val="71D8162E"/>
    <w:rsid w:val="71DB032D"/>
    <w:rsid w:val="71DF202A"/>
    <w:rsid w:val="71E060BD"/>
    <w:rsid w:val="71E573FD"/>
    <w:rsid w:val="71E82A49"/>
    <w:rsid w:val="71E85A49"/>
    <w:rsid w:val="71EC4A74"/>
    <w:rsid w:val="71F744C6"/>
    <w:rsid w:val="71F85096"/>
    <w:rsid w:val="71F960CF"/>
    <w:rsid w:val="71FA6D5D"/>
    <w:rsid w:val="71FA6E63"/>
    <w:rsid w:val="720B5B34"/>
    <w:rsid w:val="720E6133"/>
    <w:rsid w:val="721F3D65"/>
    <w:rsid w:val="721F6AB4"/>
    <w:rsid w:val="72273572"/>
    <w:rsid w:val="722C13CA"/>
    <w:rsid w:val="722E2B52"/>
    <w:rsid w:val="723143F0"/>
    <w:rsid w:val="723B526F"/>
    <w:rsid w:val="723F7BC0"/>
    <w:rsid w:val="72415B76"/>
    <w:rsid w:val="7248195B"/>
    <w:rsid w:val="724D0B67"/>
    <w:rsid w:val="724F3CEA"/>
    <w:rsid w:val="72504B1E"/>
    <w:rsid w:val="72510830"/>
    <w:rsid w:val="725A0868"/>
    <w:rsid w:val="725D3437"/>
    <w:rsid w:val="72622ED9"/>
    <w:rsid w:val="726405E9"/>
    <w:rsid w:val="7264507C"/>
    <w:rsid w:val="72657543"/>
    <w:rsid w:val="72665580"/>
    <w:rsid w:val="72744302"/>
    <w:rsid w:val="72750781"/>
    <w:rsid w:val="7278201F"/>
    <w:rsid w:val="727918F3"/>
    <w:rsid w:val="727D3192"/>
    <w:rsid w:val="727F1DCF"/>
    <w:rsid w:val="72843A53"/>
    <w:rsid w:val="7287598F"/>
    <w:rsid w:val="72884624"/>
    <w:rsid w:val="728B472D"/>
    <w:rsid w:val="728B7B4B"/>
    <w:rsid w:val="728C5E61"/>
    <w:rsid w:val="72902CC4"/>
    <w:rsid w:val="72A83DBA"/>
    <w:rsid w:val="72AA62F7"/>
    <w:rsid w:val="72AD6A28"/>
    <w:rsid w:val="72B34D54"/>
    <w:rsid w:val="72B50B7E"/>
    <w:rsid w:val="72B9102C"/>
    <w:rsid w:val="72B9349E"/>
    <w:rsid w:val="72C13788"/>
    <w:rsid w:val="72D72CEA"/>
    <w:rsid w:val="72D763B0"/>
    <w:rsid w:val="72DA4BA4"/>
    <w:rsid w:val="72DB6F38"/>
    <w:rsid w:val="72E74AAF"/>
    <w:rsid w:val="72E801C4"/>
    <w:rsid w:val="72E94CCB"/>
    <w:rsid w:val="72F01BB6"/>
    <w:rsid w:val="72F141FB"/>
    <w:rsid w:val="72F32BD6"/>
    <w:rsid w:val="72F83160"/>
    <w:rsid w:val="72FD456B"/>
    <w:rsid w:val="72FF6009"/>
    <w:rsid w:val="7301621E"/>
    <w:rsid w:val="73033C7E"/>
    <w:rsid w:val="73076976"/>
    <w:rsid w:val="73125FD0"/>
    <w:rsid w:val="731A24E7"/>
    <w:rsid w:val="731A4E85"/>
    <w:rsid w:val="731D532E"/>
    <w:rsid w:val="731F5D5E"/>
    <w:rsid w:val="732029DE"/>
    <w:rsid w:val="7324277E"/>
    <w:rsid w:val="73271D72"/>
    <w:rsid w:val="73274BBF"/>
    <w:rsid w:val="73297D40"/>
    <w:rsid w:val="732B0E40"/>
    <w:rsid w:val="73357F10"/>
    <w:rsid w:val="733F6699"/>
    <w:rsid w:val="73440153"/>
    <w:rsid w:val="734463A5"/>
    <w:rsid w:val="734463B8"/>
    <w:rsid w:val="734F3E24"/>
    <w:rsid w:val="735128DC"/>
    <w:rsid w:val="735760D9"/>
    <w:rsid w:val="735E592B"/>
    <w:rsid w:val="735E6975"/>
    <w:rsid w:val="735F6D3B"/>
    <w:rsid w:val="736D6A2C"/>
    <w:rsid w:val="736E51D0"/>
    <w:rsid w:val="7371514F"/>
    <w:rsid w:val="7375030D"/>
    <w:rsid w:val="73751A30"/>
    <w:rsid w:val="737C0502"/>
    <w:rsid w:val="73815997"/>
    <w:rsid w:val="738B7B30"/>
    <w:rsid w:val="738D1AFA"/>
    <w:rsid w:val="738F5872"/>
    <w:rsid w:val="738F7621"/>
    <w:rsid w:val="73932A9D"/>
    <w:rsid w:val="739667AE"/>
    <w:rsid w:val="739A1E3B"/>
    <w:rsid w:val="739A3495"/>
    <w:rsid w:val="73A07752"/>
    <w:rsid w:val="73A65729"/>
    <w:rsid w:val="73B15772"/>
    <w:rsid w:val="73B96A5C"/>
    <w:rsid w:val="73C011CD"/>
    <w:rsid w:val="73C255CC"/>
    <w:rsid w:val="73C47836"/>
    <w:rsid w:val="73C50881"/>
    <w:rsid w:val="73CB43D1"/>
    <w:rsid w:val="73DC213A"/>
    <w:rsid w:val="73E3796C"/>
    <w:rsid w:val="73ED4347"/>
    <w:rsid w:val="73F37009"/>
    <w:rsid w:val="73F90F3E"/>
    <w:rsid w:val="74016996"/>
    <w:rsid w:val="74024296"/>
    <w:rsid w:val="740810FB"/>
    <w:rsid w:val="740A21F8"/>
    <w:rsid w:val="740E25F9"/>
    <w:rsid w:val="740F6735"/>
    <w:rsid w:val="741438C2"/>
    <w:rsid w:val="74150C21"/>
    <w:rsid w:val="741E793C"/>
    <w:rsid w:val="74251022"/>
    <w:rsid w:val="742F670E"/>
    <w:rsid w:val="74360369"/>
    <w:rsid w:val="743A037A"/>
    <w:rsid w:val="743A72C1"/>
    <w:rsid w:val="743B6D7F"/>
    <w:rsid w:val="743F6A88"/>
    <w:rsid w:val="74435383"/>
    <w:rsid w:val="744779A8"/>
    <w:rsid w:val="744C213D"/>
    <w:rsid w:val="744F5403"/>
    <w:rsid w:val="746A38BE"/>
    <w:rsid w:val="746E689F"/>
    <w:rsid w:val="7471234E"/>
    <w:rsid w:val="7476433D"/>
    <w:rsid w:val="74776F7E"/>
    <w:rsid w:val="747D391D"/>
    <w:rsid w:val="7481656A"/>
    <w:rsid w:val="748B3F42"/>
    <w:rsid w:val="748E33E9"/>
    <w:rsid w:val="748E5FB5"/>
    <w:rsid w:val="749315EA"/>
    <w:rsid w:val="749A61FE"/>
    <w:rsid w:val="749E0867"/>
    <w:rsid w:val="74A67741"/>
    <w:rsid w:val="74AB2F6D"/>
    <w:rsid w:val="74B113F8"/>
    <w:rsid w:val="74B51309"/>
    <w:rsid w:val="74BD3F0D"/>
    <w:rsid w:val="74BF67F1"/>
    <w:rsid w:val="74C12FBB"/>
    <w:rsid w:val="74C25736"/>
    <w:rsid w:val="74C94355"/>
    <w:rsid w:val="74CA44EA"/>
    <w:rsid w:val="74CC5F47"/>
    <w:rsid w:val="74CF01E4"/>
    <w:rsid w:val="74CF35DA"/>
    <w:rsid w:val="74DA2865"/>
    <w:rsid w:val="74DB3199"/>
    <w:rsid w:val="74E07933"/>
    <w:rsid w:val="74ED7F7B"/>
    <w:rsid w:val="74F1351A"/>
    <w:rsid w:val="74F152A7"/>
    <w:rsid w:val="74FA385E"/>
    <w:rsid w:val="74FE1B8C"/>
    <w:rsid w:val="75080A17"/>
    <w:rsid w:val="75147F65"/>
    <w:rsid w:val="75181898"/>
    <w:rsid w:val="75190352"/>
    <w:rsid w:val="751911FC"/>
    <w:rsid w:val="751D10FC"/>
    <w:rsid w:val="75214C8E"/>
    <w:rsid w:val="7521699E"/>
    <w:rsid w:val="7523760D"/>
    <w:rsid w:val="752F7021"/>
    <w:rsid w:val="75310F78"/>
    <w:rsid w:val="75390615"/>
    <w:rsid w:val="753B7832"/>
    <w:rsid w:val="754D137E"/>
    <w:rsid w:val="754D25F6"/>
    <w:rsid w:val="754E0E15"/>
    <w:rsid w:val="754F4B2B"/>
    <w:rsid w:val="755967FC"/>
    <w:rsid w:val="755E7705"/>
    <w:rsid w:val="755F5C12"/>
    <w:rsid w:val="75616D9B"/>
    <w:rsid w:val="75630D65"/>
    <w:rsid w:val="75653F02"/>
    <w:rsid w:val="7565584A"/>
    <w:rsid w:val="756C336B"/>
    <w:rsid w:val="7571063E"/>
    <w:rsid w:val="75863879"/>
    <w:rsid w:val="758D4034"/>
    <w:rsid w:val="758D5DE2"/>
    <w:rsid w:val="758D75E2"/>
    <w:rsid w:val="7592555F"/>
    <w:rsid w:val="75953AAA"/>
    <w:rsid w:val="759B19A5"/>
    <w:rsid w:val="759E1430"/>
    <w:rsid w:val="75A03D67"/>
    <w:rsid w:val="75A53A8D"/>
    <w:rsid w:val="75A60C51"/>
    <w:rsid w:val="75B80F00"/>
    <w:rsid w:val="75BB0D96"/>
    <w:rsid w:val="75BF01B2"/>
    <w:rsid w:val="75C443E4"/>
    <w:rsid w:val="75C61131"/>
    <w:rsid w:val="75D237F5"/>
    <w:rsid w:val="75D94D9D"/>
    <w:rsid w:val="75E11DF4"/>
    <w:rsid w:val="75E17EDC"/>
    <w:rsid w:val="75E41119"/>
    <w:rsid w:val="75F14B0A"/>
    <w:rsid w:val="75F365FE"/>
    <w:rsid w:val="75F549CB"/>
    <w:rsid w:val="76007EC4"/>
    <w:rsid w:val="760413B8"/>
    <w:rsid w:val="760553A8"/>
    <w:rsid w:val="76077ACE"/>
    <w:rsid w:val="76085CF5"/>
    <w:rsid w:val="760921D0"/>
    <w:rsid w:val="760D536B"/>
    <w:rsid w:val="76187BE9"/>
    <w:rsid w:val="761C0F14"/>
    <w:rsid w:val="761F5E76"/>
    <w:rsid w:val="7621477C"/>
    <w:rsid w:val="762218B6"/>
    <w:rsid w:val="76244930"/>
    <w:rsid w:val="762642AF"/>
    <w:rsid w:val="762A1EF2"/>
    <w:rsid w:val="763046B6"/>
    <w:rsid w:val="76330C48"/>
    <w:rsid w:val="76354961"/>
    <w:rsid w:val="76391AC6"/>
    <w:rsid w:val="763C591C"/>
    <w:rsid w:val="763F6156"/>
    <w:rsid w:val="76467477"/>
    <w:rsid w:val="764A7E6B"/>
    <w:rsid w:val="764B0ABB"/>
    <w:rsid w:val="764B4435"/>
    <w:rsid w:val="764B6278"/>
    <w:rsid w:val="764E5B32"/>
    <w:rsid w:val="764F089A"/>
    <w:rsid w:val="765D32EB"/>
    <w:rsid w:val="76634D94"/>
    <w:rsid w:val="76756A3B"/>
    <w:rsid w:val="76760624"/>
    <w:rsid w:val="767E5058"/>
    <w:rsid w:val="76807BAD"/>
    <w:rsid w:val="76873B17"/>
    <w:rsid w:val="769238AF"/>
    <w:rsid w:val="7694749C"/>
    <w:rsid w:val="76963D08"/>
    <w:rsid w:val="76977055"/>
    <w:rsid w:val="769E72D6"/>
    <w:rsid w:val="769E7AF2"/>
    <w:rsid w:val="769F4C23"/>
    <w:rsid w:val="769F4E96"/>
    <w:rsid w:val="76A15B81"/>
    <w:rsid w:val="76A21419"/>
    <w:rsid w:val="76AA1137"/>
    <w:rsid w:val="76B16023"/>
    <w:rsid w:val="76BC4191"/>
    <w:rsid w:val="76C4472A"/>
    <w:rsid w:val="76C45833"/>
    <w:rsid w:val="76D610C6"/>
    <w:rsid w:val="76D94E33"/>
    <w:rsid w:val="76DB438D"/>
    <w:rsid w:val="76DB492B"/>
    <w:rsid w:val="76DB4D52"/>
    <w:rsid w:val="76DF0084"/>
    <w:rsid w:val="76E070ED"/>
    <w:rsid w:val="76E95B3C"/>
    <w:rsid w:val="76EC2FDC"/>
    <w:rsid w:val="76EC5216"/>
    <w:rsid w:val="76EC6EEF"/>
    <w:rsid w:val="76F65C09"/>
    <w:rsid w:val="76F679B7"/>
    <w:rsid w:val="76F83026"/>
    <w:rsid w:val="76FA1C6C"/>
    <w:rsid w:val="76FD0D45"/>
    <w:rsid w:val="76FD1438"/>
    <w:rsid w:val="76FF45C0"/>
    <w:rsid w:val="77015F43"/>
    <w:rsid w:val="77020109"/>
    <w:rsid w:val="77036774"/>
    <w:rsid w:val="770A4851"/>
    <w:rsid w:val="770B5B52"/>
    <w:rsid w:val="770D2D3B"/>
    <w:rsid w:val="770E2F52"/>
    <w:rsid w:val="7713597C"/>
    <w:rsid w:val="7718634E"/>
    <w:rsid w:val="77252F14"/>
    <w:rsid w:val="77263CA0"/>
    <w:rsid w:val="77286F9E"/>
    <w:rsid w:val="773109EF"/>
    <w:rsid w:val="77310B98"/>
    <w:rsid w:val="773976F8"/>
    <w:rsid w:val="7740397C"/>
    <w:rsid w:val="775344A1"/>
    <w:rsid w:val="775E279E"/>
    <w:rsid w:val="776200EB"/>
    <w:rsid w:val="77624DAB"/>
    <w:rsid w:val="776E1C43"/>
    <w:rsid w:val="776F16CF"/>
    <w:rsid w:val="77740DDD"/>
    <w:rsid w:val="77762421"/>
    <w:rsid w:val="777C4360"/>
    <w:rsid w:val="77851E6E"/>
    <w:rsid w:val="77905715"/>
    <w:rsid w:val="77990151"/>
    <w:rsid w:val="7799250C"/>
    <w:rsid w:val="77997F91"/>
    <w:rsid w:val="77A53CBF"/>
    <w:rsid w:val="77A8653E"/>
    <w:rsid w:val="77AF6829"/>
    <w:rsid w:val="77B052B4"/>
    <w:rsid w:val="77B2178D"/>
    <w:rsid w:val="77BC45C2"/>
    <w:rsid w:val="77BE3DDA"/>
    <w:rsid w:val="77BE6726"/>
    <w:rsid w:val="77C026A0"/>
    <w:rsid w:val="77D125EE"/>
    <w:rsid w:val="77D5097D"/>
    <w:rsid w:val="77D71AEC"/>
    <w:rsid w:val="77D812FA"/>
    <w:rsid w:val="77DD5499"/>
    <w:rsid w:val="77DE0B76"/>
    <w:rsid w:val="77E51F05"/>
    <w:rsid w:val="77E763F9"/>
    <w:rsid w:val="77FF50C1"/>
    <w:rsid w:val="78014865"/>
    <w:rsid w:val="78081F12"/>
    <w:rsid w:val="780F09F4"/>
    <w:rsid w:val="78147AB0"/>
    <w:rsid w:val="7817521C"/>
    <w:rsid w:val="782008CB"/>
    <w:rsid w:val="782A525E"/>
    <w:rsid w:val="782B54EB"/>
    <w:rsid w:val="783267CC"/>
    <w:rsid w:val="783A19AE"/>
    <w:rsid w:val="783D6058"/>
    <w:rsid w:val="784C47D4"/>
    <w:rsid w:val="784D101F"/>
    <w:rsid w:val="784E4C69"/>
    <w:rsid w:val="784E75F2"/>
    <w:rsid w:val="784F3FBA"/>
    <w:rsid w:val="785715FC"/>
    <w:rsid w:val="786723F0"/>
    <w:rsid w:val="786762B5"/>
    <w:rsid w:val="786D1BF3"/>
    <w:rsid w:val="786D5CA1"/>
    <w:rsid w:val="786E4FBA"/>
    <w:rsid w:val="787044F3"/>
    <w:rsid w:val="787D038F"/>
    <w:rsid w:val="787E1A12"/>
    <w:rsid w:val="788075B7"/>
    <w:rsid w:val="78833676"/>
    <w:rsid w:val="788F4CD8"/>
    <w:rsid w:val="78961451"/>
    <w:rsid w:val="789A1EB2"/>
    <w:rsid w:val="789A4299"/>
    <w:rsid w:val="789C4F47"/>
    <w:rsid w:val="78A23952"/>
    <w:rsid w:val="78A41524"/>
    <w:rsid w:val="78A4267C"/>
    <w:rsid w:val="78A90480"/>
    <w:rsid w:val="78A9515A"/>
    <w:rsid w:val="78AA6C17"/>
    <w:rsid w:val="78B57449"/>
    <w:rsid w:val="78B9315C"/>
    <w:rsid w:val="78C71F36"/>
    <w:rsid w:val="78CE672E"/>
    <w:rsid w:val="78D07A65"/>
    <w:rsid w:val="78DA41FD"/>
    <w:rsid w:val="78E41C74"/>
    <w:rsid w:val="78E93631"/>
    <w:rsid w:val="78FB54AB"/>
    <w:rsid w:val="79052133"/>
    <w:rsid w:val="790E0A48"/>
    <w:rsid w:val="790E47F2"/>
    <w:rsid w:val="790F15D8"/>
    <w:rsid w:val="791A3E30"/>
    <w:rsid w:val="791D14D6"/>
    <w:rsid w:val="79202744"/>
    <w:rsid w:val="79206F6D"/>
    <w:rsid w:val="79222C1C"/>
    <w:rsid w:val="79242349"/>
    <w:rsid w:val="79267909"/>
    <w:rsid w:val="792720A9"/>
    <w:rsid w:val="792A1B99"/>
    <w:rsid w:val="793C66E8"/>
    <w:rsid w:val="793D4162"/>
    <w:rsid w:val="793F59ED"/>
    <w:rsid w:val="79515378"/>
    <w:rsid w:val="79584959"/>
    <w:rsid w:val="795A422D"/>
    <w:rsid w:val="795F77BB"/>
    <w:rsid w:val="796C1E09"/>
    <w:rsid w:val="796E7CD8"/>
    <w:rsid w:val="7976453C"/>
    <w:rsid w:val="797C61D7"/>
    <w:rsid w:val="79811327"/>
    <w:rsid w:val="79814781"/>
    <w:rsid w:val="79874477"/>
    <w:rsid w:val="799040F2"/>
    <w:rsid w:val="79975481"/>
    <w:rsid w:val="79977FAB"/>
    <w:rsid w:val="79984104"/>
    <w:rsid w:val="799A287B"/>
    <w:rsid w:val="799E3102"/>
    <w:rsid w:val="79A556EC"/>
    <w:rsid w:val="79A812F3"/>
    <w:rsid w:val="79A9064C"/>
    <w:rsid w:val="79AC776C"/>
    <w:rsid w:val="79AD58A0"/>
    <w:rsid w:val="79B24A8C"/>
    <w:rsid w:val="79B31B8F"/>
    <w:rsid w:val="79B3393D"/>
    <w:rsid w:val="79B7335B"/>
    <w:rsid w:val="79BA2F1D"/>
    <w:rsid w:val="79BC7819"/>
    <w:rsid w:val="79C40A7D"/>
    <w:rsid w:val="79CC0A42"/>
    <w:rsid w:val="79CE5471"/>
    <w:rsid w:val="79D057BB"/>
    <w:rsid w:val="79D51B05"/>
    <w:rsid w:val="79D52942"/>
    <w:rsid w:val="79E47F9A"/>
    <w:rsid w:val="79EC37A7"/>
    <w:rsid w:val="79ED4F52"/>
    <w:rsid w:val="79F91C98"/>
    <w:rsid w:val="79F95D73"/>
    <w:rsid w:val="79FC4EF8"/>
    <w:rsid w:val="79FC5658"/>
    <w:rsid w:val="79FC7092"/>
    <w:rsid w:val="7A012D79"/>
    <w:rsid w:val="7A0E77CE"/>
    <w:rsid w:val="7A140B91"/>
    <w:rsid w:val="7A1D6CBC"/>
    <w:rsid w:val="7A285F33"/>
    <w:rsid w:val="7A364017"/>
    <w:rsid w:val="7A392E23"/>
    <w:rsid w:val="7A3E76AA"/>
    <w:rsid w:val="7A41302D"/>
    <w:rsid w:val="7A4332B0"/>
    <w:rsid w:val="7A4405B5"/>
    <w:rsid w:val="7A4C6E3E"/>
    <w:rsid w:val="7A522889"/>
    <w:rsid w:val="7A5C4371"/>
    <w:rsid w:val="7A5E2DE0"/>
    <w:rsid w:val="7A676C6B"/>
    <w:rsid w:val="7A6B5532"/>
    <w:rsid w:val="7A6B5787"/>
    <w:rsid w:val="7A7268B3"/>
    <w:rsid w:val="7A7807D4"/>
    <w:rsid w:val="7A795657"/>
    <w:rsid w:val="7A801DA9"/>
    <w:rsid w:val="7A8265E1"/>
    <w:rsid w:val="7A835B02"/>
    <w:rsid w:val="7A901B9B"/>
    <w:rsid w:val="7A945169"/>
    <w:rsid w:val="7A982F7B"/>
    <w:rsid w:val="7A9B277F"/>
    <w:rsid w:val="7AA16FA7"/>
    <w:rsid w:val="7AA32F54"/>
    <w:rsid w:val="7AA362A3"/>
    <w:rsid w:val="7AAF05A8"/>
    <w:rsid w:val="7AB931D5"/>
    <w:rsid w:val="7ABB6F9C"/>
    <w:rsid w:val="7ABF4882"/>
    <w:rsid w:val="7AC07493"/>
    <w:rsid w:val="7AC1031F"/>
    <w:rsid w:val="7AC27CB7"/>
    <w:rsid w:val="7AC65415"/>
    <w:rsid w:val="7AC82B35"/>
    <w:rsid w:val="7AD7365B"/>
    <w:rsid w:val="7ADA0F51"/>
    <w:rsid w:val="7ADA5799"/>
    <w:rsid w:val="7ADD6E04"/>
    <w:rsid w:val="7ADE59C1"/>
    <w:rsid w:val="7AE10FEC"/>
    <w:rsid w:val="7AE2272C"/>
    <w:rsid w:val="7AF31F72"/>
    <w:rsid w:val="7AF72914"/>
    <w:rsid w:val="7AFF65E0"/>
    <w:rsid w:val="7B0501C8"/>
    <w:rsid w:val="7B052AC1"/>
    <w:rsid w:val="7B05466C"/>
    <w:rsid w:val="7B122BFC"/>
    <w:rsid w:val="7B1810A1"/>
    <w:rsid w:val="7B223A78"/>
    <w:rsid w:val="7B260B59"/>
    <w:rsid w:val="7B2E7224"/>
    <w:rsid w:val="7B2F16E9"/>
    <w:rsid w:val="7B4D443B"/>
    <w:rsid w:val="7B5139E9"/>
    <w:rsid w:val="7B561E8D"/>
    <w:rsid w:val="7B575566"/>
    <w:rsid w:val="7B5E7201"/>
    <w:rsid w:val="7B5F5B2A"/>
    <w:rsid w:val="7B6322A3"/>
    <w:rsid w:val="7B686D42"/>
    <w:rsid w:val="7B7B193E"/>
    <w:rsid w:val="7B7E6285"/>
    <w:rsid w:val="7B801644"/>
    <w:rsid w:val="7B811F45"/>
    <w:rsid w:val="7B8137BD"/>
    <w:rsid w:val="7B826BE4"/>
    <w:rsid w:val="7B841746"/>
    <w:rsid w:val="7B937ECA"/>
    <w:rsid w:val="7B9559F0"/>
    <w:rsid w:val="7B9F386B"/>
    <w:rsid w:val="7BA13050"/>
    <w:rsid w:val="7BA15DC2"/>
    <w:rsid w:val="7BA473C1"/>
    <w:rsid w:val="7BB0554E"/>
    <w:rsid w:val="7BB37C24"/>
    <w:rsid w:val="7BB414A2"/>
    <w:rsid w:val="7BB67714"/>
    <w:rsid w:val="7BB8348D"/>
    <w:rsid w:val="7BBB4D2B"/>
    <w:rsid w:val="7BBC2665"/>
    <w:rsid w:val="7BC13ADC"/>
    <w:rsid w:val="7BCB1412"/>
    <w:rsid w:val="7BD52BAC"/>
    <w:rsid w:val="7BDC3BE6"/>
    <w:rsid w:val="7BE40AE0"/>
    <w:rsid w:val="7BE451FE"/>
    <w:rsid w:val="7BE81FC4"/>
    <w:rsid w:val="7BF35517"/>
    <w:rsid w:val="7BF53A86"/>
    <w:rsid w:val="7C0469D6"/>
    <w:rsid w:val="7C0A75AC"/>
    <w:rsid w:val="7C1B157D"/>
    <w:rsid w:val="7C221581"/>
    <w:rsid w:val="7C2267E4"/>
    <w:rsid w:val="7C250561"/>
    <w:rsid w:val="7C264DF2"/>
    <w:rsid w:val="7C273A78"/>
    <w:rsid w:val="7C29438A"/>
    <w:rsid w:val="7C2E374D"/>
    <w:rsid w:val="7C2E5873"/>
    <w:rsid w:val="7C2F1B55"/>
    <w:rsid w:val="7C347CA5"/>
    <w:rsid w:val="7C356EE6"/>
    <w:rsid w:val="7C3577A1"/>
    <w:rsid w:val="7C4371FA"/>
    <w:rsid w:val="7C442F72"/>
    <w:rsid w:val="7C460A98"/>
    <w:rsid w:val="7C474A74"/>
    <w:rsid w:val="7C490589"/>
    <w:rsid w:val="7C521C74"/>
    <w:rsid w:val="7C5225FD"/>
    <w:rsid w:val="7C546196"/>
    <w:rsid w:val="7C55517F"/>
    <w:rsid w:val="7C5A08E1"/>
    <w:rsid w:val="7C7D7AC1"/>
    <w:rsid w:val="7C7E73AF"/>
    <w:rsid w:val="7C8B5373"/>
    <w:rsid w:val="7C931FDD"/>
    <w:rsid w:val="7C96612F"/>
    <w:rsid w:val="7C9A0DE4"/>
    <w:rsid w:val="7C9A638B"/>
    <w:rsid w:val="7C9C4B5C"/>
    <w:rsid w:val="7CA004EA"/>
    <w:rsid w:val="7CA00EDB"/>
    <w:rsid w:val="7CA32F57"/>
    <w:rsid w:val="7CA87C02"/>
    <w:rsid w:val="7CAB2FF1"/>
    <w:rsid w:val="7CB41EA6"/>
    <w:rsid w:val="7CB45D52"/>
    <w:rsid w:val="7CB71996"/>
    <w:rsid w:val="7CBD33AC"/>
    <w:rsid w:val="7CC40FA8"/>
    <w:rsid w:val="7CC72903"/>
    <w:rsid w:val="7CC973C1"/>
    <w:rsid w:val="7CCA37A8"/>
    <w:rsid w:val="7CCB497F"/>
    <w:rsid w:val="7CD02C3D"/>
    <w:rsid w:val="7CD5012E"/>
    <w:rsid w:val="7CD52677"/>
    <w:rsid w:val="7CD93773"/>
    <w:rsid w:val="7CDD6705"/>
    <w:rsid w:val="7CE00EED"/>
    <w:rsid w:val="7CE47055"/>
    <w:rsid w:val="7CE56503"/>
    <w:rsid w:val="7CE64887"/>
    <w:rsid w:val="7CE87DA1"/>
    <w:rsid w:val="7CF12B66"/>
    <w:rsid w:val="7CF229CE"/>
    <w:rsid w:val="7CF36E72"/>
    <w:rsid w:val="7CF465B6"/>
    <w:rsid w:val="7CF84F17"/>
    <w:rsid w:val="7CFE5817"/>
    <w:rsid w:val="7CFF30F1"/>
    <w:rsid w:val="7D012C11"/>
    <w:rsid w:val="7D0239FF"/>
    <w:rsid w:val="7D040BDD"/>
    <w:rsid w:val="7D073473"/>
    <w:rsid w:val="7D2863F0"/>
    <w:rsid w:val="7D376633"/>
    <w:rsid w:val="7D3E2F69"/>
    <w:rsid w:val="7D4B5DBD"/>
    <w:rsid w:val="7D5176F5"/>
    <w:rsid w:val="7D5340E0"/>
    <w:rsid w:val="7D5A335E"/>
    <w:rsid w:val="7D5E40CD"/>
    <w:rsid w:val="7D645FF5"/>
    <w:rsid w:val="7D657F32"/>
    <w:rsid w:val="7D67516A"/>
    <w:rsid w:val="7D693BED"/>
    <w:rsid w:val="7D6A6A08"/>
    <w:rsid w:val="7D711055"/>
    <w:rsid w:val="7D72035C"/>
    <w:rsid w:val="7D741974"/>
    <w:rsid w:val="7D785BEE"/>
    <w:rsid w:val="7D7C6E29"/>
    <w:rsid w:val="7D851A94"/>
    <w:rsid w:val="7D8E24E0"/>
    <w:rsid w:val="7D920DFC"/>
    <w:rsid w:val="7D960323"/>
    <w:rsid w:val="7DA22646"/>
    <w:rsid w:val="7DA261A2"/>
    <w:rsid w:val="7DAB3AD3"/>
    <w:rsid w:val="7DAB6BA0"/>
    <w:rsid w:val="7DB90BF4"/>
    <w:rsid w:val="7DC75C09"/>
    <w:rsid w:val="7DCC321F"/>
    <w:rsid w:val="7DD341C9"/>
    <w:rsid w:val="7DDC5EB7"/>
    <w:rsid w:val="7DDF59BB"/>
    <w:rsid w:val="7DE1209C"/>
    <w:rsid w:val="7DF11FE2"/>
    <w:rsid w:val="7DF209FB"/>
    <w:rsid w:val="7DF22338"/>
    <w:rsid w:val="7DFD162B"/>
    <w:rsid w:val="7DFE7D8E"/>
    <w:rsid w:val="7DFF35F5"/>
    <w:rsid w:val="7E026C41"/>
    <w:rsid w:val="7E0E6087"/>
    <w:rsid w:val="7E0F7090"/>
    <w:rsid w:val="7E15558A"/>
    <w:rsid w:val="7E1A21DD"/>
    <w:rsid w:val="7E200DC1"/>
    <w:rsid w:val="7E207B70"/>
    <w:rsid w:val="7E256415"/>
    <w:rsid w:val="7E265C51"/>
    <w:rsid w:val="7E292420"/>
    <w:rsid w:val="7E2D0162"/>
    <w:rsid w:val="7E2D2AA2"/>
    <w:rsid w:val="7E2F14B7"/>
    <w:rsid w:val="7E335DDF"/>
    <w:rsid w:val="7E3A3D80"/>
    <w:rsid w:val="7E3C65F7"/>
    <w:rsid w:val="7E3F55B7"/>
    <w:rsid w:val="7E41356B"/>
    <w:rsid w:val="7E492AC2"/>
    <w:rsid w:val="7E494D70"/>
    <w:rsid w:val="7E4F1E48"/>
    <w:rsid w:val="7E5751DF"/>
    <w:rsid w:val="7E5E47BF"/>
    <w:rsid w:val="7E633B84"/>
    <w:rsid w:val="7E6671D0"/>
    <w:rsid w:val="7E6946A6"/>
    <w:rsid w:val="7E6C1441"/>
    <w:rsid w:val="7E6E7E08"/>
    <w:rsid w:val="7E710D86"/>
    <w:rsid w:val="7E7A43EA"/>
    <w:rsid w:val="7E882BF0"/>
    <w:rsid w:val="7E887099"/>
    <w:rsid w:val="7E896267"/>
    <w:rsid w:val="7E8A2EDA"/>
    <w:rsid w:val="7E915A0A"/>
    <w:rsid w:val="7E957AB5"/>
    <w:rsid w:val="7E971C40"/>
    <w:rsid w:val="7E977CD1"/>
    <w:rsid w:val="7E9F66BA"/>
    <w:rsid w:val="7EA03B2A"/>
    <w:rsid w:val="7EAC7AA2"/>
    <w:rsid w:val="7EB159CE"/>
    <w:rsid w:val="7EB44112"/>
    <w:rsid w:val="7EB541CC"/>
    <w:rsid w:val="7EB865F7"/>
    <w:rsid w:val="7EBD4AA7"/>
    <w:rsid w:val="7EBE4341"/>
    <w:rsid w:val="7EBF42F6"/>
    <w:rsid w:val="7EBF7725"/>
    <w:rsid w:val="7EC23181"/>
    <w:rsid w:val="7EC30AC6"/>
    <w:rsid w:val="7EC62364"/>
    <w:rsid w:val="7ECB7466"/>
    <w:rsid w:val="7ED176B9"/>
    <w:rsid w:val="7ED74981"/>
    <w:rsid w:val="7EDD2B5E"/>
    <w:rsid w:val="7EDD7F8F"/>
    <w:rsid w:val="7EE31E32"/>
    <w:rsid w:val="7EEB3B79"/>
    <w:rsid w:val="7EF50D3F"/>
    <w:rsid w:val="7EF667A6"/>
    <w:rsid w:val="7EFB30CA"/>
    <w:rsid w:val="7EFF4BBA"/>
    <w:rsid w:val="7F01339C"/>
    <w:rsid w:val="7F02055B"/>
    <w:rsid w:val="7F0F5064"/>
    <w:rsid w:val="7F126D72"/>
    <w:rsid w:val="7F186E10"/>
    <w:rsid w:val="7F1F5C20"/>
    <w:rsid w:val="7F255EA5"/>
    <w:rsid w:val="7F2B50E1"/>
    <w:rsid w:val="7F315562"/>
    <w:rsid w:val="7F403928"/>
    <w:rsid w:val="7F54171E"/>
    <w:rsid w:val="7F571CBF"/>
    <w:rsid w:val="7F5B485B"/>
    <w:rsid w:val="7F6A0F42"/>
    <w:rsid w:val="7F6A5162"/>
    <w:rsid w:val="7F6E0A32"/>
    <w:rsid w:val="7F72395F"/>
    <w:rsid w:val="7F746356"/>
    <w:rsid w:val="7F79249E"/>
    <w:rsid w:val="7F820039"/>
    <w:rsid w:val="7F912972"/>
    <w:rsid w:val="7F932247"/>
    <w:rsid w:val="7F9B416B"/>
    <w:rsid w:val="7FA04963"/>
    <w:rsid w:val="7FA3583F"/>
    <w:rsid w:val="7FA97CBC"/>
    <w:rsid w:val="7FAA5B1B"/>
    <w:rsid w:val="7FAC58A3"/>
    <w:rsid w:val="7FAF2DF8"/>
    <w:rsid w:val="7FB44E2B"/>
    <w:rsid w:val="7FB95E84"/>
    <w:rsid w:val="7FC00B62"/>
    <w:rsid w:val="7FC24778"/>
    <w:rsid w:val="7FCC7507"/>
    <w:rsid w:val="7FD03AFE"/>
    <w:rsid w:val="7FD30895"/>
    <w:rsid w:val="7FD33786"/>
    <w:rsid w:val="7FD655F4"/>
    <w:rsid w:val="7FDE632C"/>
    <w:rsid w:val="7FE47E50"/>
    <w:rsid w:val="7FE505C8"/>
    <w:rsid w:val="7FE70336"/>
    <w:rsid w:val="7FEA5BDF"/>
    <w:rsid w:val="7FEE3A55"/>
    <w:rsid w:val="7FF3224F"/>
    <w:rsid w:val="7FF82F7E"/>
    <w:rsid w:val="7FFC3109"/>
    <w:rsid w:val="7FFC31A6"/>
    <w:rsid w:val="7FFD0DEF"/>
    <w:rsid w:val="7FFF168A"/>
    <w:rsid w:val="FFFF5DA0"/>
  </w:rsids>
  <m:mathPr>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1"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iPriority="99"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99" w:name="annotation text"/>
    <w:lsdException w:qFormat="1" w:unhideWhenUsed="0" w:uiPriority="0" w:semiHidden="0" w:name="header"/>
    <w:lsdException w:qFormat="1" w:unhideWhenUsed="0" w:uiPriority="99" w:semiHidden="0" w:name="footer"/>
    <w:lsdException w:qFormat="1" w:uiPriority="99"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59" w:semiHidden="0" w:name="Table Grid"/>
    <w:lsdException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spacing w:before="100" w:beforeAutospacing="1" w:after="100" w:afterAutospacing="1"/>
      <w:jc w:val="left"/>
      <w:outlineLvl w:val="1"/>
    </w:pPr>
    <w:rPr>
      <w:rFonts w:hint="eastAsia" w:ascii="宋体" w:hAnsi="宋体" w:eastAsia="宋体" w:cs="宋体"/>
      <w:b/>
      <w:bCs/>
      <w:color w:val="000000"/>
      <w:spacing w:val="-11"/>
      <w:kern w:val="0"/>
      <w:sz w:val="36"/>
      <w:szCs w:val="36"/>
      <w:lang w:val="en-US" w:eastAsia="zh-CN" w:bidi="ar"/>
    </w:rPr>
  </w:style>
  <w:style w:type="paragraph" w:styleId="4">
    <w:name w:val="heading 3"/>
    <w:basedOn w:val="1"/>
    <w:next w:val="1"/>
    <w:qFormat/>
    <w:locked/>
    <w:uiPriority w:val="0"/>
    <w:pPr>
      <w:keepNext/>
      <w:keepLines/>
      <w:numPr>
        <w:ilvl w:val="2"/>
        <w:numId w:val="1"/>
      </w:numPr>
      <w:ind w:left="0" w:firstLine="0" w:firstLineChars="0"/>
      <w:outlineLvl w:val="2"/>
    </w:pPr>
    <w:rPr>
      <w:rFonts w:ascii="Times New Roman" w:hAnsi="Times New Roman" w:eastAsia="黑体" w:cs="Times New Roman"/>
      <w:b/>
      <w:bCs/>
      <w:sz w:val="28"/>
      <w:szCs w:val="32"/>
    </w:rPr>
  </w:style>
  <w:style w:type="paragraph" w:styleId="5">
    <w:name w:val="heading 4"/>
    <w:basedOn w:val="1"/>
    <w:next w:val="1"/>
    <w:link w:val="41"/>
    <w:qFormat/>
    <w:locked/>
    <w:uiPriority w:val="1"/>
    <w:pPr>
      <w:spacing w:before="322"/>
      <w:ind w:left="637" w:right="655"/>
      <w:jc w:val="center"/>
      <w:outlineLvl w:val="3"/>
    </w:pPr>
    <w:rPr>
      <w:rFonts w:ascii="仿宋_GB2312" w:hAnsi="仿宋_GB2312" w:eastAsia="仿宋_GB2312" w:cs="仿宋_GB2312"/>
      <w:sz w:val="36"/>
      <w:szCs w:val="36"/>
      <w:lang w:val="zh-CN" w:eastAsia="zh-CN" w:bidi="zh-CN"/>
    </w:rPr>
  </w:style>
  <w:style w:type="character" w:default="1" w:styleId="33">
    <w:name w:val="Default Paragraph Font"/>
    <w:semiHidden/>
    <w:qFormat/>
    <w:uiPriority w:val="0"/>
  </w:style>
  <w:style w:type="table" w:default="1" w:styleId="31">
    <w:name w:val="Normal Table"/>
    <w:semiHidden/>
    <w:qFormat/>
    <w:uiPriority w:val="0"/>
    <w:tblPr>
      <w:tblCellMar>
        <w:top w:w="0" w:type="dxa"/>
        <w:left w:w="108" w:type="dxa"/>
        <w:bottom w:w="0" w:type="dxa"/>
        <w:right w:w="108" w:type="dxa"/>
      </w:tblCellMar>
    </w:tblPr>
  </w:style>
  <w:style w:type="paragraph" w:styleId="6">
    <w:name w:val="Normal Indent"/>
    <w:basedOn w:val="1"/>
    <w:next w:val="1"/>
    <w:qFormat/>
    <w:uiPriority w:val="0"/>
    <w:pPr>
      <w:ind w:firstLine="420"/>
    </w:pPr>
    <w:rPr>
      <w:spacing w:val="12"/>
      <w:szCs w:val="20"/>
    </w:rPr>
  </w:style>
  <w:style w:type="paragraph" w:styleId="7">
    <w:name w:val="toa heading"/>
    <w:basedOn w:val="1"/>
    <w:next w:val="1"/>
    <w:qFormat/>
    <w:uiPriority w:val="0"/>
    <w:pPr>
      <w:spacing w:before="120" w:beforeLines="0" w:beforeAutospacing="0"/>
    </w:pPr>
  </w:style>
  <w:style w:type="paragraph" w:styleId="8">
    <w:name w:val="annotation text"/>
    <w:basedOn w:val="1"/>
    <w:link w:val="42"/>
    <w:semiHidden/>
    <w:qFormat/>
    <w:uiPriority w:val="99"/>
    <w:pPr>
      <w:jc w:val="left"/>
    </w:pPr>
    <w:rPr>
      <w:kern w:val="0"/>
      <w:sz w:val="20"/>
    </w:rPr>
  </w:style>
  <w:style w:type="paragraph" w:styleId="9">
    <w:name w:val="Body Text 3"/>
    <w:basedOn w:val="1"/>
    <w:qFormat/>
    <w:uiPriority w:val="0"/>
    <w:pPr>
      <w:spacing w:after="120"/>
    </w:pPr>
    <w:rPr>
      <w:sz w:val="16"/>
      <w:szCs w:val="16"/>
    </w:rPr>
  </w:style>
  <w:style w:type="paragraph" w:styleId="10">
    <w:name w:val="Body Text"/>
    <w:basedOn w:val="1"/>
    <w:link w:val="43"/>
    <w:qFormat/>
    <w:uiPriority w:val="0"/>
    <w:pPr>
      <w:widowControl/>
      <w:snapToGrid w:val="0"/>
      <w:spacing w:before="60" w:after="160" w:line="259" w:lineRule="auto"/>
      <w:ind w:right="113"/>
    </w:pPr>
    <w:rPr>
      <w:kern w:val="0"/>
      <w:sz w:val="18"/>
      <w:szCs w:val="18"/>
    </w:rPr>
  </w:style>
  <w:style w:type="paragraph" w:styleId="11">
    <w:name w:val="Body Text Indent"/>
    <w:basedOn w:val="1"/>
    <w:next w:val="12"/>
    <w:link w:val="44"/>
    <w:semiHidden/>
    <w:qFormat/>
    <w:uiPriority w:val="0"/>
    <w:pPr>
      <w:spacing w:after="120"/>
      <w:ind w:left="420" w:leftChars="200"/>
    </w:pPr>
  </w:style>
  <w:style w:type="paragraph" w:styleId="12">
    <w:name w:val="Body Text Indent 2"/>
    <w:basedOn w:val="1"/>
    <w:next w:val="13"/>
    <w:qFormat/>
    <w:uiPriority w:val="0"/>
    <w:pPr>
      <w:ind w:firstLine="624"/>
    </w:pPr>
    <w:rPr>
      <w:rFonts w:hint="eastAsia" w:ascii="楷体_GB2312" w:eastAsia="楷体_GB2312"/>
      <w:color w:val="000000"/>
      <w:sz w:val="30"/>
    </w:rPr>
  </w:style>
  <w:style w:type="paragraph" w:styleId="13">
    <w:name w:val="Body Text First Indent 2"/>
    <w:basedOn w:val="11"/>
    <w:next w:val="14"/>
    <w:link w:val="45"/>
    <w:qFormat/>
    <w:uiPriority w:val="0"/>
    <w:pPr>
      <w:spacing w:after="120"/>
      <w:ind w:left="420" w:firstLine="210"/>
    </w:pPr>
  </w:style>
  <w:style w:type="paragraph" w:styleId="14">
    <w:name w:val="Body Text First Indent"/>
    <w:basedOn w:val="10"/>
    <w:next w:val="1"/>
    <w:qFormat/>
    <w:uiPriority w:val="0"/>
    <w:pPr>
      <w:widowControl w:val="0"/>
      <w:ind w:firstLine="420" w:firstLineChars="100"/>
      <w:jc w:val="center"/>
    </w:pPr>
    <w:rPr>
      <w:rFonts w:ascii="Calibri" w:hAnsi="Calibri" w:eastAsia="宋体" w:cs="Times New Roman"/>
      <w:kern w:val="2"/>
      <w:sz w:val="32"/>
      <w:szCs w:val="24"/>
      <w:lang w:val="en-US" w:eastAsia="zh-CN" w:bidi="ar-SA"/>
    </w:rPr>
  </w:style>
  <w:style w:type="paragraph" w:styleId="15">
    <w:name w:val="Plain Text"/>
    <w:basedOn w:val="1"/>
    <w:link w:val="46"/>
    <w:qFormat/>
    <w:uiPriority w:val="0"/>
    <w:rPr>
      <w:rFonts w:hint="eastAsia" w:ascii="宋体" w:hAnsi="Courier New"/>
    </w:rPr>
  </w:style>
  <w:style w:type="paragraph" w:styleId="16">
    <w:name w:val="List Bullet 5"/>
    <w:basedOn w:val="1"/>
    <w:qFormat/>
    <w:uiPriority w:val="0"/>
    <w:pPr>
      <w:numPr>
        <w:ilvl w:val="0"/>
        <w:numId w:val="2"/>
      </w:numPr>
    </w:pPr>
  </w:style>
  <w:style w:type="paragraph" w:styleId="17">
    <w:name w:val="Date"/>
    <w:basedOn w:val="1"/>
    <w:next w:val="1"/>
    <w:link w:val="47"/>
    <w:qFormat/>
    <w:uiPriority w:val="0"/>
    <w:pPr>
      <w:ind w:left="100" w:leftChars="2500"/>
    </w:pPr>
    <w:rPr>
      <w:kern w:val="0"/>
      <w:sz w:val="20"/>
    </w:rPr>
  </w:style>
  <w:style w:type="paragraph" w:styleId="18">
    <w:name w:val="Balloon Text"/>
    <w:basedOn w:val="1"/>
    <w:link w:val="48"/>
    <w:semiHidden/>
    <w:qFormat/>
    <w:uiPriority w:val="0"/>
    <w:rPr>
      <w:sz w:val="18"/>
      <w:szCs w:val="18"/>
    </w:rPr>
  </w:style>
  <w:style w:type="paragraph" w:styleId="19">
    <w:name w:val="footer"/>
    <w:basedOn w:val="1"/>
    <w:link w:val="49"/>
    <w:qFormat/>
    <w:uiPriority w:val="99"/>
    <w:pPr>
      <w:tabs>
        <w:tab w:val="center" w:pos="4153"/>
        <w:tab w:val="right" w:pos="8306"/>
      </w:tabs>
      <w:snapToGrid w:val="0"/>
      <w:jc w:val="left"/>
    </w:pPr>
    <w:rPr>
      <w:sz w:val="18"/>
      <w:szCs w:val="18"/>
    </w:rPr>
  </w:style>
  <w:style w:type="paragraph" w:styleId="20">
    <w:name w:val="header"/>
    <w:basedOn w:val="1"/>
    <w:link w:val="50"/>
    <w:qFormat/>
    <w:uiPriority w:val="0"/>
    <w:pPr>
      <w:pBdr>
        <w:bottom w:val="single" w:color="auto" w:sz="6" w:space="1"/>
      </w:pBdr>
      <w:tabs>
        <w:tab w:val="center" w:pos="4153"/>
        <w:tab w:val="right" w:pos="8306"/>
      </w:tabs>
      <w:snapToGrid w:val="0"/>
      <w:jc w:val="center"/>
    </w:pPr>
    <w:rPr>
      <w:sz w:val="18"/>
      <w:szCs w:val="18"/>
    </w:rPr>
  </w:style>
  <w:style w:type="paragraph" w:styleId="21">
    <w:name w:val="toc 1"/>
    <w:basedOn w:val="1"/>
    <w:next w:val="1"/>
    <w:qFormat/>
    <w:locked/>
    <w:uiPriority w:val="39"/>
  </w:style>
  <w:style w:type="paragraph" w:styleId="22">
    <w:name w:val="index heading"/>
    <w:basedOn w:val="1"/>
    <w:next w:val="23"/>
    <w:unhideWhenUsed/>
    <w:qFormat/>
    <w:uiPriority w:val="99"/>
    <w:rPr>
      <w:rFonts w:ascii="Arial" w:hAnsi="Arial" w:cs="Arial"/>
      <w:b/>
      <w:bCs/>
    </w:rPr>
  </w:style>
  <w:style w:type="paragraph" w:styleId="23">
    <w:name w:val="index 1"/>
    <w:basedOn w:val="1"/>
    <w:next w:val="1"/>
    <w:unhideWhenUsed/>
    <w:qFormat/>
    <w:uiPriority w:val="99"/>
    <w:pPr>
      <w:adjustRightInd w:val="0"/>
      <w:snapToGrid w:val="0"/>
      <w:spacing w:line="440" w:lineRule="atLeast"/>
      <w:ind w:left="240" w:hanging="240"/>
      <w:jc w:val="left"/>
    </w:pPr>
    <w:rPr>
      <w:rFonts w:ascii="宋体"/>
      <w:sz w:val="18"/>
      <w:szCs w:val="18"/>
    </w:rPr>
  </w:style>
  <w:style w:type="paragraph" w:styleId="24">
    <w:name w:val="List"/>
    <w:basedOn w:val="1"/>
    <w:qFormat/>
    <w:uiPriority w:val="0"/>
    <w:pPr>
      <w:adjustRightInd w:val="0"/>
      <w:spacing w:line="460" w:lineRule="exact"/>
      <w:ind w:left="1276" w:hanging="425"/>
      <w:jc w:val="left"/>
      <w:textAlignment w:val="baseline"/>
    </w:pPr>
    <w:rPr>
      <w:kern w:val="0"/>
      <w:sz w:val="24"/>
      <w:szCs w:val="20"/>
    </w:rPr>
  </w:style>
  <w:style w:type="paragraph" w:styleId="25">
    <w:name w:val="Body Text Indent 3"/>
    <w:basedOn w:val="1"/>
    <w:qFormat/>
    <w:uiPriority w:val="0"/>
    <w:pPr>
      <w:spacing w:line="580" w:lineRule="exact"/>
      <w:ind w:firstLine="555"/>
    </w:pPr>
    <w:rPr>
      <w:rFonts w:ascii="楷体_GB2312" w:eastAsia="楷体_GB2312"/>
      <w:sz w:val="28"/>
    </w:rPr>
  </w:style>
  <w:style w:type="paragraph" w:styleId="26">
    <w:name w:val="toc 2"/>
    <w:basedOn w:val="1"/>
    <w:next w:val="1"/>
    <w:qFormat/>
    <w:locked/>
    <w:uiPriority w:val="39"/>
    <w:pPr>
      <w:ind w:left="420" w:leftChars="200"/>
    </w:pPr>
  </w:style>
  <w:style w:type="paragraph" w:styleId="27">
    <w:name w:val="Body Text 2"/>
    <w:basedOn w:val="1"/>
    <w:qFormat/>
    <w:uiPriority w:val="0"/>
    <w:pPr>
      <w:spacing w:line="360" w:lineRule="auto"/>
    </w:pPr>
  </w:style>
  <w:style w:type="paragraph" w:styleId="28">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9">
    <w:name w:val="Normal (Web)"/>
    <w:basedOn w:val="1"/>
    <w:link w:val="51"/>
    <w:qFormat/>
    <w:uiPriority w:val="0"/>
    <w:pPr>
      <w:widowControl/>
      <w:spacing w:before="100" w:beforeAutospacing="1" w:after="100" w:afterAutospacing="1"/>
      <w:jc w:val="left"/>
    </w:pPr>
    <w:rPr>
      <w:rFonts w:ascii="宋体" w:hAnsi="宋体"/>
      <w:kern w:val="0"/>
      <w:sz w:val="24"/>
    </w:rPr>
  </w:style>
  <w:style w:type="paragraph" w:styleId="30">
    <w:name w:val="annotation subject"/>
    <w:basedOn w:val="8"/>
    <w:next w:val="8"/>
    <w:link w:val="52"/>
    <w:semiHidden/>
    <w:qFormat/>
    <w:uiPriority w:val="0"/>
    <w:rPr>
      <w:b/>
      <w:bCs/>
    </w:rPr>
  </w:style>
  <w:style w:type="table" w:styleId="32">
    <w:name w:val="Table Grid"/>
    <w:basedOn w:val="31"/>
    <w:qFormat/>
    <w:uiPriority w:val="5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page number"/>
    <w:qFormat/>
    <w:uiPriority w:val="0"/>
  </w:style>
  <w:style w:type="character" w:styleId="35">
    <w:name w:val="FollowedHyperlink"/>
    <w:qFormat/>
    <w:uiPriority w:val="0"/>
    <w:rPr>
      <w:color w:val="545454"/>
      <w:u w:val="none"/>
    </w:rPr>
  </w:style>
  <w:style w:type="character" w:styleId="36">
    <w:name w:val="Emphasis"/>
    <w:qFormat/>
    <w:locked/>
    <w:uiPriority w:val="0"/>
  </w:style>
  <w:style w:type="character" w:styleId="37">
    <w:name w:val="Hyperlink"/>
    <w:qFormat/>
    <w:uiPriority w:val="99"/>
    <w:rPr>
      <w:color w:val="545454"/>
      <w:u w:val="none"/>
    </w:rPr>
  </w:style>
  <w:style w:type="character" w:styleId="38">
    <w:name w:val="annotation reference"/>
    <w:semiHidden/>
    <w:qFormat/>
    <w:uiPriority w:val="99"/>
    <w:rPr>
      <w:sz w:val="21"/>
    </w:rPr>
  </w:style>
  <w:style w:type="character" w:styleId="39">
    <w:name w:val="HTML Cite"/>
    <w:qFormat/>
    <w:uiPriority w:val="0"/>
  </w:style>
  <w:style w:type="paragraph" w:customStyle="1" w:styleId="40">
    <w:name w:val="Date1"/>
    <w:basedOn w:val="1"/>
    <w:next w:val="1"/>
    <w:qFormat/>
    <w:uiPriority w:val="0"/>
    <w:pPr>
      <w:adjustRightInd w:val="0"/>
      <w:jc w:val="left"/>
      <w:textAlignment w:val="baseline"/>
    </w:pPr>
    <w:rPr>
      <w:rFonts w:ascii="宋体" w:hAnsi="宋体"/>
      <w:sz w:val="28"/>
      <w:szCs w:val="20"/>
    </w:rPr>
  </w:style>
  <w:style w:type="character" w:customStyle="1" w:styleId="41">
    <w:name w:val="标题 4 字符"/>
    <w:link w:val="5"/>
    <w:qFormat/>
    <w:uiPriority w:val="0"/>
    <w:rPr>
      <w:rFonts w:ascii="仿宋_GB2312" w:hAnsi="仿宋_GB2312" w:eastAsia="仿宋_GB2312" w:cs="仿宋_GB2312"/>
      <w:sz w:val="36"/>
      <w:szCs w:val="36"/>
      <w:lang w:val="zh-CN" w:eastAsia="zh-CN" w:bidi="zh-CN"/>
    </w:rPr>
  </w:style>
  <w:style w:type="character" w:customStyle="1" w:styleId="42">
    <w:name w:val="批注文字 Char"/>
    <w:link w:val="8"/>
    <w:qFormat/>
    <w:locked/>
    <w:uiPriority w:val="99"/>
    <w:rPr>
      <w:rFonts w:ascii="Times New Roman" w:hAnsi="Times New Roman" w:eastAsia="宋体"/>
      <w:sz w:val="24"/>
    </w:rPr>
  </w:style>
  <w:style w:type="character" w:customStyle="1" w:styleId="43">
    <w:name w:val="正文文本 Char"/>
    <w:link w:val="10"/>
    <w:qFormat/>
    <w:locked/>
    <w:uiPriority w:val="0"/>
    <w:rPr>
      <w:sz w:val="18"/>
    </w:rPr>
  </w:style>
  <w:style w:type="character" w:customStyle="1" w:styleId="44">
    <w:name w:val="正文文本缩进 Char"/>
    <w:link w:val="11"/>
    <w:semiHidden/>
    <w:qFormat/>
    <w:locked/>
    <w:uiPriority w:val="0"/>
    <w:rPr>
      <w:rFonts w:ascii="Times New Roman" w:hAnsi="Times New Roman" w:eastAsia="宋体" w:cs="Times New Roman"/>
      <w:sz w:val="24"/>
      <w:szCs w:val="24"/>
    </w:rPr>
  </w:style>
  <w:style w:type="character" w:customStyle="1" w:styleId="45">
    <w:name w:val="正文首行缩进 2 Char"/>
    <w:link w:val="13"/>
    <w:qFormat/>
    <w:uiPriority w:val="0"/>
    <w:rPr>
      <w:kern w:val="2"/>
      <w:sz w:val="21"/>
      <w:szCs w:val="24"/>
    </w:rPr>
  </w:style>
  <w:style w:type="character" w:customStyle="1" w:styleId="46">
    <w:name w:val="纯文本 Char"/>
    <w:link w:val="15"/>
    <w:qFormat/>
    <w:uiPriority w:val="0"/>
    <w:rPr>
      <w:rFonts w:ascii="宋体" w:hAnsi="Courier New"/>
      <w:kern w:val="2"/>
      <w:sz w:val="21"/>
      <w:szCs w:val="24"/>
    </w:rPr>
  </w:style>
  <w:style w:type="character" w:customStyle="1" w:styleId="47">
    <w:name w:val="日期 Char"/>
    <w:link w:val="17"/>
    <w:qFormat/>
    <w:locked/>
    <w:uiPriority w:val="0"/>
    <w:rPr>
      <w:rFonts w:ascii="Times New Roman" w:hAnsi="Times New Roman" w:eastAsia="宋体"/>
      <w:sz w:val="24"/>
    </w:rPr>
  </w:style>
  <w:style w:type="character" w:customStyle="1" w:styleId="48">
    <w:name w:val="批注框文本 Char"/>
    <w:link w:val="18"/>
    <w:semiHidden/>
    <w:qFormat/>
    <w:locked/>
    <w:uiPriority w:val="0"/>
    <w:rPr>
      <w:rFonts w:ascii="Times New Roman" w:hAnsi="Times New Roman" w:eastAsia="宋体" w:cs="Times New Roman"/>
      <w:sz w:val="18"/>
      <w:szCs w:val="18"/>
    </w:rPr>
  </w:style>
  <w:style w:type="character" w:customStyle="1" w:styleId="49">
    <w:name w:val="页脚 Char"/>
    <w:link w:val="19"/>
    <w:qFormat/>
    <w:locked/>
    <w:uiPriority w:val="99"/>
    <w:rPr>
      <w:rFonts w:cs="Times New Roman"/>
      <w:sz w:val="18"/>
      <w:szCs w:val="18"/>
    </w:rPr>
  </w:style>
  <w:style w:type="character" w:customStyle="1" w:styleId="50">
    <w:name w:val="页眉 Char"/>
    <w:link w:val="20"/>
    <w:qFormat/>
    <w:locked/>
    <w:uiPriority w:val="0"/>
    <w:rPr>
      <w:rFonts w:cs="Times New Roman"/>
      <w:sz w:val="18"/>
      <w:szCs w:val="18"/>
    </w:rPr>
  </w:style>
  <w:style w:type="character" w:customStyle="1" w:styleId="51">
    <w:name w:val="普通(网站) Char1"/>
    <w:link w:val="29"/>
    <w:qFormat/>
    <w:locked/>
    <w:uiPriority w:val="0"/>
    <w:rPr>
      <w:rFonts w:ascii="宋体" w:hAnsi="宋体" w:eastAsia="宋体"/>
      <w:sz w:val="24"/>
    </w:rPr>
  </w:style>
  <w:style w:type="character" w:customStyle="1" w:styleId="52">
    <w:name w:val="批注主题 Char"/>
    <w:link w:val="30"/>
    <w:semiHidden/>
    <w:qFormat/>
    <w:locked/>
    <w:uiPriority w:val="0"/>
    <w:rPr>
      <w:rFonts w:ascii="Times New Roman" w:hAnsi="Times New Roman" w:eastAsia="宋体" w:cs="Times New Roman"/>
      <w:b/>
      <w:bCs/>
      <w:kern w:val="2"/>
      <w:sz w:val="24"/>
      <w:szCs w:val="24"/>
    </w:rPr>
  </w:style>
  <w:style w:type="paragraph" w:customStyle="1" w:styleId="53">
    <w:name w:val="正文（缩进）"/>
    <w:basedOn w:val="54"/>
    <w:next w:val="1"/>
    <w:qFormat/>
    <w:uiPriority w:val="99"/>
    <w:pPr>
      <w:ind w:firstLine="480"/>
    </w:pPr>
    <w:rPr>
      <w:rFonts w:ascii="Times New Roman" w:hAnsi="Times New Roman" w:cs="Times New Roman"/>
      <w:sz w:val="24"/>
      <w:szCs w:val="24"/>
    </w:rPr>
  </w:style>
  <w:style w:type="paragraph" w:customStyle="1" w:styleId="54">
    <w:name w:val="正文(首行缩进)"/>
    <w:basedOn w:val="1"/>
    <w:semiHidden/>
    <w:qFormat/>
    <w:uiPriority w:val="0"/>
    <w:pPr>
      <w:ind w:firstLine="453" w:firstLineChars="200"/>
    </w:pPr>
    <w:rPr>
      <w:kern w:val="24"/>
      <w:sz w:val="24"/>
    </w:rPr>
  </w:style>
  <w:style w:type="paragraph" w:customStyle="1" w:styleId="55">
    <w:name w:val="表格"/>
    <w:basedOn w:val="6"/>
    <w:next w:val="1"/>
    <w:link w:val="56"/>
    <w:qFormat/>
    <w:uiPriority w:val="0"/>
    <w:pPr>
      <w:adjustRightInd w:val="0"/>
      <w:snapToGrid w:val="0"/>
      <w:spacing w:beforeLines="10" w:afterLines="10" w:line="259" w:lineRule="auto"/>
      <w:jc w:val="center"/>
    </w:pPr>
    <w:rPr>
      <w:rFonts w:ascii="宋体"/>
      <w:kern w:val="0"/>
      <w:sz w:val="20"/>
      <w:szCs w:val="21"/>
    </w:rPr>
  </w:style>
  <w:style w:type="character" w:customStyle="1" w:styleId="56">
    <w:name w:val="表格 Char"/>
    <w:link w:val="55"/>
    <w:qFormat/>
    <w:locked/>
    <w:uiPriority w:val="0"/>
    <w:rPr>
      <w:rFonts w:ascii="宋体"/>
      <w:sz w:val="21"/>
    </w:rPr>
  </w:style>
  <w:style w:type="paragraph" w:customStyle="1" w:styleId="57">
    <w:name w:val="表头"/>
    <w:basedOn w:val="24"/>
    <w:next w:val="1"/>
    <w:qFormat/>
    <w:uiPriority w:val="0"/>
    <w:pPr>
      <w:adjustRightInd w:val="0"/>
      <w:snapToGrid w:val="0"/>
      <w:spacing w:line="440" w:lineRule="atLeast"/>
    </w:pPr>
    <w:rPr>
      <w:rFonts w:ascii="黑体" w:eastAsia="黑体"/>
      <w:snapToGrid w:val="0"/>
      <w:sz w:val="24"/>
      <w:szCs w:val="20"/>
    </w:rPr>
  </w:style>
  <w:style w:type="character" w:customStyle="1" w:styleId="58">
    <w:name w:val="日期 字符"/>
    <w:semiHidden/>
    <w:qFormat/>
    <w:uiPriority w:val="0"/>
    <w:rPr>
      <w:rFonts w:ascii="Times New Roman" w:hAnsi="Times New Roman" w:eastAsia="宋体" w:cs="Times New Roman"/>
      <w:sz w:val="24"/>
      <w:szCs w:val="24"/>
    </w:rPr>
  </w:style>
  <w:style w:type="character" w:customStyle="1" w:styleId="59">
    <w:name w:val="普通(网站) Char"/>
    <w:qFormat/>
    <w:locked/>
    <w:uiPriority w:val="0"/>
    <w:rPr>
      <w:rFonts w:ascii="宋体" w:hAnsi="宋体" w:eastAsia="宋体"/>
      <w:sz w:val="24"/>
    </w:rPr>
  </w:style>
  <w:style w:type="character" w:customStyle="1" w:styleId="60">
    <w:name w:val="批注文字 字符1"/>
    <w:semiHidden/>
    <w:qFormat/>
    <w:uiPriority w:val="0"/>
    <w:rPr>
      <w:rFonts w:ascii="Times New Roman" w:hAnsi="Times New Roman" w:eastAsia="宋体" w:cs="Times New Roman"/>
      <w:sz w:val="24"/>
      <w:szCs w:val="24"/>
    </w:rPr>
  </w:style>
  <w:style w:type="character" w:customStyle="1" w:styleId="61">
    <w:name w:val="正文文本 + 粗体"/>
    <w:qFormat/>
    <w:uiPriority w:val="0"/>
    <w:rPr>
      <w:rFonts w:ascii="MingLiU-ExtB" w:hAnsi="MingLiU-ExtB" w:eastAsia="MingLiU-ExtB" w:cs="MingLiU-ExtB"/>
      <w:b/>
      <w:bCs/>
      <w:color w:val="000000"/>
      <w:spacing w:val="-4"/>
      <w:w w:val="100"/>
      <w:position w:val="0"/>
      <w:sz w:val="19"/>
      <w:szCs w:val="19"/>
      <w:u w:val="none"/>
      <w:lang w:val="en-US"/>
    </w:rPr>
  </w:style>
  <w:style w:type="character" w:customStyle="1" w:styleId="62">
    <w:name w:val="NormalCharacter"/>
    <w:semiHidden/>
    <w:qFormat/>
    <w:uiPriority w:val="0"/>
  </w:style>
  <w:style w:type="character" w:customStyle="1" w:styleId="63">
    <w:name w:val="正文文本 字符1"/>
    <w:semiHidden/>
    <w:qFormat/>
    <w:uiPriority w:val="0"/>
    <w:rPr>
      <w:rFonts w:ascii="Times New Roman" w:hAnsi="Times New Roman" w:eastAsia="宋体" w:cs="Times New Roman"/>
      <w:sz w:val="24"/>
      <w:szCs w:val="24"/>
    </w:rPr>
  </w:style>
  <w:style w:type="paragraph" w:customStyle="1" w:styleId="64">
    <w:name w:val="样式 首行缩进:  2 字符1"/>
    <w:basedOn w:val="1"/>
    <w:qFormat/>
    <w:uiPriority w:val="0"/>
    <w:pPr>
      <w:adjustRightInd w:val="0"/>
      <w:snapToGrid w:val="0"/>
      <w:spacing w:line="360" w:lineRule="auto"/>
      <w:ind w:firstLine="200" w:firstLineChars="200"/>
    </w:pPr>
    <w:rPr>
      <w:rFonts w:ascii="仿宋_GB2312" w:eastAsia="仿宋_GB2312"/>
      <w:sz w:val="28"/>
      <w:szCs w:val="20"/>
    </w:rPr>
  </w:style>
  <w:style w:type="paragraph" w:customStyle="1" w:styleId="6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6">
    <w:name w:val="Default"/>
    <w:basedOn w:val="67"/>
    <w:qFormat/>
    <w:uiPriority w:val="0"/>
    <w:pPr>
      <w:widowControl w:val="0"/>
      <w:autoSpaceDE w:val="0"/>
      <w:autoSpaceDN w:val="0"/>
    </w:pPr>
    <w:rPr>
      <w:rFonts w:hint="eastAsia" w:ascii="宋体" w:hAnsi="宋体"/>
      <w:color w:val="000000"/>
      <w:sz w:val="24"/>
      <w:lang w:val="en-US" w:eastAsia="zh-CN" w:bidi="ar-SA"/>
    </w:rPr>
  </w:style>
  <w:style w:type="paragraph" w:customStyle="1" w:styleId="67">
    <w:name w:val="标题 段落4级"/>
    <w:qFormat/>
    <w:uiPriority w:val="0"/>
    <w:pPr>
      <w:spacing w:line="500" w:lineRule="exact"/>
      <w:outlineLvl w:val="3"/>
    </w:pPr>
    <w:rPr>
      <w:rFonts w:ascii="等线" w:hAnsi="等线" w:eastAsia="仿宋_GB2312" w:cs="Calibri"/>
      <w:b/>
      <w:kern w:val="2"/>
      <w:sz w:val="28"/>
      <w:szCs w:val="24"/>
      <w:lang w:val="en-US" w:eastAsia="zh-CN" w:bidi="ar-SA"/>
    </w:rPr>
  </w:style>
  <w:style w:type="paragraph" w:customStyle="1" w:styleId="68">
    <w:name w:val="样式1"/>
    <w:basedOn w:val="22"/>
    <w:next w:val="1"/>
    <w:qFormat/>
    <w:uiPriority w:val="0"/>
    <w:pPr>
      <w:ind w:firstLine="0"/>
    </w:pPr>
    <w:rPr>
      <w:rFonts w:ascii="Times New Roman"/>
      <w:b w:val="0"/>
      <w:sz w:val="30"/>
      <w:szCs w:val="30"/>
    </w:rPr>
  </w:style>
  <w:style w:type="paragraph" w:customStyle="1" w:styleId="69">
    <w:name w:val="4正文"/>
    <w:basedOn w:val="1"/>
    <w:unhideWhenUsed/>
    <w:qFormat/>
    <w:uiPriority w:val="99"/>
    <w:pPr>
      <w:ind w:firstLine="480"/>
    </w:pPr>
    <w:rPr>
      <w:rFonts w:ascii="Calibri" w:hAnsi="Calibri"/>
      <w:szCs w:val="22"/>
    </w:rPr>
  </w:style>
  <w:style w:type="paragraph" w:customStyle="1" w:styleId="70">
    <w:name w:val="标题4-4"/>
    <w:basedOn w:val="1"/>
    <w:qFormat/>
    <w:uiPriority w:val="0"/>
    <w:pPr>
      <w:tabs>
        <w:tab w:val="left" w:pos="360"/>
      </w:tabs>
      <w:snapToGrid w:val="0"/>
      <w:spacing w:line="360" w:lineRule="auto"/>
      <w:jc w:val="both"/>
      <w:textAlignment w:val="auto"/>
    </w:pPr>
    <w:rPr>
      <w:rFonts w:ascii="宋体" w:hAnsi="宋体" w:eastAsia="宋体"/>
      <w:sz w:val="24"/>
      <w:szCs w:val="24"/>
    </w:rPr>
  </w:style>
  <w:style w:type="paragraph" w:customStyle="1" w:styleId="71">
    <w:name w:val="Table Paragraph"/>
    <w:basedOn w:val="1"/>
    <w:qFormat/>
    <w:uiPriority w:val="1"/>
    <w:pPr>
      <w:autoSpaceDE w:val="0"/>
      <w:autoSpaceDN w:val="0"/>
      <w:adjustRightInd w:val="0"/>
      <w:jc w:val="left"/>
    </w:pPr>
    <w:rPr>
      <w:rFonts w:eastAsia="宋体"/>
      <w:color w:val="auto"/>
      <w:kern w:val="0"/>
      <w:sz w:val="24"/>
      <w:szCs w:val="24"/>
    </w:rPr>
  </w:style>
  <w:style w:type="paragraph" w:customStyle="1" w:styleId="72">
    <w:name w:val="_Style 8"/>
    <w:qFormat/>
    <w:uiPriority w:val="0"/>
    <w:pPr>
      <w:widowControl w:val="0"/>
      <w:adjustRightInd w:val="0"/>
      <w:ind w:firstLine="200" w:firstLineChars="200"/>
      <w:jc w:val="center"/>
    </w:pPr>
    <w:rPr>
      <w:rFonts w:ascii="Times New Roman" w:hAnsi="Times New Roman" w:eastAsia="宋体" w:cs="Times New Roman"/>
      <w:b/>
      <w:kern w:val="2"/>
      <w:sz w:val="21"/>
      <w:szCs w:val="22"/>
      <w:lang w:val="en-US" w:eastAsia="zh-CN" w:bidi="ar-SA"/>
    </w:rPr>
  </w:style>
  <w:style w:type="paragraph" w:customStyle="1" w:styleId="73">
    <w:name w:val="表格文字   居中"/>
    <w:basedOn w:val="1"/>
    <w:qFormat/>
    <w:uiPriority w:val="0"/>
    <w:pPr>
      <w:shd w:val="clear" w:color="auto" w:fill="FFFFFF"/>
      <w:adjustRightInd w:val="0"/>
      <w:snapToGrid w:val="0"/>
      <w:jc w:val="center"/>
    </w:pPr>
    <w:rPr>
      <w:kern w:val="0"/>
      <w:szCs w:val="21"/>
    </w:rPr>
  </w:style>
  <w:style w:type="paragraph" w:customStyle="1" w:styleId="74">
    <w:name w:val="p0"/>
    <w:basedOn w:val="1"/>
    <w:qFormat/>
    <w:uiPriority w:val="0"/>
    <w:pPr>
      <w:widowControl/>
    </w:pPr>
    <w:rPr>
      <w:kern w:val="0"/>
      <w:szCs w:val="21"/>
    </w:rPr>
  </w:style>
  <w:style w:type="paragraph" w:customStyle="1" w:styleId="75">
    <w:name w:val="样式 首行缩进:  1.92 字符"/>
    <w:basedOn w:val="1"/>
    <w:qFormat/>
    <w:uiPriority w:val="0"/>
    <w:pPr>
      <w:adjustRightInd w:val="0"/>
      <w:snapToGrid w:val="0"/>
      <w:spacing w:line="360" w:lineRule="auto"/>
      <w:ind w:firstLine="200" w:firstLineChars="200"/>
    </w:pPr>
    <w:rPr>
      <w:rFonts w:eastAsia="仿宋_GB2312" w:cs="宋体"/>
      <w:sz w:val="28"/>
      <w:szCs w:val="20"/>
    </w:rPr>
  </w:style>
  <w:style w:type="paragraph" w:customStyle="1" w:styleId="76">
    <w:name w:val="正文文本缩进1"/>
    <w:basedOn w:val="1"/>
    <w:qFormat/>
    <w:uiPriority w:val="0"/>
    <w:pPr>
      <w:spacing w:line="440" w:lineRule="exact"/>
      <w:ind w:firstLine="527"/>
    </w:pPr>
  </w:style>
  <w:style w:type="paragraph" w:customStyle="1" w:styleId="77">
    <w:name w:val="正文_两端对齐"/>
    <w:basedOn w:val="1"/>
    <w:qFormat/>
    <w:uiPriority w:val="0"/>
    <w:pPr>
      <w:jc w:val="both"/>
    </w:pPr>
  </w:style>
  <w:style w:type="paragraph" w:customStyle="1" w:styleId="78">
    <w:name w:val="样式"/>
    <w:qFormat/>
    <w:uiPriority w:val="0"/>
    <w:pPr>
      <w:widowControl w:val="0"/>
      <w:autoSpaceDE w:val="0"/>
      <w:autoSpaceDN w:val="0"/>
      <w:adjustRightInd w:val="0"/>
    </w:pPr>
    <w:rPr>
      <w:rFonts w:ascii="宋体" w:hAnsi="宋体" w:eastAsia="宋体" w:cs="Times New Roman"/>
      <w:sz w:val="21"/>
      <w:szCs w:val="22"/>
      <w:lang w:val="en-US" w:eastAsia="zh-CN" w:bidi="ar-SA"/>
    </w:rPr>
  </w:style>
  <w:style w:type="paragraph" w:styleId="79">
    <w:name w:val="No Spacing"/>
    <w:qFormat/>
    <w:uiPriority w:val="0"/>
    <w:pPr>
      <w:widowControl w:val="0"/>
      <w:adjustRightInd w:val="0"/>
      <w:ind w:firstLine="200" w:firstLineChars="200"/>
      <w:jc w:val="center"/>
    </w:pPr>
    <w:rPr>
      <w:rFonts w:ascii="Times New Roman" w:hAnsi="Times New Roman" w:eastAsia="宋体" w:cs="Times New Roman"/>
      <w:b/>
      <w:kern w:val="2"/>
      <w:sz w:val="21"/>
      <w:szCs w:val="22"/>
      <w:lang w:val="en-US" w:eastAsia="zh-CN" w:bidi="ar-SA"/>
    </w:rPr>
  </w:style>
  <w:style w:type="paragraph" w:customStyle="1" w:styleId="80">
    <w:name w:val="正文（报告表）_"/>
    <w:basedOn w:val="1"/>
    <w:qFormat/>
    <w:uiPriority w:val="0"/>
    <w:pPr>
      <w:spacing w:line="400" w:lineRule="atLeast"/>
      <w:ind w:firstLine="200" w:firstLineChars="200"/>
    </w:pPr>
    <w:rPr>
      <w:sz w:val="24"/>
    </w:rPr>
  </w:style>
  <w:style w:type="paragraph" w:customStyle="1" w:styleId="81">
    <w:name w:val="_Style 5"/>
    <w:qFormat/>
    <w:uiPriority w:val="0"/>
    <w:pPr>
      <w:widowControl w:val="0"/>
      <w:adjustRightInd w:val="0"/>
      <w:ind w:firstLine="200" w:firstLineChars="200"/>
      <w:jc w:val="center"/>
    </w:pPr>
    <w:rPr>
      <w:rFonts w:ascii="Times New Roman" w:hAnsi="Times New Roman" w:eastAsia="宋体" w:cs="Times New Roman"/>
      <w:b/>
      <w:kern w:val="2"/>
      <w:sz w:val="21"/>
      <w:szCs w:val="22"/>
      <w:lang w:val="en-US" w:eastAsia="zh-CN" w:bidi="ar-SA"/>
    </w:rPr>
  </w:style>
  <w:style w:type="paragraph" w:customStyle="1" w:styleId="82">
    <w:name w:val="图片"/>
    <w:basedOn w:val="1"/>
    <w:qFormat/>
    <w:uiPriority w:val="0"/>
    <w:pPr>
      <w:spacing w:line="240" w:lineRule="auto"/>
      <w:jc w:val="both"/>
    </w:pPr>
    <w:rPr>
      <w:sz w:val="28"/>
    </w:rPr>
  </w:style>
  <w:style w:type="table" w:customStyle="1" w:styleId="83">
    <w:name w:val="Table Normal"/>
    <w:unhideWhenUsed/>
    <w:qFormat/>
    <w:uiPriority w:val="0"/>
    <w:rPr>
      <w:rFonts w:ascii="Arial" w:hAnsi="Arial" w:cs="Arial"/>
      <w:lang w:val="en-US" w:eastAsia="zh-CN" w:bidi="ar-SA"/>
    </w:rPr>
    <w:tblPr>
      <w:tblCellMar>
        <w:top w:w="0" w:type="dxa"/>
        <w:left w:w="0" w:type="dxa"/>
        <w:bottom w:w="0" w:type="dxa"/>
        <w:right w:w="0" w:type="dxa"/>
      </w:tblCellMar>
    </w:tblPr>
  </w:style>
  <w:style w:type="paragraph" w:customStyle="1" w:styleId="84">
    <w:name w:val="正文文本 (2)"/>
    <w:basedOn w:val="1"/>
    <w:link w:val="85"/>
    <w:qFormat/>
    <w:uiPriority w:val="0"/>
    <w:pPr>
      <w:shd w:val="clear" w:color="auto" w:fill="FFFFFF"/>
    </w:pPr>
    <w:rPr>
      <w:rFonts w:eastAsia="Times New Roman"/>
      <w:sz w:val="20"/>
      <w:szCs w:val="20"/>
    </w:rPr>
  </w:style>
  <w:style w:type="character" w:customStyle="1" w:styleId="85">
    <w:name w:val="正文文本 (2)_"/>
    <w:link w:val="84"/>
    <w:qFormat/>
    <w:uiPriority w:val="0"/>
    <w:rPr>
      <w:rFonts w:eastAsia="Times New Roman"/>
      <w:kern w:val="2"/>
      <w:shd w:val="clear" w:color="auto" w:fill="FFFFFF"/>
    </w:rPr>
  </w:style>
  <w:style w:type="character" w:customStyle="1" w:styleId="86">
    <w:name w:val="正文文本 (2) + MingLiU"/>
    <w:qFormat/>
    <w:uiPriority w:val="0"/>
    <w:rPr>
      <w:rFonts w:ascii="MingLiU-ExtB" w:hAnsi="MingLiU-ExtB" w:eastAsia="MingLiU-ExtB" w:cs="MingLiU-ExtB"/>
      <w:color w:val="000000"/>
      <w:spacing w:val="0"/>
      <w:w w:val="100"/>
      <w:kern w:val="2"/>
      <w:position w:val="0"/>
      <w:sz w:val="8"/>
      <w:szCs w:val="8"/>
      <w:shd w:val="clear" w:color="auto" w:fill="FFFFFF"/>
      <w:lang w:val="zh-CN" w:eastAsia="zh-CN" w:bidi="zh-CN"/>
    </w:rPr>
  </w:style>
  <w:style w:type="character" w:customStyle="1" w:styleId="87">
    <w:name w:val="正文文本 (2) + Consolas"/>
    <w:qFormat/>
    <w:uiPriority w:val="0"/>
    <w:rPr>
      <w:rFonts w:ascii="Consolas" w:hAnsi="Consolas" w:eastAsia="Consolas" w:cs="Consolas"/>
      <w:color w:val="000000"/>
      <w:spacing w:val="-30"/>
      <w:w w:val="100"/>
      <w:kern w:val="2"/>
      <w:position w:val="0"/>
      <w:sz w:val="16"/>
      <w:szCs w:val="16"/>
      <w:shd w:val="clear" w:color="auto" w:fill="FFFFFF"/>
      <w:lang w:val="en-US" w:eastAsia="en-US" w:bidi="en-US"/>
    </w:rPr>
  </w:style>
  <w:style w:type="paragraph" w:customStyle="1" w:styleId="88">
    <w:name w:val="环评正文"/>
    <w:basedOn w:val="17"/>
    <w:next w:val="1"/>
    <w:qFormat/>
    <w:uiPriority w:val="0"/>
    <w:pPr>
      <w:spacing w:line="360" w:lineRule="auto"/>
      <w:ind w:firstLine="480" w:firstLineChars="200"/>
    </w:pPr>
    <w:rPr>
      <w:rFonts w:ascii="仿宋_GB2312" w:hAnsi="仿宋_GB2312" w:eastAsia="仿宋_GB2312"/>
      <w:sz w:val="24"/>
      <w:szCs w:val="20"/>
    </w:rPr>
  </w:style>
  <w:style w:type="paragraph" w:customStyle="1" w:styleId="89">
    <w:name w:val="预测表格"/>
    <w:basedOn w:val="90"/>
    <w:next w:val="1"/>
    <w:qFormat/>
    <w:uiPriority w:val="0"/>
    <w:pPr>
      <w:ind w:left="-15" w:leftChars="-15" w:right="-15" w:rightChars="-15"/>
      <w:jc w:val="center"/>
    </w:pPr>
    <w:rPr>
      <w:rFonts w:ascii="宋体" w:hAnsi="宋体" w:cs="Times New Roman"/>
      <w:spacing w:val="-5"/>
      <w:sz w:val="18"/>
      <w:szCs w:val="18"/>
    </w:rPr>
  </w:style>
  <w:style w:type="paragraph" w:customStyle="1" w:styleId="90">
    <w:name w:val="表格1"/>
    <w:basedOn w:val="1"/>
    <w:next w:val="1"/>
    <w:qFormat/>
    <w:uiPriority w:val="0"/>
    <w:pPr>
      <w:adjustRightInd w:val="0"/>
      <w:spacing w:after="120" w:afterLines="0" w:line="20" w:lineRule="atLeast"/>
      <w:jc w:val="center"/>
      <w:textAlignment w:val="baseline"/>
    </w:pPr>
    <w:rPr>
      <w:rFonts w:ascii="仿宋体" w:hAnsi="仿宋体"/>
      <w:color w:val="000000"/>
      <w:sz w:val="24"/>
    </w:rPr>
  </w:style>
  <w:style w:type="paragraph" w:customStyle="1" w:styleId="91">
    <w:name w:val="报告表正文"/>
    <w:basedOn w:val="1"/>
    <w:qFormat/>
    <w:uiPriority w:val="0"/>
    <w:pPr>
      <w:overflowPunct w:val="0"/>
      <w:adjustRightInd w:val="0"/>
      <w:snapToGrid w:val="0"/>
      <w:spacing w:line="360" w:lineRule="auto"/>
      <w:ind w:firstLine="200" w:firstLineChars="200"/>
      <w:jc w:val="both"/>
    </w:pPr>
    <w:rPr>
      <w:rFonts w:ascii="Times New Roman" w:hAnsi="Times New Roman" w:eastAsia="仿宋_GB2312"/>
      <w:color w:val="000000"/>
      <w:kern w:val="16"/>
      <w:sz w:val="28"/>
      <w:szCs w:val="24"/>
    </w:rPr>
  </w:style>
  <w:style w:type="paragraph" w:customStyle="1" w:styleId="92">
    <w:name w:val="[1]LY正文"/>
    <w:basedOn w:val="1"/>
    <w:qFormat/>
    <w:uiPriority w:val="0"/>
    <w:pPr>
      <w:ind w:firstLine="200" w:firstLineChars="200"/>
    </w:pPr>
    <w:rPr>
      <w:rFonts w:ascii="Times New Roman" w:hAnsi="Times New Roman"/>
      <w:kern w:val="0"/>
      <w:sz w:val="24"/>
      <w:szCs w:val="28"/>
    </w:rPr>
  </w:style>
  <w:style w:type="paragraph" w:customStyle="1" w:styleId="93">
    <w:name w:val="xl27"/>
    <w:basedOn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方正仿宋_GB18030" w:hAnsi="方正仿宋_GB18030" w:cs="方正仿宋_GB18030"/>
      <w:kern w:val="0"/>
    </w:rPr>
  </w:style>
  <w:style w:type="paragraph" w:customStyle="1" w:styleId="94">
    <w:name w:val="标准正文"/>
    <w:basedOn w:val="1"/>
    <w:qFormat/>
    <w:uiPriority w:val="0"/>
    <w:pPr>
      <w:snapToGrid w:val="0"/>
      <w:spacing w:beforeLines="50" w:line="360" w:lineRule="auto"/>
      <w:ind w:firstLine="560" w:firstLineChars="200"/>
    </w:pPr>
    <w:rPr>
      <w:rFonts w:eastAsia="仿宋_GB2312"/>
      <w:kern w:val="2"/>
      <w:sz w:val="28"/>
      <w:szCs w:val="24"/>
    </w:rPr>
  </w:style>
  <w:style w:type="paragraph" w:customStyle="1" w:styleId="95">
    <w:name w:val="正文-啊"/>
    <w:basedOn w:val="1"/>
    <w:qFormat/>
    <w:uiPriority w:val="0"/>
    <w:pPr>
      <w:spacing w:before="312" w:beforeLines="100" w:line="276" w:lineRule="auto"/>
      <w:ind w:left="210" w:right="210" w:firstLine="600"/>
      <w:contextualSpacing/>
    </w:pPr>
    <w:rPr>
      <w:rFonts w:ascii="微软雅黑" w:hAnsi="微软雅黑" w:eastAsia="微软雅黑"/>
      <w:color w:val="000000"/>
      <w:sz w:val="24"/>
      <w:szCs w:val="21"/>
    </w:rPr>
  </w:style>
  <w:style w:type="paragraph" w:customStyle="1" w:styleId="96">
    <w:name w:val="5正文"/>
    <w:basedOn w:val="1"/>
    <w:qFormat/>
    <w:uiPriority w:val="0"/>
    <w:pPr>
      <w:spacing w:line="360" w:lineRule="auto"/>
      <w:ind w:firstLine="200" w:firstLineChars="200"/>
      <w:jc w:val="left"/>
    </w:pPr>
    <w:rPr>
      <w:rFonts w:cs="Calibri"/>
      <w:sz w:val="24"/>
      <w:szCs w:val="28"/>
    </w:rPr>
  </w:style>
  <w:style w:type="paragraph" w:customStyle="1" w:styleId="97">
    <w:name w:val="表格内容"/>
    <w:basedOn w:val="1"/>
    <w:qFormat/>
    <w:uiPriority w:val="0"/>
    <w:pPr>
      <w:spacing w:line="240" w:lineRule="auto"/>
      <w:ind w:firstLine="0" w:firstLineChars="0"/>
      <w:jc w:val="center"/>
    </w:pPr>
    <w:rPr>
      <w:sz w:val="21"/>
      <w:szCs w:val="21"/>
    </w:rPr>
  </w:style>
  <w:style w:type="character" w:customStyle="1" w:styleId="98">
    <w:name w:val="font31"/>
    <w:basedOn w:val="33"/>
    <w:qFormat/>
    <w:uiPriority w:val="0"/>
    <w:rPr>
      <w:rFonts w:hint="eastAsia" w:ascii="宋体" w:hAnsi="宋体" w:eastAsia="宋体" w:cs="宋体"/>
      <w:b/>
      <w:color w:val="000000"/>
      <w:sz w:val="21"/>
      <w:szCs w:val="21"/>
      <w:u w:val="none"/>
    </w:rPr>
  </w:style>
  <w:style w:type="character" w:customStyle="1" w:styleId="99">
    <w:name w:val="font51"/>
    <w:basedOn w:val="33"/>
    <w:qFormat/>
    <w:uiPriority w:val="0"/>
    <w:rPr>
      <w:rFonts w:hint="default" w:ascii="Times New Roman" w:hAnsi="Times New Roman" w:cs="Times New Roman"/>
      <w:color w:val="000000"/>
      <w:sz w:val="21"/>
      <w:szCs w:val="21"/>
      <w:u w:val="none"/>
    </w:rPr>
  </w:style>
  <w:style w:type="character" w:customStyle="1" w:styleId="100">
    <w:name w:val="font41"/>
    <w:basedOn w:val="33"/>
    <w:qFormat/>
    <w:uiPriority w:val="0"/>
    <w:rPr>
      <w:rFonts w:hint="eastAsia" w:ascii="宋体" w:hAnsi="宋体" w:eastAsia="宋体" w:cs="宋体"/>
      <w:color w:val="000000"/>
      <w:sz w:val="21"/>
      <w:szCs w:val="21"/>
      <w:u w:val="none"/>
    </w:rPr>
  </w:style>
  <w:style w:type="paragraph" w:styleId="101">
    <w:name w:val="List Paragraph"/>
    <w:basedOn w:val="1"/>
    <w:qFormat/>
    <w:uiPriority w:val="1"/>
    <w:rPr>
      <w:sz w:val="24"/>
    </w:rPr>
  </w:style>
  <w:style w:type="paragraph" w:customStyle="1" w:styleId="102">
    <w:name w:val="表问"/>
    <w:basedOn w:val="1"/>
    <w:qFormat/>
    <w:uiPriority w:val="0"/>
    <w:pPr>
      <w:adjustRightInd w:val="0"/>
      <w:snapToGrid w:val="0"/>
      <w:jc w:val="center"/>
    </w:pPr>
    <w:rPr>
      <w:b/>
      <w:color w:val="0000FF"/>
      <w:kern w:val="10"/>
    </w:rPr>
  </w:style>
  <w:style w:type="paragraph" w:customStyle="1" w:styleId="103">
    <w:name w:val="表格文字"/>
    <w:basedOn w:val="15"/>
    <w:next w:val="1"/>
    <w:qFormat/>
    <w:uiPriority w:val="0"/>
    <w:pPr>
      <w:spacing w:beforeLines="10" w:afterLines="10" w:line="0" w:lineRule="atLeast"/>
      <w:jc w:val="center"/>
    </w:pPr>
    <w:rPr>
      <w:rFonts w:ascii="Times New Roman" w:hAnsi="Times New Roman" w:eastAsia="宋体" w:cs="Times New Roman"/>
      <w:kern w:val="2"/>
      <w:sz w:val="18"/>
      <w:szCs w:val="21"/>
      <w:lang w:val="en-US" w:eastAsia="zh-CN" w:bidi="ar-SA"/>
    </w:rPr>
  </w:style>
  <w:style w:type="paragraph" w:customStyle="1" w:styleId="104">
    <w:name w:val="样式 正文文本缩进 + 行距: 1.5 倍行距"/>
    <w:basedOn w:val="1"/>
    <w:qFormat/>
    <w:uiPriority w:val="0"/>
    <w:pPr>
      <w:spacing w:after="120" w:line="360" w:lineRule="auto"/>
      <w:ind w:left="90" w:leftChars="32" w:firstLine="560" w:firstLineChars="200"/>
    </w:pPr>
    <w:rPr>
      <w:rFonts w:cs="宋体"/>
    </w:rPr>
  </w:style>
  <w:style w:type="paragraph" w:customStyle="1" w:styleId="105">
    <w:name w:val="样式 标题 1 + 首行缩进:  2 字符"/>
    <w:basedOn w:val="10"/>
    <w:next w:val="1"/>
    <w:unhideWhenUsed/>
    <w:qFormat/>
    <w:uiPriority w:val="0"/>
    <w:pPr>
      <w:ind w:firstLine="200" w:firstLineChars="200"/>
      <w:jc w:val="center"/>
    </w:pPr>
    <w:rPr>
      <w:rFonts w:cs="宋体"/>
      <w:sz w:val="24"/>
      <w:szCs w:val="24"/>
    </w:rPr>
  </w:style>
  <w:style w:type="paragraph" w:customStyle="1" w:styleId="106">
    <w:name w:val="Table Text"/>
    <w:basedOn w:val="1"/>
    <w:semiHidden/>
    <w:qFormat/>
    <w:uiPriority w:val="0"/>
    <w:rPr>
      <w:rFonts w:ascii="宋体" w:hAnsi="宋体" w:eastAsia="宋体" w:cs="宋体"/>
      <w:sz w:val="24"/>
      <w:szCs w:val="24"/>
      <w:lang w:val="en-US" w:eastAsia="en-US" w:bidi="ar-SA"/>
    </w:rPr>
  </w:style>
  <w:style w:type="paragraph" w:customStyle="1" w:styleId="107">
    <w:name w:val="【LY表格】"/>
    <w:basedOn w:val="1"/>
    <w:qFormat/>
    <w:uiPriority w:val="0"/>
    <w:pPr>
      <w:snapToGrid w:val="0"/>
      <w:jc w:val="center"/>
    </w:pPr>
    <w:rPr>
      <w:rFonts w:ascii="Times New Roman" w:hAnsi="Times New Roman"/>
      <w:szCs w:val="20"/>
    </w:rPr>
  </w:style>
  <w:style w:type="character" w:customStyle="1" w:styleId="108">
    <w:name w:val="font01"/>
    <w:qFormat/>
    <w:uiPriority w:val="0"/>
    <w:rPr>
      <w:rFonts w:hint="eastAsia" w:ascii="宋体" w:hAnsi="宋体" w:eastAsia="宋体" w:cs="宋体"/>
      <w:color w:val="000000"/>
      <w:sz w:val="22"/>
      <w:szCs w:val="22"/>
      <w:u w:val="none"/>
    </w:rPr>
  </w:style>
  <w:style w:type="paragraph" w:customStyle="1" w:styleId="109">
    <w:name w:val="样式 宋体 四号 首行缩进:  2 字符"/>
    <w:basedOn w:val="1"/>
    <w:qFormat/>
    <w:uiPriority w:val="0"/>
    <w:pPr>
      <w:widowControl/>
    </w:pPr>
    <w:rPr>
      <w:rFonts w:cs="宋体"/>
      <w:color w:val="000000"/>
      <w:kern w:val="0"/>
      <w:szCs w:val="20"/>
    </w:rPr>
  </w:style>
  <w:style w:type="character" w:customStyle="1" w:styleId="110">
    <w:name w:val="font21"/>
    <w:basedOn w:val="33"/>
    <w:qFormat/>
    <w:uiPriority w:val="0"/>
    <w:rPr>
      <w:rFonts w:hint="eastAsia" w:ascii="宋体" w:hAnsi="宋体" w:eastAsia="宋体" w:cs="宋体"/>
      <w:color w:val="000000"/>
      <w:sz w:val="21"/>
      <w:szCs w:val="21"/>
      <w:u w:val="none"/>
    </w:rPr>
  </w:style>
  <w:style w:type="paragraph" w:customStyle="1" w:styleId="111">
    <w:name w:val="文本正文"/>
    <w:basedOn w:val="1"/>
    <w:qFormat/>
    <w:uiPriority w:val="0"/>
    <w:pPr>
      <w:spacing w:line="360" w:lineRule="auto"/>
      <w:ind w:firstLine="480" w:firstLineChars="200"/>
    </w:pPr>
    <w:rPr>
      <w:rFonts w:ascii="Calibri" w:hAnsi="Calibri" w:cs="MS Mincho"/>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44.wmf"/><Relationship Id="rId98" Type="http://schemas.openxmlformats.org/officeDocument/2006/relationships/oleObject" Target="embeddings/oleObject22.bin"/><Relationship Id="rId97" Type="http://schemas.openxmlformats.org/officeDocument/2006/relationships/image" Target="media/image43.wmf"/><Relationship Id="rId96" Type="http://schemas.openxmlformats.org/officeDocument/2006/relationships/oleObject" Target="embeddings/oleObject21.bin"/><Relationship Id="rId95" Type="http://schemas.openxmlformats.org/officeDocument/2006/relationships/image" Target="media/image42.wmf"/><Relationship Id="rId94" Type="http://schemas.openxmlformats.org/officeDocument/2006/relationships/oleObject" Target="embeddings/oleObject20.bin"/><Relationship Id="rId93" Type="http://schemas.openxmlformats.org/officeDocument/2006/relationships/image" Target="media/image41.wmf"/><Relationship Id="rId92" Type="http://schemas.openxmlformats.org/officeDocument/2006/relationships/oleObject" Target="embeddings/oleObject19.bin"/><Relationship Id="rId91" Type="http://schemas.openxmlformats.org/officeDocument/2006/relationships/image" Target="media/image40.wmf"/><Relationship Id="rId90" Type="http://schemas.openxmlformats.org/officeDocument/2006/relationships/oleObject" Target="embeddings/oleObject18.bin"/><Relationship Id="rId9" Type="http://schemas.openxmlformats.org/officeDocument/2006/relationships/footer" Target="footer7.xml"/><Relationship Id="rId89" Type="http://schemas.openxmlformats.org/officeDocument/2006/relationships/image" Target="media/image39.wmf"/><Relationship Id="rId88" Type="http://schemas.openxmlformats.org/officeDocument/2006/relationships/oleObject" Target="embeddings/oleObject17.bin"/><Relationship Id="rId87" Type="http://schemas.openxmlformats.org/officeDocument/2006/relationships/image" Target="media/image38.wmf"/><Relationship Id="rId86" Type="http://schemas.openxmlformats.org/officeDocument/2006/relationships/oleObject" Target="embeddings/oleObject16.bin"/><Relationship Id="rId85" Type="http://schemas.openxmlformats.org/officeDocument/2006/relationships/image" Target="media/image37.wmf"/><Relationship Id="rId84" Type="http://schemas.openxmlformats.org/officeDocument/2006/relationships/oleObject" Target="embeddings/oleObject15.bin"/><Relationship Id="rId83" Type="http://schemas.openxmlformats.org/officeDocument/2006/relationships/image" Target="media/image36.wmf"/><Relationship Id="rId82" Type="http://schemas.openxmlformats.org/officeDocument/2006/relationships/oleObject" Target="embeddings/oleObject14.bin"/><Relationship Id="rId81" Type="http://schemas.openxmlformats.org/officeDocument/2006/relationships/image" Target="media/image35.wmf"/><Relationship Id="rId80" Type="http://schemas.openxmlformats.org/officeDocument/2006/relationships/oleObject" Target="embeddings/oleObject13.bin"/><Relationship Id="rId8" Type="http://schemas.openxmlformats.org/officeDocument/2006/relationships/footer" Target="footer6.xml"/><Relationship Id="rId79" Type="http://schemas.openxmlformats.org/officeDocument/2006/relationships/image" Target="media/image34.emf"/><Relationship Id="rId78" Type="http://schemas.openxmlformats.org/officeDocument/2006/relationships/image" Target="media/image33.emf"/><Relationship Id="rId77" Type="http://schemas.openxmlformats.org/officeDocument/2006/relationships/image" Target="media/image32.wmf"/><Relationship Id="rId76" Type="http://schemas.openxmlformats.org/officeDocument/2006/relationships/oleObject" Target="embeddings/oleObject12.bin"/><Relationship Id="rId75" Type="http://schemas.openxmlformats.org/officeDocument/2006/relationships/image" Target="media/image31.wmf"/><Relationship Id="rId74" Type="http://schemas.openxmlformats.org/officeDocument/2006/relationships/oleObject" Target="embeddings/oleObject11.bin"/><Relationship Id="rId73" Type="http://schemas.openxmlformats.org/officeDocument/2006/relationships/image" Target="media/image30.wmf"/><Relationship Id="rId72" Type="http://schemas.openxmlformats.org/officeDocument/2006/relationships/oleObject" Target="embeddings/oleObject10.bin"/><Relationship Id="rId71" Type="http://schemas.openxmlformats.org/officeDocument/2006/relationships/image" Target="media/image29.wmf"/><Relationship Id="rId70" Type="http://schemas.openxmlformats.org/officeDocument/2006/relationships/oleObject" Target="embeddings/oleObject9.bin"/><Relationship Id="rId7" Type="http://schemas.openxmlformats.org/officeDocument/2006/relationships/footer" Target="footer5.xml"/><Relationship Id="rId69" Type="http://schemas.openxmlformats.org/officeDocument/2006/relationships/image" Target="media/image28.wmf"/><Relationship Id="rId68" Type="http://schemas.openxmlformats.org/officeDocument/2006/relationships/oleObject" Target="embeddings/oleObject8.bin"/><Relationship Id="rId67" Type="http://schemas.openxmlformats.org/officeDocument/2006/relationships/image" Target="media/image27.jpeg"/><Relationship Id="rId66" Type="http://schemas.openxmlformats.org/officeDocument/2006/relationships/image" Target="media/image26.png"/><Relationship Id="rId65" Type="http://schemas.openxmlformats.org/officeDocument/2006/relationships/image" Target="media/image25.png"/><Relationship Id="rId64" Type="http://schemas.openxmlformats.org/officeDocument/2006/relationships/image" Target="media/image24.jpeg"/><Relationship Id="rId63" Type="http://schemas.openxmlformats.org/officeDocument/2006/relationships/image" Target="media/image23.jpeg"/><Relationship Id="rId62" Type="http://schemas.openxmlformats.org/officeDocument/2006/relationships/image" Target="media/image22.jpeg"/><Relationship Id="rId61" Type="http://schemas.openxmlformats.org/officeDocument/2006/relationships/image" Target="media/image21.wmf"/><Relationship Id="rId60" Type="http://schemas.openxmlformats.org/officeDocument/2006/relationships/oleObject" Target="embeddings/oleObject7.bin"/><Relationship Id="rId6" Type="http://schemas.openxmlformats.org/officeDocument/2006/relationships/footer" Target="footer4.xml"/><Relationship Id="rId59" Type="http://schemas.openxmlformats.org/officeDocument/2006/relationships/image" Target="media/image20.emf"/><Relationship Id="rId58" Type="http://schemas.openxmlformats.org/officeDocument/2006/relationships/oleObject" Target="embeddings/oleObject6.bin"/><Relationship Id="rId57" Type="http://schemas.openxmlformats.org/officeDocument/2006/relationships/image" Target="media/image19.emf"/><Relationship Id="rId56" Type="http://schemas.openxmlformats.org/officeDocument/2006/relationships/oleObject" Target="embeddings/oleObject5.bin"/><Relationship Id="rId55" Type="http://schemas.openxmlformats.org/officeDocument/2006/relationships/image" Target="media/image18.jpeg"/><Relationship Id="rId54" Type="http://schemas.openxmlformats.org/officeDocument/2006/relationships/image" Target="media/image17.wmf"/><Relationship Id="rId53" Type="http://schemas.openxmlformats.org/officeDocument/2006/relationships/oleObject" Target="embeddings/oleObject4.bin"/><Relationship Id="rId52" Type="http://schemas.openxmlformats.org/officeDocument/2006/relationships/image" Target="media/image16.jpeg"/><Relationship Id="rId51" Type="http://schemas.openxmlformats.org/officeDocument/2006/relationships/image" Target="media/image15.jpeg"/><Relationship Id="rId50" Type="http://schemas.openxmlformats.org/officeDocument/2006/relationships/image" Target="media/image14.jpeg"/><Relationship Id="rId5" Type="http://schemas.openxmlformats.org/officeDocument/2006/relationships/footer" Target="footer3.xml"/><Relationship Id="rId49" Type="http://schemas.openxmlformats.org/officeDocument/2006/relationships/image" Target="media/image13.jpeg"/><Relationship Id="rId48" Type="http://schemas.openxmlformats.org/officeDocument/2006/relationships/image" Target="media/image12.jpeg"/><Relationship Id="rId47" Type="http://schemas.openxmlformats.org/officeDocument/2006/relationships/image" Target="media/image11.jpeg"/><Relationship Id="rId46" Type="http://schemas.openxmlformats.org/officeDocument/2006/relationships/image" Target="media/image10.jpeg"/><Relationship Id="rId45" Type="http://schemas.openxmlformats.org/officeDocument/2006/relationships/image" Target="media/image9.jpeg"/><Relationship Id="rId44" Type="http://schemas.openxmlformats.org/officeDocument/2006/relationships/image" Target="media/image8.jpeg"/><Relationship Id="rId43" Type="http://schemas.openxmlformats.org/officeDocument/2006/relationships/image" Target="media/image7.jpeg"/><Relationship Id="rId42" Type="http://schemas.openxmlformats.org/officeDocument/2006/relationships/image" Target="media/image6.jpeg"/><Relationship Id="rId41" Type="http://schemas.openxmlformats.org/officeDocument/2006/relationships/image" Target="media/image5.png"/><Relationship Id="rId40" Type="http://schemas.openxmlformats.org/officeDocument/2006/relationships/image" Target="media/image4.png"/><Relationship Id="rId4" Type="http://schemas.openxmlformats.org/officeDocument/2006/relationships/footer" Target="footer2.xml"/><Relationship Id="rId39" Type="http://schemas.openxmlformats.org/officeDocument/2006/relationships/image" Target="media/image3.emf"/><Relationship Id="rId38" Type="http://schemas.openxmlformats.org/officeDocument/2006/relationships/oleObject" Target="embeddings/oleObject3.bin"/><Relationship Id="rId37" Type="http://schemas.openxmlformats.org/officeDocument/2006/relationships/image" Target="media/image2.emf"/><Relationship Id="rId36" Type="http://schemas.openxmlformats.org/officeDocument/2006/relationships/oleObject" Target="embeddings/oleObject2.bin"/><Relationship Id="rId35" Type="http://schemas.openxmlformats.org/officeDocument/2006/relationships/image" Target="media/image1.emf"/><Relationship Id="rId34" Type="http://schemas.openxmlformats.org/officeDocument/2006/relationships/oleObject" Target="embeddings/oleObject1.bin"/><Relationship Id="rId33" Type="http://schemas.openxmlformats.org/officeDocument/2006/relationships/theme" Target="theme/theme1.xml"/><Relationship Id="rId32" Type="http://schemas.openxmlformats.org/officeDocument/2006/relationships/footer" Target="footer28.xml"/><Relationship Id="rId31" Type="http://schemas.openxmlformats.org/officeDocument/2006/relationships/footer" Target="footer27.xml"/><Relationship Id="rId30" Type="http://schemas.openxmlformats.org/officeDocument/2006/relationships/footer" Target="footer26.xml"/><Relationship Id="rId3" Type="http://schemas.openxmlformats.org/officeDocument/2006/relationships/footer" Target="footer1.xml"/><Relationship Id="rId29" Type="http://schemas.openxmlformats.org/officeDocument/2006/relationships/footer" Target="footer25.xml"/><Relationship Id="rId28" Type="http://schemas.openxmlformats.org/officeDocument/2006/relationships/footer" Target="footer24.xml"/><Relationship Id="rId27" Type="http://schemas.openxmlformats.org/officeDocument/2006/relationships/footer" Target="footer23.xml"/><Relationship Id="rId26" Type="http://schemas.openxmlformats.org/officeDocument/2006/relationships/footer" Target="footer22.xml"/><Relationship Id="rId25" Type="http://schemas.openxmlformats.org/officeDocument/2006/relationships/footer" Target="footer21.xml"/><Relationship Id="rId24" Type="http://schemas.openxmlformats.org/officeDocument/2006/relationships/footer" Target="footer20.xml"/><Relationship Id="rId23" Type="http://schemas.openxmlformats.org/officeDocument/2006/relationships/footer" Target="footer19.xml"/><Relationship Id="rId22" Type="http://schemas.openxmlformats.org/officeDocument/2006/relationships/footer" Target="footer18.xml"/><Relationship Id="rId21" Type="http://schemas.openxmlformats.org/officeDocument/2006/relationships/header" Target="header2.xml"/><Relationship Id="rId20" Type="http://schemas.openxmlformats.org/officeDocument/2006/relationships/footer" Target="footer17.xml"/><Relationship Id="rId2" Type="http://schemas.openxmlformats.org/officeDocument/2006/relationships/settings" Target="settings.xml"/><Relationship Id="rId19" Type="http://schemas.openxmlformats.org/officeDocument/2006/relationships/footer" Target="footer16.xml"/><Relationship Id="rId18" Type="http://schemas.openxmlformats.org/officeDocument/2006/relationships/footer" Target="footer15.xml"/><Relationship Id="rId17" Type="http://schemas.openxmlformats.org/officeDocument/2006/relationships/footer" Target="footer14.xml"/><Relationship Id="rId16" Type="http://schemas.openxmlformats.org/officeDocument/2006/relationships/footer" Target="footer13.xml"/><Relationship Id="rId15" Type="http://schemas.openxmlformats.org/officeDocument/2006/relationships/footer" Target="footer12.xml"/><Relationship Id="rId14" Type="http://schemas.openxmlformats.org/officeDocument/2006/relationships/header" Target="header1.xml"/><Relationship Id="rId132" Type="http://schemas.openxmlformats.org/officeDocument/2006/relationships/fontTable" Target="fontTable.xml"/><Relationship Id="rId131" Type="http://schemas.openxmlformats.org/officeDocument/2006/relationships/numbering" Target="numbering.xml"/><Relationship Id="rId130" Type="http://schemas.openxmlformats.org/officeDocument/2006/relationships/customXml" Target="../customXml/item1.xml"/><Relationship Id="rId13" Type="http://schemas.openxmlformats.org/officeDocument/2006/relationships/footer" Target="footer11.xml"/><Relationship Id="rId129" Type="http://schemas.openxmlformats.org/officeDocument/2006/relationships/image" Target="media/image61.jpeg"/><Relationship Id="rId128" Type="http://schemas.openxmlformats.org/officeDocument/2006/relationships/image" Target="media/image60.jpeg"/><Relationship Id="rId127" Type="http://schemas.openxmlformats.org/officeDocument/2006/relationships/image" Target="media/image59.png"/><Relationship Id="rId126" Type="http://schemas.openxmlformats.org/officeDocument/2006/relationships/image" Target="media/image58.png"/><Relationship Id="rId125" Type="http://schemas.openxmlformats.org/officeDocument/2006/relationships/image" Target="media/image57.jpeg"/><Relationship Id="rId124" Type="http://schemas.openxmlformats.org/officeDocument/2006/relationships/image" Target="media/image56.png"/><Relationship Id="rId123" Type="http://schemas.openxmlformats.org/officeDocument/2006/relationships/image" Target="media/image55.png"/><Relationship Id="rId122" Type="http://schemas.openxmlformats.org/officeDocument/2006/relationships/image" Target="media/image54.png"/><Relationship Id="rId121" Type="http://schemas.openxmlformats.org/officeDocument/2006/relationships/chart" Target="charts/chart8.xml"/><Relationship Id="rId120" Type="http://schemas.openxmlformats.org/officeDocument/2006/relationships/chart" Target="charts/chart7.xml"/><Relationship Id="rId12" Type="http://schemas.openxmlformats.org/officeDocument/2006/relationships/footer" Target="footer10.xml"/><Relationship Id="rId119" Type="http://schemas.openxmlformats.org/officeDocument/2006/relationships/chart" Target="charts/chart6.xml"/><Relationship Id="rId118" Type="http://schemas.openxmlformats.org/officeDocument/2006/relationships/chart" Target="charts/chart5.xml"/><Relationship Id="rId117" Type="http://schemas.openxmlformats.org/officeDocument/2006/relationships/chart" Target="charts/chart4.xml"/><Relationship Id="rId116" Type="http://schemas.openxmlformats.org/officeDocument/2006/relationships/chart" Target="charts/chart3.xml"/><Relationship Id="rId115" Type="http://schemas.openxmlformats.org/officeDocument/2006/relationships/chart" Target="charts/chart2.xml"/><Relationship Id="rId114" Type="http://schemas.openxmlformats.org/officeDocument/2006/relationships/chart" Target="charts/chart1.xml"/><Relationship Id="rId113" Type="http://schemas.openxmlformats.org/officeDocument/2006/relationships/image" Target="media/image53.png"/><Relationship Id="rId112" Type="http://schemas.openxmlformats.org/officeDocument/2006/relationships/image" Target="media/image52.png"/><Relationship Id="rId111" Type="http://schemas.openxmlformats.org/officeDocument/2006/relationships/image" Target="media/image51.png"/><Relationship Id="rId110" Type="http://schemas.openxmlformats.org/officeDocument/2006/relationships/image" Target="media/image50.emf"/><Relationship Id="rId11" Type="http://schemas.openxmlformats.org/officeDocument/2006/relationships/footer" Target="footer9.xml"/><Relationship Id="rId109" Type="http://schemas.openxmlformats.org/officeDocument/2006/relationships/oleObject" Target="embeddings/oleObject27.bin"/><Relationship Id="rId108" Type="http://schemas.openxmlformats.org/officeDocument/2006/relationships/image" Target="media/image49.emf"/><Relationship Id="rId107" Type="http://schemas.openxmlformats.org/officeDocument/2006/relationships/oleObject" Target="embeddings/oleObject26.bin"/><Relationship Id="rId106" Type="http://schemas.openxmlformats.org/officeDocument/2006/relationships/image" Target="media/image48.emf"/><Relationship Id="rId105" Type="http://schemas.openxmlformats.org/officeDocument/2006/relationships/oleObject" Target="embeddings/oleObject25.bin"/><Relationship Id="rId104" Type="http://schemas.openxmlformats.org/officeDocument/2006/relationships/image" Target="media/image47.emf"/><Relationship Id="rId103" Type="http://schemas.openxmlformats.org/officeDocument/2006/relationships/oleObject" Target="embeddings/oleObject24.bin"/><Relationship Id="rId102" Type="http://schemas.openxmlformats.org/officeDocument/2006/relationships/image" Target="media/image46.emf"/><Relationship Id="rId101" Type="http://schemas.openxmlformats.org/officeDocument/2006/relationships/image" Target="media/image45.wmf"/><Relationship Id="rId100" Type="http://schemas.openxmlformats.org/officeDocument/2006/relationships/oleObject" Target="embeddings/oleObject23.bin"/><Relationship Id="rId10" Type="http://schemas.openxmlformats.org/officeDocument/2006/relationships/footer" Target="footer8.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1" Type="http://schemas.openxmlformats.org/officeDocument/2006/relationships/oleObject" Target="file:///F:\&#36158;&#38634;2025&#24180;&#24037;&#20316;&#25991;&#20214;\27.&#29615;&#35780;&#34920;-----&#23425;&#22799;&#22266;&#21407;&#21326;&#30005;&#24429;&#38451;200MW&#39118;&#30005;&#39033;&#30446;110kV&#36865;&#20986;&#24037;&#31243;\&#30005;&#30913;&#39044;&#27979;\20251213140757&#65288;&#26032;&#24314;110&#21315;&#20239;&#26550;&#31354;&#21333;&#22238;&#36335;&#27573;&#65289;.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36158;&#38634;2025&#24180;&#24037;&#20316;&#25991;&#20214;\27.&#29615;&#35780;&#34920;-----&#23425;&#22799;&#22266;&#21407;&#21326;&#30005;&#24429;&#38451;200MW&#39118;&#30005;&#39033;&#30446;110kV&#36865;&#20986;&#24037;&#31243;\&#30005;&#30913;&#39044;&#27979;\20251213140757&#65288;&#26032;&#24314;110&#21315;&#20239;&#26550;&#31354;&#21333;&#22238;&#36335;&#27573;&#65289;.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36158;&#38634;2025&#24180;&#24037;&#20316;&#25991;&#20214;\27.&#29615;&#35780;&#34920;-----&#23425;&#22799;&#22266;&#21407;&#21326;&#30005;&#24429;&#38451;200MW&#39118;&#30005;&#39033;&#30446;110kV&#36865;&#20986;&#24037;&#31243;\&#30005;&#30913;&#39044;&#27979;\20251213140757&#65288;&#25260;&#39640;&#25913;&#36896;&#27573;110&#21315;&#20239;&#26550;&#31354;&#21333;&#22238;&#36335;&#27573;&#65289;.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36158;&#38634;2025&#24180;&#24037;&#20316;&#25991;&#20214;\27.&#29615;&#35780;&#34920;-----&#23425;&#22799;&#22266;&#21407;&#21326;&#30005;&#24429;&#38451;200MW&#39118;&#30005;&#39033;&#30446;110kV&#36865;&#20986;&#24037;&#31243;\&#30005;&#30913;&#39044;&#27979;\20251213140757&#65288;&#25260;&#39640;&#25913;&#36896;&#27573;110&#21315;&#20239;&#26550;&#31354;&#21333;&#22238;&#36335;&#27573;&#65289;.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36158;&#38634;2025&#24180;&#24037;&#20316;&#25991;&#20214;\27.&#29615;&#35780;&#34920;-----&#23425;&#22799;&#22266;&#21407;&#21326;&#30005;&#24429;&#38451;200MW&#39118;&#30005;&#39033;&#30446;110kV&#36865;&#20986;&#24037;&#31243;\&#30005;&#30913;&#39044;&#27979;\20251213140757&#65288;&#26032;&#24314;110&#21315;&#20239;&#26550;&#31354;&#21452;&#22238;&#36335;&#27573;&#65289;.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36158;&#38634;2025&#24180;&#24037;&#20316;&#25991;&#20214;\27.&#29615;&#35780;&#34920;-----&#23425;&#22799;&#22266;&#21407;&#21326;&#30005;&#24429;&#38451;200MW&#39118;&#30005;&#39033;&#30446;110kV&#36865;&#20986;&#24037;&#31243;\&#30005;&#30913;&#39044;&#27979;\20251213140757&#65288;&#26032;&#24314;110&#21315;&#20239;&#26550;&#31354;&#21452;&#22238;&#36335;&#27573;&#65289;.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36158;&#38634;2025&#24180;&#24037;&#20316;&#25991;&#20214;\27.&#29615;&#35780;&#34920;-----&#23425;&#22799;&#22266;&#21407;&#21326;&#30005;&#24429;&#38451;200MW&#39118;&#30005;&#39033;&#30446;110kV&#36865;&#20986;&#24037;&#31243;\&#30005;&#30913;&#39044;&#27979;\20251213140757&#65288;&#26032;&#24314;110&#21315;&#20239;&#26550;&#31354;&#21452;&#22238;&#36335;&#27573;&#65292;&#21333;&#20391;&#25346;&#32447;&#65289;.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36158;&#38634;2025&#24180;&#24037;&#20316;&#25991;&#20214;\27.&#29615;&#35780;&#34920;-----&#23425;&#22799;&#22266;&#21407;&#21326;&#30005;&#24429;&#38451;200MW&#39118;&#30005;&#39033;&#30446;110kV&#36865;&#20986;&#24037;&#31243;\&#30005;&#30913;&#39044;&#27979;\20251213140757&#65288;&#26032;&#24314;110&#21315;&#20239;&#26550;&#31354;&#21452;&#22238;&#36335;&#27573;&#65292;&#21333;&#20391;&#25346;&#32447;&#65289;.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0"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导线对地高度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12.3m</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667085482675825"/>
          <c:y val="0.0222222222222222"/>
        </c:manualLayout>
      </c:layout>
      <c:overlay val="0"/>
      <c:spPr>
        <a:noFill/>
        <a:ln>
          <a:noFill/>
        </a:ln>
        <a:effectLst/>
      </c:spPr>
    </c:title>
    <c:autoTitleDeleted val="0"/>
    <c:plotArea>
      <c:layout>
        <c:manualLayout>
          <c:layoutTarget val="inner"/>
          <c:xMode val="edge"/>
          <c:yMode val="edge"/>
          <c:x val="0.101868421052632"/>
          <c:y val="0.0861111111111111"/>
          <c:w val="0.869184210526316"/>
          <c:h val="0.663981481481482"/>
        </c:manualLayout>
      </c:layout>
      <c:lineChart>
        <c:grouping val="standard"/>
        <c:varyColors val="0"/>
        <c:ser>
          <c:idx val="1"/>
          <c:order val="0"/>
          <c:spPr>
            <a:ln w="12700" cap="rnd" cmpd="sng" algn="ctr">
              <a:solidFill>
                <a:srgbClr val="000000"/>
              </a:solidFill>
              <a:prstDash val="solid"/>
              <a:round/>
            </a:ln>
            <a:effectLst/>
            <a:sp3d contourW="12700"/>
          </c:spPr>
          <c:marker>
            <c:symbol val="none"/>
          </c:marker>
          <c:dLbls>
            <c:delete val="1"/>
          </c:dLbls>
          <c:cat>
            <c:numRef>
              <c:f>'[20251213140757（新建110千伏架空单回路段）.xls]水平分布曲线数据'!$A$19:$A$159</c:f>
              <c:numCache>
                <c:formatCode>General</c:formatCode>
                <c:ptCount val="141"/>
                <c:pt idx="0">
                  <c:v>-70</c:v>
                </c:pt>
                <c:pt idx="1">
                  <c:v>-69</c:v>
                </c:pt>
                <c:pt idx="2">
                  <c:v>-68</c:v>
                </c:pt>
                <c:pt idx="3">
                  <c:v>-67</c:v>
                </c:pt>
                <c:pt idx="4">
                  <c:v>-66</c:v>
                </c:pt>
                <c:pt idx="5">
                  <c:v>-65</c:v>
                </c:pt>
                <c:pt idx="6">
                  <c:v>-64</c:v>
                </c:pt>
                <c:pt idx="7">
                  <c:v>-63</c:v>
                </c:pt>
                <c:pt idx="8">
                  <c:v>-62</c:v>
                </c:pt>
                <c:pt idx="9">
                  <c:v>-61</c:v>
                </c:pt>
                <c:pt idx="10">
                  <c:v>-60</c:v>
                </c:pt>
                <c:pt idx="11">
                  <c:v>-59</c:v>
                </c:pt>
                <c:pt idx="12">
                  <c:v>-58</c:v>
                </c:pt>
                <c:pt idx="13">
                  <c:v>-57</c:v>
                </c:pt>
                <c:pt idx="14">
                  <c:v>-56</c:v>
                </c:pt>
                <c:pt idx="15">
                  <c:v>-55</c:v>
                </c:pt>
                <c:pt idx="16">
                  <c:v>-54</c:v>
                </c:pt>
                <c:pt idx="17">
                  <c:v>-53</c:v>
                </c:pt>
                <c:pt idx="18">
                  <c:v>-52</c:v>
                </c:pt>
                <c:pt idx="19">
                  <c:v>-51</c:v>
                </c:pt>
                <c:pt idx="20">
                  <c:v>-50</c:v>
                </c:pt>
                <c:pt idx="21">
                  <c:v>-49</c:v>
                </c:pt>
                <c:pt idx="22">
                  <c:v>-48</c:v>
                </c:pt>
                <c:pt idx="23">
                  <c:v>-47</c:v>
                </c:pt>
                <c:pt idx="24">
                  <c:v>-46</c:v>
                </c:pt>
                <c:pt idx="25">
                  <c:v>-45</c:v>
                </c:pt>
                <c:pt idx="26">
                  <c:v>-44</c:v>
                </c:pt>
                <c:pt idx="27">
                  <c:v>-43</c:v>
                </c:pt>
                <c:pt idx="28">
                  <c:v>-42</c:v>
                </c:pt>
                <c:pt idx="29">
                  <c:v>-41</c:v>
                </c:pt>
                <c:pt idx="30">
                  <c:v>-40</c:v>
                </c:pt>
                <c:pt idx="31">
                  <c:v>-39</c:v>
                </c:pt>
                <c:pt idx="32">
                  <c:v>-38</c:v>
                </c:pt>
                <c:pt idx="33">
                  <c:v>-37</c:v>
                </c:pt>
                <c:pt idx="34">
                  <c:v>-36</c:v>
                </c:pt>
                <c:pt idx="35">
                  <c:v>-35</c:v>
                </c:pt>
                <c:pt idx="36">
                  <c:v>-34</c:v>
                </c:pt>
                <c:pt idx="37">
                  <c:v>-33</c:v>
                </c:pt>
                <c:pt idx="38">
                  <c:v>-32</c:v>
                </c:pt>
                <c:pt idx="39">
                  <c:v>-31</c:v>
                </c:pt>
                <c:pt idx="40">
                  <c:v>-30</c:v>
                </c:pt>
                <c:pt idx="41">
                  <c:v>-29</c:v>
                </c:pt>
                <c:pt idx="42">
                  <c:v>-28</c:v>
                </c:pt>
                <c:pt idx="43">
                  <c:v>-27</c:v>
                </c:pt>
                <c:pt idx="44">
                  <c:v>-26</c:v>
                </c:pt>
                <c:pt idx="45">
                  <c:v>-25</c:v>
                </c:pt>
                <c:pt idx="46">
                  <c:v>-24</c:v>
                </c:pt>
                <c:pt idx="47">
                  <c:v>-23</c:v>
                </c:pt>
                <c:pt idx="48">
                  <c:v>-22</c:v>
                </c:pt>
                <c:pt idx="49">
                  <c:v>-21</c:v>
                </c:pt>
                <c:pt idx="50">
                  <c:v>-20</c:v>
                </c:pt>
                <c:pt idx="51">
                  <c:v>-19</c:v>
                </c:pt>
                <c:pt idx="52">
                  <c:v>-18</c:v>
                </c:pt>
                <c:pt idx="53">
                  <c:v>-17</c:v>
                </c:pt>
                <c:pt idx="54">
                  <c:v>-16</c:v>
                </c:pt>
                <c:pt idx="55">
                  <c:v>-15</c:v>
                </c:pt>
                <c:pt idx="56">
                  <c:v>-14</c:v>
                </c:pt>
                <c:pt idx="57">
                  <c:v>-13</c:v>
                </c:pt>
                <c:pt idx="58">
                  <c:v>-12</c:v>
                </c:pt>
                <c:pt idx="59">
                  <c:v>-11</c:v>
                </c:pt>
                <c:pt idx="60">
                  <c:v>-10</c:v>
                </c:pt>
                <c:pt idx="61">
                  <c:v>-9</c:v>
                </c:pt>
                <c:pt idx="62">
                  <c:v>-8</c:v>
                </c:pt>
                <c:pt idx="63">
                  <c:v>-7</c:v>
                </c:pt>
                <c:pt idx="64">
                  <c:v>-6</c:v>
                </c:pt>
                <c:pt idx="65">
                  <c:v>-5</c:v>
                </c:pt>
                <c:pt idx="66">
                  <c:v>-4</c:v>
                </c:pt>
                <c:pt idx="67">
                  <c:v>-3</c:v>
                </c:pt>
                <c:pt idx="68">
                  <c:v>-2</c:v>
                </c:pt>
                <c:pt idx="69">
                  <c:v>-1</c:v>
                </c:pt>
                <c:pt idx="70">
                  <c:v>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32</c:v>
                </c:pt>
                <c:pt idx="103">
                  <c:v>33</c:v>
                </c:pt>
                <c:pt idx="104">
                  <c:v>34</c:v>
                </c:pt>
                <c:pt idx="105">
                  <c:v>35</c:v>
                </c:pt>
                <c:pt idx="106">
                  <c:v>36</c:v>
                </c:pt>
                <c:pt idx="107">
                  <c:v>37</c:v>
                </c:pt>
                <c:pt idx="108">
                  <c:v>38</c:v>
                </c:pt>
                <c:pt idx="109">
                  <c:v>39</c:v>
                </c:pt>
                <c:pt idx="110">
                  <c:v>40</c:v>
                </c:pt>
                <c:pt idx="111">
                  <c:v>41</c:v>
                </c:pt>
                <c:pt idx="112">
                  <c:v>42</c:v>
                </c:pt>
                <c:pt idx="113">
                  <c:v>43</c:v>
                </c:pt>
                <c:pt idx="114">
                  <c:v>44</c:v>
                </c:pt>
                <c:pt idx="115">
                  <c:v>45</c:v>
                </c:pt>
                <c:pt idx="116">
                  <c:v>46</c:v>
                </c:pt>
                <c:pt idx="117">
                  <c:v>47</c:v>
                </c:pt>
                <c:pt idx="118">
                  <c:v>48</c:v>
                </c:pt>
                <c:pt idx="119">
                  <c:v>49</c:v>
                </c:pt>
                <c:pt idx="120">
                  <c:v>50</c:v>
                </c:pt>
                <c:pt idx="121">
                  <c:v>51</c:v>
                </c:pt>
                <c:pt idx="122">
                  <c:v>52</c:v>
                </c:pt>
                <c:pt idx="123">
                  <c:v>53</c:v>
                </c:pt>
                <c:pt idx="124">
                  <c:v>54</c:v>
                </c:pt>
                <c:pt idx="125">
                  <c:v>55</c:v>
                </c:pt>
                <c:pt idx="126">
                  <c:v>56</c:v>
                </c:pt>
                <c:pt idx="127">
                  <c:v>57</c:v>
                </c:pt>
                <c:pt idx="128">
                  <c:v>58</c:v>
                </c:pt>
                <c:pt idx="129">
                  <c:v>59</c:v>
                </c:pt>
                <c:pt idx="130">
                  <c:v>60</c:v>
                </c:pt>
                <c:pt idx="131">
                  <c:v>61</c:v>
                </c:pt>
                <c:pt idx="132">
                  <c:v>62</c:v>
                </c:pt>
                <c:pt idx="133">
                  <c:v>63</c:v>
                </c:pt>
                <c:pt idx="134">
                  <c:v>64</c:v>
                </c:pt>
                <c:pt idx="135">
                  <c:v>65</c:v>
                </c:pt>
                <c:pt idx="136">
                  <c:v>66</c:v>
                </c:pt>
                <c:pt idx="137">
                  <c:v>67</c:v>
                </c:pt>
                <c:pt idx="138">
                  <c:v>68</c:v>
                </c:pt>
                <c:pt idx="139">
                  <c:v>69</c:v>
                </c:pt>
                <c:pt idx="140">
                  <c:v>70</c:v>
                </c:pt>
              </c:numCache>
            </c:numRef>
          </c:cat>
          <c:val>
            <c:numRef>
              <c:f>'[20251213140757（新建110千伏架空单回路段）.xls]水平分布曲线数据'!$B$19:$B$159</c:f>
              <c:numCache>
                <c:formatCode>General</c:formatCode>
                <c:ptCount val="141"/>
                <c:pt idx="0">
                  <c:v>0.0251</c:v>
                </c:pt>
                <c:pt idx="1">
                  <c:v>0.0262</c:v>
                </c:pt>
                <c:pt idx="2">
                  <c:v>0.0273</c:v>
                </c:pt>
                <c:pt idx="3">
                  <c:v>0.0285</c:v>
                </c:pt>
                <c:pt idx="4">
                  <c:v>0.0297</c:v>
                </c:pt>
                <c:pt idx="5">
                  <c:v>0.0311</c:v>
                </c:pt>
                <c:pt idx="6">
                  <c:v>0.0325</c:v>
                </c:pt>
                <c:pt idx="7">
                  <c:v>0.034</c:v>
                </c:pt>
                <c:pt idx="8">
                  <c:v>0.0356</c:v>
                </c:pt>
                <c:pt idx="9">
                  <c:v>0.0373</c:v>
                </c:pt>
                <c:pt idx="10">
                  <c:v>0.0391</c:v>
                </c:pt>
                <c:pt idx="11">
                  <c:v>0.041</c:v>
                </c:pt>
                <c:pt idx="12">
                  <c:v>0.0431</c:v>
                </c:pt>
                <c:pt idx="13">
                  <c:v>0.0453</c:v>
                </c:pt>
                <c:pt idx="14">
                  <c:v>0.0476</c:v>
                </c:pt>
                <c:pt idx="15">
                  <c:v>0.0501</c:v>
                </c:pt>
                <c:pt idx="16">
                  <c:v>0.0528</c:v>
                </c:pt>
                <c:pt idx="17">
                  <c:v>0.0557</c:v>
                </c:pt>
                <c:pt idx="18">
                  <c:v>0.0588</c:v>
                </c:pt>
                <c:pt idx="19">
                  <c:v>0.0621</c:v>
                </c:pt>
                <c:pt idx="20">
                  <c:v>0.0656</c:v>
                </c:pt>
                <c:pt idx="21">
                  <c:v>0.0695</c:v>
                </c:pt>
                <c:pt idx="22">
                  <c:v>0.0736</c:v>
                </c:pt>
                <c:pt idx="23">
                  <c:v>0.0781</c:v>
                </c:pt>
                <c:pt idx="24">
                  <c:v>0.083</c:v>
                </c:pt>
                <c:pt idx="25">
                  <c:v>0.0882</c:v>
                </c:pt>
                <c:pt idx="26">
                  <c:v>0.0939</c:v>
                </c:pt>
                <c:pt idx="27">
                  <c:v>0.1001</c:v>
                </c:pt>
                <c:pt idx="28">
                  <c:v>0.1068</c:v>
                </c:pt>
                <c:pt idx="29">
                  <c:v>0.1141</c:v>
                </c:pt>
                <c:pt idx="30">
                  <c:v>0.1221</c:v>
                </c:pt>
                <c:pt idx="31">
                  <c:v>0.1308</c:v>
                </c:pt>
                <c:pt idx="32">
                  <c:v>0.1404</c:v>
                </c:pt>
                <c:pt idx="33">
                  <c:v>0.1508</c:v>
                </c:pt>
                <c:pt idx="34">
                  <c:v>0.1623</c:v>
                </c:pt>
                <c:pt idx="35">
                  <c:v>0.1749</c:v>
                </c:pt>
                <c:pt idx="36">
                  <c:v>0.1888</c:v>
                </c:pt>
                <c:pt idx="37">
                  <c:v>0.2041</c:v>
                </c:pt>
                <c:pt idx="38">
                  <c:v>0.221</c:v>
                </c:pt>
                <c:pt idx="39">
                  <c:v>0.2397</c:v>
                </c:pt>
                <c:pt idx="40">
                  <c:v>0.2604</c:v>
                </c:pt>
                <c:pt idx="41">
                  <c:v>0.2833</c:v>
                </c:pt>
                <c:pt idx="42">
                  <c:v>0.3087</c:v>
                </c:pt>
                <c:pt idx="43">
                  <c:v>0.3369</c:v>
                </c:pt>
                <c:pt idx="44">
                  <c:v>0.3682</c:v>
                </c:pt>
                <c:pt idx="45">
                  <c:v>0.403</c:v>
                </c:pt>
                <c:pt idx="46">
                  <c:v>0.4416</c:v>
                </c:pt>
                <c:pt idx="47">
                  <c:v>0.4843</c:v>
                </c:pt>
                <c:pt idx="48">
                  <c:v>0.5314</c:v>
                </c:pt>
                <c:pt idx="49">
                  <c:v>0.5832</c:v>
                </c:pt>
                <c:pt idx="50">
                  <c:v>0.6399</c:v>
                </c:pt>
                <c:pt idx="51">
                  <c:v>0.7015</c:v>
                </c:pt>
                <c:pt idx="52">
                  <c:v>0.7675</c:v>
                </c:pt>
                <c:pt idx="53">
                  <c:v>0.8374</c:v>
                </c:pt>
                <c:pt idx="54">
                  <c:v>0.9098</c:v>
                </c:pt>
                <c:pt idx="55">
                  <c:v>0.9829</c:v>
                </c:pt>
                <c:pt idx="56">
                  <c:v>1.0538</c:v>
                </c:pt>
                <c:pt idx="57">
                  <c:v>1.1188</c:v>
                </c:pt>
                <c:pt idx="58">
                  <c:v>1.1734</c:v>
                </c:pt>
                <c:pt idx="59">
                  <c:v>1.2125</c:v>
                </c:pt>
                <c:pt idx="60">
                  <c:v>1.2312</c:v>
                </c:pt>
                <c:pt idx="61">
                  <c:v>1.2252</c:v>
                </c:pt>
                <c:pt idx="62">
                  <c:v>1.1926</c:v>
                </c:pt>
                <c:pt idx="63">
                  <c:v>1.1343</c:v>
                </c:pt>
                <c:pt idx="64">
                  <c:v>1.0545</c:v>
                </c:pt>
                <c:pt idx="65">
                  <c:v>0.9613</c:v>
                </c:pt>
                <c:pt idx="66">
                  <c:v>0.8651</c:v>
                </c:pt>
                <c:pt idx="67">
                  <c:v>0.7772</c:v>
                </c:pt>
                <c:pt idx="68">
                  <c:v>0.7077</c:v>
                </c:pt>
                <c:pt idx="69">
                  <c:v>0.6638</c:v>
                </c:pt>
                <c:pt idx="70">
                  <c:v>0.6489</c:v>
                </c:pt>
                <c:pt idx="71">
                  <c:v>0.6638</c:v>
                </c:pt>
                <c:pt idx="72">
                  <c:v>0.7077</c:v>
                </c:pt>
                <c:pt idx="73">
                  <c:v>0.7772</c:v>
                </c:pt>
                <c:pt idx="74">
                  <c:v>0.8651</c:v>
                </c:pt>
                <c:pt idx="75">
                  <c:v>0.9613</c:v>
                </c:pt>
                <c:pt idx="76">
                  <c:v>1.0545</c:v>
                </c:pt>
                <c:pt idx="77">
                  <c:v>1.1343</c:v>
                </c:pt>
                <c:pt idx="78">
                  <c:v>1.1926</c:v>
                </c:pt>
                <c:pt idx="79">
                  <c:v>1.2252</c:v>
                </c:pt>
                <c:pt idx="80">
                  <c:v>1.2312</c:v>
                </c:pt>
                <c:pt idx="81">
                  <c:v>1.2125</c:v>
                </c:pt>
                <c:pt idx="82">
                  <c:v>1.1734</c:v>
                </c:pt>
                <c:pt idx="83">
                  <c:v>1.1188</c:v>
                </c:pt>
                <c:pt idx="84">
                  <c:v>1.0538</c:v>
                </c:pt>
                <c:pt idx="85">
                  <c:v>0.9829</c:v>
                </c:pt>
                <c:pt idx="86">
                  <c:v>0.9098</c:v>
                </c:pt>
                <c:pt idx="87">
                  <c:v>0.8374</c:v>
                </c:pt>
                <c:pt idx="88">
                  <c:v>0.7675</c:v>
                </c:pt>
                <c:pt idx="89">
                  <c:v>0.7015</c:v>
                </c:pt>
                <c:pt idx="90">
                  <c:v>0.6399</c:v>
                </c:pt>
                <c:pt idx="91">
                  <c:v>0.5832</c:v>
                </c:pt>
                <c:pt idx="92">
                  <c:v>0.5314</c:v>
                </c:pt>
                <c:pt idx="93">
                  <c:v>0.4843</c:v>
                </c:pt>
                <c:pt idx="94">
                  <c:v>0.4416</c:v>
                </c:pt>
                <c:pt idx="95">
                  <c:v>0.403</c:v>
                </c:pt>
                <c:pt idx="96">
                  <c:v>0.3682</c:v>
                </c:pt>
                <c:pt idx="97">
                  <c:v>0.3369</c:v>
                </c:pt>
                <c:pt idx="98">
                  <c:v>0.3087</c:v>
                </c:pt>
                <c:pt idx="99">
                  <c:v>0.2833</c:v>
                </c:pt>
                <c:pt idx="100">
                  <c:v>0.2604</c:v>
                </c:pt>
                <c:pt idx="101">
                  <c:v>0.2397</c:v>
                </c:pt>
                <c:pt idx="102">
                  <c:v>0.221</c:v>
                </c:pt>
                <c:pt idx="103">
                  <c:v>0.2041</c:v>
                </c:pt>
                <c:pt idx="104">
                  <c:v>0.1888</c:v>
                </c:pt>
                <c:pt idx="105">
                  <c:v>0.1749</c:v>
                </c:pt>
                <c:pt idx="106">
                  <c:v>0.1623</c:v>
                </c:pt>
                <c:pt idx="107">
                  <c:v>0.1508</c:v>
                </c:pt>
                <c:pt idx="108">
                  <c:v>0.1404</c:v>
                </c:pt>
                <c:pt idx="109">
                  <c:v>0.1308</c:v>
                </c:pt>
                <c:pt idx="110">
                  <c:v>0.1221</c:v>
                </c:pt>
                <c:pt idx="111">
                  <c:v>0.1141</c:v>
                </c:pt>
                <c:pt idx="112">
                  <c:v>0.1068</c:v>
                </c:pt>
                <c:pt idx="113">
                  <c:v>0.1001</c:v>
                </c:pt>
                <c:pt idx="114">
                  <c:v>0.0939</c:v>
                </c:pt>
                <c:pt idx="115">
                  <c:v>0.0882</c:v>
                </c:pt>
                <c:pt idx="116">
                  <c:v>0.083</c:v>
                </c:pt>
                <c:pt idx="117">
                  <c:v>0.0781</c:v>
                </c:pt>
                <c:pt idx="118">
                  <c:v>0.0736</c:v>
                </c:pt>
                <c:pt idx="119">
                  <c:v>0.0695</c:v>
                </c:pt>
                <c:pt idx="120">
                  <c:v>0.0656</c:v>
                </c:pt>
                <c:pt idx="121">
                  <c:v>0.0621</c:v>
                </c:pt>
                <c:pt idx="122">
                  <c:v>0.0588</c:v>
                </c:pt>
                <c:pt idx="123">
                  <c:v>0.0557</c:v>
                </c:pt>
                <c:pt idx="124">
                  <c:v>0.0528</c:v>
                </c:pt>
                <c:pt idx="125">
                  <c:v>0.0501</c:v>
                </c:pt>
                <c:pt idx="126">
                  <c:v>0.0476</c:v>
                </c:pt>
                <c:pt idx="127">
                  <c:v>0.0453</c:v>
                </c:pt>
                <c:pt idx="128">
                  <c:v>0.0431</c:v>
                </c:pt>
                <c:pt idx="129">
                  <c:v>0.041</c:v>
                </c:pt>
                <c:pt idx="130">
                  <c:v>0.0391</c:v>
                </c:pt>
                <c:pt idx="131">
                  <c:v>0.0373</c:v>
                </c:pt>
                <c:pt idx="132">
                  <c:v>0.0356</c:v>
                </c:pt>
                <c:pt idx="133">
                  <c:v>0.034</c:v>
                </c:pt>
                <c:pt idx="134">
                  <c:v>0.0325</c:v>
                </c:pt>
                <c:pt idx="135">
                  <c:v>0.0311</c:v>
                </c:pt>
                <c:pt idx="136">
                  <c:v>0.0297</c:v>
                </c:pt>
                <c:pt idx="137">
                  <c:v>0.0285</c:v>
                </c:pt>
                <c:pt idx="138">
                  <c:v>0.0273</c:v>
                </c:pt>
                <c:pt idx="139">
                  <c:v>0.0262</c:v>
                </c:pt>
                <c:pt idx="140">
                  <c:v>0.0251</c:v>
                </c:pt>
              </c:numCache>
            </c:numRef>
          </c:val>
          <c:smooth val="1"/>
        </c:ser>
        <c:dLbls>
          <c:showLegendKey val="0"/>
          <c:showVal val="0"/>
          <c:showCatName val="0"/>
          <c:showSerName val="0"/>
          <c:showPercent val="0"/>
          <c:showBubbleSize val="0"/>
        </c:dLbls>
        <c:marker val="0"/>
        <c:smooth val="1"/>
        <c:axId val="619623661"/>
        <c:axId val="41572365"/>
      </c:lineChart>
      <c:catAx>
        <c:axId val="619623661"/>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与线路走廊中心线距离（</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m)</a:t>
                </a:r>
                <a:endPar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endParaRPr>
              </a:p>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362907894736842"/>
              <c:y val="0.865046296296296"/>
            </c:manualLayout>
          </c:layout>
          <c:overlay val="0"/>
          <c:spPr>
            <a:noFill/>
            <a:ln>
              <a:noFill/>
            </a:ln>
            <a:effectLst/>
          </c:spPr>
        </c:title>
        <c:majorTickMark val="in"/>
        <c:minorTickMark val="none"/>
        <c:tickLblPos val="nextTo"/>
        <c:spPr>
          <a:noFill/>
          <a:ln w="3175" cap="flat" cmpd="sng" algn="ctr">
            <a:solidFill>
              <a:srgbClr val="000000"/>
            </a:solid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41572365"/>
        <c:crosses val="autoZero"/>
        <c:auto val="1"/>
        <c:lblAlgn val="ctr"/>
        <c:lblOffset val="100"/>
        <c:tickLblSkip val="20"/>
        <c:noMultiLvlLbl val="0"/>
      </c:catAx>
      <c:valAx>
        <c:axId val="41572365"/>
        <c:scaling>
          <c:orientation val="minMax"/>
          <c:max val="1.5"/>
          <c:min val="0"/>
        </c:scaling>
        <c:delete val="0"/>
        <c:axPos val="l"/>
        <c:majorGridlines>
          <c:spPr>
            <a:ln w="3175" cap="flat" cmpd="sng" algn="ctr">
              <a:solidFill>
                <a:schemeClr val="bg1">
                  <a:lumMod val="85000"/>
                </a:schemeClr>
              </a:solidFill>
              <a:prstDash val="solid"/>
              <a:round/>
            </a:ln>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工频电场强度（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kV/m</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overlay val="0"/>
        </c:title>
        <c:numFmt formatCode="General" sourceLinked="1"/>
        <c:majorTickMark val="none"/>
        <c:minorTickMark val="none"/>
        <c:tickLblPos val="nextTo"/>
        <c:spPr>
          <a:ln w="3175"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619623661"/>
        <c:crosses val="autoZero"/>
        <c:crossBetween val="between"/>
      </c:valAx>
      <c:spPr>
        <a:noFill/>
        <a:ln>
          <a:noFill/>
        </a:ln>
        <a:effectLst/>
      </c:spPr>
    </c:plotArea>
    <c:plotVisOnly val="1"/>
    <c:dispBlanksAs val="gap"/>
    <c:showDLblsOverMax val="0"/>
    <c:extLst>
      <c:ext uri="{0b15fc19-7d7d-44ad-8c2d-2c3a37ce22c3}">
        <chartProps xmlns="https://web.wps.cn/et/2018/main" chartId="{5305796c-0765-49a6-9806-7e81f5177bd2}"/>
      </c:ext>
    </c:extLst>
  </c:chart>
  <c:spPr>
    <a:solidFill>
      <a:schemeClr val="bg1"/>
    </a:solidFill>
    <a:ln w="6350" cap="flat" cmpd="sng" algn="ctr">
      <a:solidFill>
        <a:schemeClr val="tx1">
          <a:lumMod val="50000"/>
          <a:lumOff val="50000"/>
          <a:alpha val="25000"/>
        </a:schemeClr>
      </a:solidFill>
      <a:prstDash val="solid"/>
      <a:miter lim="800000"/>
    </a:ln>
    <a:effectLst/>
  </c:spPr>
  <c:txPr>
    <a:bodyPr wrap="square"/>
    <a:lstStyle/>
    <a:p>
      <a:pPr>
        <a:defRPr lang="zh-CN"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0"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导线对地高度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12.3m</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674660604236027"/>
          <c:y val="0.0272400593703622"/>
        </c:manualLayout>
      </c:layout>
      <c:overlay val="0"/>
      <c:spPr>
        <a:noFill/>
        <a:ln>
          <a:noFill/>
        </a:ln>
        <a:effectLst/>
      </c:spPr>
    </c:title>
    <c:autoTitleDeleted val="0"/>
    <c:plotArea>
      <c:layout>
        <c:manualLayout>
          <c:layoutTarget val="inner"/>
          <c:xMode val="edge"/>
          <c:yMode val="edge"/>
          <c:x val="0.114236842105263"/>
          <c:y val="0.0916666666666667"/>
          <c:w val="0.856815789473684"/>
          <c:h val="0.60287037037037"/>
        </c:manualLayout>
      </c:layout>
      <c:lineChart>
        <c:grouping val="standard"/>
        <c:varyColors val="0"/>
        <c:ser>
          <c:idx val="1"/>
          <c:order val="0"/>
          <c:spPr>
            <a:ln w="12700" cap="rnd" cmpd="sng" algn="ctr">
              <a:solidFill>
                <a:srgbClr val="000000"/>
              </a:solidFill>
              <a:prstDash val="solid"/>
              <a:round/>
            </a:ln>
            <a:effectLst/>
            <a:sp3d contourW="12700"/>
          </c:spPr>
          <c:marker>
            <c:symbol val="none"/>
          </c:marker>
          <c:dLbls>
            <c:delete val="1"/>
          </c:dLbls>
          <c:cat>
            <c:numRef>
              <c:f>'[20251213140757（新建110千伏架空单回路段）.xls]水平分布曲线数据'!$A$19:$A$159</c:f>
              <c:numCache>
                <c:formatCode>General</c:formatCode>
                <c:ptCount val="141"/>
                <c:pt idx="0">
                  <c:v>-70</c:v>
                </c:pt>
                <c:pt idx="1">
                  <c:v>-69</c:v>
                </c:pt>
                <c:pt idx="2">
                  <c:v>-68</c:v>
                </c:pt>
                <c:pt idx="3">
                  <c:v>-67</c:v>
                </c:pt>
                <c:pt idx="4">
                  <c:v>-66</c:v>
                </c:pt>
                <c:pt idx="5">
                  <c:v>-65</c:v>
                </c:pt>
                <c:pt idx="6">
                  <c:v>-64</c:v>
                </c:pt>
                <c:pt idx="7">
                  <c:v>-63</c:v>
                </c:pt>
                <c:pt idx="8">
                  <c:v>-62</c:v>
                </c:pt>
                <c:pt idx="9">
                  <c:v>-61</c:v>
                </c:pt>
                <c:pt idx="10">
                  <c:v>-60</c:v>
                </c:pt>
                <c:pt idx="11">
                  <c:v>-59</c:v>
                </c:pt>
                <c:pt idx="12">
                  <c:v>-58</c:v>
                </c:pt>
                <c:pt idx="13">
                  <c:v>-57</c:v>
                </c:pt>
                <c:pt idx="14">
                  <c:v>-56</c:v>
                </c:pt>
                <c:pt idx="15">
                  <c:v>-55</c:v>
                </c:pt>
                <c:pt idx="16">
                  <c:v>-54</c:v>
                </c:pt>
                <c:pt idx="17">
                  <c:v>-53</c:v>
                </c:pt>
                <c:pt idx="18">
                  <c:v>-52</c:v>
                </c:pt>
                <c:pt idx="19">
                  <c:v>-51</c:v>
                </c:pt>
                <c:pt idx="20">
                  <c:v>-50</c:v>
                </c:pt>
                <c:pt idx="21">
                  <c:v>-49</c:v>
                </c:pt>
                <c:pt idx="22">
                  <c:v>-48</c:v>
                </c:pt>
                <c:pt idx="23">
                  <c:v>-47</c:v>
                </c:pt>
                <c:pt idx="24">
                  <c:v>-46</c:v>
                </c:pt>
                <c:pt idx="25">
                  <c:v>-45</c:v>
                </c:pt>
                <c:pt idx="26">
                  <c:v>-44</c:v>
                </c:pt>
                <c:pt idx="27">
                  <c:v>-43</c:v>
                </c:pt>
                <c:pt idx="28">
                  <c:v>-42</c:v>
                </c:pt>
                <c:pt idx="29">
                  <c:v>-41</c:v>
                </c:pt>
                <c:pt idx="30">
                  <c:v>-40</c:v>
                </c:pt>
                <c:pt idx="31">
                  <c:v>-39</c:v>
                </c:pt>
                <c:pt idx="32">
                  <c:v>-38</c:v>
                </c:pt>
                <c:pt idx="33">
                  <c:v>-37</c:v>
                </c:pt>
                <c:pt idx="34">
                  <c:v>-36</c:v>
                </c:pt>
                <c:pt idx="35">
                  <c:v>-35</c:v>
                </c:pt>
                <c:pt idx="36">
                  <c:v>-34</c:v>
                </c:pt>
                <c:pt idx="37">
                  <c:v>-33</c:v>
                </c:pt>
                <c:pt idx="38">
                  <c:v>-32</c:v>
                </c:pt>
                <c:pt idx="39">
                  <c:v>-31</c:v>
                </c:pt>
                <c:pt idx="40">
                  <c:v>-30</c:v>
                </c:pt>
                <c:pt idx="41">
                  <c:v>-29</c:v>
                </c:pt>
                <c:pt idx="42">
                  <c:v>-28</c:v>
                </c:pt>
                <c:pt idx="43">
                  <c:v>-27</c:v>
                </c:pt>
                <c:pt idx="44">
                  <c:v>-26</c:v>
                </c:pt>
                <c:pt idx="45">
                  <c:v>-25</c:v>
                </c:pt>
                <c:pt idx="46">
                  <c:v>-24</c:v>
                </c:pt>
                <c:pt idx="47">
                  <c:v>-23</c:v>
                </c:pt>
                <c:pt idx="48">
                  <c:v>-22</c:v>
                </c:pt>
                <c:pt idx="49">
                  <c:v>-21</c:v>
                </c:pt>
                <c:pt idx="50">
                  <c:v>-20</c:v>
                </c:pt>
                <c:pt idx="51">
                  <c:v>-19</c:v>
                </c:pt>
                <c:pt idx="52">
                  <c:v>-18</c:v>
                </c:pt>
                <c:pt idx="53">
                  <c:v>-17</c:v>
                </c:pt>
                <c:pt idx="54">
                  <c:v>-16</c:v>
                </c:pt>
                <c:pt idx="55">
                  <c:v>-15</c:v>
                </c:pt>
                <c:pt idx="56">
                  <c:v>-14</c:v>
                </c:pt>
                <c:pt idx="57">
                  <c:v>-13</c:v>
                </c:pt>
                <c:pt idx="58">
                  <c:v>-12</c:v>
                </c:pt>
                <c:pt idx="59">
                  <c:v>-11</c:v>
                </c:pt>
                <c:pt idx="60">
                  <c:v>-10</c:v>
                </c:pt>
                <c:pt idx="61">
                  <c:v>-9</c:v>
                </c:pt>
                <c:pt idx="62">
                  <c:v>-8</c:v>
                </c:pt>
                <c:pt idx="63">
                  <c:v>-7</c:v>
                </c:pt>
                <c:pt idx="64">
                  <c:v>-6</c:v>
                </c:pt>
                <c:pt idx="65">
                  <c:v>-5</c:v>
                </c:pt>
                <c:pt idx="66">
                  <c:v>-4</c:v>
                </c:pt>
                <c:pt idx="67">
                  <c:v>-3</c:v>
                </c:pt>
                <c:pt idx="68">
                  <c:v>-2</c:v>
                </c:pt>
                <c:pt idx="69">
                  <c:v>-1</c:v>
                </c:pt>
                <c:pt idx="70">
                  <c:v>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32</c:v>
                </c:pt>
                <c:pt idx="103">
                  <c:v>33</c:v>
                </c:pt>
                <c:pt idx="104">
                  <c:v>34</c:v>
                </c:pt>
                <c:pt idx="105">
                  <c:v>35</c:v>
                </c:pt>
                <c:pt idx="106">
                  <c:v>36</c:v>
                </c:pt>
                <c:pt idx="107">
                  <c:v>37</c:v>
                </c:pt>
                <c:pt idx="108">
                  <c:v>38</c:v>
                </c:pt>
                <c:pt idx="109">
                  <c:v>39</c:v>
                </c:pt>
                <c:pt idx="110">
                  <c:v>40</c:v>
                </c:pt>
                <c:pt idx="111">
                  <c:v>41</c:v>
                </c:pt>
                <c:pt idx="112">
                  <c:v>42</c:v>
                </c:pt>
                <c:pt idx="113">
                  <c:v>43</c:v>
                </c:pt>
                <c:pt idx="114">
                  <c:v>44</c:v>
                </c:pt>
                <c:pt idx="115">
                  <c:v>45</c:v>
                </c:pt>
                <c:pt idx="116">
                  <c:v>46</c:v>
                </c:pt>
                <c:pt idx="117">
                  <c:v>47</c:v>
                </c:pt>
                <c:pt idx="118">
                  <c:v>48</c:v>
                </c:pt>
                <c:pt idx="119">
                  <c:v>49</c:v>
                </c:pt>
                <c:pt idx="120">
                  <c:v>50</c:v>
                </c:pt>
                <c:pt idx="121">
                  <c:v>51</c:v>
                </c:pt>
                <c:pt idx="122">
                  <c:v>52</c:v>
                </c:pt>
                <c:pt idx="123">
                  <c:v>53</c:v>
                </c:pt>
                <c:pt idx="124">
                  <c:v>54</c:v>
                </c:pt>
                <c:pt idx="125">
                  <c:v>55</c:v>
                </c:pt>
                <c:pt idx="126">
                  <c:v>56</c:v>
                </c:pt>
                <c:pt idx="127">
                  <c:v>57</c:v>
                </c:pt>
                <c:pt idx="128">
                  <c:v>58</c:v>
                </c:pt>
                <c:pt idx="129">
                  <c:v>59</c:v>
                </c:pt>
                <c:pt idx="130">
                  <c:v>60</c:v>
                </c:pt>
                <c:pt idx="131">
                  <c:v>61</c:v>
                </c:pt>
                <c:pt idx="132">
                  <c:v>62</c:v>
                </c:pt>
                <c:pt idx="133">
                  <c:v>63</c:v>
                </c:pt>
                <c:pt idx="134">
                  <c:v>64</c:v>
                </c:pt>
                <c:pt idx="135">
                  <c:v>65</c:v>
                </c:pt>
                <c:pt idx="136">
                  <c:v>66</c:v>
                </c:pt>
                <c:pt idx="137">
                  <c:v>67</c:v>
                </c:pt>
                <c:pt idx="138">
                  <c:v>68</c:v>
                </c:pt>
                <c:pt idx="139">
                  <c:v>69</c:v>
                </c:pt>
                <c:pt idx="140">
                  <c:v>70</c:v>
                </c:pt>
              </c:numCache>
            </c:numRef>
          </c:cat>
          <c:val>
            <c:numRef>
              <c:f>'[20251213140757（新建110千伏架空单回路段）.xls]水平分布曲线数据'!$C$19:$C$159</c:f>
              <c:numCache>
                <c:formatCode>General</c:formatCode>
                <c:ptCount val="141"/>
                <c:pt idx="0">
                  <c:v>0.3136</c:v>
                </c:pt>
                <c:pt idx="1">
                  <c:v>0.3227</c:v>
                </c:pt>
                <c:pt idx="2">
                  <c:v>0.3321</c:v>
                </c:pt>
                <c:pt idx="3">
                  <c:v>0.342</c:v>
                </c:pt>
                <c:pt idx="4">
                  <c:v>0.3523</c:v>
                </c:pt>
                <c:pt idx="5">
                  <c:v>0.3631</c:v>
                </c:pt>
                <c:pt idx="6">
                  <c:v>0.3743</c:v>
                </c:pt>
                <c:pt idx="7">
                  <c:v>0.3862</c:v>
                </c:pt>
                <c:pt idx="8">
                  <c:v>0.3985</c:v>
                </c:pt>
                <c:pt idx="9">
                  <c:v>0.4115</c:v>
                </c:pt>
                <c:pt idx="10">
                  <c:v>0.4251</c:v>
                </c:pt>
                <c:pt idx="11">
                  <c:v>0.4394</c:v>
                </c:pt>
                <c:pt idx="12">
                  <c:v>0.4544</c:v>
                </c:pt>
                <c:pt idx="13">
                  <c:v>0.4702</c:v>
                </c:pt>
                <c:pt idx="14">
                  <c:v>0.4868</c:v>
                </c:pt>
                <c:pt idx="15">
                  <c:v>0.5044</c:v>
                </c:pt>
                <c:pt idx="16">
                  <c:v>0.5228</c:v>
                </c:pt>
                <c:pt idx="17">
                  <c:v>0.5423</c:v>
                </c:pt>
                <c:pt idx="18">
                  <c:v>0.5629</c:v>
                </c:pt>
                <c:pt idx="19">
                  <c:v>0.5847</c:v>
                </c:pt>
                <c:pt idx="20">
                  <c:v>0.6078</c:v>
                </c:pt>
                <c:pt idx="21">
                  <c:v>0.6322</c:v>
                </c:pt>
                <c:pt idx="22">
                  <c:v>0.6581</c:v>
                </c:pt>
                <c:pt idx="23">
                  <c:v>0.6856</c:v>
                </c:pt>
                <c:pt idx="24">
                  <c:v>0.7149</c:v>
                </c:pt>
                <c:pt idx="25">
                  <c:v>0.746</c:v>
                </c:pt>
                <c:pt idx="26">
                  <c:v>0.7792</c:v>
                </c:pt>
                <c:pt idx="27">
                  <c:v>0.8146</c:v>
                </c:pt>
                <c:pt idx="28">
                  <c:v>0.8525</c:v>
                </c:pt>
                <c:pt idx="29">
                  <c:v>0.893</c:v>
                </c:pt>
                <c:pt idx="30">
                  <c:v>0.9364</c:v>
                </c:pt>
                <c:pt idx="31">
                  <c:v>0.9829</c:v>
                </c:pt>
                <c:pt idx="32">
                  <c:v>1.033</c:v>
                </c:pt>
                <c:pt idx="33">
                  <c:v>1.0868</c:v>
                </c:pt>
                <c:pt idx="34">
                  <c:v>1.1449</c:v>
                </c:pt>
                <c:pt idx="35">
                  <c:v>1.2076</c:v>
                </c:pt>
                <c:pt idx="36">
                  <c:v>1.2754</c:v>
                </c:pt>
                <c:pt idx="37">
                  <c:v>1.3489</c:v>
                </c:pt>
                <c:pt idx="38">
                  <c:v>1.4286</c:v>
                </c:pt>
                <c:pt idx="39">
                  <c:v>1.5153</c:v>
                </c:pt>
                <c:pt idx="40">
                  <c:v>1.6098</c:v>
                </c:pt>
                <c:pt idx="41">
                  <c:v>1.713</c:v>
                </c:pt>
                <c:pt idx="42">
                  <c:v>1.8257</c:v>
                </c:pt>
                <c:pt idx="43">
                  <c:v>1.9492</c:v>
                </c:pt>
                <c:pt idx="44">
                  <c:v>2.0848</c:v>
                </c:pt>
                <c:pt idx="45">
                  <c:v>2.2337</c:v>
                </c:pt>
                <c:pt idx="46">
                  <c:v>2.3977</c:v>
                </c:pt>
                <c:pt idx="47">
                  <c:v>2.5784</c:v>
                </c:pt>
                <c:pt idx="48">
                  <c:v>2.7777</c:v>
                </c:pt>
                <c:pt idx="49">
                  <c:v>2.9978</c:v>
                </c:pt>
                <c:pt idx="50">
                  <c:v>3.2406</c:v>
                </c:pt>
                <c:pt idx="51">
                  <c:v>3.5083</c:v>
                </c:pt>
                <c:pt idx="52">
                  <c:v>3.803</c:v>
                </c:pt>
                <c:pt idx="53">
                  <c:v>4.1264</c:v>
                </c:pt>
                <c:pt idx="54">
                  <c:v>4.4795</c:v>
                </c:pt>
                <c:pt idx="55">
                  <c:v>4.8626</c:v>
                </c:pt>
                <c:pt idx="56">
                  <c:v>5.2742</c:v>
                </c:pt>
                <c:pt idx="57">
                  <c:v>5.7111</c:v>
                </c:pt>
                <c:pt idx="58">
                  <c:v>6.1677</c:v>
                </c:pt>
                <c:pt idx="59">
                  <c:v>6.6356</c:v>
                </c:pt>
                <c:pt idx="60">
                  <c:v>7.104</c:v>
                </c:pt>
                <c:pt idx="61">
                  <c:v>7.5605</c:v>
                </c:pt>
                <c:pt idx="62">
                  <c:v>7.9918</c:v>
                </c:pt>
                <c:pt idx="63">
                  <c:v>8.3859</c:v>
                </c:pt>
                <c:pt idx="64">
                  <c:v>8.7334</c:v>
                </c:pt>
                <c:pt idx="65">
                  <c:v>9.0281</c:v>
                </c:pt>
                <c:pt idx="66">
                  <c:v>9.2673</c:v>
                </c:pt>
                <c:pt idx="67">
                  <c:v>9.4507</c:v>
                </c:pt>
                <c:pt idx="68">
                  <c:v>9.5798</c:v>
                </c:pt>
                <c:pt idx="69">
                  <c:v>9.6564</c:v>
                </c:pt>
                <c:pt idx="70">
                  <c:v>9.6817</c:v>
                </c:pt>
                <c:pt idx="71">
                  <c:v>9.6564</c:v>
                </c:pt>
                <c:pt idx="72">
                  <c:v>9.5798</c:v>
                </c:pt>
                <c:pt idx="73">
                  <c:v>9.4507</c:v>
                </c:pt>
                <c:pt idx="74">
                  <c:v>9.2673</c:v>
                </c:pt>
                <c:pt idx="75">
                  <c:v>9.0281</c:v>
                </c:pt>
                <c:pt idx="76">
                  <c:v>8.7334</c:v>
                </c:pt>
                <c:pt idx="77">
                  <c:v>8.3859</c:v>
                </c:pt>
                <c:pt idx="78">
                  <c:v>7.9918</c:v>
                </c:pt>
                <c:pt idx="79">
                  <c:v>7.5605</c:v>
                </c:pt>
                <c:pt idx="80">
                  <c:v>7.104</c:v>
                </c:pt>
                <c:pt idx="81">
                  <c:v>6.6356</c:v>
                </c:pt>
                <c:pt idx="82">
                  <c:v>6.1677</c:v>
                </c:pt>
                <c:pt idx="83">
                  <c:v>5.7111</c:v>
                </c:pt>
                <c:pt idx="84">
                  <c:v>5.2742</c:v>
                </c:pt>
                <c:pt idx="85">
                  <c:v>4.8626</c:v>
                </c:pt>
                <c:pt idx="86">
                  <c:v>4.4795</c:v>
                </c:pt>
                <c:pt idx="87">
                  <c:v>4.1264</c:v>
                </c:pt>
                <c:pt idx="88">
                  <c:v>3.803</c:v>
                </c:pt>
                <c:pt idx="89">
                  <c:v>3.5083</c:v>
                </c:pt>
                <c:pt idx="90">
                  <c:v>3.2406</c:v>
                </c:pt>
                <c:pt idx="91">
                  <c:v>2.9978</c:v>
                </c:pt>
                <c:pt idx="92">
                  <c:v>2.7777</c:v>
                </c:pt>
                <c:pt idx="93">
                  <c:v>2.5784</c:v>
                </c:pt>
                <c:pt idx="94">
                  <c:v>2.3977</c:v>
                </c:pt>
                <c:pt idx="95">
                  <c:v>2.2337</c:v>
                </c:pt>
                <c:pt idx="96">
                  <c:v>2.0848</c:v>
                </c:pt>
                <c:pt idx="97">
                  <c:v>1.9492</c:v>
                </c:pt>
                <c:pt idx="98">
                  <c:v>1.8257</c:v>
                </c:pt>
                <c:pt idx="99">
                  <c:v>1.713</c:v>
                </c:pt>
                <c:pt idx="100">
                  <c:v>1.6098</c:v>
                </c:pt>
                <c:pt idx="101">
                  <c:v>1.5153</c:v>
                </c:pt>
                <c:pt idx="102">
                  <c:v>1.4286</c:v>
                </c:pt>
                <c:pt idx="103">
                  <c:v>1.3489</c:v>
                </c:pt>
                <c:pt idx="104">
                  <c:v>1.2754</c:v>
                </c:pt>
                <c:pt idx="105">
                  <c:v>1.2076</c:v>
                </c:pt>
                <c:pt idx="106">
                  <c:v>1.1449</c:v>
                </c:pt>
                <c:pt idx="107">
                  <c:v>1.0868</c:v>
                </c:pt>
                <c:pt idx="108">
                  <c:v>1.033</c:v>
                </c:pt>
                <c:pt idx="109">
                  <c:v>0.9829</c:v>
                </c:pt>
                <c:pt idx="110">
                  <c:v>0.9364</c:v>
                </c:pt>
                <c:pt idx="111">
                  <c:v>0.893</c:v>
                </c:pt>
                <c:pt idx="112">
                  <c:v>0.8525</c:v>
                </c:pt>
                <c:pt idx="113">
                  <c:v>0.8146</c:v>
                </c:pt>
                <c:pt idx="114">
                  <c:v>0.7792</c:v>
                </c:pt>
                <c:pt idx="115">
                  <c:v>0.746</c:v>
                </c:pt>
                <c:pt idx="116">
                  <c:v>0.7149</c:v>
                </c:pt>
                <c:pt idx="117">
                  <c:v>0.6856</c:v>
                </c:pt>
                <c:pt idx="118">
                  <c:v>0.6581</c:v>
                </c:pt>
                <c:pt idx="119">
                  <c:v>0.6322</c:v>
                </c:pt>
                <c:pt idx="120">
                  <c:v>0.6078</c:v>
                </c:pt>
                <c:pt idx="121">
                  <c:v>0.5847</c:v>
                </c:pt>
                <c:pt idx="122">
                  <c:v>0.5629</c:v>
                </c:pt>
                <c:pt idx="123">
                  <c:v>0.5423</c:v>
                </c:pt>
                <c:pt idx="124">
                  <c:v>0.5228</c:v>
                </c:pt>
                <c:pt idx="125">
                  <c:v>0.5044</c:v>
                </c:pt>
                <c:pt idx="126">
                  <c:v>0.4868</c:v>
                </c:pt>
                <c:pt idx="127">
                  <c:v>0.4702</c:v>
                </c:pt>
                <c:pt idx="128">
                  <c:v>0.4544</c:v>
                </c:pt>
                <c:pt idx="129">
                  <c:v>0.4394</c:v>
                </c:pt>
                <c:pt idx="130">
                  <c:v>0.4251</c:v>
                </c:pt>
                <c:pt idx="131">
                  <c:v>0.4115</c:v>
                </c:pt>
                <c:pt idx="132">
                  <c:v>0.3985</c:v>
                </c:pt>
                <c:pt idx="133">
                  <c:v>0.3862</c:v>
                </c:pt>
                <c:pt idx="134">
                  <c:v>0.3743</c:v>
                </c:pt>
                <c:pt idx="135">
                  <c:v>0.3631</c:v>
                </c:pt>
                <c:pt idx="136">
                  <c:v>0.3523</c:v>
                </c:pt>
                <c:pt idx="137">
                  <c:v>0.342</c:v>
                </c:pt>
                <c:pt idx="138">
                  <c:v>0.3321</c:v>
                </c:pt>
                <c:pt idx="139">
                  <c:v>0.3227</c:v>
                </c:pt>
                <c:pt idx="140">
                  <c:v>0.3136</c:v>
                </c:pt>
              </c:numCache>
            </c:numRef>
          </c:val>
          <c:smooth val="1"/>
        </c:ser>
        <c:dLbls>
          <c:showLegendKey val="0"/>
          <c:showVal val="0"/>
          <c:showCatName val="0"/>
          <c:showSerName val="0"/>
          <c:showPercent val="0"/>
          <c:showBubbleSize val="0"/>
        </c:dLbls>
        <c:marker val="0"/>
        <c:smooth val="1"/>
        <c:axId val="851310030"/>
        <c:axId val="234948933"/>
      </c:lineChart>
      <c:catAx>
        <c:axId val="851310030"/>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与线路走廊中心线距离（</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m)</a:t>
                </a:r>
                <a:endPar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endParaRPr>
              </a:p>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overlay val="0"/>
          <c:spPr>
            <a:noFill/>
            <a:ln>
              <a:noFill/>
            </a:ln>
            <a:effectLst/>
          </c:spPr>
        </c:title>
        <c:majorTickMark val="in"/>
        <c:minorTickMark val="none"/>
        <c:tickLblPos val="nextTo"/>
        <c:spPr>
          <a:noFill/>
          <a:ln w="3175" cap="flat" cmpd="sng" algn="ctr">
            <a:solidFill>
              <a:srgbClr val="000000"/>
            </a:solid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234948933"/>
        <c:crosses val="autoZero"/>
        <c:auto val="1"/>
        <c:lblAlgn val="ctr"/>
        <c:lblOffset val="100"/>
        <c:tickLblSkip val="20"/>
        <c:noMultiLvlLbl val="0"/>
      </c:catAx>
      <c:valAx>
        <c:axId val="234948933"/>
        <c:scaling>
          <c:orientation val="minMax"/>
          <c:max val="10"/>
          <c:min val="0"/>
        </c:scaling>
        <c:delete val="0"/>
        <c:axPos val="l"/>
        <c:majorGridlines>
          <c:spPr>
            <a:ln w="317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a:t>工频磁感应强度（μT）</a:t>
                </a:r>
                <a:endParaRPr lang="en-US" altLang="zh-CN" sz="1000" b="0" i="0" u="none" strike="noStrike" baseline="0">
                  <a:solidFill>
                    <a:srgbClr val="404040">
                      <a:alpha val="100000"/>
                    </a:srgbClr>
                  </a:solidFill>
                  <a:latin typeface="微软雅黑" panose="020B0503020204020204" charset="-122"/>
                  <a:ea typeface="微软雅黑" panose="020B0503020204020204" charset="-122"/>
                  <a:cs typeface="微软雅黑" panose="020B0503020204020204" charset="-122"/>
                </a:endParaRPr>
              </a:p>
            </c:rich>
          </c:tx>
          <c:layout/>
          <c:overlay val="0"/>
          <c:spPr>
            <a:noFill/>
            <a:ln>
              <a:noFill/>
            </a:ln>
            <a:effectLst/>
          </c:spPr>
        </c:title>
        <c:numFmt formatCode="General" sourceLinked="1"/>
        <c:majorTickMark val="none"/>
        <c:minorTickMark val="none"/>
        <c:tickLblPos val="nextTo"/>
        <c:spPr>
          <a:noFill/>
          <a:ln w="3175" cap="flat" cmpd="sng" algn="ctr">
            <a:solidFill>
              <a:srgbClr val="000000"/>
            </a:solidFill>
            <a:prstDash val="solid"/>
            <a:round/>
            <a:tailEnd type="none"/>
          </a:ln>
          <a:effectLst/>
        </c:spPr>
        <c:txPr>
          <a:bodyPr rot="-60000000" spcFirstLastPara="0" vertOverflow="ellipsis" vert="horz" wrap="square" anchor="ctr" anchorCtr="1" forceAA="0"/>
          <a:lstStyle/>
          <a:p>
            <a:pPr>
              <a:defRPr lang="zh-CN" sz="8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851310030"/>
        <c:crosses val="autoZero"/>
        <c:crossBetween val="between"/>
      </c:valAx>
      <c:spPr>
        <a:noFill/>
        <a:ln>
          <a:noFill/>
        </a:ln>
        <a:effectLst/>
      </c:spPr>
    </c:plotArea>
    <c:plotVisOnly val="1"/>
    <c:dispBlanksAs val="gap"/>
    <c:showDLblsOverMax val="0"/>
    <c:extLst>
      <c:ext uri="{0b15fc19-7d7d-44ad-8c2d-2c3a37ce22c3}">
        <chartProps xmlns="https://web.wps.cn/et/2018/main" chartId="{5a673108-7b3d-4bc3-845d-c1a8756691da}"/>
      </c:ext>
    </c:extLst>
  </c:chart>
  <c:spPr>
    <a:solidFill>
      <a:schemeClr val="bg1"/>
    </a:solidFill>
    <a:ln w="6350" cap="flat" cmpd="sng" algn="ctr">
      <a:solidFill>
        <a:schemeClr val="tx1">
          <a:lumMod val="50000"/>
          <a:lumOff val="50000"/>
          <a:alpha val="25000"/>
        </a:schemeClr>
      </a:solidFill>
      <a:prstDash val="solid"/>
      <a:round/>
    </a:ln>
    <a:effectLst/>
  </c:spPr>
  <c:txPr>
    <a:bodyPr wrap="square"/>
    <a:lstStyle/>
    <a:p>
      <a:pPr>
        <a:defRPr lang="zh-CN"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0"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导线对地高度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35.3m</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667085482675825"/>
          <c:y val="0.0222222222222222"/>
        </c:manualLayout>
      </c:layout>
      <c:overlay val="0"/>
      <c:spPr>
        <a:noFill/>
        <a:ln>
          <a:noFill/>
        </a:ln>
        <a:effectLst/>
      </c:spPr>
    </c:title>
    <c:autoTitleDeleted val="0"/>
    <c:plotArea>
      <c:layout>
        <c:manualLayout>
          <c:layoutTarget val="inner"/>
          <c:xMode val="edge"/>
          <c:yMode val="edge"/>
          <c:x val="0.101868421052632"/>
          <c:y val="0.0861111111111111"/>
          <c:w val="0.869184210526316"/>
          <c:h val="0.663981481481482"/>
        </c:manualLayout>
      </c:layout>
      <c:lineChart>
        <c:grouping val="standard"/>
        <c:varyColors val="0"/>
        <c:ser>
          <c:idx val="1"/>
          <c:order val="0"/>
          <c:spPr>
            <a:ln w="12700" cap="rnd" cmpd="sng" algn="ctr">
              <a:solidFill>
                <a:srgbClr val="000000"/>
              </a:solidFill>
              <a:prstDash val="solid"/>
              <a:round/>
            </a:ln>
            <a:effectLst/>
            <a:sp3d contourW="12700"/>
          </c:spPr>
          <c:marker>
            <c:symbol val="none"/>
          </c:marker>
          <c:dLbls>
            <c:delete val="1"/>
          </c:dLbls>
          <c:cat>
            <c:numRef>
              <c:f>'[20251213140757（抬高改造段110千伏架空单回路段）.xls]水平分布曲线数据'!$A$19:$A$159</c:f>
              <c:numCache>
                <c:formatCode>General</c:formatCode>
                <c:ptCount val="141"/>
                <c:pt idx="0">
                  <c:v>-70</c:v>
                </c:pt>
                <c:pt idx="1">
                  <c:v>-69</c:v>
                </c:pt>
                <c:pt idx="2">
                  <c:v>-68</c:v>
                </c:pt>
                <c:pt idx="3">
                  <c:v>-67</c:v>
                </c:pt>
                <c:pt idx="4">
                  <c:v>-66</c:v>
                </c:pt>
                <c:pt idx="5">
                  <c:v>-65</c:v>
                </c:pt>
                <c:pt idx="6">
                  <c:v>-64</c:v>
                </c:pt>
                <c:pt idx="7">
                  <c:v>-63</c:v>
                </c:pt>
                <c:pt idx="8">
                  <c:v>-62</c:v>
                </c:pt>
                <c:pt idx="9">
                  <c:v>-61</c:v>
                </c:pt>
                <c:pt idx="10">
                  <c:v>-60</c:v>
                </c:pt>
                <c:pt idx="11">
                  <c:v>-59</c:v>
                </c:pt>
                <c:pt idx="12">
                  <c:v>-58</c:v>
                </c:pt>
                <c:pt idx="13">
                  <c:v>-57</c:v>
                </c:pt>
                <c:pt idx="14">
                  <c:v>-56</c:v>
                </c:pt>
                <c:pt idx="15">
                  <c:v>-55</c:v>
                </c:pt>
                <c:pt idx="16">
                  <c:v>-54</c:v>
                </c:pt>
                <c:pt idx="17">
                  <c:v>-53</c:v>
                </c:pt>
                <c:pt idx="18">
                  <c:v>-52</c:v>
                </c:pt>
                <c:pt idx="19">
                  <c:v>-51</c:v>
                </c:pt>
                <c:pt idx="20">
                  <c:v>-50</c:v>
                </c:pt>
                <c:pt idx="21">
                  <c:v>-49</c:v>
                </c:pt>
                <c:pt idx="22">
                  <c:v>-48</c:v>
                </c:pt>
                <c:pt idx="23">
                  <c:v>-47</c:v>
                </c:pt>
                <c:pt idx="24">
                  <c:v>-46</c:v>
                </c:pt>
                <c:pt idx="25">
                  <c:v>-45</c:v>
                </c:pt>
                <c:pt idx="26">
                  <c:v>-44</c:v>
                </c:pt>
                <c:pt idx="27">
                  <c:v>-43</c:v>
                </c:pt>
                <c:pt idx="28">
                  <c:v>-42</c:v>
                </c:pt>
                <c:pt idx="29">
                  <c:v>-41</c:v>
                </c:pt>
                <c:pt idx="30">
                  <c:v>-40</c:v>
                </c:pt>
                <c:pt idx="31">
                  <c:v>-39</c:v>
                </c:pt>
                <c:pt idx="32">
                  <c:v>-38</c:v>
                </c:pt>
                <c:pt idx="33">
                  <c:v>-37</c:v>
                </c:pt>
                <c:pt idx="34">
                  <c:v>-36</c:v>
                </c:pt>
                <c:pt idx="35">
                  <c:v>-35</c:v>
                </c:pt>
                <c:pt idx="36">
                  <c:v>-34</c:v>
                </c:pt>
                <c:pt idx="37">
                  <c:v>-33</c:v>
                </c:pt>
                <c:pt idx="38">
                  <c:v>-32</c:v>
                </c:pt>
                <c:pt idx="39">
                  <c:v>-31</c:v>
                </c:pt>
                <c:pt idx="40">
                  <c:v>-30</c:v>
                </c:pt>
                <c:pt idx="41">
                  <c:v>-29</c:v>
                </c:pt>
                <c:pt idx="42">
                  <c:v>-28</c:v>
                </c:pt>
                <c:pt idx="43">
                  <c:v>-27</c:v>
                </c:pt>
                <c:pt idx="44">
                  <c:v>-26</c:v>
                </c:pt>
                <c:pt idx="45">
                  <c:v>-25</c:v>
                </c:pt>
                <c:pt idx="46">
                  <c:v>-24</c:v>
                </c:pt>
                <c:pt idx="47">
                  <c:v>-23</c:v>
                </c:pt>
                <c:pt idx="48">
                  <c:v>-22</c:v>
                </c:pt>
                <c:pt idx="49">
                  <c:v>-21</c:v>
                </c:pt>
                <c:pt idx="50">
                  <c:v>-20</c:v>
                </c:pt>
                <c:pt idx="51">
                  <c:v>-19</c:v>
                </c:pt>
                <c:pt idx="52">
                  <c:v>-18</c:v>
                </c:pt>
                <c:pt idx="53">
                  <c:v>-17</c:v>
                </c:pt>
                <c:pt idx="54">
                  <c:v>-16</c:v>
                </c:pt>
                <c:pt idx="55">
                  <c:v>-15</c:v>
                </c:pt>
                <c:pt idx="56">
                  <c:v>-14</c:v>
                </c:pt>
                <c:pt idx="57">
                  <c:v>-13</c:v>
                </c:pt>
                <c:pt idx="58">
                  <c:v>-12</c:v>
                </c:pt>
                <c:pt idx="59">
                  <c:v>-11</c:v>
                </c:pt>
                <c:pt idx="60">
                  <c:v>-10</c:v>
                </c:pt>
                <c:pt idx="61">
                  <c:v>-9</c:v>
                </c:pt>
                <c:pt idx="62">
                  <c:v>-8</c:v>
                </c:pt>
                <c:pt idx="63">
                  <c:v>-7</c:v>
                </c:pt>
                <c:pt idx="64">
                  <c:v>-6</c:v>
                </c:pt>
                <c:pt idx="65">
                  <c:v>-5</c:v>
                </c:pt>
                <c:pt idx="66">
                  <c:v>-4</c:v>
                </c:pt>
                <c:pt idx="67">
                  <c:v>-3</c:v>
                </c:pt>
                <c:pt idx="68">
                  <c:v>-2</c:v>
                </c:pt>
                <c:pt idx="69">
                  <c:v>-1</c:v>
                </c:pt>
                <c:pt idx="70">
                  <c:v>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32</c:v>
                </c:pt>
                <c:pt idx="103">
                  <c:v>33</c:v>
                </c:pt>
                <c:pt idx="104">
                  <c:v>34</c:v>
                </c:pt>
                <c:pt idx="105">
                  <c:v>35</c:v>
                </c:pt>
                <c:pt idx="106">
                  <c:v>36</c:v>
                </c:pt>
                <c:pt idx="107">
                  <c:v>37</c:v>
                </c:pt>
                <c:pt idx="108">
                  <c:v>38</c:v>
                </c:pt>
                <c:pt idx="109">
                  <c:v>39</c:v>
                </c:pt>
                <c:pt idx="110">
                  <c:v>40</c:v>
                </c:pt>
                <c:pt idx="111">
                  <c:v>41</c:v>
                </c:pt>
                <c:pt idx="112">
                  <c:v>42</c:v>
                </c:pt>
                <c:pt idx="113">
                  <c:v>43</c:v>
                </c:pt>
                <c:pt idx="114">
                  <c:v>44</c:v>
                </c:pt>
                <c:pt idx="115">
                  <c:v>45</c:v>
                </c:pt>
                <c:pt idx="116">
                  <c:v>46</c:v>
                </c:pt>
                <c:pt idx="117">
                  <c:v>47</c:v>
                </c:pt>
                <c:pt idx="118">
                  <c:v>48</c:v>
                </c:pt>
                <c:pt idx="119">
                  <c:v>49</c:v>
                </c:pt>
                <c:pt idx="120">
                  <c:v>50</c:v>
                </c:pt>
                <c:pt idx="121">
                  <c:v>51</c:v>
                </c:pt>
                <c:pt idx="122">
                  <c:v>52</c:v>
                </c:pt>
                <c:pt idx="123">
                  <c:v>53</c:v>
                </c:pt>
                <c:pt idx="124">
                  <c:v>54</c:v>
                </c:pt>
                <c:pt idx="125">
                  <c:v>55</c:v>
                </c:pt>
                <c:pt idx="126">
                  <c:v>56</c:v>
                </c:pt>
                <c:pt idx="127">
                  <c:v>57</c:v>
                </c:pt>
                <c:pt idx="128">
                  <c:v>58</c:v>
                </c:pt>
                <c:pt idx="129">
                  <c:v>59</c:v>
                </c:pt>
                <c:pt idx="130">
                  <c:v>60</c:v>
                </c:pt>
                <c:pt idx="131">
                  <c:v>61</c:v>
                </c:pt>
                <c:pt idx="132">
                  <c:v>62</c:v>
                </c:pt>
                <c:pt idx="133">
                  <c:v>63</c:v>
                </c:pt>
                <c:pt idx="134">
                  <c:v>64</c:v>
                </c:pt>
                <c:pt idx="135">
                  <c:v>65</c:v>
                </c:pt>
                <c:pt idx="136">
                  <c:v>66</c:v>
                </c:pt>
                <c:pt idx="137">
                  <c:v>67</c:v>
                </c:pt>
                <c:pt idx="138">
                  <c:v>68</c:v>
                </c:pt>
                <c:pt idx="139">
                  <c:v>69</c:v>
                </c:pt>
                <c:pt idx="140">
                  <c:v>70</c:v>
                </c:pt>
              </c:numCache>
            </c:numRef>
          </c:cat>
          <c:val>
            <c:numRef>
              <c:f>'[20251213140757（抬高改造段110千伏架空单回路段）.xls]水平分布曲线数据'!$B$19:$B$159</c:f>
              <c:numCache>
                <c:formatCode>General</c:formatCode>
                <c:ptCount val="141"/>
                <c:pt idx="0">
                  <c:v>0.0367</c:v>
                </c:pt>
                <c:pt idx="1">
                  <c:v>0.0378</c:v>
                </c:pt>
                <c:pt idx="2">
                  <c:v>0.039</c:v>
                </c:pt>
                <c:pt idx="3">
                  <c:v>0.0403</c:v>
                </c:pt>
                <c:pt idx="4">
                  <c:v>0.0416</c:v>
                </c:pt>
                <c:pt idx="5">
                  <c:v>0.0429</c:v>
                </c:pt>
                <c:pt idx="6">
                  <c:v>0.0443</c:v>
                </c:pt>
                <c:pt idx="7">
                  <c:v>0.0457</c:v>
                </c:pt>
                <c:pt idx="8">
                  <c:v>0.0472</c:v>
                </c:pt>
                <c:pt idx="9">
                  <c:v>0.0488</c:v>
                </c:pt>
                <c:pt idx="10">
                  <c:v>0.0504</c:v>
                </c:pt>
                <c:pt idx="11">
                  <c:v>0.0521</c:v>
                </c:pt>
                <c:pt idx="12">
                  <c:v>0.0538</c:v>
                </c:pt>
                <c:pt idx="13">
                  <c:v>0.0556</c:v>
                </c:pt>
                <c:pt idx="14">
                  <c:v>0.0575</c:v>
                </c:pt>
                <c:pt idx="15">
                  <c:v>0.0594</c:v>
                </c:pt>
                <c:pt idx="16">
                  <c:v>0.0614</c:v>
                </c:pt>
                <c:pt idx="17">
                  <c:v>0.0634</c:v>
                </c:pt>
                <c:pt idx="18">
                  <c:v>0.0656</c:v>
                </c:pt>
                <c:pt idx="19">
                  <c:v>0.0678</c:v>
                </c:pt>
                <c:pt idx="20">
                  <c:v>0.07</c:v>
                </c:pt>
                <c:pt idx="21">
                  <c:v>0.0724</c:v>
                </c:pt>
                <c:pt idx="22">
                  <c:v>0.0748</c:v>
                </c:pt>
                <c:pt idx="23">
                  <c:v>0.0772</c:v>
                </c:pt>
                <c:pt idx="24">
                  <c:v>0.0798</c:v>
                </c:pt>
                <c:pt idx="25">
                  <c:v>0.0824</c:v>
                </c:pt>
                <c:pt idx="26">
                  <c:v>0.085</c:v>
                </c:pt>
                <c:pt idx="27">
                  <c:v>0.0877</c:v>
                </c:pt>
                <c:pt idx="28">
                  <c:v>0.0905</c:v>
                </c:pt>
                <c:pt idx="29">
                  <c:v>0.0933</c:v>
                </c:pt>
                <c:pt idx="30">
                  <c:v>0.0962</c:v>
                </c:pt>
                <c:pt idx="31">
                  <c:v>0.0991</c:v>
                </c:pt>
                <c:pt idx="32">
                  <c:v>0.102</c:v>
                </c:pt>
                <c:pt idx="33">
                  <c:v>0.1049</c:v>
                </c:pt>
                <c:pt idx="34">
                  <c:v>0.1079</c:v>
                </c:pt>
                <c:pt idx="35">
                  <c:v>0.1108</c:v>
                </c:pt>
                <c:pt idx="36">
                  <c:v>0.1137</c:v>
                </c:pt>
                <c:pt idx="37">
                  <c:v>0.1165</c:v>
                </c:pt>
                <c:pt idx="38">
                  <c:v>0.1193</c:v>
                </c:pt>
                <c:pt idx="39">
                  <c:v>0.122</c:v>
                </c:pt>
                <c:pt idx="40">
                  <c:v>0.1245</c:v>
                </c:pt>
                <c:pt idx="41">
                  <c:v>0.1269</c:v>
                </c:pt>
                <c:pt idx="42">
                  <c:v>0.1291</c:v>
                </c:pt>
                <c:pt idx="43">
                  <c:v>0.1311</c:v>
                </c:pt>
                <c:pt idx="44">
                  <c:v>0.1329</c:v>
                </c:pt>
                <c:pt idx="45">
                  <c:v>0.1344</c:v>
                </c:pt>
                <c:pt idx="46">
                  <c:v>0.1356</c:v>
                </c:pt>
                <c:pt idx="47">
                  <c:v>0.1364</c:v>
                </c:pt>
                <c:pt idx="48">
                  <c:v>0.1368</c:v>
                </c:pt>
                <c:pt idx="49">
                  <c:v>0.1368</c:v>
                </c:pt>
                <c:pt idx="50">
                  <c:v>0.1362</c:v>
                </c:pt>
                <c:pt idx="51">
                  <c:v>0.1352</c:v>
                </c:pt>
                <c:pt idx="52">
                  <c:v>0.1336</c:v>
                </c:pt>
                <c:pt idx="53">
                  <c:v>0.1314</c:v>
                </c:pt>
                <c:pt idx="54">
                  <c:v>0.1286</c:v>
                </c:pt>
                <c:pt idx="55">
                  <c:v>0.1252</c:v>
                </c:pt>
                <c:pt idx="56">
                  <c:v>0.1211</c:v>
                </c:pt>
                <c:pt idx="57">
                  <c:v>0.1163</c:v>
                </c:pt>
                <c:pt idx="58">
                  <c:v>0.1109</c:v>
                </c:pt>
                <c:pt idx="59">
                  <c:v>0.1047</c:v>
                </c:pt>
                <c:pt idx="60">
                  <c:v>0.098</c:v>
                </c:pt>
                <c:pt idx="61">
                  <c:v>0.0906</c:v>
                </c:pt>
                <c:pt idx="62">
                  <c:v>0.0826</c:v>
                </c:pt>
                <c:pt idx="63">
                  <c:v>0.074</c:v>
                </c:pt>
                <c:pt idx="64">
                  <c:v>0.0651</c:v>
                </c:pt>
                <c:pt idx="65">
                  <c:v>0.0557</c:v>
                </c:pt>
                <c:pt idx="66">
                  <c:v>0.0461</c:v>
                </c:pt>
                <c:pt idx="67">
                  <c:v>0.0366</c:v>
                </c:pt>
                <c:pt idx="68">
                  <c:v>0.0274</c:v>
                </c:pt>
                <c:pt idx="69">
                  <c:v>0.0199</c:v>
                </c:pt>
                <c:pt idx="70">
                  <c:v>0.0166</c:v>
                </c:pt>
                <c:pt idx="71">
                  <c:v>0.0199</c:v>
                </c:pt>
                <c:pt idx="72">
                  <c:v>0.0274</c:v>
                </c:pt>
                <c:pt idx="73">
                  <c:v>0.0366</c:v>
                </c:pt>
                <c:pt idx="74">
                  <c:v>0.0461</c:v>
                </c:pt>
                <c:pt idx="75">
                  <c:v>0.0557</c:v>
                </c:pt>
                <c:pt idx="76">
                  <c:v>0.0651</c:v>
                </c:pt>
                <c:pt idx="77">
                  <c:v>0.074</c:v>
                </c:pt>
                <c:pt idx="78">
                  <c:v>0.0826</c:v>
                </c:pt>
                <c:pt idx="79">
                  <c:v>0.0906</c:v>
                </c:pt>
                <c:pt idx="80">
                  <c:v>0.098</c:v>
                </c:pt>
                <c:pt idx="81">
                  <c:v>0.1047</c:v>
                </c:pt>
                <c:pt idx="82">
                  <c:v>0.1109</c:v>
                </c:pt>
                <c:pt idx="83">
                  <c:v>0.1163</c:v>
                </c:pt>
                <c:pt idx="84">
                  <c:v>0.1211</c:v>
                </c:pt>
                <c:pt idx="85">
                  <c:v>0.1252</c:v>
                </c:pt>
                <c:pt idx="86">
                  <c:v>0.1286</c:v>
                </c:pt>
                <c:pt idx="87">
                  <c:v>0.1314</c:v>
                </c:pt>
                <c:pt idx="88">
                  <c:v>0.1336</c:v>
                </c:pt>
                <c:pt idx="89">
                  <c:v>0.1352</c:v>
                </c:pt>
                <c:pt idx="90">
                  <c:v>0.1362</c:v>
                </c:pt>
                <c:pt idx="91">
                  <c:v>0.1368</c:v>
                </c:pt>
                <c:pt idx="92">
                  <c:v>0.1368</c:v>
                </c:pt>
                <c:pt idx="93">
                  <c:v>0.1364</c:v>
                </c:pt>
                <c:pt idx="94">
                  <c:v>0.1356</c:v>
                </c:pt>
                <c:pt idx="95">
                  <c:v>0.1344</c:v>
                </c:pt>
                <c:pt idx="96">
                  <c:v>0.1329</c:v>
                </c:pt>
                <c:pt idx="97">
                  <c:v>0.1311</c:v>
                </c:pt>
                <c:pt idx="98">
                  <c:v>0.1291</c:v>
                </c:pt>
                <c:pt idx="99">
                  <c:v>0.1269</c:v>
                </c:pt>
                <c:pt idx="100">
                  <c:v>0.1245</c:v>
                </c:pt>
                <c:pt idx="101">
                  <c:v>0.122</c:v>
                </c:pt>
                <c:pt idx="102">
                  <c:v>0.1193</c:v>
                </c:pt>
                <c:pt idx="103">
                  <c:v>0.1165</c:v>
                </c:pt>
                <c:pt idx="104">
                  <c:v>0.1137</c:v>
                </c:pt>
                <c:pt idx="105">
                  <c:v>0.1108</c:v>
                </c:pt>
                <c:pt idx="106">
                  <c:v>0.1079</c:v>
                </c:pt>
                <c:pt idx="107">
                  <c:v>0.1049</c:v>
                </c:pt>
                <c:pt idx="108">
                  <c:v>0.102</c:v>
                </c:pt>
                <c:pt idx="109">
                  <c:v>0.0991</c:v>
                </c:pt>
                <c:pt idx="110">
                  <c:v>0.0962</c:v>
                </c:pt>
                <c:pt idx="111">
                  <c:v>0.0933</c:v>
                </c:pt>
                <c:pt idx="112">
                  <c:v>0.0905</c:v>
                </c:pt>
                <c:pt idx="113">
                  <c:v>0.0877</c:v>
                </c:pt>
                <c:pt idx="114">
                  <c:v>0.085</c:v>
                </c:pt>
                <c:pt idx="115">
                  <c:v>0.0824</c:v>
                </c:pt>
                <c:pt idx="116">
                  <c:v>0.0798</c:v>
                </c:pt>
                <c:pt idx="117">
                  <c:v>0.0772</c:v>
                </c:pt>
                <c:pt idx="118">
                  <c:v>0.0748</c:v>
                </c:pt>
                <c:pt idx="119">
                  <c:v>0.0724</c:v>
                </c:pt>
                <c:pt idx="120">
                  <c:v>0.07</c:v>
                </c:pt>
                <c:pt idx="121">
                  <c:v>0.0678</c:v>
                </c:pt>
                <c:pt idx="122">
                  <c:v>0.0656</c:v>
                </c:pt>
                <c:pt idx="123">
                  <c:v>0.0634</c:v>
                </c:pt>
                <c:pt idx="124">
                  <c:v>0.0614</c:v>
                </c:pt>
                <c:pt idx="125">
                  <c:v>0.0594</c:v>
                </c:pt>
                <c:pt idx="126">
                  <c:v>0.0575</c:v>
                </c:pt>
                <c:pt idx="127">
                  <c:v>0.0556</c:v>
                </c:pt>
                <c:pt idx="128">
                  <c:v>0.0538</c:v>
                </c:pt>
                <c:pt idx="129">
                  <c:v>0.0521</c:v>
                </c:pt>
                <c:pt idx="130">
                  <c:v>0.0504</c:v>
                </c:pt>
                <c:pt idx="131">
                  <c:v>0.0488</c:v>
                </c:pt>
                <c:pt idx="132">
                  <c:v>0.0472</c:v>
                </c:pt>
                <c:pt idx="133">
                  <c:v>0.0457</c:v>
                </c:pt>
                <c:pt idx="134">
                  <c:v>0.0443</c:v>
                </c:pt>
                <c:pt idx="135">
                  <c:v>0.0429</c:v>
                </c:pt>
                <c:pt idx="136">
                  <c:v>0.0416</c:v>
                </c:pt>
                <c:pt idx="137">
                  <c:v>0.0403</c:v>
                </c:pt>
                <c:pt idx="138">
                  <c:v>0.039</c:v>
                </c:pt>
                <c:pt idx="139">
                  <c:v>0.0378</c:v>
                </c:pt>
                <c:pt idx="140">
                  <c:v>0.0367</c:v>
                </c:pt>
              </c:numCache>
            </c:numRef>
          </c:val>
          <c:smooth val="1"/>
        </c:ser>
        <c:dLbls>
          <c:showLegendKey val="0"/>
          <c:showVal val="0"/>
          <c:showCatName val="0"/>
          <c:showSerName val="0"/>
          <c:showPercent val="0"/>
          <c:showBubbleSize val="0"/>
        </c:dLbls>
        <c:marker val="0"/>
        <c:smooth val="1"/>
        <c:axId val="619623661"/>
        <c:axId val="41572365"/>
      </c:lineChart>
      <c:catAx>
        <c:axId val="619623661"/>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与线路走廊中心线距离（</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m)</a:t>
                </a:r>
                <a:endParaRPr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362907894736842"/>
              <c:y val="0.865046296296296"/>
            </c:manualLayout>
          </c:layout>
          <c:overlay val="0"/>
          <c:spPr>
            <a:noFill/>
            <a:ln>
              <a:noFill/>
            </a:ln>
            <a:effectLst/>
          </c:spPr>
        </c:title>
        <c:majorTickMark val="in"/>
        <c:minorTickMark val="none"/>
        <c:tickLblPos val="nextTo"/>
        <c:spPr>
          <a:noFill/>
          <a:ln w="3175" cap="flat" cmpd="sng" algn="ctr">
            <a:solidFill>
              <a:srgbClr val="000000"/>
            </a:solid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41572365"/>
        <c:crosses val="autoZero"/>
        <c:auto val="1"/>
        <c:lblAlgn val="ctr"/>
        <c:lblOffset val="100"/>
        <c:tickLblSkip val="20"/>
        <c:noMultiLvlLbl val="0"/>
      </c:catAx>
      <c:valAx>
        <c:axId val="41572365"/>
        <c:scaling>
          <c:orientation val="minMax"/>
          <c:max val="0.2"/>
          <c:min val="0"/>
        </c:scaling>
        <c:delete val="0"/>
        <c:axPos val="l"/>
        <c:majorGridlines/>
        <c:title>
          <c:tx>
            <c:rich>
              <a:bodyPr rot="-540000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工频电场强度（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kV/m</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00406118857452281"/>
              <c:y val="0.154362950963923"/>
            </c:manualLayout>
          </c:layout>
          <c:overlay val="0"/>
        </c:title>
        <c:numFmt formatCode="General" sourceLinked="1"/>
        <c:majorTickMark val="none"/>
        <c:minorTickMark val="none"/>
        <c:tickLblPos val="nextTo"/>
        <c:spPr>
          <a:ln w="3175"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619623661"/>
        <c:crosses val="autoZero"/>
        <c:crossBetween val="between"/>
        <c:majorUnit val="0.04"/>
      </c:valAx>
      <c:spPr>
        <a:noFill/>
        <a:ln>
          <a:noFill/>
        </a:ln>
        <a:effectLst/>
      </c:spPr>
    </c:plotArea>
    <c:plotVisOnly val="1"/>
    <c:dispBlanksAs val="gap"/>
    <c:showDLblsOverMax val="0"/>
    <c:extLst>
      <c:ext uri="{0b15fc19-7d7d-44ad-8c2d-2c3a37ce22c3}">
        <chartProps xmlns="https://web.wps.cn/et/2018/main" chartId="{5305796c-0765-49a6-9806-7e81f5177bd2}"/>
      </c:ext>
    </c:extLst>
  </c:chart>
  <c:spPr>
    <a:solidFill>
      <a:schemeClr val="bg1"/>
    </a:solidFill>
    <a:ln w="6350" cap="flat" cmpd="sng" algn="ctr">
      <a:solidFill>
        <a:schemeClr val="tx1">
          <a:lumMod val="50000"/>
          <a:lumOff val="50000"/>
          <a:alpha val="25000"/>
        </a:schemeClr>
      </a:solidFill>
      <a:prstDash val="solid"/>
      <a:miter lim="800000"/>
    </a:ln>
    <a:effectLst/>
  </c:spPr>
  <c:txPr>
    <a:bodyPr wrap="square"/>
    <a:lstStyle/>
    <a:p>
      <a:pPr>
        <a:defRPr lang="zh-CN"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0"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导线对地高度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35.3m</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667085482675825"/>
          <c:y val="0.0222222222222222"/>
        </c:manualLayout>
      </c:layout>
      <c:overlay val="0"/>
      <c:spPr>
        <a:noFill/>
        <a:ln>
          <a:noFill/>
        </a:ln>
        <a:effectLst/>
      </c:spPr>
    </c:title>
    <c:autoTitleDeleted val="0"/>
    <c:plotArea>
      <c:layout>
        <c:manualLayout>
          <c:layoutTarget val="inner"/>
          <c:xMode val="edge"/>
          <c:yMode val="edge"/>
          <c:x val="0.101868421052632"/>
          <c:y val="0.0861111111111111"/>
          <c:w val="0.869184210526316"/>
          <c:h val="0.663981481481482"/>
        </c:manualLayout>
      </c:layout>
      <c:lineChart>
        <c:grouping val="standard"/>
        <c:varyColors val="0"/>
        <c:ser>
          <c:idx val="1"/>
          <c:order val="0"/>
          <c:spPr>
            <a:ln w="12700" cap="rnd" cmpd="sng" algn="ctr">
              <a:solidFill>
                <a:srgbClr val="000000"/>
              </a:solidFill>
              <a:prstDash val="solid"/>
              <a:round/>
            </a:ln>
            <a:effectLst/>
            <a:sp3d contourW="12700"/>
          </c:spPr>
          <c:marker>
            <c:symbol val="none"/>
          </c:marker>
          <c:dLbls>
            <c:delete val="1"/>
          </c:dLbls>
          <c:cat>
            <c:numRef>
              <c:f>'[20251213140757（抬高改造段110千伏架空单回路段）.xls]水平分布曲线数据'!$A$19:$A$159</c:f>
              <c:numCache>
                <c:formatCode>General</c:formatCode>
                <c:ptCount val="141"/>
                <c:pt idx="0">
                  <c:v>-70</c:v>
                </c:pt>
                <c:pt idx="1">
                  <c:v>-69</c:v>
                </c:pt>
                <c:pt idx="2">
                  <c:v>-68</c:v>
                </c:pt>
                <c:pt idx="3">
                  <c:v>-67</c:v>
                </c:pt>
                <c:pt idx="4">
                  <c:v>-66</c:v>
                </c:pt>
                <c:pt idx="5">
                  <c:v>-65</c:v>
                </c:pt>
                <c:pt idx="6">
                  <c:v>-64</c:v>
                </c:pt>
                <c:pt idx="7">
                  <c:v>-63</c:v>
                </c:pt>
                <c:pt idx="8">
                  <c:v>-62</c:v>
                </c:pt>
                <c:pt idx="9">
                  <c:v>-61</c:v>
                </c:pt>
                <c:pt idx="10">
                  <c:v>-60</c:v>
                </c:pt>
                <c:pt idx="11">
                  <c:v>-59</c:v>
                </c:pt>
                <c:pt idx="12">
                  <c:v>-58</c:v>
                </c:pt>
                <c:pt idx="13">
                  <c:v>-57</c:v>
                </c:pt>
                <c:pt idx="14">
                  <c:v>-56</c:v>
                </c:pt>
                <c:pt idx="15">
                  <c:v>-55</c:v>
                </c:pt>
                <c:pt idx="16">
                  <c:v>-54</c:v>
                </c:pt>
                <c:pt idx="17">
                  <c:v>-53</c:v>
                </c:pt>
                <c:pt idx="18">
                  <c:v>-52</c:v>
                </c:pt>
                <c:pt idx="19">
                  <c:v>-51</c:v>
                </c:pt>
                <c:pt idx="20">
                  <c:v>-50</c:v>
                </c:pt>
                <c:pt idx="21">
                  <c:v>-49</c:v>
                </c:pt>
                <c:pt idx="22">
                  <c:v>-48</c:v>
                </c:pt>
                <c:pt idx="23">
                  <c:v>-47</c:v>
                </c:pt>
                <c:pt idx="24">
                  <c:v>-46</c:v>
                </c:pt>
                <c:pt idx="25">
                  <c:v>-45</c:v>
                </c:pt>
                <c:pt idx="26">
                  <c:v>-44</c:v>
                </c:pt>
                <c:pt idx="27">
                  <c:v>-43</c:v>
                </c:pt>
                <c:pt idx="28">
                  <c:v>-42</c:v>
                </c:pt>
                <c:pt idx="29">
                  <c:v>-41</c:v>
                </c:pt>
                <c:pt idx="30">
                  <c:v>-40</c:v>
                </c:pt>
                <c:pt idx="31">
                  <c:v>-39</c:v>
                </c:pt>
                <c:pt idx="32">
                  <c:v>-38</c:v>
                </c:pt>
                <c:pt idx="33">
                  <c:v>-37</c:v>
                </c:pt>
                <c:pt idx="34">
                  <c:v>-36</c:v>
                </c:pt>
                <c:pt idx="35">
                  <c:v>-35</c:v>
                </c:pt>
                <c:pt idx="36">
                  <c:v>-34</c:v>
                </c:pt>
                <c:pt idx="37">
                  <c:v>-33</c:v>
                </c:pt>
                <c:pt idx="38">
                  <c:v>-32</c:v>
                </c:pt>
                <c:pt idx="39">
                  <c:v>-31</c:v>
                </c:pt>
                <c:pt idx="40">
                  <c:v>-30</c:v>
                </c:pt>
                <c:pt idx="41">
                  <c:v>-29</c:v>
                </c:pt>
                <c:pt idx="42">
                  <c:v>-28</c:v>
                </c:pt>
                <c:pt idx="43">
                  <c:v>-27</c:v>
                </c:pt>
                <c:pt idx="44">
                  <c:v>-26</c:v>
                </c:pt>
                <c:pt idx="45">
                  <c:v>-25</c:v>
                </c:pt>
                <c:pt idx="46">
                  <c:v>-24</c:v>
                </c:pt>
                <c:pt idx="47">
                  <c:v>-23</c:v>
                </c:pt>
                <c:pt idx="48">
                  <c:v>-22</c:v>
                </c:pt>
                <c:pt idx="49">
                  <c:v>-21</c:v>
                </c:pt>
                <c:pt idx="50">
                  <c:v>-20</c:v>
                </c:pt>
                <c:pt idx="51">
                  <c:v>-19</c:v>
                </c:pt>
                <c:pt idx="52">
                  <c:v>-18</c:v>
                </c:pt>
                <c:pt idx="53">
                  <c:v>-17</c:v>
                </c:pt>
                <c:pt idx="54">
                  <c:v>-16</c:v>
                </c:pt>
                <c:pt idx="55">
                  <c:v>-15</c:v>
                </c:pt>
                <c:pt idx="56">
                  <c:v>-14</c:v>
                </c:pt>
                <c:pt idx="57">
                  <c:v>-13</c:v>
                </c:pt>
                <c:pt idx="58">
                  <c:v>-12</c:v>
                </c:pt>
                <c:pt idx="59">
                  <c:v>-11</c:v>
                </c:pt>
                <c:pt idx="60">
                  <c:v>-10</c:v>
                </c:pt>
                <c:pt idx="61">
                  <c:v>-9</c:v>
                </c:pt>
                <c:pt idx="62">
                  <c:v>-8</c:v>
                </c:pt>
                <c:pt idx="63">
                  <c:v>-7</c:v>
                </c:pt>
                <c:pt idx="64">
                  <c:v>-6</c:v>
                </c:pt>
                <c:pt idx="65">
                  <c:v>-5</c:v>
                </c:pt>
                <c:pt idx="66">
                  <c:v>-4</c:v>
                </c:pt>
                <c:pt idx="67">
                  <c:v>-3</c:v>
                </c:pt>
                <c:pt idx="68">
                  <c:v>-2</c:v>
                </c:pt>
                <c:pt idx="69">
                  <c:v>-1</c:v>
                </c:pt>
                <c:pt idx="70">
                  <c:v>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32</c:v>
                </c:pt>
                <c:pt idx="103">
                  <c:v>33</c:v>
                </c:pt>
                <c:pt idx="104">
                  <c:v>34</c:v>
                </c:pt>
                <c:pt idx="105">
                  <c:v>35</c:v>
                </c:pt>
                <c:pt idx="106">
                  <c:v>36</c:v>
                </c:pt>
                <c:pt idx="107">
                  <c:v>37</c:v>
                </c:pt>
                <c:pt idx="108">
                  <c:v>38</c:v>
                </c:pt>
                <c:pt idx="109">
                  <c:v>39</c:v>
                </c:pt>
                <c:pt idx="110">
                  <c:v>40</c:v>
                </c:pt>
                <c:pt idx="111">
                  <c:v>41</c:v>
                </c:pt>
                <c:pt idx="112">
                  <c:v>42</c:v>
                </c:pt>
                <c:pt idx="113">
                  <c:v>43</c:v>
                </c:pt>
                <c:pt idx="114">
                  <c:v>44</c:v>
                </c:pt>
                <c:pt idx="115">
                  <c:v>45</c:v>
                </c:pt>
                <c:pt idx="116">
                  <c:v>46</c:v>
                </c:pt>
                <c:pt idx="117">
                  <c:v>47</c:v>
                </c:pt>
                <c:pt idx="118">
                  <c:v>48</c:v>
                </c:pt>
                <c:pt idx="119">
                  <c:v>49</c:v>
                </c:pt>
                <c:pt idx="120">
                  <c:v>50</c:v>
                </c:pt>
                <c:pt idx="121">
                  <c:v>51</c:v>
                </c:pt>
                <c:pt idx="122">
                  <c:v>52</c:v>
                </c:pt>
                <c:pt idx="123">
                  <c:v>53</c:v>
                </c:pt>
                <c:pt idx="124">
                  <c:v>54</c:v>
                </c:pt>
                <c:pt idx="125">
                  <c:v>55</c:v>
                </c:pt>
                <c:pt idx="126">
                  <c:v>56</c:v>
                </c:pt>
                <c:pt idx="127">
                  <c:v>57</c:v>
                </c:pt>
                <c:pt idx="128">
                  <c:v>58</c:v>
                </c:pt>
                <c:pt idx="129">
                  <c:v>59</c:v>
                </c:pt>
                <c:pt idx="130">
                  <c:v>60</c:v>
                </c:pt>
                <c:pt idx="131">
                  <c:v>61</c:v>
                </c:pt>
                <c:pt idx="132">
                  <c:v>62</c:v>
                </c:pt>
                <c:pt idx="133">
                  <c:v>63</c:v>
                </c:pt>
                <c:pt idx="134">
                  <c:v>64</c:v>
                </c:pt>
                <c:pt idx="135">
                  <c:v>65</c:v>
                </c:pt>
                <c:pt idx="136">
                  <c:v>66</c:v>
                </c:pt>
                <c:pt idx="137">
                  <c:v>67</c:v>
                </c:pt>
                <c:pt idx="138">
                  <c:v>68</c:v>
                </c:pt>
                <c:pt idx="139">
                  <c:v>69</c:v>
                </c:pt>
                <c:pt idx="140">
                  <c:v>70</c:v>
                </c:pt>
              </c:numCache>
            </c:numRef>
          </c:cat>
          <c:val>
            <c:numRef>
              <c:f>'[20251213140757（抬高改造段110千伏架空单回路段）.xls]水平分布曲线数据'!$C$19:$C$159</c:f>
              <c:numCache>
                <c:formatCode>General</c:formatCode>
                <c:ptCount val="141"/>
                <c:pt idx="0">
                  <c:v>0.2766</c:v>
                </c:pt>
                <c:pt idx="1">
                  <c:v>0.2831</c:v>
                </c:pt>
                <c:pt idx="2">
                  <c:v>0.2899</c:v>
                </c:pt>
                <c:pt idx="3">
                  <c:v>0.2968</c:v>
                </c:pt>
                <c:pt idx="4">
                  <c:v>0.304</c:v>
                </c:pt>
                <c:pt idx="5">
                  <c:v>0.3115</c:v>
                </c:pt>
                <c:pt idx="6">
                  <c:v>0.3192</c:v>
                </c:pt>
                <c:pt idx="7">
                  <c:v>0.3271</c:v>
                </c:pt>
                <c:pt idx="8">
                  <c:v>0.3354</c:v>
                </c:pt>
                <c:pt idx="9">
                  <c:v>0.3439</c:v>
                </c:pt>
                <c:pt idx="10">
                  <c:v>0.3527</c:v>
                </c:pt>
                <c:pt idx="11">
                  <c:v>0.3618</c:v>
                </c:pt>
                <c:pt idx="12">
                  <c:v>0.3712</c:v>
                </c:pt>
                <c:pt idx="13">
                  <c:v>0.3809</c:v>
                </c:pt>
                <c:pt idx="14">
                  <c:v>0.391</c:v>
                </c:pt>
                <c:pt idx="15">
                  <c:v>0.4014</c:v>
                </c:pt>
                <c:pt idx="16">
                  <c:v>0.4122</c:v>
                </c:pt>
                <c:pt idx="17">
                  <c:v>0.4234</c:v>
                </c:pt>
                <c:pt idx="18">
                  <c:v>0.4349</c:v>
                </c:pt>
                <c:pt idx="19">
                  <c:v>0.4469</c:v>
                </c:pt>
                <c:pt idx="20">
                  <c:v>0.4593</c:v>
                </c:pt>
                <c:pt idx="21">
                  <c:v>0.4721</c:v>
                </c:pt>
                <c:pt idx="22">
                  <c:v>0.4853</c:v>
                </c:pt>
                <c:pt idx="23">
                  <c:v>0.499</c:v>
                </c:pt>
                <c:pt idx="24">
                  <c:v>0.5132</c:v>
                </c:pt>
                <c:pt idx="25">
                  <c:v>0.5278</c:v>
                </c:pt>
                <c:pt idx="26">
                  <c:v>0.543</c:v>
                </c:pt>
                <c:pt idx="27">
                  <c:v>0.5587</c:v>
                </c:pt>
                <c:pt idx="28">
                  <c:v>0.5749</c:v>
                </c:pt>
                <c:pt idx="29">
                  <c:v>0.5916</c:v>
                </c:pt>
                <c:pt idx="30">
                  <c:v>0.6088</c:v>
                </c:pt>
                <c:pt idx="31">
                  <c:v>0.6267</c:v>
                </c:pt>
                <c:pt idx="32">
                  <c:v>0.645</c:v>
                </c:pt>
                <c:pt idx="33">
                  <c:v>0.664</c:v>
                </c:pt>
                <c:pt idx="34">
                  <c:v>0.6835</c:v>
                </c:pt>
                <c:pt idx="35">
                  <c:v>0.7036</c:v>
                </c:pt>
                <c:pt idx="36">
                  <c:v>0.7242</c:v>
                </c:pt>
                <c:pt idx="37">
                  <c:v>0.7454</c:v>
                </c:pt>
                <c:pt idx="38">
                  <c:v>0.7671</c:v>
                </c:pt>
                <c:pt idx="39">
                  <c:v>0.7894</c:v>
                </c:pt>
                <c:pt idx="40">
                  <c:v>0.8122</c:v>
                </c:pt>
                <c:pt idx="41">
                  <c:v>0.8355</c:v>
                </c:pt>
                <c:pt idx="42">
                  <c:v>0.8592</c:v>
                </c:pt>
                <c:pt idx="43">
                  <c:v>0.8834</c:v>
                </c:pt>
                <c:pt idx="44">
                  <c:v>0.908</c:v>
                </c:pt>
                <c:pt idx="45">
                  <c:v>0.9328</c:v>
                </c:pt>
                <c:pt idx="46">
                  <c:v>0.958</c:v>
                </c:pt>
                <c:pt idx="47">
                  <c:v>0.9834</c:v>
                </c:pt>
                <c:pt idx="48">
                  <c:v>1.0089</c:v>
                </c:pt>
                <c:pt idx="49">
                  <c:v>1.0344</c:v>
                </c:pt>
                <c:pt idx="50">
                  <c:v>1.06</c:v>
                </c:pt>
                <c:pt idx="51">
                  <c:v>1.0854</c:v>
                </c:pt>
                <c:pt idx="52">
                  <c:v>1.1105</c:v>
                </c:pt>
                <c:pt idx="53">
                  <c:v>1.1354</c:v>
                </c:pt>
                <c:pt idx="54">
                  <c:v>1.1597</c:v>
                </c:pt>
                <c:pt idx="55">
                  <c:v>1.1835</c:v>
                </c:pt>
                <c:pt idx="56">
                  <c:v>1.2065</c:v>
                </c:pt>
                <c:pt idx="57">
                  <c:v>1.2288</c:v>
                </c:pt>
                <c:pt idx="58">
                  <c:v>1.25</c:v>
                </c:pt>
                <c:pt idx="59">
                  <c:v>1.2701</c:v>
                </c:pt>
                <c:pt idx="60">
                  <c:v>1.2891</c:v>
                </c:pt>
                <c:pt idx="61">
                  <c:v>1.3066</c:v>
                </c:pt>
                <c:pt idx="62">
                  <c:v>1.3227</c:v>
                </c:pt>
                <c:pt idx="63">
                  <c:v>1.3371</c:v>
                </c:pt>
                <c:pt idx="64">
                  <c:v>1.3499</c:v>
                </c:pt>
                <c:pt idx="65">
                  <c:v>1.3609</c:v>
                </c:pt>
                <c:pt idx="66">
                  <c:v>1.37</c:v>
                </c:pt>
                <c:pt idx="67">
                  <c:v>1.3771</c:v>
                </c:pt>
                <c:pt idx="68">
                  <c:v>1.3823</c:v>
                </c:pt>
                <c:pt idx="69">
                  <c:v>1.3854</c:v>
                </c:pt>
                <c:pt idx="70">
                  <c:v>1.3864</c:v>
                </c:pt>
                <c:pt idx="71">
                  <c:v>1.3854</c:v>
                </c:pt>
                <c:pt idx="72">
                  <c:v>1.3823</c:v>
                </c:pt>
                <c:pt idx="73">
                  <c:v>1.3771</c:v>
                </c:pt>
                <c:pt idx="74">
                  <c:v>1.37</c:v>
                </c:pt>
                <c:pt idx="75">
                  <c:v>1.3609</c:v>
                </c:pt>
                <c:pt idx="76">
                  <c:v>1.3499</c:v>
                </c:pt>
                <c:pt idx="77">
                  <c:v>1.3371</c:v>
                </c:pt>
                <c:pt idx="78">
                  <c:v>1.3227</c:v>
                </c:pt>
                <c:pt idx="79">
                  <c:v>1.3066</c:v>
                </c:pt>
                <c:pt idx="80">
                  <c:v>1.2891</c:v>
                </c:pt>
                <c:pt idx="81">
                  <c:v>1.2701</c:v>
                </c:pt>
                <c:pt idx="82">
                  <c:v>1.25</c:v>
                </c:pt>
                <c:pt idx="83">
                  <c:v>1.2288</c:v>
                </c:pt>
                <c:pt idx="84">
                  <c:v>1.2065</c:v>
                </c:pt>
                <c:pt idx="85">
                  <c:v>1.1835</c:v>
                </c:pt>
                <c:pt idx="86">
                  <c:v>1.1597</c:v>
                </c:pt>
                <c:pt idx="87">
                  <c:v>1.1354</c:v>
                </c:pt>
                <c:pt idx="88">
                  <c:v>1.1105</c:v>
                </c:pt>
                <c:pt idx="89">
                  <c:v>1.0854</c:v>
                </c:pt>
                <c:pt idx="90">
                  <c:v>1.06</c:v>
                </c:pt>
                <c:pt idx="91">
                  <c:v>1.0344</c:v>
                </c:pt>
                <c:pt idx="92">
                  <c:v>1.0089</c:v>
                </c:pt>
                <c:pt idx="93">
                  <c:v>0.9834</c:v>
                </c:pt>
                <c:pt idx="94">
                  <c:v>0.958</c:v>
                </c:pt>
                <c:pt idx="95">
                  <c:v>0.9328</c:v>
                </c:pt>
                <c:pt idx="96">
                  <c:v>0.908</c:v>
                </c:pt>
                <c:pt idx="97">
                  <c:v>0.8834</c:v>
                </c:pt>
                <c:pt idx="98">
                  <c:v>0.8592</c:v>
                </c:pt>
                <c:pt idx="99">
                  <c:v>0.8355</c:v>
                </c:pt>
                <c:pt idx="100">
                  <c:v>0.8122</c:v>
                </c:pt>
                <c:pt idx="101">
                  <c:v>0.7894</c:v>
                </c:pt>
                <c:pt idx="102">
                  <c:v>0.7671</c:v>
                </c:pt>
                <c:pt idx="103">
                  <c:v>0.7454</c:v>
                </c:pt>
                <c:pt idx="104">
                  <c:v>0.7242</c:v>
                </c:pt>
                <c:pt idx="105">
                  <c:v>0.7036</c:v>
                </c:pt>
                <c:pt idx="106">
                  <c:v>0.6835</c:v>
                </c:pt>
                <c:pt idx="107">
                  <c:v>0.664</c:v>
                </c:pt>
                <c:pt idx="108">
                  <c:v>0.645</c:v>
                </c:pt>
                <c:pt idx="109">
                  <c:v>0.6267</c:v>
                </c:pt>
                <c:pt idx="110">
                  <c:v>0.6088</c:v>
                </c:pt>
                <c:pt idx="111">
                  <c:v>0.5916</c:v>
                </c:pt>
                <c:pt idx="112">
                  <c:v>0.5749</c:v>
                </c:pt>
                <c:pt idx="113">
                  <c:v>0.5587</c:v>
                </c:pt>
                <c:pt idx="114">
                  <c:v>0.543</c:v>
                </c:pt>
                <c:pt idx="115">
                  <c:v>0.5278</c:v>
                </c:pt>
                <c:pt idx="116">
                  <c:v>0.5132</c:v>
                </c:pt>
                <c:pt idx="117">
                  <c:v>0.499</c:v>
                </c:pt>
                <c:pt idx="118">
                  <c:v>0.4853</c:v>
                </c:pt>
                <c:pt idx="119">
                  <c:v>0.4721</c:v>
                </c:pt>
                <c:pt idx="120">
                  <c:v>0.4593</c:v>
                </c:pt>
                <c:pt idx="121">
                  <c:v>0.4469</c:v>
                </c:pt>
                <c:pt idx="122">
                  <c:v>0.4349</c:v>
                </c:pt>
                <c:pt idx="123">
                  <c:v>0.4234</c:v>
                </c:pt>
                <c:pt idx="124">
                  <c:v>0.4122</c:v>
                </c:pt>
                <c:pt idx="125">
                  <c:v>0.4014</c:v>
                </c:pt>
                <c:pt idx="126">
                  <c:v>0.391</c:v>
                </c:pt>
                <c:pt idx="127">
                  <c:v>0.3809</c:v>
                </c:pt>
                <c:pt idx="128">
                  <c:v>0.3712</c:v>
                </c:pt>
                <c:pt idx="129">
                  <c:v>0.3618</c:v>
                </c:pt>
                <c:pt idx="130">
                  <c:v>0.3527</c:v>
                </c:pt>
                <c:pt idx="131">
                  <c:v>0.3439</c:v>
                </c:pt>
                <c:pt idx="132">
                  <c:v>0.3354</c:v>
                </c:pt>
                <c:pt idx="133">
                  <c:v>0.3271</c:v>
                </c:pt>
                <c:pt idx="134">
                  <c:v>0.3192</c:v>
                </c:pt>
                <c:pt idx="135">
                  <c:v>0.3115</c:v>
                </c:pt>
                <c:pt idx="136">
                  <c:v>0.304</c:v>
                </c:pt>
                <c:pt idx="137">
                  <c:v>0.2968</c:v>
                </c:pt>
                <c:pt idx="138">
                  <c:v>0.2899</c:v>
                </c:pt>
                <c:pt idx="139">
                  <c:v>0.2831</c:v>
                </c:pt>
                <c:pt idx="140">
                  <c:v>0.2766</c:v>
                </c:pt>
              </c:numCache>
            </c:numRef>
          </c:val>
          <c:smooth val="1"/>
        </c:ser>
        <c:dLbls>
          <c:showLegendKey val="0"/>
          <c:showVal val="0"/>
          <c:showCatName val="0"/>
          <c:showSerName val="0"/>
          <c:showPercent val="0"/>
          <c:showBubbleSize val="0"/>
        </c:dLbls>
        <c:marker val="0"/>
        <c:smooth val="1"/>
        <c:axId val="619623661"/>
        <c:axId val="41572365"/>
      </c:lineChart>
      <c:catAx>
        <c:axId val="619623661"/>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与线路走廊中心线距离（</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m)</a:t>
                </a:r>
                <a:endParaRPr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362907894736842"/>
              <c:y val="0.865046296296296"/>
            </c:manualLayout>
          </c:layout>
          <c:overlay val="0"/>
          <c:spPr>
            <a:noFill/>
            <a:ln>
              <a:noFill/>
            </a:ln>
            <a:effectLst/>
          </c:spPr>
        </c:title>
        <c:majorTickMark val="in"/>
        <c:minorTickMark val="none"/>
        <c:tickLblPos val="nextTo"/>
        <c:spPr>
          <a:noFill/>
          <a:ln w="3175" cap="flat" cmpd="sng" algn="ctr">
            <a:solidFill>
              <a:srgbClr val="000000"/>
            </a:solid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41572365"/>
        <c:crosses val="autoZero"/>
        <c:auto val="1"/>
        <c:lblAlgn val="ctr"/>
        <c:lblOffset val="100"/>
        <c:tickLblSkip val="20"/>
        <c:noMultiLvlLbl val="0"/>
      </c:catAx>
      <c:valAx>
        <c:axId val="41572365"/>
        <c:scaling>
          <c:orientation val="minMax"/>
          <c:max val="2"/>
          <c:min val="0"/>
        </c:scaling>
        <c:delete val="0"/>
        <c:axPos val="l"/>
        <c:majorGridlines/>
        <c:title>
          <c:tx>
            <c:rich>
              <a:bodyPr rot="-540000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工频磁感应强度（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μT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00406118857452278"/>
              <c:y val="0.124287762993998"/>
            </c:manualLayout>
          </c:layout>
          <c:overlay val="0"/>
        </c:title>
        <c:numFmt formatCode="General" sourceLinked="1"/>
        <c:majorTickMark val="none"/>
        <c:minorTickMark val="none"/>
        <c:tickLblPos val="nextTo"/>
        <c:spPr>
          <a:ln w="3175"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619623661"/>
        <c:crosses val="autoZero"/>
        <c:crossBetween val="between"/>
        <c:majorUnit val="0.2"/>
      </c:valAx>
      <c:spPr>
        <a:noFill/>
        <a:ln>
          <a:noFill/>
        </a:ln>
        <a:effectLst/>
      </c:spPr>
    </c:plotArea>
    <c:plotVisOnly val="1"/>
    <c:dispBlanksAs val="gap"/>
    <c:showDLblsOverMax val="0"/>
    <c:extLst>
      <c:ext uri="{0b15fc19-7d7d-44ad-8c2d-2c3a37ce22c3}">
        <chartProps xmlns="https://web.wps.cn/et/2018/main" chartId="{5305796c-0765-49a6-9806-7e81f5177bd2}"/>
      </c:ext>
    </c:extLst>
  </c:chart>
  <c:spPr>
    <a:solidFill>
      <a:schemeClr val="bg1"/>
    </a:solidFill>
    <a:ln w="6350" cap="flat" cmpd="sng" algn="ctr">
      <a:solidFill>
        <a:schemeClr val="tx1">
          <a:lumMod val="50000"/>
          <a:lumOff val="50000"/>
          <a:alpha val="25000"/>
        </a:schemeClr>
      </a:solidFill>
      <a:prstDash val="solid"/>
      <a:miter lim="800000"/>
    </a:ln>
    <a:effectLst/>
  </c:spPr>
  <c:txPr>
    <a:bodyPr wrap="square"/>
    <a:lstStyle/>
    <a:p>
      <a:pPr>
        <a:defRPr lang="zh-CN"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0"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导线对地高度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15.0m</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667085482675825"/>
          <c:y val="0.0222222222222222"/>
        </c:manualLayout>
      </c:layout>
      <c:overlay val="0"/>
      <c:spPr>
        <a:noFill/>
        <a:ln>
          <a:noFill/>
        </a:ln>
        <a:effectLst/>
      </c:spPr>
    </c:title>
    <c:autoTitleDeleted val="0"/>
    <c:plotArea>
      <c:layout>
        <c:manualLayout>
          <c:layoutTarget val="inner"/>
          <c:xMode val="edge"/>
          <c:yMode val="edge"/>
          <c:x val="0.101868421052632"/>
          <c:y val="0.0861111111111111"/>
          <c:w val="0.869184210526316"/>
          <c:h val="0.663981481481482"/>
        </c:manualLayout>
      </c:layout>
      <c:lineChart>
        <c:grouping val="standard"/>
        <c:varyColors val="0"/>
        <c:ser>
          <c:idx val="1"/>
          <c:order val="0"/>
          <c:spPr>
            <a:ln w="12700" cap="rnd" cmpd="sng" algn="ctr">
              <a:solidFill>
                <a:srgbClr val="000000"/>
              </a:solidFill>
              <a:prstDash val="solid"/>
              <a:round/>
            </a:ln>
            <a:effectLst/>
            <a:sp3d contourW="12700"/>
          </c:spPr>
          <c:marker>
            <c:symbol val="none"/>
          </c:marker>
          <c:dLbls>
            <c:delete val="1"/>
          </c:dLbls>
          <c:cat>
            <c:numRef>
              <c:f>'[20251213140757（新建110千伏架空双回路段）.xls]水平分布曲线数据'!$A$19:$A$159</c:f>
              <c:numCache>
                <c:formatCode>General</c:formatCode>
                <c:ptCount val="141"/>
                <c:pt idx="0">
                  <c:v>-70</c:v>
                </c:pt>
                <c:pt idx="1">
                  <c:v>-69</c:v>
                </c:pt>
                <c:pt idx="2">
                  <c:v>-68</c:v>
                </c:pt>
                <c:pt idx="3">
                  <c:v>-67</c:v>
                </c:pt>
                <c:pt idx="4">
                  <c:v>-66</c:v>
                </c:pt>
                <c:pt idx="5">
                  <c:v>-65</c:v>
                </c:pt>
                <c:pt idx="6">
                  <c:v>-64</c:v>
                </c:pt>
                <c:pt idx="7">
                  <c:v>-63</c:v>
                </c:pt>
                <c:pt idx="8">
                  <c:v>-62</c:v>
                </c:pt>
                <c:pt idx="9">
                  <c:v>-61</c:v>
                </c:pt>
                <c:pt idx="10">
                  <c:v>-60</c:v>
                </c:pt>
                <c:pt idx="11">
                  <c:v>-59</c:v>
                </c:pt>
                <c:pt idx="12">
                  <c:v>-58</c:v>
                </c:pt>
                <c:pt idx="13">
                  <c:v>-57</c:v>
                </c:pt>
                <c:pt idx="14">
                  <c:v>-56</c:v>
                </c:pt>
                <c:pt idx="15">
                  <c:v>-55</c:v>
                </c:pt>
                <c:pt idx="16">
                  <c:v>-54</c:v>
                </c:pt>
                <c:pt idx="17">
                  <c:v>-53</c:v>
                </c:pt>
                <c:pt idx="18">
                  <c:v>-52</c:v>
                </c:pt>
                <c:pt idx="19">
                  <c:v>-51</c:v>
                </c:pt>
                <c:pt idx="20">
                  <c:v>-50</c:v>
                </c:pt>
                <c:pt idx="21">
                  <c:v>-49</c:v>
                </c:pt>
                <c:pt idx="22">
                  <c:v>-48</c:v>
                </c:pt>
                <c:pt idx="23">
                  <c:v>-47</c:v>
                </c:pt>
                <c:pt idx="24">
                  <c:v>-46</c:v>
                </c:pt>
                <c:pt idx="25">
                  <c:v>-45</c:v>
                </c:pt>
                <c:pt idx="26">
                  <c:v>-44</c:v>
                </c:pt>
                <c:pt idx="27">
                  <c:v>-43</c:v>
                </c:pt>
                <c:pt idx="28">
                  <c:v>-42</c:v>
                </c:pt>
                <c:pt idx="29">
                  <c:v>-41</c:v>
                </c:pt>
                <c:pt idx="30">
                  <c:v>-40</c:v>
                </c:pt>
                <c:pt idx="31">
                  <c:v>-39</c:v>
                </c:pt>
                <c:pt idx="32">
                  <c:v>-38</c:v>
                </c:pt>
                <c:pt idx="33">
                  <c:v>-37</c:v>
                </c:pt>
                <c:pt idx="34">
                  <c:v>-36</c:v>
                </c:pt>
                <c:pt idx="35">
                  <c:v>-35</c:v>
                </c:pt>
                <c:pt idx="36">
                  <c:v>-34</c:v>
                </c:pt>
                <c:pt idx="37">
                  <c:v>-33</c:v>
                </c:pt>
                <c:pt idx="38">
                  <c:v>-32</c:v>
                </c:pt>
                <c:pt idx="39">
                  <c:v>-31</c:v>
                </c:pt>
                <c:pt idx="40">
                  <c:v>-30</c:v>
                </c:pt>
                <c:pt idx="41">
                  <c:v>-29</c:v>
                </c:pt>
                <c:pt idx="42">
                  <c:v>-28</c:v>
                </c:pt>
                <c:pt idx="43">
                  <c:v>-27</c:v>
                </c:pt>
                <c:pt idx="44">
                  <c:v>-26</c:v>
                </c:pt>
                <c:pt idx="45">
                  <c:v>-25</c:v>
                </c:pt>
                <c:pt idx="46">
                  <c:v>-24</c:v>
                </c:pt>
                <c:pt idx="47">
                  <c:v>-23</c:v>
                </c:pt>
                <c:pt idx="48">
                  <c:v>-22</c:v>
                </c:pt>
                <c:pt idx="49">
                  <c:v>-21</c:v>
                </c:pt>
                <c:pt idx="50">
                  <c:v>-20</c:v>
                </c:pt>
                <c:pt idx="51">
                  <c:v>-19</c:v>
                </c:pt>
                <c:pt idx="52">
                  <c:v>-18</c:v>
                </c:pt>
                <c:pt idx="53">
                  <c:v>-17</c:v>
                </c:pt>
                <c:pt idx="54">
                  <c:v>-16</c:v>
                </c:pt>
                <c:pt idx="55">
                  <c:v>-15</c:v>
                </c:pt>
                <c:pt idx="56">
                  <c:v>-14</c:v>
                </c:pt>
                <c:pt idx="57">
                  <c:v>-13</c:v>
                </c:pt>
                <c:pt idx="58">
                  <c:v>-12</c:v>
                </c:pt>
                <c:pt idx="59">
                  <c:v>-11</c:v>
                </c:pt>
                <c:pt idx="60">
                  <c:v>-10</c:v>
                </c:pt>
                <c:pt idx="61">
                  <c:v>-9</c:v>
                </c:pt>
                <c:pt idx="62">
                  <c:v>-8</c:v>
                </c:pt>
                <c:pt idx="63">
                  <c:v>-7</c:v>
                </c:pt>
                <c:pt idx="64">
                  <c:v>-6</c:v>
                </c:pt>
                <c:pt idx="65">
                  <c:v>-5</c:v>
                </c:pt>
                <c:pt idx="66">
                  <c:v>-4</c:v>
                </c:pt>
                <c:pt idx="67">
                  <c:v>-3</c:v>
                </c:pt>
                <c:pt idx="68">
                  <c:v>-2</c:v>
                </c:pt>
                <c:pt idx="69">
                  <c:v>-1</c:v>
                </c:pt>
                <c:pt idx="70">
                  <c:v>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32</c:v>
                </c:pt>
                <c:pt idx="103">
                  <c:v>33</c:v>
                </c:pt>
                <c:pt idx="104">
                  <c:v>34</c:v>
                </c:pt>
                <c:pt idx="105">
                  <c:v>35</c:v>
                </c:pt>
                <c:pt idx="106">
                  <c:v>36</c:v>
                </c:pt>
                <c:pt idx="107">
                  <c:v>37</c:v>
                </c:pt>
                <c:pt idx="108">
                  <c:v>38</c:v>
                </c:pt>
                <c:pt idx="109">
                  <c:v>39</c:v>
                </c:pt>
                <c:pt idx="110">
                  <c:v>40</c:v>
                </c:pt>
                <c:pt idx="111">
                  <c:v>41</c:v>
                </c:pt>
                <c:pt idx="112">
                  <c:v>42</c:v>
                </c:pt>
                <c:pt idx="113">
                  <c:v>43</c:v>
                </c:pt>
                <c:pt idx="114">
                  <c:v>44</c:v>
                </c:pt>
                <c:pt idx="115">
                  <c:v>45</c:v>
                </c:pt>
                <c:pt idx="116">
                  <c:v>46</c:v>
                </c:pt>
                <c:pt idx="117">
                  <c:v>47</c:v>
                </c:pt>
                <c:pt idx="118">
                  <c:v>48</c:v>
                </c:pt>
                <c:pt idx="119">
                  <c:v>49</c:v>
                </c:pt>
                <c:pt idx="120">
                  <c:v>50</c:v>
                </c:pt>
                <c:pt idx="121">
                  <c:v>51</c:v>
                </c:pt>
                <c:pt idx="122">
                  <c:v>52</c:v>
                </c:pt>
                <c:pt idx="123">
                  <c:v>53</c:v>
                </c:pt>
                <c:pt idx="124">
                  <c:v>54</c:v>
                </c:pt>
                <c:pt idx="125">
                  <c:v>55</c:v>
                </c:pt>
                <c:pt idx="126">
                  <c:v>56</c:v>
                </c:pt>
                <c:pt idx="127">
                  <c:v>57</c:v>
                </c:pt>
                <c:pt idx="128">
                  <c:v>58</c:v>
                </c:pt>
                <c:pt idx="129">
                  <c:v>59</c:v>
                </c:pt>
                <c:pt idx="130">
                  <c:v>60</c:v>
                </c:pt>
                <c:pt idx="131">
                  <c:v>61</c:v>
                </c:pt>
                <c:pt idx="132">
                  <c:v>62</c:v>
                </c:pt>
                <c:pt idx="133">
                  <c:v>63</c:v>
                </c:pt>
                <c:pt idx="134">
                  <c:v>64</c:v>
                </c:pt>
                <c:pt idx="135">
                  <c:v>65</c:v>
                </c:pt>
                <c:pt idx="136">
                  <c:v>66</c:v>
                </c:pt>
                <c:pt idx="137">
                  <c:v>67</c:v>
                </c:pt>
                <c:pt idx="138">
                  <c:v>68</c:v>
                </c:pt>
                <c:pt idx="139">
                  <c:v>69</c:v>
                </c:pt>
                <c:pt idx="140">
                  <c:v>70</c:v>
                </c:pt>
              </c:numCache>
            </c:numRef>
          </c:cat>
          <c:val>
            <c:numRef>
              <c:f>'[20251213140757（新建110千伏架空双回路段）.xls]水平分布曲线数据'!$B$19:$B$159</c:f>
              <c:numCache>
                <c:formatCode>General</c:formatCode>
                <c:ptCount val="141"/>
                <c:pt idx="0">
                  <c:v>0.0447</c:v>
                </c:pt>
                <c:pt idx="1">
                  <c:v>0.0456</c:v>
                </c:pt>
                <c:pt idx="2">
                  <c:v>0.0466</c:v>
                </c:pt>
                <c:pt idx="3">
                  <c:v>0.0476</c:v>
                </c:pt>
                <c:pt idx="4">
                  <c:v>0.0486</c:v>
                </c:pt>
                <c:pt idx="5">
                  <c:v>0.0496</c:v>
                </c:pt>
                <c:pt idx="6">
                  <c:v>0.0507</c:v>
                </c:pt>
                <c:pt idx="7">
                  <c:v>0.0517</c:v>
                </c:pt>
                <c:pt idx="8">
                  <c:v>0.0528</c:v>
                </c:pt>
                <c:pt idx="9">
                  <c:v>0.054</c:v>
                </c:pt>
                <c:pt idx="10">
                  <c:v>0.0551</c:v>
                </c:pt>
                <c:pt idx="11">
                  <c:v>0.0563</c:v>
                </c:pt>
                <c:pt idx="12">
                  <c:v>0.0575</c:v>
                </c:pt>
                <c:pt idx="13">
                  <c:v>0.0587</c:v>
                </c:pt>
                <c:pt idx="14">
                  <c:v>0.0599</c:v>
                </c:pt>
                <c:pt idx="15">
                  <c:v>0.0611</c:v>
                </c:pt>
                <c:pt idx="16">
                  <c:v>0.0623</c:v>
                </c:pt>
                <c:pt idx="17">
                  <c:v>0.0635</c:v>
                </c:pt>
                <c:pt idx="18">
                  <c:v>0.0648</c:v>
                </c:pt>
                <c:pt idx="19">
                  <c:v>0.066</c:v>
                </c:pt>
                <c:pt idx="20">
                  <c:v>0.0672</c:v>
                </c:pt>
                <c:pt idx="21">
                  <c:v>0.0684</c:v>
                </c:pt>
                <c:pt idx="22">
                  <c:v>0.0696</c:v>
                </c:pt>
                <c:pt idx="23">
                  <c:v>0.0707</c:v>
                </c:pt>
                <c:pt idx="24">
                  <c:v>0.0718</c:v>
                </c:pt>
                <c:pt idx="25">
                  <c:v>0.0728</c:v>
                </c:pt>
                <c:pt idx="26">
                  <c:v>0.0738</c:v>
                </c:pt>
                <c:pt idx="27">
                  <c:v>0.0746</c:v>
                </c:pt>
                <c:pt idx="28">
                  <c:v>0.0753</c:v>
                </c:pt>
                <c:pt idx="29">
                  <c:v>0.0759</c:v>
                </c:pt>
                <c:pt idx="30">
                  <c:v>0.0763</c:v>
                </c:pt>
                <c:pt idx="31">
                  <c:v>0.0765</c:v>
                </c:pt>
                <c:pt idx="32">
                  <c:v>0.0765</c:v>
                </c:pt>
                <c:pt idx="33">
                  <c:v>0.0761</c:v>
                </c:pt>
                <c:pt idx="34">
                  <c:v>0.0754</c:v>
                </c:pt>
                <c:pt idx="35">
                  <c:v>0.0744</c:v>
                </c:pt>
                <c:pt idx="36">
                  <c:v>0.0728</c:v>
                </c:pt>
                <c:pt idx="37">
                  <c:v>0.0707</c:v>
                </c:pt>
                <c:pt idx="38">
                  <c:v>0.068</c:v>
                </c:pt>
                <c:pt idx="39">
                  <c:v>0.0646</c:v>
                </c:pt>
                <c:pt idx="40">
                  <c:v>0.0603</c:v>
                </c:pt>
                <c:pt idx="41">
                  <c:v>0.0552</c:v>
                </c:pt>
                <c:pt idx="42">
                  <c:v>0.0491</c:v>
                </c:pt>
                <c:pt idx="43">
                  <c:v>0.042</c:v>
                </c:pt>
                <c:pt idx="44">
                  <c:v>0.0342</c:v>
                </c:pt>
                <c:pt idx="45">
                  <c:v>0.0268</c:v>
                </c:pt>
                <c:pt idx="46">
                  <c:v>0.0229</c:v>
                </c:pt>
                <c:pt idx="47">
                  <c:v>0.0279</c:v>
                </c:pt>
                <c:pt idx="48">
                  <c:v>0.0414</c:v>
                </c:pt>
                <c:pt idx="49">
                  <c:v>0.0605</c:v>
                </c:pt>
                <c:pt idx="50">
                  <c:v>0.0839</c:v>
                </c:pt>
                <c:pt idx="51">
                  <c:v>0.1114</c:v>
                </c:pt>
                <c:pt idx="52">
                  <c:v>0.143</c:v>
                </c:pt>
                <c:pt idx="53">
                  <c:v>0.1787</c:v>
                </c:pt>
                <c:pt idx="54">
                  <c:v>0.2186</c:v>
                </c:pt>
                <c:pt idx="55">
                  <c:v>0.2627</c:v>
                </c:pt>
                <c:pt idx="56">
                  <c:v>0.3109</c:v>
                </c:pt>
                <c:pt idx="57">
                  <c:v>0.3625</c:v>
                </c:pt>
                <c:pt idx="58">
                  <c:v>0.4171</c:v>
                </c:pt>
                <c:pt idx="59">
                  <c:v>0.4734</c:v>
                </c:pt>
                <c:pt idx="60">
                  <c:v>0.5303</c:v>
                </c:pt>
                <c:pt idx="61">
                  <c:v>0.5862</c:v>
                </c:pt>
                <c:pt idx="62">
                  <c:v>0.6392</c:v>
                </c:pt>
                <c:pt idx="63">
                  <c:v>0.6878</c:v>
                </c:pt>
                <c:pt idx="64">
                  <c:v>0.7302</c:v>
                </c:pt>
                <c:pt idx="65">
                  <c:v>0.7656</c:v>
                </c:pt>
                <c:pt idx="66">
                  <c:v>0.7933</c:v>
                </c:pt>
                <c:pt idx="67">
                  <c:v>0.8135</c:v>
                </c:pt>
                <c:pt idx="68">
                  <c:v>0.827</c:v>
                </c:pt>
                <c:pt idx="69">
                  <c:v>0.8346</c:v>
                </c:pt>
                <c:pt idx="70">
                  <c:v>0.837</c:v>
                </c:pt>
                <c:pt idx="71">
                  <c:v>0.8346</c:v>
                </c:pt>
                <c:pt idx="72">
                  <c:v>0.827</c:v>
                </c:pt>
                <c:pt idx="73">
                  <c:v>0.8135</c:v>
                </c:pt>
                <c:pt idx="74">
                  <c:v>0.7933</c:v>
                </c:pt>
                <c:pt idx="75">
                  <c:v>0.7656</c:v>
                </c:pt>
                <c:pt idx="76">
                  <c:v>0.7302</c:v>
                </c:pt>
                <c:pt idx="77">
                  <c:v>0.6878</c:v>
                </c:pt>
                <c:pt idx="78">
                  <c:v>0.6392</c:v>
                </c:pt>
                <c:pt idx="79">
                  <c:v>0.5862</c:v>
                </c:pt>
                <c:pt idx="80">
                  <c:v>0.5303</c:v>
                </c:pt>
                <c:pt idx="81">
                  <c:v>0.4734</c:v>
                </c:pt>
                <c:pt idx="82">
                  <c:v>0.4171</c:v>
                </c:pt>
                <c:pt idx="83">
                  <c:v>0.3625</c:v>
                </c:pt>
                <c:pt idx="84">
                  <c:v>0.3109</c:v>
                </c:pt>
                <c:pt idx="85">
                  <c:v>0.2627</c:v>
                </c:pt>
                <c:pt idx="86">
                  <c:v>0.2186</c:v>
                </c:pt>
                <c:pt idx="87">
                  <c:v>0.1787</c:v>
                </c:pt>
                <c:pt idx="88">
                  <c:v>0.143</c:v>
                </c:pt>
                <c:pt idx="89">
                  <c:v>0.1114</c:v>
                </c:pt>
                <c:pt idx="90">
                  <c:v>0.0839</c:v>
                </c:pt>
                <c:pt idx="91">
                  <c:v>0.0605</c:v>
                </c:pt>
                <c:pt idx="92">
                  <c:v>0.0414</c:v>
                </c:pt>
                <c:pt idx="93">
                  <c:v>0.0279</c:v>
                </c:pt>
                <c:pt idx="94">
                  <c:v>0.0229</c:v>
                </c:pt>
                <c:pt idx="95">
                  <c:v>0.0268</c:v>
                </c:pt>
                <c:pt idx="96">
                  <c:v>0.0342</c:v>
                </c:pt>
                <c:pt idx="97">
                  <c:v>0.042</c:v>
                </c:pt>
                <c:pt idx="98">
                  <c:v>0.0491</c:v>
                </c:pt>
                <c:pt idx="99">
                  <c:v>0.0552</c:v>
                </c:pt>
                <c:pt idx="100">
                  <c:v>0.0603</c:v>
                </c:pt>
                <c:pt idx="101">
                  <c:v>0.0646</c:v>
                </c:pt>
                <c:pt idx="102">
                  <c:v>0.068</c:v>
                </c:pt>
                <c:pt idx="103">
                  <c:v>0.0707</c:v>
                </c:pt>
                <c:pt idx="104">
                  <c:v>0.0728</c:v>
                </c:pt>
                <c:pt idx="105">
                  <c:v>0.0744</c:v>
                </c:pt>
                <c:pt idx="106">
                  <c:v>0.0754</c:v>
                </c:pt>
                <c:pt idx="107">
                  <c:v>0.0761</c:v>
                </c:pt>
                <c:pt idx="108">
                  <c:v>0.0765</c:v>
                </c:pt>
                <c:pt idx="109">
                  <c:v>0.0765</c:v>
                </c:pt>
                <c:pt idx="110">
                  <c:v>0.0763</c:v>
                </c:pt>
                <c:pt idx="111">
                  <c:v>0.0759</c:v>
                </c:pt>
                <c:pt idx="112">
                  <c:v>0.0753</c:v>
                </c:pt>
                <c:pt idx="113">
                  <c:v>0.0746</c:v>
                </c:pt>
                <c:pt idx="114">
                  <c:v>0.0738</c:v>
                </c:pt>
                <c:pt idx="115">
                  <c:v>0.0728</c:v>
                </c:pt>
                <c:pt idx="116">
                  <c:v>0.0718</c:v>
                </c:pt>
                <c:pt idx="117">
                  <c:v>0.0707</c:v>
                </c:pt>
                <c:pt idx="118">
                  <c:v>0.0696</c:v>
                </c:pt>
                <c:pt idx="119">
                  <c:v>0.0684</c:v>
                </c:pt>
                <c:pt idx="120">
                  <c:v>0.0672</c:v>
                </c:pt>
                <c:pt idx="121">
                  <c:v>0.066</c:v>
                </c:pt>
                <c:pt idx="122">
                  <c:v>0.0648</c:v>
                </c:pt>
                <c:pt idx="123">
                  <c:v>0.0635</c:v>
                </c:pt>
                <c:pt idx="124">
                  <c:v>0.0623</c:v>
                </c:pt>
                <c:pt idx="125">
                  <c:v>0.0611</c:v>
                </c:pt>
                <c:pt idx="126">
                  <c:v>0.0599</c:v>
                </c:pt>
                <c:pt idx="127">
                  <c:v>0.0587</c:v>
                </c:pt>
                <c:pt idx="128">
                  <c:v>0.0575</c:v>
                </c:pt>
                <c:pt idx="129">
                  <c:v>0.0563</c:v>
                </c:pt>
                <c:pt idx="130">
                  <c:v>0.0551</c:v>
                </c:pt>
                <c:pt idx="131">
                  <c:v>0.054</c:v>
                </c:pt>
                <c:pt idx="132">
                  <c:v>0.0528</c:v>
                </c:pt>
                <c:pt idx="133">
                  <c:v>0.0517</c:v>
                </c:pt>
                <c:pt idx="134">
                  <c:v>0.0507</c:v>
                </c:pt>
                <c:pt idx="135">
                  <c:v>0.0496</c:v>
                </c:pt>
                <c:pt idx="136">
                  <c:v>0.0486</c:v>
                </c:pt>
                <c:pt idx="137">
                  <c:v>0.0476</c:v>
                </c:pt>
                <c:pt idx="138">
                  <c:v>0.0466</c:v>
                </c:pt>
                <c:pt idx="139">
                  <c:v>0.0456</c:v>
                </c:pt>
                <c:pt idx="140">
                  <c:v>0.0447</c:v>
                </c:pt>
              </c:numCache>
            </c:numRef>
          </c:val>
          <c:smooth val="1"/>
        </c:ser>
        <c:dLbls>
          <c:showLegendKey val="0"/>
          <c:showVal val="0"/>
          <c:showCatName val="0"/>
          <c:showSerName val="0"/>
          <c:showPercent val="0"/>
          <c:showBubbleSize val="0"/>
        </c:dLbls>
        <c:marker val="0"/>
        <c:smooth val="1"/>
        <c:axId val="619623661"/>
        <c:axId val="41572365"/>
      </c:lineChart>
      <c:catAx>
        <c:axId val="619623661"/>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与线路走廊中心线距离（</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m)</a:t>
                </a:r>
                <a:endParaRPr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362907894736842"/>
              <c:y val="0.865046296296296"/>
            </c:manualLayout>
          </c:layout>
          <c:overlay val="0"/>
          <c:spPr>
            <a:noFill/>
            <a:ln>
              <a:noFill/>
            </a:ln>
            <a:effectLst/>
          </c:spPr>
        </c:title>
        <c:majorTickMark val="in"/>
        <c:minorTickMark val="none"/>
        <c:tickLblPos val="nextTo"/>
        <c:spPr>
          <a:noFill/>
          <a:ln w="3175" cap="flat" cmpd="sng" algn="ctr">
            <a:solidFill>
              <a:srgbClr val="000000"/>
            </a:solid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41572365"/>
        <c:crosses val="autoZero"/>
        <c:auto val="1"/>
        <c:lblAlgn val="ctr"/>
        <c:lblOffset val="100"/>
        <c:tickLblSkip val="20"/>
        <c:noMultiLvlLbl val="0"/>
      </c:catAx>
      <c:valAx>
        <c:axId val="41572365"/>
        <c:scaling>
          <c:orientation val="minMax"/>
          <c:max val="1"/>
          <c:min val="0"/>
        </c:scaling>
        <c:delete val="0"/>
        <c:axPos val="l"/>
        <c:majorGridlines>
          <c:spPr>
            <a:ln w="3175" cap="flat" cmpd="sng" algn="ctr">
              <a:solidFill>
                <a:schemeClr val="bg1">
                  <a:lumMod val="75000"/>
                </a:schemeClr>
              </a:solidFill>
              <a:prstDash val="solid"/>
              <a:round/>
            </a:ln>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工频电场强度（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kV/m</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00406118857452278"/>
              <c:y val="0.124287762993998"/>
            </c:manualLayout>
          </c:layout>
          <c:overlay val="0"/>
        </c:title>
        <c:numFmt formatCode="General" sourceLinked="1"/>
        <c:majorTickMark val="none"/>
        <c:minorTickMark val="none"/>
        <c:tickLblPos val="nextTo"/>
        <c:spPr>
          <a:ln w="3175"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619623661"/>
        <c:crosses val="autoZero"/>
        <c:crossBetween val="between"/>
        <c:majorUnit val="0.1"/>
        <c:minorUnit val="0.01"/>
      </c:valAx>
      <c:spPr>
        <a:noFill/>
        <a:ln>
          <a:noFill/>
        </a:ln>
        <a:effectLst/>
      </c:spPr>
    </c:plotArea>
    <c:plotVisOnly val="1"/>
    <c:dispBlanksAs val="gap"/>
    <c:showDLblsOverMax val="0"/>
    <c:extLst>
      <c:ext uri="{0b15fc19-7d7d-44ad-8c2d-2c3a37ce22c3}">
        <chartProps xmlns="https://web.wps.cn/et/2018/main" chartId="{5305796c-0765-49a6-9806-7e81f5177bd2}"/>
      </c:ext>
    </c:extLst>
  </c:chart>
  <c:spPr>
    <a:solidFill>
      <a:schemeClr val="bg1"/>
    </a:solidFill>
    <a:ln w="6350" cap="flat" cmpd="sng" algn="ctr">
      <a:solidFill>
        <a:schemeClr val="tx1">
          <a:lumMod val="50000"/>
          <a:lumOff val="50000"/>
          <a:alpha val="25000"/>
        </a:schemeClr>
      </a:solidFill>
      <a:prstDash val="solid"/>
      <a:miter lim="800000"/>
    </a:ln>
    <a:effectLst/>
  </c:spPr>
  <c:txPr>
    <a:bodyPr wrap="square"/>
    <a:lstStyle/>
    <a:p>
      <a:pPr>
        <a:defRPr lang="zh-CN"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0"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导线对地高度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15.0m</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667085482675825"/>
          <c:y val="0.0222222222222222"/>
        </c:manualLayout>
      </c:layout>
      <c:overlay val="0"/>
      <c:spPr>
        <a:noFill/>
        <a:ln>
          <a:noFill/>
        </a:ln>
        <a:effectLst/>
      </c:spPr>
    </c:title>
    <c:autoTitleDeleted val="0"/>
    <c:plotArea>
      <c:layout>
        <c:manualLayout>
          <c:layoutTarget val="inner"/>
          <c:xMode val="edge"/>
          <c:yMode val="edge"/>
          <c:x val="0.101868421052632"/>
          <c:y val="0.0861111111111111"/>
          <c:w val="0.869184210526316"/>
          <c:h val="0.663981481481482"/>
        </c:manualLayout>
      </c:layout>
      <c:lineChart>
        <c:grouping val="standard"/>
        <c:varyColors val="0"/>
        <c:ser>
          <c:idx val="1"/>
          <c:order val="0"/>
          <c:spPr>
            <a:ln w="12700" cap="rnd" cmpd="sng" algn="ctr">
              <a:solidFill>
                <a:srgbClr val="000000"/>
              </a:solidFill>
              <a:prstDash val="solid"/>
              <a:round/>
            </a:ln>
            <a:effectLst/>
            <a:sp3d contourW="12700"/>
          </c:spPr>
          <c:marker>
            <c:symbol val="none"/>
          </c:marker>
          <c:dLbls>
            <c:delete val="1"/>
          </c:dLbls>
          <c:cat>
            <c:numRef>
              <c:f>'[20251213140757（新建110千伏架空双回路段）.xls]水平分布曲线数据'!$A$19:$A$159</c:f>
              <c:numCache>
                <c:formatCode>General</c:formatCode>
                <c:ptCount val="141"/>
                <c:pt idx="0">
                  <c:v>-70</c:v>
                </c:pt>
                <c:pt idx="1">
                  <c:v>-69</c:v>
                </c:pt>
                <c:pt idx="2">
                  <c:v>-68</c:v>
                </c:pt>
                <c:pt idx="3">
                  <c:v>-67</c:v>
                </c:pt>
                <c:pt idx="4">
                  <c:v>-66</c:v>
                </c:pt>
                <c:pt idx="5">
                  <c:v>-65</c:v>
                </c:pt>
                <c:pt idx="6">
                  <c:v>-64</c:v>
                </c:pt>
                <c:pt idx="7">
                  <c:v>-63</c:v>
                </c:pt>
                <c:pt idx="8">
                  <c:v>-62</c:v>
                </c:pt>
                <c:pt idx="9">
                  <c:v>-61</c:v>
                </c:pt>
                <c:pt idx="10">
                  <c:v>-60</c:v>
                </c:pt>
                <c:pt idx="11">
                  <c:v>-59</c:v>
                </c:pt>
                <c:pt idx="12">
                  <c:v>-58</c:v>
                </c:pt>
                <c:pt idx="13">
                  <c:v>-57</c:v>
                </c:pt>
                <c:pt idx="14">
                  <c:v>-56</c:v>
                </c:pt>
                <c:pt idx="15">
                  <c:v>-55</c:v>
                </c:pt>
                <c:pt idx="16">
                  <c:v>-54</c:v>
                </c:pt>
                <c:pt idx="17">
                  <c:v>-53</c:v>
                </c:pt>
                <c:pt idx="18">
                  <c:v>-52</c:v>
                </c:pt>
                <c:pt idx="19">
                  <c:v>-51</c:v>
                </c:pt>
                <c:pt idx="20">
                  <c:v>-50</c:v>
                </c:pt>
                <c:pt idx="21">
                  <c:v>-49</c:v>
                </c:pt>
                <c:pt idx="22">
                  <c:v>-48</c:v>
                </c:pt>
                <c:pt idx="23">
                  <c:v>-47</c:v>
                </c:pt>
                <c:pt idx="24">
                  <c:v>-46</c:v>
                </c:pt>
                <c:pt idx="25">
                  <c:v>-45</c:v>
                </c:pt>
                <c:pt idx="26">
                  <c:v>-44</c:v>
                </c:pt>
                <c:pt idx="27">
                  <c:v>-43</c:v>
                </c:pt>
                <c:pt idx="28">
                  <c:v>-42</c:v>
                </c:pt>
                <c:pt idx="29">
                  <c:v>-41</c:v>
                </c:pt>
                <c:pt idx="30">
                  <c:v>-40</c:v>
                </c:pt>
                <c:pt idx="31">
                  <c:v>-39</c:v>
                </c:pt>
                <c:pt idx="32">
                  <c:v>-38</c:v>
                </c:pt>
                <c:pt idx="33">
                  <c:v>-37</c:v>
                </c:pt>
                <c:pt idx="34">
                  <c:v>-36</c:v>
                </c:pt>
                <c:pt idx="35">
                  <c:v>-35</c:v>
                </c:pt>
                <c:pt idx="36">
                  <c:v>-34</c:v>
                </c:pt>
                <c:pt idx="37">
                  <c:v>-33</c:v>
                </c:pt>
                <c:pt idx="38">
                  <c:v>-32</c:v>
                </c:pt>
                <c:pt idx="39">
                  <c:v>-31</c:v>
                </c:pt>
                <c:pt idx="40">
                  <c:v>-30</c:v>
                </c:pt>
                <c:pt idx="41">
                  <c:v>-29</c:v>
                </c:pt>
                <c:pt idx="42">
                  <c:v>-28</c:v>
                </c:pt>
                <c:pt idx="43">
                  <c:v>-27</c:v>
                </c:pt>
                <c:pt idx="44">
                  <c:v>-26</c:v>
                </c:pt>
                <c:pt idx="45">
                  <c:v>-25</c:v>
                </c:pt>
                <c:pt idx="46">
                  <c:v>-24</c:v>
                </c:pt>
                <c:pt idx="47">
                  <c:v>-23</c:v>
                </c:pt>
                <c:pt idx="48">
                  <c:v>-22</c:v>
                </c:pt>
                <c:pt idx="49">
                  <c:v>-21</c:v>
                </c:pt>
                <c:pt idx="50">
                  <c:v>-20</c:v>
                </c:pt>
                <c:pt idx="51">
                  <c:v>-19</c:v>
                </c:pt>
                <c:pt idx="52">
                  <c:v>-18</c:v>
                </c:pt>
                <c:pt idx="53">
                  <c:v>-17</c:v>
                </c:pt>
                <c:pt idx="54">
                  <c:v>-16</c:v>
                </c:pt>
                <c:pt idx="55">
                  <c:v>-15</c:v>
                </c:pt>
                <c:pt idx="56">
                  <c:v>-14</c:v>
                </c:pt>
                <c:pt idx="57">
                  <c:v>-13</c:v>
                </c:pt>
                <c:pt idx="58">
                  <c:v>-12</c:v>
                </c:pt>
                <c:pt idx="59">
                  <c:v>-11</c:v>
                </c:pt>
                <c:pt idx="60">
                  <c:v>-10</c:v>
                </c:pt>
                <c:pt idx="61">
                  <c:v>-9</c:v>
                </c:pt>
                <c:pt idx="62">
                  <c:v>-8</c:v>
                </c:pt>
                <c:pt idx="63">
                  <c:v>-7</c:v>
                </c:pt>
                <c:pt idx="64">
                  <c:v>-6</c:v>
                </c:pt>
                <c:pt idx="65">
                  <c:v>-5</c:v>
                </c:pt>
                <c:pt idx="66">
                  <c:v>-4</c:v>
                </c:pt>
                <c:pt idx="67">
                  <c:v>-3</c:v>
                </c:pt>
                <c:pt idx="68">
                  <c:v>-2</c:v>
                </c:pt>
                <c:pt idx="69">
                  <c:v>-1</c:v>
                </c:pt>
                <c:pt idx="70">
                  <c:v>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32</c:v>
                </c:pt>
                <c:pt idx="103">
                  <c:v>33</c:v>
                </c:pt>
                <c:pt idx="104">
                  <c:v>34</c:v>
                </c:pt>
                <c:pt idx="105">
                  <c:v>35</c:v>
                </c:pt>
                <c:pt idx="106">
                  <c:v>36</c:v>
                </c:pt>
                <c:pt idx="107">
                  <c:v>37</c:v>
                </c:pt>
                <c:pt idx="108">
                  <c:v>38</c:v>
                </c:pt>
                <c:pt idx="109">
                  <c:v>39</c:v>
                </c:pt>
                <c:pt idx="110">
                  <c:v>40</c:v>
                </c:pt>
                <c:pt idx="111">
                  <c:v>41</c:v>
                </c:pt>
                <c:pt idx="112">
                  <c:v>42</c:v>
                </c:pt>
                <c:pt idx="113">
                  <c:v>43</c:v>
                </c:pt>
                <c:pt idx="114">
                  <c:v>44</c:v>
                </c:pt>
                <c:pt idx="115">
                  <c:v>45</c:v>
                </c:pt>
                <c:pt idx="116">
                  <c:v>46</c:v>
                </c:pt>
                <c:pt idx="117">
                  <c:v>47</c:v>
                </c:pt>
                <c:pt idx="118">
                  <c:v>48</c:v>
                </c:pt>
                <c:pt idx="119">
                  <c:v>49</c:v>
                </c:pt>
                <c:pt idx="120">
                  <c:v>50</c:v>
                </c:pt>
                <c:pt idx="121">
                  <c:v>51</c:v>
                </c:pt>
                <c:pt idx="122">
                  <c:v>52</c:v>
                </c:pt>
                <c:pt idx="123">
                  <c:v>53</c:v>
                </c:pt>
                <c:pt idx="124">
                  <c:v>54</c:v>
                </c:pt>
                <c:pt idx="125">
                  <c:v>55</c:v>
                </c:pt>
                <c:pt idx="126">
                  <c:v>56</c:v>
                </c:pt>
                <c:pt idx="127">
                  <c:v>57</c:v>
                </c:pt>
                <c:pt idx="128">
                  <c:v>58</c:v>
                </c:pt>
                <c:pt idx="129">
                  <c:v>59</c:v>
                </c:pt>
                <c:pt idx="130">
                  <c:v>60</c:v>
                </c:pt>
                <c:pt idx="131">
                  <c:v>61</c:v>
                </c:pt>
                <c:pt idx="132">
                  <c:v>62</c:v>
                </c:pt>
                <c:pt idx="133">
                  <c:v>63</c:v>
                </c:pt>
                <c:pt idx="134">
                  <c:v>64</c:v>
                </c:pt>
                <c:pt idx="135">
                  <c:v>65</c:v>
                </c:pt>
                <c:pt idx="136">
                  <c:v>66</c:v>
                </c:pt>
                <c:pt idx="137">
                  <c:v>67</c:v>
                </c:pt>
                <c:pt idx="138">
                  <c:v>68</c:v>
                </c:pt>
                <c:pt idx="139">
                  <c:v>69</c:v>
                </c:pt>
                <c:pt idx="140">
                  <c:v>70</c:v>
                </c:pt>
              </c:numCache>
            </c:numRef>
          </c:cat>
          <c:val>
            <c:numRef>
              <c:f>'[20251213140757（新建110千伏架空双回路段）.xls]水平分布曲线数据'!$C$19:$C$159</c:f>
              <c:numCache>
                <c:formatCode>General</c:formatCode>
                <c:ptCount val="141"/>
                <c:pt idx="0">
                  <c:v>0.2746</c:v>
                </c:pt>
                <c:pt idx="1">
                  <c:v>0.2821</c:v>
                </c:pt>
                <c:pt idx="2">
                  <c:v>0.2899</c:v>
                </c:pt>
                <c:pt idx="3">
                  <c:v>0.2981</c:v>
                </c:pt>
                <c:pt idx="4">
                  <c:v>0.3066</c:v>
                </c:pt>
                <c:pt idx="5">
                  <c:v>0.3154</c:v>
                </c:pt>
                <c:pt idx="6">
                  <c:v>0.3246</c:v>
                </c:pt>
                <c:pt idx="7">
                  <c:v>0.3342</c:v>
                </c:pt>
                <c:pt idx="8">
                  <c:v>0.3443</c:v>
                </c:pt>
                <c:pt idx="9">
                  <c:v>0.3548</c:v>
                </c:pt>
                <c:pt idx="10">
                  <c:v>0.3657</c:v>
                </c:pt>
                <c:pt idx="11">
                  <c:v>0.3772</c:v>
                </c:pt>
                <c:pt idx="12">
                  <c:v>0.3891</c:v>
                </c:pt>
                <c:pt idx="13">
                  <c:v>0.4017</c:v>
                </c:pt>
                <c:pt idx="14">
                  <c:v>0.4148</c:v>
                </c:pt>
                <c:pt idx="15">
                  <c:v>0.4286</c:v>
                </c:pt>
                <c:pt idx="16">
                  <c:v>0.443</c:v>
                </c:pt>
                <c:pt idx="17">
                  <c:v>0.4582</c:v>
                </c:pt>
                <c:pt idx="18">
                  <c:v>0.474</c:v>
                </c:pt>
                <c:pt idx="19">
                  <c:v>0.4908</c:v>
                </c:pt>
                <c:pt idx="20">
                  <c:v>0.5083</c:v>
                </c:pt>
                <c:pt idx="21">
                  <c:v>0.5268</c:v>
                </c:pt>
                <c:pt idx="22">
                  <c:v>0.5462</c:v>
                </c:pt>
                <c:pt idx="23">
                  <c:v>0.5667</c:v>
                </c:pt>
                <c:pt idx="24">
                  <c:v>0.5883</c:v>
                </c:pt>
                <c:pt idx="25">
                  <c:v>0.6111</c:v>
                </c:pt>
                <c:pt idx="26">
                  <c:v>0.6352</c:v>
                </c:pt>
                <c:pt idx="27">
                  <c:v>0.6606</c:v>
                </c:pt>
                <c:pt idx="28">
                  <c:v>0.6875</c:v>
                </c:pt>
                <c:pt idx="29">
                  <c:v>0.7159</c:v>
                </c:pt>
                <c:pt idx="30">
                  <c:v>0.746</c:v>
                </c:pt>
                <c:pt idx="31">
                  <c:v>0.7778</c:v>
                </c:pt>
                <c:pt idx="32">
                  <c:v>0.8116</c:v>
                </c:pt>
                <c:pt idx="33">
                  <c:v>0.8475</c:v>
                </c:pt>
                <c:pt idx="34">
                  <c:v>0.8855</c:v>
                </c:pt>
                <c:pt idx="35">
                  <c:v>0.9259</c:v>
                </c:pt>
                <c:pt idx="36">
                  <c:v>0.9688</c:v>
                </c:pt>
                <c:pt idx="37">
                  <c:v>1.0145</c:v>
                </c:pt>
                <c:pt idx="38">
                  <c:v>1.0631</c:v>
                </c:pt>
                <c:pt idx="39">
                  <c:v>1.1147</c:v>
                </c:pt>
                <c:pt idx="40">
                  <c:v>1.1698</c:v>
                </c:pt>
                <c:pt idx="41">
                  <c:v>1.2283</c:v>
                </c:pt>
                <c:pt idx="42">
                  <c:v>1.2907</c:v>
                </c:pt>
                <c:pt idx="43">
                  <c:v>1.3572</c:v>
                </c:pt>
                <c:pt idx="44">
                  <c:v>1.4279</c:v>
                </c:pt>
                <c:pt idx="45">
                  <c:v>1.5031</c:v>
                </c:pt>
                <c:pt idx="46">
                  <c:v>1.5832</c:v>
                </c:pt>
                <c:pt idx="47">
                  <c:v>1.6682</c:v>
                </c:pt>
                <c:pt idx="48">
                  <c:v>1.7584</c:v>
                </c:pt>
                <c:pt idx="49">
                  <c:v>1.8539</c:v>
                </c:pt>
                <c:pt idx="50">
                  <c:v>1.9549</c:v>
                </c:pt>
                <c:pt idx="51">
                  <c:v>2.0614</c:v>
                </c:pt>
                <c:pt idx="52">
                  <c:v>2.1732</c:v>
                </c:pt>
                <c:pt idx="53">
                  <c:v>2.2902</c:v>
                </c:pt>
                <c:pt idx="54">
                  <c:v>2.4119</c:v>
                </c:pt>
                <c:pt idx="55">
                  <c:v>2.5377</c:v>
                </c:pt>
                <c:pt idx="56">
                  <c:v>2.6668</c:v>
                </c:pt>
                <c:pt idx="57">
                  <c:v>2.798</c:v>
                </c:pt>
                <c:pt idx="58">
                  <c:v>2.93</c:v>
                </c:pt>
                <c:pt idx="59">
                  <c:v>3.0609</c:v>
                </c:pt>
                <c:pt idx="60">
                  <c:v>3.1888</c:v>
                </c:pt>
                <c:pt idx="61">
                  <c:v>3.3115</c:v>
                </c:pt>
                <c:pt idx="62">
                  <c:v>3.4266</c:v>
                </c:pt>
                <c:pt idx="63">
                  <c:v>3.532</c:v>
                </c:pt>
                <c:pt idx="64">
                  <c:v>3.6256</c:v>
                </c:pt>
                <c:pt idx="65">
                  <c:v>3.7058</c:v>
                </c:pt>
                <c:pt idx="66">
                  <c:v>3.7717</c:v>
                </c:pt>
                <c:pt idx="67">
                  <c:v>3.8228</c:v>
                </c:pt>
                <c:pt idx="68">
                  <c:v>3.859</c:v>
                </c:pt>
                <c:pt idx="69">
                  <c:v>3.8805</c:v>
                </c:pt>
                <c:pt idx="70">
                  <c:v>3.8877</c:v>
                </c:pt>
                <c:pt idx="71">
                  <c:v>3.8805</c:v>
                </c:pt>
                <c:pt idx="72">
                  <c:v>3.859</c:v>
                </c:pt>
                <c:pt idx="73">
                  <c:v>3.8228</c:v>
                </c:pt>
                <c:pt idx="74">
                  <c:v>3.7717</c:v>
                </c:pt>
                <c:pt idx="75">
                  <c:v>3.7058</c:v>
                </c:pt>
                <c:pt idx="76">
                  <c:v>3.6256</c:v>
                </c:pt>
                <c:pt idx="77">
                  <c:v>3.532</c:v>
                </c:pt>
                <c:pt idx="78">
                  <c:v>3.4266</c:v>
                </c:pt>
                <c:pt idx="79">
                  <c:v>3.3115</c:v>
                </c:pt>
                <c:pt idx="80">
                  <c:v>3.1888</c:v>
                </c:pt>
                <c:pt idx="81">
                  <c:v>3.0609</c:v>
                </c:pt>
                <c:pt idx="82">
                  <c:v>2.93</c:v>
                </c:pt>
                <c:pt idx="83">
                  <c:v>2.798</c:v>
                </c:pt>
                <c:pt idx="84">
                  <c:v>2.6668</c:v>
                </c:pt>
                <c:pt idx="85">
                  <c:v>2.5377</c:v>
                </c:pt>
                <c:pt idx="86">
                  <c:v>2.4119</c:v>
                </c:pt>
                <c:pt idx="87">
                  <c:v>2.2902</c:v>
                </c:pt>
                <c:pt idx="88">
                  <c:v>2.1732</c:v>
                </c:pt>
                <c:pt idx="89">
                  <c:v>2.0614</c:v>
                </c:pt>
                <c:pt idx="90">
                  <c:v>1.9549</c:v>
                </c:pt>
                <c:pt idx="91">
                  <c:v>1.8539</c:v>
                </c:pt>
                <c:pt idx="92">
                  <c:v>1.7584</c:v>
                </c:pt>
                <c:pt idx="93">
                  <c:v>1.6682</c:v>
                </c:pt>
                <c:pt idx="94">
                  <c:v>1.5832</c:v>
                </c:pt>
                <c:pt idx="95">
                  <c:v>1.5031</c:v>
                </c:pt>
                <c:pt idx="96">
                  <c:v>1.4279</c:v>
                </c:pt>
                <c:pt idx="97">
                  <c:v>1.3572</c:v>
                </c:pt>
                <c:pt idx="98">
                  <c:v>1.2907</c:v>
                </c:pt>
                <c:pt idx="99">
                  <c:v>1.2283</c:v>
                </c:pt>
                <c:pt idx="100">
                  <c:v>1.1698</c:v>
                </c:pt>
                <c:pt idx="101">
                  <c:v>1.1147</c:v>
                </c:pt>
                <c:pt idx="102">
                  <c:v>1.0631</c:v>
                </c:pt>
                <c:pt idx="103">
                  <c:v>1.0145</c:v>
                </c:pt>
                <c:pt idx="104">
                  <c:v>0.9688</c:v>
                </c:pt>
                <c:pt idx="105">
                  <c:v>0.9259</c:v>
                </c:pt>
                <c:pt idx="106">
                  <c:v>0.8855</c:v>
                </c:pt>
                <c:pt idx="107">
                  <c:v>0.8475</c:v>
                </c:pt>
                <c:pt idx="108">
                  <c:v>0.8116</c:v>
                </c:pt>
                <c:pt idx="109">
                  <c:v>0.7778</c:v>
                </c:pt>
                <c:pt idx="110">
                  <c:v>0.746</c:v>
                </c:pt>
                <c:pt idx="111">
                  <c:v>0.7159</c:v>
                </c:pt>
                <c:pt idx="112">
                  <c:v>0.6875</c:v>
                </c:pt>
                <c:pt idx="113">
                  <c:v>0.6606</c:v>
                </c:pt>
                <c:pt idx="114">
                  <c:v>0.6352</c:v>
                </c:pt>
                <c:pt idx="115">
                  <c:v>0.6111</c:v>
                </c:pt>
                <c:pt idx="116">
                  <c:v>0.5883</c:v>
                </c:pt>
                <c:pt idx="117">
                  <c:v>0.5667</c:v>
                </c:pt>
                <c:pt idx="118">
                  <c:v>0.5462</c:v>
                </c:pt>
                <c:pt idx="119">
                  <c:v>0.5268</c:v>
                </c:pt>
                <c:pt idx="120">
                  <c:v>0.5083</c:v>
                </c:pt>
                <c:pt idx="121">
                  <c:v>0.4908</c:v>
                </c:pt>
                <c:pt idx="122">
                  <c:v>0.474</c:v>
                </c:pt>
                <c:pt idx="123">
                  <c:v>0.4582</c:v>
                </c:pt>
                <c:pt idx="124">
                  <c:v>0.443</c:v>
                </c:pt>
                <c:pt idx="125">
                  <c:v>0.4286</c:v>
                </c:pt>
                <c:pt idx="126">
                  <c:v>0.4148</c:v>
                </c:pt>
                <c:pt idx="127">
                  <c:v>0.4017</c:v>
                </c:pt>
                <c:pt idx="128">
                  <c:v>0.3891</c:v>
                </c:pt>
                <c:pt idx="129">
                  <c:v>0.3772</c:v>
                </c:pt>
                <c:pt idx="130">
                  <c:v>0.3657</c:v>
                </c:pt>
                <c:pt idx="131">
                  <c:v>0.3548</c:v>
                </c:pt>
                <c:pt idx="132">
                  <c:v>0.3443</c:v>
                </c:pt>
                <c:pt idx="133">
                  <c:v>0.3342</c:v>
                </c:pt>
                <c:pt idx="134">
                  <c:v>0.3246</c:v>
                </c:pt>
                <c:pt idx="135">
                  <c:v>0.3154</c:v>
                </c:pt>
                <c:pt idx="136">
                  <c:v>0.3066</c:v>
                </c:pt>
                <c:pt idx="137">
                  <c:v>0.2981</c:v>
                </c:pt>
                <c:pt idx="138">
                  <c:v>0.2899</c:v>
                </c:pt>
                <c:pt idx="139">
                  <c:v>0.2821</c:v>
                </c:pt>
                <c:pt idx="140">
                  <c:v>0.2746</c:v>
                </c:pt>
              </c:numCache>
            </c:numRef>
          </c:val>
          <c:smooth val="1"/>
        </c:ser>
        <c:dLbls>
          <c:showLegendKey val="0"/>
          <c:showVal val="0"/>
          <c:showCatName val="0"/>
          <c:showSerName val="0"/>
          <c:showPercent val="0"/>
          <c:showBubbleSize val="0"/>
        </c:dLbls>
        <c:marker val="0"/>
        <c:smooth val="1"/>
        <c:axId val="619623661"/>
        <c:axId val="41572365"/>
      </c:lineChart>
      <c:catAx>
        <c:axId val="619623661"/>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与线路走廊中心线距离（</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m)</a:t>
                </a:r>
                <a:endParaRPr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362907894736842"/>
              <c:y val="0.865046296296296"/>
            </c:manualLayout>
          </c:layout>
          <c:overlay val="0"/>
          <c:spPr>
            <a:noFill/>
            <a:ln>
              <a:noFill/>
            </a:ln>
            <a:effectLst/>
          </c:spPr>
        </c:title>
        <c:majorTickMark val="in"/>
        <c:minorTickMark val="none"/>
        <c:tickLblPos val="nextTo"/>
        <c:spPr>
          <a:noFill/>
          <a:ln w="3175" cap="flat" cmpd="sng" algn="ctr">
            <a:solidFill>
              <a:srgbClr val="000000"/>
            </a:solid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41572365"/>
        <c:crosses val="autoZero"/>
        <c:auto val="1"/>
        <c:lblAlgn val="ctr"/>
        <c:lblOffset val="100"/>
        <c:tickLblSkip val="20"/>
        <c:noMultiLvlLbl val="0"/>
      </c:catAx>
      <c:valAx>
        <c:axId val="41572365"/>
        <c:scaling>
          <c:orientation val="minMax"/>
          <c:max val="5"/>
          <c:min val="0"/>
        </c:scaling>
        <c:delete val="0"/>
        <c:axPos val="l"/>
        <c:majorGridlines/>
        <c:title>
          <c:tx>
            <c:rich>
              <a:bodyPr rot="-540000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工频磁感应强度（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μT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00406118857452278"/>
              <c:y val="0.124287762993998"/>
            </c:manualLayout>
          </c:layout>
          <c:overlay val="0"/>
        </c:title>
        <c:numFmt formatCode="General" sourceLinked="1"/>
        <c:majorTickMark val="none"/>
        <c:minorTickMark val="none"/>
        <c:tickLblPos val="nextTo"/>
        <c:spPr>
          <a:ln w="3175"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619623661"/>
        <c:crosses val="autoZero"/>
        <c:crossBetween val="between"/>
        <c:majorUnit val="0.5"/>
      </c:valAx>
      <c:spPr>
        <a:noFill/>
        <a:ln>
          <a:noFill/>
        </a:ln>
        <a:effectLst/>
      </c:spPr>
    </c:plotArea>
    <c:plotVisOnly val="1"/>
    <c:dispBlanksAs val="gap"/>
    <c:showDLblsOverMax val="0"/>
    <c:extLst>
      <c:ext uri="{0b15fc19-7d7d-44ad-8c2d-2c3a37ce22c3}">
        <chartProps xmlns="https://web.wps.cn/et/2018/main" chartId="{5305796c-0765-49a6-9806-7e81f5177bd2}"/>
      </c:ext>
    </c:extLst>
  </c:chart>
  <c:spPr>
    <a:solidFill>
      <a:schemeClr val="bg1"/>
    </a:solidFill>
    <a:ln w="6350" cap="flat" cmpd="sng" algn="ctr">
      <a:solidFill>
        <a:schemeClr val="tx1">
          <a:lumMod val="50000"/>
          <a:lumOff val="50000"/>
          <a:alpha val="25000"/>
        </a:schemeClr>
      </a:solidFill>
      <a:prstDash val="solid"/>
      <a:miter lim="800000"/>
    </a:ln>
    <a:effectLst/>
  </c:spPr>
  <c:txPr>
    <a:bodyPr wrap="square"/>
    <a:lstStyle/>
    <a:p>
      <a:pPr>
        <a:defRPr lang="zh-CN"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0"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导线对地高度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15.0m</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667085482675825"/>
          <c:y val="0.0222222222222222"/>
        </c:manualLayout>
      </c:layout>
      <c:overlay val="0"/>
      <c:spPr>
        <a:noFill/>
        <a:ln>
          <a:noFill/>
        </a:ln>
        <a:effectLst/>
      </c:spPr>
    </c:title>
    <c:autoTitleDeleted val="0"/>
    <c:plotArea>
      <c:layout>
        <c:manualLayout>
          <c:layoutTarget val="inner"/>
          <c:xMode val="edge"/>
          <c:yMode val="edge"/>
          <c:x val="0.101868421052632"/>
          <c:y val="0.0861111111111111"/>
          <c:w val="0.869184210526316"/>
          <c:h val="0.663981481481482"/>
        </c:manualLayout>
      </c:layout>
      <c:lineChart>
        <c:grouping val="standard"/>
        <c:varyColors val="0"/>
        <c:ser>
          <c:idx val="1"/>
          <c:order val="0"/>
          <c:spPr>
            <a:ln w="12700" cap="rnd" cmpd="sng" algn="ctr">
              <a:solidFill>
                <a:srgbClr val="000000"/>
              </a:solidFill>
              <a:prstDash val="solid"/>
              <a:round/>
            </a:ln>
            <a:effectLst/>
            <a:sp3d contourW="12700"/>
          </c:spPr>
          <c:marker>
            <c:symbol val="none"/>
          </c:marker>
          <c:dLbls>
            <c:delete val="1"/>
          </c:dLbls>
          <c:cat>
            <c:numRef>
              <c:f>'[20251213140757（新建110千伏架空双回路段，单侧挂线）.xls]水平分布曲线数据'!$A$19:$A$159</c:f>
              <c:numCache>
                <c:formatCode>General</c:formatCode>
                <c:ptCount val="141"/>
                <c:pt idx="0">
                  <c:v>-70</c:v>
                </c:pt>
                <c:pt idx="1">
                  <c:v>-69</c:v>
                </c:pt>
                <c:pt idx="2">
                  <c:v>-68</c:v>
                </c:pt>
                <c:pt idx="3">
                  <c:v>-67</c:v>
                </c:pt>
                <c:pt idx="4">
                  <c:v>-66</c:v>
                </c:pt>
                <c:pt idx="5">
                  <c:v>-65</c:v>
                </c:pt>
                <c:pt idx="6">
                  <c:v>-64</c:v>
                </c:pt>
                <c:pt idx="7">
                  <c:v>-63</c:v>
                </c:pt>
                <c:pt idx="8">
                  <c:v>-62</c:v>
                </c:pt>
                <c:pt idx="9">
                  <c:v>-61</c:v>
                </c:pt>
                <c:pt idx="10">
                  <c:v>-60</c:v>
                </c:pt>
                <c:pt idx="11">
                  <c:v>-59</c:v>
                </c:pt>
                <c:pt idx="12">
                  <c:v>-58</c:v>
                </c:pt>
                <c:pt idx="13">
                  <c:v>-57</c:v>
                </c:pt>
                <c:pt idx="14">
                  <c:v>-56</c:v>
                </c:pt>
                <c:pt idx="15">
                  <c:v>-55</c:v>
                </c:pt>
                <c:pt idx="16">
                  <c:v>-54</c:v>
                </c:pt>
                <c:pt idx="17">
                  <c:v>-53</c:v>
                </c:pt>
                <c:pt idx="18">
                  <c:v>-52</c:v>
                </c:pt>
                <c:pt idx="19">
                  <c:v>-51</c:v>
                </c:pt>
                <c:pt idx="20">
                  <c:v>-50</c:v>
                </c:pt>
                <c:pt idx="21">
                  <c:v>-49</c:v>
                </c:pt>
                <c:pt idx="22">
                  <c:v>-48</c:v>
                </c:pt>
                <c:pt idx="23">
                  <c:v>-47</c:v>
                </c:pt>
                <c:pt idx="24">
                  <c:v>-46</c:v>
                </c:pt>
                <c:pt idx="25">
                  <c:v>-45</c:v>
                </c:pt>
                <c:pt idx="26">
                  <c:v>-44</c:v>
                </c:pt>
                <c:pt idx="27">
                  <c:v>-43</c:v>
                </c:pt>
                <c:pt idx="28">
                  <c:v>-42</c:v>
                </c:pt>
                <c:pt idx="29">
                  <c:v>-41</c:v>
                </c:pt>
                <c:pt idx="30">
                  <c:v>-40</c:v>
                </c:pt>
                <c:pt idx="31">
                  <c:v>-39</c:v>
                </c:pt>
                <c:pt idx="32">
                  <c:v>-38</c:v>
                </c:pt>
                <c:pt idx="33">
                  <c:v>-37</c:v>
                </c:pt>
                <c:pt idx="34">
                  <c:v>-36</c:v>
                </c:pt>
                <c:pt idx="35">
                  <c:v>-35</c:v>
                </c:pt>
                <c:pt idx="36">
                  <c:v>-34</c:v>
                </c:pt>
                <c:pt idx="37">
                  <c:v>-33</c:v>
                </c:pt>
                <c:pt idx="38">
                  <c:v>-32</c:v>
                </c:pt>
                <c:pt idx="39">
                  <c:v>-31</c:v>
                </c:pt>
                <c:pt idx="40">
                  <c:v>-30</c:v>
                </c:pt>
                <c:pt idx="41">
                  <c:v>-29</c:v>
                </c:pt>
                <c:pt idx="42">
                  <c:v>-28</c:v>
                </c:pt>
                <c:pt idx="43">
                  <c:v>-27</c:v>
                </c:pt>
                <c:pt idx="44">
                  <c:v>-26</c:v>
                </c:pt>
                <c:pt idx="45">
                  <c:v>-25</c:v>
                </c:pt>
                <c:pt idx="46">
                  <c:v>-24</c:v>
                </c:pt>
                <c:pt idx="47">
                  <c:v>-23</c:v>
                </c:pt>
                <c:pt idx="48">
                  <c:v>-22</c:v>
                </c:pt>
                <c:pt idx="49">
                  <c:v>-21</c:v>
                </c:pt>
                <c:pt idx="50">
                  <c:v>-20</c:v>
                </c:pt>
                <c:pt idx="51">
                  <c:v>-19</c:v>
                </c:pt>
                <c:pt idx="52">
                  <c:v>-18</c:v>
                </c:pt>
                <c:pt idx="53">
                  <c:v>-17</c:v>
                </c:pt>
                <c:pt idx="54">
                  <c:v>-16</c:v>
                </c:pt>
                <c:pt idx="55">
                  <c:v>-15</c:v>
                </c:pt>
                <c:pt idx="56">
                  <c:v>-14</c:v>
                </c:pt>
                <c:pt idx="57">
                  <c:v>-13</c:v>
                </c:pt>
                <c:pt idx="58">
                  <c:v>-12</c:v>
                </c:pt>
                <c:pt idx="59">
                  <c:v>-11</c:v>
                </c:pt>
                <c:pt idx="60">
                  <c:v>-10</c:v>
                </c:pt>
                <c:pt idx="61">
                  <c:v>-9</c:v>
                </c:pt>
                <c:pt idx="62">
                  <c:v>-8</c:v>
                </c:pt>
                <c:pt idx="63">
                  <c:v>-7</c:v>
                </c:pt>
                <c:pt idx="64">
                  <c:v>-6</c:v>
                </c:pt>
                <c:pt idx="65">
                  <c:v>-5</c:v>
                </c:pt>
                <c:pt idx="66">
                  <c:v>-4</c:v>
                </c:pt>
                <c:pt idx="67">
                  <c:v>-3</c:v>
                </c:pt>
                <c:pt idx="68">
                  <c:v>-2</c:v>
                </c:pt>
                <c:pt idx="69">
                  <c:v>-1</c:v>
                </c:pt>
                <c:pt idx="70">
                  <c:v>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32</c:v>
                </c:pt>
                <c:pt idx="103">
                  <c:v>33</c:v>
                </c:pt>
                <c:pt idx="104">
                  <c:v>34</c:v>
                </c:pt>
                <c:pt idx="105">
                  <c:v>35</c:v>
                </c:pt>
                <c:pt idx="106">
                  <c:v>36</c:v>
                </c:pt>
                <c:pt idx="107">
                  <c:v>37</c:v>
                </c:pt>
                <c:pt idx="108">
                  <c:v>38</c:v>
                </c:pt>
                <c:pt idx="109">
                  <c:v>39</c:v>
                </c:pt>
                <c:pt idx="110">
                  <c:v>40</c:v>
                </c:pt>
                <c:pt idx="111">
                  <c:v>41</c:v>
                </c:pt>
                <c:pt idx="112">
                  <c:v>42</c:v>
                </c:pt>
                <c:pt idx="113">
                  <c:v>43</c:v>
                </c:pt>
                <c:pt idx="114">
                  <c:v>44</c:v>
                </c:pt>
                <c:pt idx="115">
                  <c:v>45</c:v>
                </c:pt>
                <c:pt idx="116">
                  <c:v>46</c:v>
                </c:pt>
                <c:pt idx="117">
                  <c:v>47</c:v>
                </c:pt>
                <c:pt idx="118">
                  <c:v>48</c:v>
                </c:pt>
                <c:pt idx="119">
                  <c:v>49</c:v>
                </c:pt>
                <c:pt idx="120">
                  <c:v>50</c:v>
                </c:pt>
                <c:pt idx="121">
                  <c:v>51</c:v>
                </c:pt>
                <c:pt idx="122">
                  <c:v>52</c:v>
                </c:pt>
                <c:pt idx="123">
                  <c:v>53</c:v>
                </c:pt>
                <c:pt idx="124">
                  <c:v>54</c:v>
                </c:pt>
                <c:pt idx="125">
                  <c:v>55</c:v>
                </c:pt>
                <c:pt idx="126">
                  <c:v>56</c:v>
                </c:pt>
                <c:pt idx="127">
                  <c:v>57</c:v>
                </c:pt>
                <c:pt idx="128">
                  <c:v>58</c:v>
                </c:pt>
                <c:pt idx="129">
                  <c:v>59</c:v>
                </c:pt>
                <c:pt idx="130">
                  <c:v>60</c:v>
                </c:pt>
                <c:pt idx="131">
                  <c:v>61</c:v>
                </c:pt>
                <c:pt idx="132">
                  <c:v>62</c:v>
                </c:pt>
                <c:pt idx="133">
                  <c:v>63</c:v>
                </c:pt>
                <c:pt idx="134">
                  <c:v>64</c:v>
                </c:pt>
                <c:pt idx="135">
                  <c:v>65</c:v>
                </c:pt>
                <c:pt idx="136">
                  <c:v>66</c:v>
                </c:pt>
                <c:pt idx="137">
                  <c:v>67</c:v>
                </c:pt>
                <c:pt idx="138">
                  <c:v>68</c:v>
                </c:pt>
                <c:pt idx="139">
                  <c:v>69</c:v>
                </c:pt>
                <c:pt idx="140">
                  <c:v>70</c:v>
                </c:pt>
              </c:numCache>
            </c:numRef>
          </c:cat>
          <c:val>
            <c:numRef>
              <c:f>'[20251213140757（新建110千伏架空双回路段，单侧挂线）.xls]水平分布曲线数据'!$B$19:$B$159</c:f>
              <c:numCache>
                <c:formatCode>General</c:formatCode>
                <c:ptCount val="141"/>
                <c:pt idx="0">
                  <c:v>0.0279</c:v>
                </c:pt>
                <c:pt idx="1">
                  <c:v>0.0285</c:v>
                </c:pt>
                <c:pt idx="2">
                  <c:v>0.0292</c:v>
                </c:pt>
                <c:pt idx="3">
                  <c:v>0.0298</c:v>
                </c:pt>
                <c:pt idx="4">
                  <c:v>0.0305</c:v>
                </c:pt>
                <c:pt idx="5">
                  <c:v>0.0312</c:v>
                </c:pt>
                <c:pt idx="6">
                  <c:v>0.032</c:v>
                </c:pt>
                <c:pt idx="7">
                  <c:v>0.0327</c:v>
                </c:pt>
                <c:pt idx="8">
                  <c:v>0.0335</c:v>
                </c:pt>
                <c:pt idx="9">
                  <c:v>0.0343</c:v>
                </c:pt>
                <c:pt idx="10">
                  <c:v>0.0351</c:v>
                </c:pt>
                <c:pt idx="11">
                  <c:v>0.0359</c:v>
                </c:pt>
                <c:pt idx="12">
                  <c:v>0.0368</c:v>
                </c:pt>
                <c:pt idx="13">
                  <c:v>0.0377</c:v>
                </c:pt>
                <c:pt idx="14">
                  <c:v>0.0386</c:v>
                </c:pt>
                <c:pt idx="15">
                  <c:v>0.0395</c:v>
                </c:pt>
                <c:pt idx="16">
                  <c:v>0.0405</c:v>
                </c:pt>
                <c:pt idx="17">
                  <c:v>0.0415</c:v>
                </c:pt>
                <c:pt idx="18">
                  <c:v>0.0425</c:v>
                </c:pt>
                <c:pt idx="19">
                  <c:v>0.0436</c:v>
                </c:pt>
                <c:pt idx="20">
                  <c:v>0.0447</c:v>
                </c:pt>
                <c:pt idx="21">
                  <c:v>0.0458</c:v>
                </c:pt>
                <c:pt idx="22">
                  <c:v>0.0469</c:v>
                </c:pt>
                <c:pt idx="23">
                  <c:v>0.0481</c:v>
                </c:pt>
                <c:pt idx="24">
                  <c:v>0.0492</c:v>
                </c:pt>
                <c:pt idx="25">
                  <c:v>0.0504</c:v>
                </c:pt>
                <c:pt idx="26">
                  <c:v>0.0517</c:v>
                </c:pt>
                <c:pt idx="27">
                  <c:v>0.0529</c:v>
                </c:pt>
                <c:pt idx="28">
                  <c:v>0.0542</c:v>
                </c:pt>
                <c:pt idx="29">
                  <c:v>0.0554</c:v>
                </c:pt>
                <c:pt idx="30">
                  <c:v>0.0567</c:v>
                </c:pt>
                <c:pt idx="31">
                  <c:v>0.058</c:v>
                </c:pt>
                <c:pt idx="32">
                  <c:v>0.0593</c:v>
                </c:pt>
                <c:pt idx="33">
                  <c:v>0.0605</c:v>
                </c:pt>
                <c:pt idx="34">
                  <c:v>0.0618</c:v>
                </c:pt>
                <c:pt idx="35">
                  <c:v>0.063</c:v>
                </c:pt>
                <c:pt idx="36">
                  <c:v>0.0642</c:v>
                </c:pt>
                <c:pt idx="37">
                  <c:v>0.0653</c:v>
                </c:pt>
                <c:pt idx="38">
                  <c:v>0.0664</c:v>
                </c:pt>
                <c:pt idx="39">
                  <c:v>0.0673</c:v>
                </c:pt>
                <c:pt idx="40">
                  <c:v>0.0682</c:v>
                </c:pt>
                <c:pt idx="41">
                  <c:v>0.069</c:v>
                </c:pt>
                <c:pt idx="42">
                  <c:v>0.0696</c:v>
                </c:pt>
                <c:pt idx="43">
                  <c:v>0.0701</c:v>
                </c:pt>
                <c:pt idx="44">
                  <c:v>0.0704</c:v>
                </c:pt>
                <c:pt idx="45">
                  <c:v>0.0705</c:v>
                </c:pt>
                <c:pt idx="46">
                  <c:v>0.0705</c:v>
                </c:pt>
                <c:pt idx="47">
                  <c:v>0.0704</c:v>
                </c:pt>
                <c:pt idx="48">
                  <c:v>0.0702</c:v>
                </c:pt>
                <c:pt idx="49">
                  <c:v>0.07</c:v>
                </c:pt>
                <c:pt idx="50">
                  <c:v>0.0702</c:v>
                </c:pt>
                <c:pt idx="51">
                  <c:v>0.0708</c:v>
                </c:pt>
                <c:pt idx="52">
                  <c:v>0.0725</c:v>
                </c:pt>
                <c:pt idx="53">
                  <c:v>0.0757</c:v>
                </c:pt>
                <c:pt idx="54">
                  <c:v>0.081</c:v>
                </c:pt>
                <c:pt idx="55">
                  <c:v>0.0892</c:v>
                </c:pt>
                <c:pt idx="56">
                  <c:v>0.1007</c:v>
                </c:pt>
                <c:pt idx="57">
                  <c:v>0.116</c:v>
                </c:pt>
                <c:pt idx="58">
                  <c:v>0.1353</c:v>
                </c:pt>
                <c:pt idx="59">
                  <c:v>0.1589</c:v>
                </c:pt>
                <c:pt idx="60">
                  <c:v>0.1868</c:v>
                </c:pt>
                <c:pt idx="61">
                  <c:v>0.2192</c:v>
                </c:pt>
                <c:pt idx="62">
                  <c:v>0.2561</c:v>
                </c:pt>
                <c:pt idx="63">
                  <c:v>0.2971</c:v>
                </c:pt>
                <c:pt idx="64">
                  <c:v>0.3421</c:v>
                </c:pt>
                <c:pt idx="65">
                  <c:v>0.3902</c:v>
                </c:pt>
                <c:pt idx="66">
                  <c:v>0.4406</c:v>
                </c:pt>
                <c:pt idx="67">
                  <c:v>0.492</c:v>
                </c:pt>
                <c:pt idx="68">
                  <c:v>0.5427</c:v>
                </c:pt>
                <c:pt idx="69">
                  <c:v>0.5907</c:v>
                </c:pt>
                <c:pt idx="70">
                  <c:v>0.6337</c:v>
                </c:pt>
                <c:pt idx="71">
                  <c:v>0.6696</c:v>
                </c:pt>
                <c:pt idx="72">
                  <c:v>0.6961</c:v>
                </c:pt>
                <c:pt idx="73">
                  <c:v>0.7117</c:v>
                </c:pt>
                <c:pt idx="74">
                  <c:v>0.7151</c:v>
                </c:pt>
                <c:pt idx="75">
                  <c:v>0.7062</c:v>
                </c:pt>
                <c:pt idx="76">
                  <c:v>0.6856</c:v>
                </c:pt>
                <c:pt idx="77">
                  <c:v>0.6545</c:v>
                </c:pt>
                <c:pt idx="78">
                  <c:v>0.6149</c:v>
                </c:pt>
                <c:pt idx="79">
                  <c:v>0.5689</c:v>
                </c:pt>
                <c:pt idx="80">
                  <c:v>0.5187</c:v>
                </c:pt>
                <c:pt idx="81">
                  <c:v>0.4666</c:v>
                </c:pt>
                <c:pt idx="82">
                  <c:v>0.4144</c:v>
                </c:pt>
                <c:pt idx="83">
                  <c:v>0.3636</c:v>
                </c:pt>
                <c:pt idx="84">
                  <c:v>0.3152</c:v>
                </c:pt>
                <c:pt idx="85">
                  <c:v>0.2701</c:v>
                </c:pt>
                <c:pt idx="86">
                  <c:v>0.2287</c:v>
                </c:pt>
                <c:pt idx="87">
                  <c:v>0.1912</c:v>
                </c:pt>
                <c:pt idx="88">
                  <c:v>0.1576</c:v>
                </c:pt>
                <c:pt idx="89">
                  <c:v>0.1279</c:v>
                </c:pt>
                <c:pt idx="90">
                  <c:v>0.1017</c:v>
                </c:pt>
                <c:pt idx="91">
                  <c:v>0.079</c:v>
                </c:pt>
                <c:pt idx="92">
                  <c:v>0.0595</c:v>
                </c:pt>
                <c:pt idx="93">
                  <c:v>0.043</c:v>
                </c:pt>
                <c:pt idx="94">
                  <c:v>0.0296</c:v>
                </c:pt>
                <c:pt idx="95">
                  <c:v>0.02</c:v>
                </c:pt>
                <c:pt idx="96">
                  <c:v>0.0158</c:v>
                </c:pt>
                <c:pt idx="97">
                  <c:v>0.0176</c:v>
                </c:pt>
                <c:pt idx="98">
                  <c:v>0.0222</c:v>
                </c:pt>
                <c:pt idx="99">
                  <c:v>0.0271</c:v>
                </c:pt>
                <c:pt idx="100">
                  <c:v>0.0317</c:v>
                </c:pt>
                <c:pt idx="101">
                  <c:v>0.0357</c:v>
                </c:pt>
                <c:pt idx="102">
                  <c:v>0.039</c:v>
                </c:pt>
                <c:pt idx="103">
                  <c:v>0.0417</c:v>
                </c:pt>
                <c:pt idx="104">
                  <c:v>0.0439</c:v>
                </c:pt>
                <c:pt idx="105">
                  <c:v>0.0456</c:v>
                </c:pt>
                <c:pt idx="106">
                  <c:v>0.047</c:v>
                </c:pt>
                <c:pt idx="107">
                  <c:v>0.0479</c:v>
                </c:pt>
                <c:pt idx="108">
                  <c:v>0.0486</c:v>
                </c:pt>
                <c:pt idx="109">
                  <c:v>0.049</c:v>
                </c:pt>
                <c:pt idx="110">
                  <c:v>0.0492</c:v>
                </c:pt>
                <c:pt idx="111">
                  <c:v>0.0492</c:v>
                </c:pt>
                <c:pt idx="112">
                  <c:v>0.049</c:v>
                </c:pt>
                <c:pt idx="113">
                  <c:v>0.0487</c:v>
                </c:pt>
                <c:pt idx="114">
                  <c:v>0.0483</c:v>
                </c:pt>
                <c:pt idx="115">
                  <c:v>0.0478</c:v>
                </c:pt>
                <c:pt idx="116">
                  <c:v>0.0473</c:v>
                </c:pt>
                <c:pt idx="117">
                  <c:v>0.0466</c:v>
                </c:pt>
                <c:pt idx="118">
                  <c:v>0.0459</c:v>
                </c:pt>
                <c:pt idx="119">
                  <c:v>0.0452</c:v>
                </c:pt>
                <c:pt idx="120">
                  <c:v>0.0445</c:v>
                </c:pt>
                <c:pt idx="121">
                  <c:v>0.0437</c:v>
                </c:pt>
                <c:pt idx="122">
                  <c:v>0.0429</c:v>
                </c:pt>
                <c:pt idx="123">
                  <c:v>0.0421</c:v>
                </c:pt>
                <c:pt idx="124">
                  <c:v>0.0413</c:v>
                </c:pt>
                <c:pt idx="125">
                  <c:v>0.0405</c:v>
                </c:pt>
                <c:pt idx="126">
                  <c:v>0.0397</c:v>
                </c:pt>
                <c:pt idx="127">
                  <c:v>0.0389</c:v>
                </c:pt>
                <c:pt idx="128">
                  <c:v>0.0381</c:v>
                </c:pt>
                <c:pt idx="129">
                  <c:v>0.0373</c:v>
                </c:pt>
                <c:pt idx="130">
                  <c:v>0.0366</c:v>
                </c:pt>
                <c:pt idx="131">
                  <c:v>0.0358</c:v>
                </c:pt>
                <c:pt idx="132">
                  <c:v>0.0351</c:v>
                </c:pt>
                <c:pt idx="133">
                  <c:v>0.0343</c:v>
                </c:pt>
                <c:pt idx="134">
                  <c:v>0.0336</c:v>
                </c:pt>
                <c:pt idx="135">
                  <c:v>0.0329</c:v>
                </c:pt>
                <c:pt idx="136">
                  <c:v>0.0322</c:v>
                </c:pt>
                <c:pt idx="137">
                  <c:v>0.0315</c:v>
                </c:pt>
                <c:pt idx="138">
                  <c:v>0.0308</c:v>
                </c:pt>
                <c:pt idx="139">
                  <c:v>0.0302</c:v>
                </c:pt>
                <c:pt idx="140">
                  <c:v>0.0296</c:v>
                </c:pt>
              </c:numCache>
            </c:numRef>
          </c:val>
          <c:smooth val="1"/>
        </c:ser>
        <c:dLbls>
          <c:showLegendKey val="0"/>
          <c:showVal val="0"/>
          <c:showCatName val="0"/>
          <c:showSerName val="0"/>
          <c:showPercent val="0"/>
          <c:showBubbleSize val="0"/>
        </c:dLbls>
        <c:marker val="0"/>
        <c:smooth val="1"/>
        <c:axId val="709856882"/>
        <c:axId val="198117070"/>
      </c:lineChart>
      <c:catAx>
        <c:axId val="709856882"/>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与线路走廊中心线距离（</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m)</a:t>
                </a:r>
                <a:endParaRPr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362907894736842"/>
              <c:y val="0.865046296296296"/>
            </c:manualLayout>
          </c:layout>
          <c:overlay val="0"/>
          <c:spPr>
            <a:noFill/>
            <a:ln>
              <a:noFill/>
            </a:ln>
            <a:effectLst/>
          </c:spPr>
        </c:title>
        <c:majorTickMark val="in"/>
        <c:minorTickMark val="none"/>
        <c:tickLblPos val="nextTo"/>
        <c:spPr>
          <a:noFill/>
          <a:ln w="3175" cap="flat" cmpd="sng" algn="ctr">
            <a:solidFill>
              <a:srgbClr val="000000"/>
            </a:solid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198117070"/>
        <c:crosses val="autoZero"/>
        <c:auto val="1"/>
        <c:lblAlgn val="ctr"/>
        <c:lblOffset val="100"/>
        <c:tickLblSkip val="20"/>
        <c:noMultiLvlLbl val="0"/>
      </c:catAx>
      <c:valAx>
        <c:axId val="198117070"/>
        <c:scaling>
          <c:orientation val="minMax"/>
          <c:max val="0.8"/>
          <c:min val="0"/>
        </c:scaling>
        <c:delete val="0"/>
        <c:axPos val="l"/>
        <c:majorGridlines>
          <c:spPr>
            <a:ln w="3175" cap="flat" cmpd="sng" algn="ctr">
              <a:solidFill>
                <a:schemeClr val="bg1">
                  <a:lumMod val="75000"/>
                </a:schemeClr>
              </a:solidFill>
              <a:prstDash val="solid"/>
              <a:round/>
            </a:ln>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工频电场强度（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kV/m</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00406118857452278"/>
              <c:y val="0.124287762993998"/>
            </c:manualLayout>
          </c:layout>
          <c:overlay val="0"/>
        </c:title>
        <c:numFmt formatCode="General" sourceLinked="1"/>
        <c:majorTickMark val="none"/>
        <c:minorTickMark val="none"/>
        <c:tickLblPos val="nextTo"/>
        <c:spPr>
          <a:ln w="3175"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709856882"/>
        <c:crosses val="autoZero"/>
        <c:crossBetween val="between"/>
        <c:majorUnit val="0.1"/>
        <c:minorUnit val="0.01"/>
      </c:valAx>
      <c:spPr>
        <a:noFill/>
        <a:ln>
          <a:noFill/>
        </a:ln>
        <a:effectLst/>
      </c:spPr>
    </c:plotArea>
    <c:plotVisOnly val="1"/>
    <c:dispBlanksAs val="gap"/>
    <c:showDLblsOverMax val="0"/>
    <c:extLst>
      <c:ext uri="{0b15fc19-7d7d-44ad-8c2d-2c3a37ce22c3}">
        <chartProps xmlns="https://web.wps.cn/et/2018/main" chartId="{88e698c9-0ff7-43da-9741-272a8650a031}"/>
      </c:ext>
    </c:extLst>
  </c:chart>
  <c:spPr>
    <a:solidFill>
      <a:schemeClr val="bg1"/>
    </a:solidFill>
    <a:ln w="6350" cap="flat" cmpd="sng" algn="ctr">
      <a:solidFill>
        <a:schemeClr val="tx1">
          <a:lumMod val="50000"/>
          <a:lumOff val="50000"/>
          <a:alpha val="25000"/>
        </a:schemeClr>
      </a:solidFill>
      <a:prstDash val="solid"/>
      <a:miter lim="800000"/>
    </a:ln>
    <a:effectLst/>
  </c:spPr>
  <c:txPr>
    <a:bodyPr wrap="square"/>
    <a:lstStyle/>
    <a:p>
      <a:pPr>
        <a:defRPr lang="zh-CN"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0"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导线对地高度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15.0m</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667085482675825"/>
          <c:y val="0.0222222222222222"/>
        </c:manualLayout>
      </c:layout>
      <c:overlay val="0"/>
      <c:spPr>
        <a:noFill/>
        <a:ln>
          <a:noFill/>
        </a:ln>
        <a:effectLst/>
      </c:spPr>
    </c:title>
    <c:autoTitleDeleted val="0"/>
    <c:plotArea>
      <c:layout>
        <c:manualLayout>
          <c:layoutTarget val="inner"/>
          <c:xMode val="edge"/>
          <c:yMode val="edge"/>
          <c:x val="0.101868421052632"/>
          <c:y val="0.0861111111111111"/>
          <c:w val="0.869184210526316"/>
          <c:h val="0.663981481481482"/>
        </c:manualLayout>
      </c:layout>
      <c:lineChart>
        <c:grouping val="standard"/>
        <c:varyColors val="0"/>
        <c:ser>
          <c:idx val="1"/>
          <c:order val="0"/>
          <c:spPr>
            <a:ln w="12700" cap="rnd" cmpd="sng" algn="ctr">
              <a:solidFill>
                <a:srgbClr val="000000"/>
              </a:solidFill>
              <a:prstDash val="solid"/>
              <a:round/>
            </a:ln>
            <a:effectLst/>
            <a:sp3d contourW="12700"/>
          </c:spPr>
          <c:marker>
            <c:symbol val="none"/>
          </c:marker>
          <c:dLbls>
            <c:delete val="1"/>
          </c:dLbls>
          <c:cat>
            <c:numRef>
              <c:f>'[20251213140757（新建110千伏架空双回路段，单侧挂线）.xls]水平分布曲线数据'!$A$19:$A$159</c:f>
              <c:numCache>
                <c:formatCode>General</c:formatCode>
                <c:ptCount val="141"/>
                <c:pt idx="0">
                  <c:v>-70</c:v>
                </c:pt>
                <c:pt idx="1">
                  <c:v>-69</c:v>
                </c:pt>
                <c:pt idx="2">
                  <c:v>-68</c:v>
                </c:pt>
                <c:pt idx="3">
                  <c:v>-67</c:v>
                </c:pt>
                <c:pt idx="4">
                  <c:v>-66</c:v>
                </c:pt>
                <c:pt idx="5">
                  <c:v>-65</c:v>
                </c:pt>
                <c:pt idx="6">
                  <c:v>-64</c:v>
                </c:pt>
                <c:pt idx="7">
                  <c:v>-63</c:v>
                </c:pt>
                <c:pt idx="8">
                  <c:v>-62</c:v>
                </c:pt>
                <c:pt idx="9">
                  <c:v>-61</c:v>
                </c:pt>
                <c:pt idx="10">
                  <c:v>-60</c:v>
                </c:pt>
                <c:pt idx="11">
                  <c:v>-59</c:v>
                </c:pt>
                <c:pt idx="12">
                  <c:v>-58</c:v>
                </c:pt>
                <c:pt idx="13">
                  <c:v>-57</c:v>
                </c:pt>
                <c:pt idx="14">
                  <c:v>-56</c:v>
                </c:pt>
                <c:pt idx="15">
                  <c:v>-55</c:v>
                </c:pt>
                <c:pt idx="16">
                  <c:v>-54</c:v>
                </c:pt>
                <c:pt idx="17">
                  <c:v>-53</c:v>
                </c:pt>
                <c:pt idx="18">
                  <c:v>-52</c:v>
                </c:pt>
                <c:pt idx="19">
                  <c:v>-51</c:v>
                </c:pt>
                <c:pt idx="20">
                  <c:v>-50</c:v>
                </c:pt>
                <c:pt idx="21">
                  <c:v>-49</c:v>
                </c:pt>
                <c:pt idx="22">
                  <c:v>-48</c:v>
                </c:pt>
                <c:pt idx="23">
                  <c:v>-47</c:v>
                </c:pt>
                <c:pt idx="24">
                  <c:v>-46</c:v>
                </c:pt>
                <c:pt idx="25">
                  <c:v>-45</c:v>
                </c:pt>
                <c:pt idx="26">
                  <c:v>-44</c:v>
                </c:pt>
                <c:pt idx="27">
                  <c:v>-43</c:v>
                </c:pt>
                <c:pt idx="28">
                  <c:v>-42</c:v>
                </c:pt>
                <c:pt idx="29">
                  <c:v>-41</c:v>
                </c:pt>
                <c:pt idx="30">
                  <c:v>-40</c:v>
                </c:pt>
                <c:pt idx="31">
                  <c:v>-39</c:v>
                </c:pt>
                <c:pt idx="32">
                  <c:v>-38</c:v>
                </c:pt>
                <c:pt idx="33">
                  <c:v>-37</c:v>
                </c:pt>
                <c:pt idx="34">
                  <c:v>-36</c:v>
                </c:pt>
                <c:pt idx="35">
                  <c:v>-35</c:v>
                </c:pt>
                <c:pt idx="36">
                  <c:v>-34</c:v>
                </c:pt>
                <c:pt idx="37">
                  <c:v>-33</c:v>
                </c:pt>
                <c:pt idx="38">
                  <c:v>-32</c:v>
                </c:pt>
                <c:pt idx="39">
                  <c:v>-31</c:v>
                </c:pt>
                <c:pt idx="40">
                  <c:v>-30</c:v>
                </c:pt>
                <c:pt idx="41">
                  <c:v>-29</c:v>
                </c:pt>
                <c:pt idx="42">
                  <c:v>-28</c:v>
                </c:pt>
                <c:pt idx="43">
                  <c:v>-27</c:v>
                </c:pt>
                <c:pt idx="44">
                  <c:v>-26</c:v>
                </c:pt>
                <c:pt idx="45">
                  <c:v>-25</c:v>
                </c:pt>
                <c:pt idx="46">
                  <c:v>-24</c:v>
                </c:pt>
                <c:pt idx="47">
                  <c:v>-23</c:v>
                </c:pt>
                <c:pt idx="48">
                  <c:v>-22</c:v>
                </c:pt>
                <c:pt idx="49">
                  <c:v>-21</c:v>
                </c:pt>
                <c:pt idx="50">
                  <c:v>-20</c:v>
                </c:pt>
                <c:pt idx="51">
                  <c:v>-19</c:v>
                </c:pt>
                <c:pt idx="52">
                  <c:v>-18</c:v>
                </c:pt>
                <c:pt idx="53">
                  <c:v>-17</c:v>
                </c:pt>
                <c:pt idx="54">
                  <c:v>-16</c:v>
                </c:pt>
                <c:pt idx="55">
                  <c:v>-15</c:v>
                </c:pt>
                <c:pt idx="56">
                  <c:v>-14</c:v>
                </c:pt>
                <c:pt idx="57">
                  <c:v>-13</c:v>
                </c:pt>
                <c:pt idx="58">
                  <c:v>-12</c:v>
                </c:pt>
                <c:pt idx="59">
                  <c:v>-11</c:v>
                </c:pt>
                <c:pt idx="60">
                  <c:v>-10</c:v>
                </c:pt>
                <c:pt idx="61">
                  <c:v>-9</c:v>
                </c:pt>
                <c:pt idx="62">
                  <c:v>-8</c:v>
                </c:pt>
                <c:pt idx="63">
                  <c:v>-7</c:v>
                </c:pt>
                <c:pt idx="64">
                  <c:v>-6</c:v>
                </c:pt>
                <c:pt idx="65">
                  <c:v>-5</c:v>
                </c:pt>
                <c:pt idx="66">
                  <c:v>-4</c:v>
                </c:pt>
                <c:pt idx="67">
                  <c:v>-3</c:v>
                </c:pt>
                <c:pt idx="68">
                  <c:v>-2</c:v>
                </c:pt>
                <c:pt idx="69">
                  <c:v>-1</c:v>
                </c:pt>
                <c:pt idx="70">
                  <c:v>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32</c:v>
                </c:pt>
                <c:pt idx="103">
                  <c:v>33</c:v>
                </c:pt>
                <c:pt idx="104">
                  <c:v>34</c:v>
                </c:pt>
                <c:pt idx="105">
                  <c:v>35</c:v>
                </c:pt>
                <c:pt idx="106">
                  <c:v>36</c:v>
                </c:pt>
                <c:pt idx="107">
                  <c:v>37</c:v>
                </c:pt>
                <c:pt idx="108">
                  <c:v>38</c:v>
                </c:pt>
                <c:pt idx="109">
                  <c:v>39</c:v>
                </c:pt>
                <c:pt idx="110">
                  <c:v>40</c:v>
                </c:pt>
                <c:pt idx="111">
                  <c:v>41</c:v>
                </c:pt>
                <c:pt idx="112">
                  <c:v>42</c:v>
                </c:pt>
                <c:pt idx="113">
                  <c:v>43</c:v>
                </c:pt>
                <c:pt idx="114">
                  <c:v>44</c:v>
                </c:pt>
                <c:pt idx="115">
                  <c:v>45</c:v>
                </c:pt>
                <c:pt idx="116">
                  <c:v>46</c:v>
                </c:pt>
                <c:pt idx="117">
                  <c:v>47</c:v>
                </c:pt>
                <c:pt idx="118">
                  <c:v>48</c:v>
                </c:pt>
                <c:pt idx="119">
                  <c:v>49</c:v>
                </c:pt>
                <c:pt idx="120">
                  <c:v>50</c:v>
                </c:pt>
                <c:pt idx="121">
                  <c:v>51</c:v>
                </c:pt>
                <c:pt idx="122">
                  <c:v>52</c:v>
                </c:pt>
                <c:pt idx="123">
                  <c:v>53</c:v>
                </c:pt>
                <c:pt idx="124">
                  <c:v>54</c:v>
                </c:pt>
                <c:pt idx="125">
                  <c:v>55</c:v>
                </c:pt>
                <c:pt idx="126">
                  <c:v>56</c:v>
                </c:pt>
                <c:pt idx="127">
                  <c:v>57</c:v>
                </c:pt>
                <c:pt idx="128">
                  <c:v>58</c:v>
                </c:pt>
                <c:pt idx="129">
                  <c:v>59</c:v>
                </c:pt>
                <c:pt idx="130">
                  <c:v>60</c:v>
                </c:pt>
                <c:pt idx="131">
                  <c:v>61</c:v>
                </c:pt>
                <c:pt idx="132">
                  <c:v>62</c:v>
                </c:pt>
                <c:pt idx="133">
                  <c:v>63</c:v>
                </c:pt>
                <c:pt idx="134">
                  <c:v>64</c:v>
                </c:pt>
                <c:pt idx="135">
                  <c:v>65</c:v>
                </c:pt>
                <c:pt idx="136">
                  <c:v>66</c:v>
                </c:pt>
                <c:pt idx="137">
                  <c:v>67</c:v>
                </c:pt>
                <c:pt idx="138">
                  <c:v>68</c:v>
                </c:pt>
                <c:pt idx="139">
                  <c:v>69</c:v>
                </c:pt>
                <c:pt idx="140">
                  <c:v>70</c:v>
                </c:pt>
              </c:numCache>
            </c:numRef>
          </c:cat>
          <c:val>
            <c:numRef>
              <c:f>'[20251213140757（新建110千伏架空双回路段，单侧挂线）.xls]水平分布曲线数据'!$C$19:$C$159</c:f>
              <c:numCache>
                <c:formatCode>General</c:formatCode>
                <c:ptCount val="141"/>
                <c:pt idx="0">
                  <c:v>0.1429</c:v>
                </c:pt>
                <c:pt idx="1">
                  <c:v>0.1467</c:v>
                </c:pt>
                <c:pt idx="2">
                  <c:v>0.1505</c:v>
                </c:pt>
                <c:pt idx="3">
                  <c:v>0.1545</c:v>
                </c:pt>
                <c:pt idx="4">
                  <c:v>0.1587</c:v>
                </c:pt>
                <c:pt idx="5">
                  <c:v>0.1631</c:v>
                </c:pt>
                <c:pt idx="6">
                  <c:v>0.1676</c:v>
                </c:pt>
                <c:pt idx="7">
                  <c:v>0.1723</c:v>
                </c:pt>
                <c:pt idx="8">
                  <c:v>0.1772</c:v>
                </c:pt>
                <c:pt idx="9">
                  <c:v>0.1824</c:v>
                </c:pt>
                <c:pt idx="10">
                  <c:v>0.1877</c:v>
                </c:pt>
                <c:pt idx="11">
                  <c:v>0.1933</c:v>
                </c:pt>
                <c:pt idx="12">
                  <c:v>0.1991</c:v>
                </c:pt>
                <c:pt idx="13">
                  <c:v>0.2052</c:v>
                </c:pt>
                <c:pt idx="14">
                  <c:v>0.2115</c:v>
                </c:pt>
                <c:pt idx="15">
                  <c:v>0.2182</c:v>
                </c:pt>
                <c:pt idx="16">
                  <c:v>0.2251</c:v>
                </c:pt>
                <c:pt idx="17">
                  <c:v>0.2324</c:v>
                </c:pt>
                <c:pt idx="18">
                  <c:v>0.24</c:v>
                </c:pt>
                <c:pt idx="19">
                  <c:v>0.248</c:v>
                </c:pt>
                <c:pt idx="20">
                  <c:v>0.2564</c:v>
                </c:pt>
                <c:pt idx="21">
                  <c:v>0.2652</c:v>
                </c:pt>
                <c:pt idx="22">
                  <c:v>0.2744</c:v>
                </c:pt>
                <c:pt idx="23">
                  <c:v>0.2842</c:v>
                </c:pt>
                <c:pt idx="24">
                  <c:v>0.2944</c:v>
                </c:pt>
                <c:pt idx="25">
                  <c:v>0.3051</c:v>
                </c:pt>
                <c:pt idx="26">
                  <c:v>0.3165</c:v>
                </c:pt>
                <c:pt idx="27">
                  <c:v>0.3284</c:v>
                </c:pt>
                <c:pt idx="28">
                  <c:v>0.341</c:v>
                </c:pt>
                <c:pt idx="29">
                  <c:v>0.3543</c:v>
                </c:pt>
                <c:pt idx="30">
                  <c:v>0.3684</c:v>
                </c:pt>
                <c:pt idx="31">
                  <c:v>0.3832</c:v>
                </c:pt>
                <c:pt idx="32">
                  <c:v>0.399</c:v>
                </c:pt>
                <c:pt idx="33">
                  <c:v>0.4156</c:v>
                </c:pt>
                <c:pt idx="34">
                  <c:v>0.4333</c:v>
                </c:pt>
                <c:pt idx="35">
                  <c:v>0.452</c:v>
                </c:pt>
                <c:pt idx="36">
                  <c:v>0.4719</c:v>
                </c:pt>
                <c:pt idx="37">
                  <c:v>0.4931</c:v>
                </c:pt>
                <c:pt idx="38">
                  <c:v>0.5155</c:v>
                </c:pt>
                <c:pt idx="39">
                  <c:v>0.5395</c:v>
                </c:pt>
                <c:pt idx="40">
                  <c:v>0.565</c:v>
                </c:pt>
                <c:pt idx="41">
                  <c:v>0.5921</c:v>
                </c:pt>
                <c:pt idx="42">
                  <c:v>0.6211</c:v>
                </c:pt>
                <c:pt idx="43">
                  <c:v>0.6521</c:v>
                </c:pt>
                <c:pt idx="44">
                  <c:v>0.6852</c:v>
                </c:pt>
                <c:pt idx="45">
                  <c:v>0.7206</c:v>
                </c:pt>
                <c:pt idx="46">
                  <c:v>0.7585</c:v>
                </c:pt>
                <c:pt idx="47">
                  <c:v>0.799</c:v>
                </c:pt>
                <c:pt idx="48">
                  <c:v>0.8424</c:v>
                </c:pt>
                <c:pt idx="49">
                  <c:v>0.8889</c:v>
                </c:pt>
                <c:pt idx="50">
                  <c:v>0.9388</c:v>
                </c:pt>
                <c:pt idx="51">
                  <c:v>0.9923</c:v>
                </c:pt>
                <c:pt idx="52">
                  <c:v>1.0496</c:v>
                </c:pt>
                <c:pt idx="53">
                  <c:v>1.111</c:v>
                </c:pt>
                <c:pt idx="54">
                  <c:v>1.1767</c:v>
                </c:pt>
                <c:pt idx="55">
                  <c:v>1.2471</c:v>
                </c:pt>
                <c:pt idx="56">
                  <c:v>1.3222</c:v>
                </c:pt>
                <c:pt idx="57">
                  <c:v>1.4023</c:v>
                </c:pt>
                <c:pt idx="58">
                  <c:v>1.4876</c:v>
                </c:pt>
                <c:pt idx="59">
                  <c:v>1.5779</c:v>
                </c:pt>
                <c:pt idx="60">
                  <c:v>1.6734</c:v>
                </c:pt>
                <c:pt idx="61">
                  <c:v>1.7737</c:v>
                </c:pt>
                <c:pt idx="62">
                  <c:v>1.8783</c:v>
                </c:pt>
                <c:pt idx="63">
                  <c:v>1.9867</c:v>
                </c:pt>
                <c:pt idx="64">
                  <c:v>2.0978</c:v>
                </c:pt>
                <c:pt idx="65">
                  <c:v>2.2102</c:v>
                </c:pt>
                <c:pt idx="66">
                  <c:v>2.3221</c:v>
                </c:pt>
                <c:pt idx="67">
                  <c:v>2.4313</c:v>
                </c:pt>
                <c:pt idx="68">
                  <c:v>2.5351</c:v>
                </c:pt>
                <c:pt idx="69">
                  <c:v>2.6306</c:v>
                </c:pt>
                <c:pt idx="70">
                  <c:v>2.7146</c:v>
                </c:pt>
                <c:pt idx="71">
                  <c:v>2.7838</c:v>
                </c:pt>
                <c:pt idx="72">
                  <c:v>2.8353</c:v>
                </c:pt>
                <c:pt idx="73">
                  <c:v>2.8668</c:v>
                </c:pt>
                <c:pt idx="74">
                  <c:v>2.8767</c:v>
                </c:pt>
                <c:pt idx="75">
                  <c:v>2.8646</c:v>
                </c:pt>
                <c:pt idx="76">
                  <c:v>2.831</c:v>
                </c:pt>
                <c:pt idx="77">
                  <c:v>2.7775</c:v>
                </c:pt>
                <c:pt idx="78">
                  <c:v>2.7066</c:v>
                </c:pt>
                <c:pt idx="79">
                  <c:v>2.6212</c:v>
                </c:pt>
                <c:pt idx="80">
                  <c:v>2.5246</c:v>
                </c:pt>
                <c:pt idx="81">
                  <c:v>2.4199</c:v>
                </c:pt>
                <c:pt idx="82">
                  <c:v>2.3101</c:v>
                </c:pt>
                <c:pt idx="83">
                  <c:v>2.1979</c:v>
                </c:pt>
                <c:pt idx="84">
                  <c:v>2.0853</c:v>
                </c:pt>
                <c:pt idx="85">
                  <c:v>1.9743</c:v>
                </c:pt>
                <c:pt idx="86">
                  <c:v>1.866</c:v>
                </c:pt>
                <c:pt idx="87">
                  <c:v>1.7616</c:v>
                </c:pt>
                <c:pt idx="88">
                  <c:v>1.6616</c:v>
                </c:pt>
                <c:pt idx="89">
                  <c:v>1.5665</c:v>
                </c:pt>
                <c:pt idx="90">
                  <c:v>1.4765</c:v>
                </c:pt>
                <c:pt idx="91">
                  <c:v>1.3917</c:v>
                </c:pt>
                <c:pt idx="92">
                  <c:v>1.312</c:v>
                </c:pt>
                <c:pt idx="93">
                  <c:v>1.2374</c:v>
                </c:pt>
                <c:pt idx="94">
                  <c:v>1.1675</c:v>
                </c:pt>
                <c:pt idx="95">
                  <c:v>1.1022</c:v>
                </c:pt>
                <c:pt idx="96">
                  <c:v>1.0413</c:v>
                </c:pt>
                <c:pt idx="97">
                  <c:v>0.9844</c:v>
                </c:pt>
                <c:pt idx="98">
                  <c:v>0.9314</c:v>
                </c:pt>
                <c:pt idx="99">
                  <c:v>0.8819</c:v>
                </c:pt>
                <c:pt idx="100">
                  <c:v>0.8357</c:v>
                </c:pt>
                <c:pt idx="101">
                  <c:v>0.7927</c:v>
                </c:pt>
                <c:pt idx="102">
                  <c:v>0.7525</c:v>
                </c:pt>
                <c:pt idx="103">
                  <c:v>0.715</c:v>
                </c:pt>
                <c:pt idx="104">
                  <c:v>0.6799</c:v>
                </c:pt>
                <c:pt idx="105">
                  <c:v>0.6471</c:v>
                </c:pt>
                <c:pt idx="106">
                  <c:v>0.6164</c:v>
                </c:pt>
                <c:pt idx="107">
                  <c:v>0.5877</c:v>
                </c:pt>
                <c:pt idx="108">
                  <c:v>0.5607</c:v>
                </c:pt>
                <c:pt idx="109">
                  <c:v>0.5355</c:v>
                </c:pt>
                <c:pt idx="110">
                  <c:v>0.5118</c:v>
                </c:pt>
                <c:pt idx="111">
                  <c:v>0.4895</c:v>
                </c:pt>
                <c:pt idx="112">
                  <c:v>0.4685</c:v>
                </c:pt>
                <c:pt idx="113">
                  <c:v>0.4488</c:v>
                </c:pt>
                <c:pt idx="114">
                  <c:v>0.4302</c:v>
                </c:pt>
                <c:pt idx="115">
                  <c:v>0.4127</c:v>
                </c:pt>
                <c:pt idx="116">
                  <c:v>0.3962</c:v>
                </c:pt>
                <c:pt idx="117">
                  <c:v>0.3806</c:v>
                </c:pt>
                <c:pt idx="118">
                  <c:v>0.3659</c:v>
                </c:pt>
                <c:pt idx="119">
                  <c:v>0.352</c:v>
                </c:pt>
                <c:pt idx="120">
                  <c:v>0.3388</c:v>
                </c:pt>
                <c:pt idx="121">
                  <c:v>0.3263</c:v>
                </c:pt>
                <c:pt idx="122">
                  <c:v>0.3144</c:v>
                </c:pt>
                <c:pt idx="123">
                  <c:v>0.3032</c:v>
                </c:pt>
                <c:pt idx="124">
                  <c:v>0.2925</c:v>
                </c:pt>
                <c:pt idx="125">
                  <c:v>0.2824</c:v>
                </c:pt>
                <c:pt idx="126">
                  <c:v>0.2728</c:v>
                </c:pt>
                <c:pt idx="127">
                  <c:v>0.2636</c:v>
                </c:pt>
                <c:pt idx="128">
                  <c:v>0.2549</c:v>
                </c:pt>
                <c:pt idx="129">
                  <c:v>0.2466</c:v>
                </c:pt>
                <c:pt idx="130">
                  <c:v>0.2386</c:v>
                </c:pt>
                <c:pt idx="131">
                  <c:v>0.2311</c:v>
                </c:pt>
                <c:pt idx="132">
                  <c:v>0.2238</c:v>
                </c:pt>
                <c:pt idx="133">
                  <c:v>0.217</c:v>
                </c:pt>
                <c:pt idx="134">
                  <c:v>0.2104</c:v>
                </c:pt>
                <c:pt idx="135">
                  <c:v>0.2041</c:v>
                </c:pt>
                <c:pt idx="136">
                  <c:v>0.198</c:v>
                </c:pt>
                <c:pt idx="137">
                  <c:v>0.1923</c:v>
                </c:pt>
                <c:pt idx="138">
                  <c:v>0.1867</c:v>
                </c:pt>
                <c:pt idx="139">
                  <c:v>0.1814</c:v>
                </c:pt>
                <c:pt idx="140">
                  <c:v>0.1763</c:v>
                </c:pt>
              </c:numCache>
            </c:numRef>
          </c:val>
          <c:smooth val="1"/>
        </c:ser>
        <c:dLbls>
          <c:showLegendKey val="0"/>
          <c:showVal val="0"/>
          <c:showCatName val="0"/>
          <c:showSerName val="0"/>
          <c:showPercent val="0"/>
          <c:showBubbleSize val="0"/>
        </c:dLbls>
        <c:marker val="0"/>
        <c:smooth val="1"/>
        <c:axId val="238533688"/>
        <c:axId val="314473810"/>
      </c:lineChart>
      <c:catAx>
        <c:axId val="238533688"/>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与线路走廊中心线距离（</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m)</a:t>
                </a:r>
                <a:endParaRPr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362907894736842"/>
              <c:y val="0.865046296296296"/>
            </c:manualLayout>
          </c:layout>
          <c:overlay val="0"/>
          <c:spPr>
            <a:noFill/>
            <a:ln>
              <a:noFill/>
            </a:ln>
            <a:effectLst/>
          </c:spPr>
        </c:title>
        <c:majorTickMark val="in"/>
        <c:minorTickMark val="none"/>
        <c:tickLblPos val="nextTo"/>
        <c:spPr>
          <a:noFill/>
          <a:ln w="3175" cap="flat" cmpd="sng" algn="ctr">
            <a:solidFill>
              <a:srgbClr val="000000"/>
            </a:solid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314473810"/>
        <c:crosses val="autoZero"/>
        <c:auto val="1"/>
        <c:lblAlgn val="ctr"/>
        <c:lblOffset val="100"/>
        <c:tickLblSkip val="20"/>
        <c:noMultiLvlLbl val="0"/>
      </c:catAx>
      <c:valAx>
        <c:axId val="314473810"/>
        <c:scaling>
          <c:orientation val="minMax"/>
          <c:max val="3"/>
          <c:min val="0"/>
        </c:scaling>
        <c:delete val="0"/>
        <c:axPos val="l"/>
        <c:majorGridlines>
          <c:spPr>
            <a:ln w="3175" cap="flat" cmpd="sng" algn="ctr">
              <a:solidFill>
                <a:schemeClr val="bg1">
                  <a:lumMod val="75000"/>
                </a:schemeClr>
              </a:solidFill>
              <a:prstDash val="solid"/>
              <a:round/>
            </a:ln>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工频磁感应强度（</a:t>
                </a:r>
                <a:r>
                  <a:rPr lang="en-US" altLang="zh-CN"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μT</a:t>
                </a:r>
                <a:r>
                  <a:rPr altLang="en-US" sz="1000" b="0" i="0" u="none" strike="noStrike" baseline="0">
                    <a:solidFill>
                      <a:srgbClr val="333333"/>
                    </a:solidFill>
                    <a:latin typeface="微软雅黑" panose="020B0503020204020204" charset="-122"/>
                    <a:ea typeface="微软雅黑" panose="020B0503020204020204" charset="-122"/>
                    <a:cs typeface="微软雅黑" panose="020B0503020204020204" charset="-122"/>
                  </a:rPr>
                  <a:t>）</a:t>
                </a:r>
                <a:endParaRPr lang="en-US" altLang="zh-CN" sz="1000" b="0" i="0" u="none" strike="noStrike" baseline="0">
                  <a:solidFill>
                    <a:srgbClr val="000000"/>
                  </a:solidFill>
                  <a:latin typeface="Arial" panose="020B0604020202020204" charset="0"/>
                  <a:ea typeface="Arial" panose="020B0604020202020204" charset="0"/>
                  <a:cs typeface="Arial" panose="020B0604020202020204" charset="0"/>
                </a:endParaRPr>
              </a:p>
            </c:rich>
          </c:tx>
          <c:layout>
            <c:manualLayout>
              <c:xMode val="edge"/>
              <c:yMode val="edge"/>
              <c:x val="0.00406118857452278"/>
              <c:y val="0.124287762993998"/>
            </c:manualLayout>
          </c:layout>
          <c:overlay val="0"/>
        </c:title>
        <c:numFmt formatCode="General" sourceLinked="1"/>
        <c:majorTickMark val="none"/>
        <c:minorTickMark val="none"/>
        <c:tickLblPos val="nextTo"/>
        <c:spPr>
          <a:ln w="3175"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238533688"/>
        <c:crosses val="autoZero"/>
        <c:crossBetween val="between"/>
        <c:majorUnit val="0.5"/>
      </c:valAx>
      <c:spPr>
        <a:noFill/>
        <a:ln>
          <a:noFill/>
        </a:ln>
        <a:effectLst/>
      </c:spPr>
    </c:plotArea>
    <c:plotVisOnly val="1"/>
    <c:dispBlanksAs val="gap"/>
    <c:showDLblsOverMax val="0"/>
    <c:extLst>
      <c:ext uri="{0b15fc19-7d7d-44ad-8c2d-2c3a37ce22c3}">
        <chartProps xmlns="https://web.wps.cn/et/2018/main" chartId="{31de30dc-88ff-4084-a0f5-e390ccea5f01}"/>
      </c:ext>
    </c:extLst>
  </c:chart>
  <c:spPr>
    <a:solidFill>
      <a:schemeClr val="bg1"/>
    </a:solidFill>
    <a:ln w="6350" cap="flat" cmpd="sng" algn="ctr">
      <a:solidFill>
        <a:schemeClr val="tx1">
          <a:lumMod val="50000"/>
          <a:lumOff val="50000"/>
          <a:alpha val="25000"/>
        </a:schemeClr>
      </a:solidFill>
      <a:prstDash val="solid"/>
      <a:miter lim="800000"/>
    </a:ln>
    <a:effectLst/>
  </c:spPr>
  <c:txPr>
    <a:bodyPr wrap="square"/>
    <a:lstStyle/>
    <a:p>
      <a:pPr>
        <a:defRPr lang="zh-CN"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微软中国</Company>
  <Pages>216</Pages>
  <Words>14835</Words>
  <Characters>15805</Characters>
  <Lines>541</Lines>
  <Paragraphs>152</Paragraphs>
  <TotalTime>6</TotalTime>
  <ScaleCrop>false</ScaleCrop>
  <LinksUpToDate>false</LinksUpToDate>
  <CharactersWithSpaces>15831</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2023-12-06T10:07:00Z</dcterms:created>
  <dc:creator>lhj</dc:creator>
  <cp:lastModifiedBy>碧潭飘雪</cp:lastModifiedBy>
  <cp:lastPrinted>2024-11-07T14:17:00Z</cp:lastPrinted>
  <dcterms:modified xsi:type="dcterms:W3CDTF">2026-03-26T06:18:47Z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7274D0D5A65E3FB0670BBE69CEAA2EAC_43</vt:lpwstr>
  </property>
  <property fmtid="{D5CDD505-2E9C-101B-9397-08002B2CF9AE}" pid="4" name="KSOTemplateDocerSaveRecord">
    <vt:lpwstr>eyJoZGlkIjoiYTg5MWEyMmE5ZTNlOTFiMGIxYjI2ZmYzOGZkNGQ2YjUiLCJ1c2VySWQiOiIzMjI2NTMzNDkifQ==</vt:lpwstr>
  </property>
</Properties>
</file>